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Default Extension="fntdata" ContentType="application/x-fontdata"/>
  <Override PartName="/word/document.xml" ContentType="application/vnd.openxmlformats-officedocument.wordprocessingml.document.main+xml"/>
  <Override PartName="/word/header3.xml" ContentType="application/vnd.openxmlformats-officedocument.wordprocessingml.header+xml"/>
  <Override PartName="/word/styles.xml" ContentType="application/vnd.openxmlformats-officedocument.wordprocessingml.styles+xml"/>
  <Override PartName="/word/header1.xml" ContentType="application/vnd.openxmlformats-officedocument.wordprocessingml.header+xml"/>
  <Override PartName="/word/media/image1.png" ContentType="image/png"/>
  <Override PartName="/word/media/image2.png" ContentType="image/png"/>
  <Override PartName="/word/media/image3.png" ContentType="image/png"/>
  <Override PartName="/word/media/image4.png" ContentType="image/png"/>
  <Override PartName="/word/media/image5.png" ContentType="image/png"/>
  <Override PartName="/word/media/image6.png" ContentType="image/png"/>
  <Override PartName="/word/media/image8.emf" ContentType="image/x-emf"/>
  <Override PartName="/word/media/image7.png" ContentType="image/png"/>
  <Override PartName="/word/media/image9.wmf" ContentType="image/x-wmf"/>
  <Override PartName="/word/media/image10.emf" ContentType="image/x-emf"/>
  <Override PartName="/word/media/image11.wmf" ContentType="image/x-wmf"/>
  <Override PartName="/word/media/image12.png" ContentType="image/png"/>
  <Override PartName="/word/numbering.xml" ContentType="application/vnd.openxmlformats-officedocument.wordprocessingml.numbering+xml"/>
  <Override PartName="/word/header4.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napToGrid w:val="false"/>
        <w:spacing w:lineRule="auto" w:line="240"/>
        <w:ind w:hanging="0"/>
        <w:jc w:val="center"/>
        <w:rPr>
          <w:rFonts w:eastAsia="Arial Unicode MS"/>
          <w:b/>
          <w:caps/>
          <w:szCs w:val="20"/>
        </w:rPr>
      </w:pPr>
      <w:bookmarkStart w:id="0" w:name="_Toc507947772"/>
      <w:bookmarkEnd w:id="0"/>
      <w:r>
        <w:rPr>
          <w:rFonts w:eastAsia="Arial Unicode MS"/>
          <w:b/>
          <w:caps/>
          <w:szCs w:val="20"/>
          <w:vertAlign w:val="subscript"/>
        </w:rPr>
        <w:softHyphen/>
        <w:softHyphen/>
      </w:r>
      <w:r>
        <w:rPr>
          <w:rFonts w:eastAsia="Arial Unicode MS"/>
          <w:b/>
          <w:caps/>
          <w:szCs w:val="20"/>
        </w:rPr>
        <w:softHyphen/>
        <w:softHyphen/>
        <w:t>Міністерство ОХ</w:t>
        <w:softHyphen/>
        <w:softHyphen/>
        <w:t xml:space="preserve">ОРОНИ ЗДОРОВ’Я України  </w:t>
      </w:r>
    </w:p>
    <w:p>
      <w:pPr>
        <w:pStyle w:val="Normal"/>
        <w:snapToGrid w:val="false"/>
        <w:spacing w:lineRule="auto" w:line="240"/>
        <w:ind w:hanging="0"/>
        <w:jc w:val="center"/>
        <w:rPr>
          <w:rFonts w:eastAsia="Arial Unicode MS"/>
          <w:b/>
          <w:szCs w:val="20"/>
        </w:rPr>
      </w:pPr>
      <w:r>
        <w:rPr>
          <w:rFonts w:eastAsia="Arial Unicode MS"/>
          <w:b/>
          <w:szCs w:val="20"/>
        </w:rPr>
      </w:r>
    </w:p>
    <w:p>
      <w:pPr>
        <w:pStyle w:val="Normal"/>
        <w:snapToGrid w:val="false"/>
        <w:spacing w:lineRule="auto" w:line="240"/>
        <w:ind w:hanging="0"/>
        <w:jc w:val="center"/>
        <w:rPr>
          <w:rFonts w:eastAsia="Arial Unicode MS"/>
          <w:b/>
          <w:bCs/>
          <w:caps/>
        </w:rPr>
      </w:pPr>
      <w:r>
        <w:rPr>
          <w:rFonts w:eastAsia="Arial Unicode MS"/>
          <w:b/>
          <w:bCs/>
        </w:rPr>
        <w:t xml:space="preserve">ОДЕСЬКИЙ НАЦІОНАЛЬНИЙ МЕДИЧНИЙ </w:t>
      </w:r>
      <w:r>
        <w:rPr>
          <w:rFonts w:eastAsia="Arial Unicode MS"/>
          <w:b/>
          <w:bCs/>
          <w:caps/>
        </w:rPr>
        <w:t>УНІВЕРСИТЕТ</w:t>
      </w:r>
    </w:p>
    <w:p>
      <w:pPr>
        <w:pStyle w:val="Normal"/>
        <w:spacing w:lineRule="auto" w:line="240"/>
        <w:ind w:hanging="0"/>
        <w:jc w:val="center"/>
        <w:rPr>
          <w:rFonts w:eastAsia="Arial Unicode MS"/>
          <w:b/>
          <w:bCs/>
          <w:caps/>
        </w:rPr>
      </w:pPr>
      <w:r>
        <w:rPr>
          <w:rFonts w:eastAsia="Arial Unicode MS"/>
          <w:b/>
          <w:bCs/>
          <w:caps/>
        </w:rPr>
      </w:r>
    </w:p>
    <w:p>
      <w:pPr>
        <w:pStyle w:val="Normal"/>
        <w:jc w:val="center"/>
        <w:rPr>
          <w:rFonts w:eastAsia="Arial Unicode MS"/>
          <w:b/>
          <w:bCs/>
        </w:rPr>
      </w:pPr>
      <w:r>
        <w:rPr>
          <w:rFonts w:eastAsia="Arial Unicode MS"/>
          <w:b/>
          <w:bCs/>
        </w:rPr>
        <w:t>Медико-фармацевтичий факультет</w:t>
      </w:r>
    </w:p>
    <w:p>
      <w:pPr>
        <w:pStyle w:val="Normal"/>
        <w:jc w:val="center"/>
        <w:rPr>
          <w:rFonts w:eastAsia="Arial Unicode MS"/>
        </w:rPr>
      </w:pPr>
      <w:r>
        <w:rPr>
          <w:rFonts w:eastAsia="Arial Unicode MS"/>
        </w:rPr>
        <w:t>СИНЬОВ ДМИТРО СЕРГІЙОВИЧ</w:t>
      </w:r>
    </w:p>
    <w:p>
      <w:pPr>
        <w:pStyle w:val="Normal"/>
        <w:snapToGrid w:val="false"/>
        <w:spacing w:lineRule="auto" w:line="240"/>
        <w:ind w:hanging="0"/>
        <w:jc w:val="center"/>
        <w:rPr>
          <w:rFonts w:eastAsia="Arial Unicode MS"/>
        </w:rPr>
      </w:pPr>
      <w:r>
        <w:rPr>
          <w:rFonts w:eastAsia="Arial Unicode MS"/>
        </w:rPr>
        <w:t xml:space="preserve"> </w:t>
      </w:r>
      <w:r>
        <w:rPr>
          <w:rFonts w:eastAsia="Arial Unicode MS"/>
          <w:b/>
          <w:bCs/>
        </w:rPr>
        <w:t>УПРАВЛІННЯ ПЕРСОНАЛОМ У ЗАКЛАДАХ ОХОРОНИ ЗДОРОВ’Я УКРАЇНИ</w:t>
      </w:r>
    </w:p>
    <w:p>
      <w:pPr>
        <w:pStyle w:val="Normal"/>
        <w:snapToGrid w:val="false"/>
        <w:spacing w:lineRule="auto" w:line="240"/>
        <w:ind w:hanging="0"/>
        <w:jc w:val="center"/>
        <w:rPr>
          <w:rFonts w:eastAsia="Arial Unicode MS"/>
          <w:b/>
          <w:bCs/>
          <w:lang w:val="en-US"/>
        </w:rPr>
      </w:pPr>
      <w:r>
        <w:rPr>
          <w:rFonts w:eastAsia="Arial Unicode MS"/>
          <w:b/>
          <w:bCs/>
          <w:lang w:val="en-US"/>
        </w:rPr>
        <w:t>Personnel management in healthcare institutions of Ukraine</w:t>
      </w:r>
    </w:p>
    <w:p>
      <w:pPr>
        <w:pStyle w:val="Normal"/>
        <w:snapToGrid w:val="false"/>
        <w:spacing w:lineRule="auto" w:line="240"/>
        <w:ind w:hanging="0"/>
        <w:jc w:val="center"/>
        <w:rPr>
          <w:rFonts w:eastAsia="Arial Unicode MS"/>
          <w:b/>
          <w:bCs/>
          <w:lang w:val="en-US"/>
        </w:rPr>
      </w:pPr>
      <w:r>
        <w:rPr>
          <w:rFonts w:eastAsia="Arial Unicode MS"/>
          <w:b/>
          <w:bCs/>
          <w:lang w:val="en-US"/>
        </w:rPr>
      </w:r>
    </w:p>
    <w:p>
      <w:pPr>
        <w:pStyle w:val="Normal"/>
        <w:spacing w:lineRule="auto" w:line="240"/>
        <w:ind w:hanging="0"/>
        <w:jc w:val="center"/>
        <w:rPr>
          <w:rFonts w:eastAsia="Arial Unicode MS"/>
        </w:rPr>
      </w:pPr>
      <w:r>
        <w:rPr>
          <w:rFonts w:eastAsia="Arial Unicode MS"/>
        </w:rPr>
        <w:t>Спеціальність 073 Менеджмент</w:t>
      </w:r>
    </w:p>
    <w:p>
      <w:pPr>
        <w:pStyle w:val="Normal"/>
        <w:spacing w:lineRule="auto" w:line="240"/>
        <w:ind w:hanging="0"/>
        <w:jc w:val="center"/>
        <w:rPr>
          <w:rFonts w:eastAsia="Arial Unicode MS"/>
        </w:rPr>
      </w:pPr>
      <w:r>
        <w:rPr>
          <w:rFonts w:eastAsia="Arial Unicode MS"/>
        </w:rPr>
        <w:t>Галузь знань: 07 Управління та адміністрування</w:t>
      </w:r>
    </w:p>
    <w:p>
      <w:pPr>
        <w:pStyle w:val="Normal"/>
        <w:spacing w:lineRule="auto" w:line="240"/>
        <w:ind w:hanging="0"/>
        <w:jc w:val="center"/>
        <w:rPr>
          <w:rFonts w:eastAsia="Arial Unicode MS"/>
        </w:rPr>
      </w:pPr>
      <w:r>
        <w:rPr>
          <w:rFonts w:eastAsia="Arial Unicode MS"/>
        </w:rPr>
      </w:r>
    </w:p>
    <w:p>
      <w:pPr>
        <w:pStyle w:val="Normal"/>
        <w:spacing w:lineRule="auto" w:line="240"/>
        <w:ind w:hanging="0"/>
        <w:jc w:val="center"/>
        <w:rPr>
          <w:rFonts w:eastAsia="Arial Unicode MS"/>
          <w:b/>
          <w:bCs/>
        </w:rPr>
      </w:pPr>
      <w:r>
        <w:rPr>
          <w:rFonts w:eastAsia="Arial Unicode MS"/>
          <w:b/>
          <w:bCs/>
        </w:rPr>
        <w:t>Кваліфікаційна робота</w:t>
      </w:r>
    </w:p>
    <w:p>
      <w:pPr>
        <w:pStyle w:val="Normal"/>
        <w:spacing w:lineRule="auto" w:line="240"/>
        <w:ind w:hanging="0"/>
        <w:jc w:val="center"/>
        <w:rPr>
          <w:rFonts w:eastAsia="Arial Unicode MS"/>
        </w:rPr>
      </w:pPr>
      <w:r>
        <w:rPr>
          <w:rFonts w:eastAsia="Arial Unicode MS"/>
        </w:rPr>
        <w:t>на здобуття ступеня вищої освіти «магістр»</w:t>
      </w:r>
    </w:p>
    <w:tbl>
      <w:tblPr>
        <w:tblpPr w:vertAnchor="text" w:horzAnchor="margin" w:leftFromText="180" w:rightFromText="180" w:tblpX="0" w:tblpY="127"/>
        <w:tblW w:w="9571" w:type="dxa"/>
        <w:jc w:val="start"/>
        <w:tblInd w:w="0" w:type="dxa"/>
        <w:tblLayout w:type="fixed"/>
        <w:tblCellMar>
          <w:top w:w="0" w:type="dxa"/>
          <w:start w:w="108" w:type="dxa"/>
          <w:bottom w:w="0" w:type="dxa"/>
          <w:end w:w="108" w:type="dxa"/>
        </w:tblCellMar>
      </w:tblPr>
      <w:tblGrid>
        <w:gridCol w:w="4559"/>
        <w:gridCol w:w="5012"/>
      </w:tblGrid>
      <w:tr>
        <w:trPr>
          <w:trHeight w:val="3085" w:hRule="atLeast"/>
        </w:trPr>
        <w:tc>
          <w:tcPr>
            <w:tcW w:w="4559" w:type="dxa"/>
            <w:tcBorders/>
          </w:tcPr>
          <w:p>
            <w:pPr>
              <w:pStyle w:val="Normal"/>
              <w:snapToGrid w:val="false"/>
              <w:ind w:hanging="0"/>
              <w:jc w:val="center"/>
              <w:rPr>
                <w:rFonts w:eastAsia="Arial Unicode MS"/>
                <w:szCs w:val="20"/>
              </w:rPr>
            </w:pPr>
            <w:r>
              <w:rPr>
                <w:rFonts w:eastAsia="Arial Unicode MS"/>
                <w:szCs w:val="20"/>
              </w:rPr>
            </w:r>
          </w:p>
          <w:p>
            <w:pPr>
              <w:pStyle w:val="Normal"/>
              <w:snapToGrid w:val="false"/>
              <w:ind w:hanging="0"/>
              <w:jc w:val="center"/>
              <w:rPr>
                <w:rFonts w:eastAsia="Arial Unicode MS"/>
              </w:rPr>
            </w:pPr>
            <w:r>
              <w:rPr>
                <w:rFonts w:eastAsia="Arial Unicode MS"/>
              </w:rPr>
            </w:r>
          </w:p>
        </w:tc>
        <w:tc>
          <w:tcPr>
            <w:tcW w:w="5012" w:type="dxa"/>
            <w:tcBorders/>
          </w:tcPr>
          <w:p>
            <w:pPr>
              <w:pStyle w:val="Normal"/>
              <w:snapToGrid w:val="false"/>
              <w:spacing w:lineRule="auto" w:line="240"/>
              <w:ind w:hanging="0"/>
              <w:jc w:val="start"/>
              <w:rPr>
                <w:rFonts w:eastAsia="Arial Unicode MS"/>
                <w:lang w:val="uk-UA"/>
              </w:rPr>
            </w:pPr>
            <w:r>
              <w:rPr>
                <w:rFonts w:eastAsia="Arial Unicode MS"/>
                <w:lang w:val="uk-UA"/>
              </w:rPr>
            </w:r>
          </w:p>
          <w:p>
            <w:pPr>
              <w:pStyle w:val="Normal"/>
              <w:snapToGrid w:val="false"/>
              <w:spacing w:lineRule="auto" w:line="240"/>
              <w:ind w:hanging="0"/>
              <w:jc w:val="start"/>
              <w:rPr>
                <w:rFonts w:eastAsia="Arial Unicode MS"/>
                <w:lang w:val="uk-UA"/>
              </w:rPr>
            </w:pPr>
            <w:r>
              <w:rPr>
                <w:rFonts w:eastAsia="Arial Unicode MS"/>
                <w:lang w:val="uk-UA"/>
              </w:rPr>
            </w:r>
          </w:p>
          <w:p>
            <w:pPr>
              <w:pStyle w:val="Normal"/>
              <w:snapToGrid w:val="false"/>
              <w:spacing w:lineRule="auto" w:line="240"/>
              <w:ind w:hanging="0"/>
              <w:jc w:val="start"/>
              <w:rPr>
                <w:rFonts w:eastAsia="Arial Unicode MS"/>
                <w:lang w:val="uk-UA"/>
              </w:rPr>
            </w:pPr>
            <w:r>
              <w:rPr>
                <w:rFonts w:eastAsia="Arial Unicode MS"/>
                <w:lang w:val="uk-UA"/>
              </w:rPr>
            </w:r>
          </w:p>
          <w:p>
            <w:pPr>
              <w:pStyle w:val="Normal"/>
              <w:snapToGrid w:val="false"/>
              <w:spacing w:lineRule="auto" w:line="240"/>
              <w:ind w:hanging="0"/>
              <w:jc w:val="start"/>
              <w:rPr>
                <w:rFonts w:eastAsia="Arial Unicode MS"/>
                <w:b/>
                <w:bCs/>
              </w:rPr>
            </w:pPr>
            <w:r>
              <w:rPr>
                <w:rFonts w:eastAsia="Arial Unicode MS"/>
                <w:b/>
                <w:bCs/>
              </w:rPr>
              <w:t xml:space="preserve">Науковий керівник: </w:t>
            </w:r>
          </w:p>
          <w:p>
            <w:pPr>
              <w:pStyle w:val="Normal"/>
              <w:snapToGrid w:val="false"/>
              <w:spacing w:lineRule="auto" w:line="240"/>
              <w:ind w:hanging="0"/>
              <w:jc w:val="start"/>
              <w:rPr>
                <w:rFonts w:eastAsia="Arial Unicode MS"/>
                <w:lang w:val="uk-UA"/>
              </w:rPr>
            </w:pPr>
            <w:r>
              <w:rPr>
                <w:rFonts w:eastAsia="Arial Unicode MS"/>
              </w:rPr>
              <w:t xml:space="preserve">к.екон.н., доцент </w:t>
            </w:r>
            <w:r>
              <w:rPr>
                <w:rFonts w:eastAsia="Arial Unicode MS"/>
                <w:lang w:val="uk-UA"/>
              </w:rPr>
              <w:t>Рудінська</w:t>
            </w:r>
            <w:r>
              <w:rPr>
                <w:rFonts w:eastAsia="Arial Unicode MS"/>
              </w:rPr>
              <w:t xml:space="preserve"> </w:t>
            </w:r>
            <w:r>
              <w:rPr>
                <w:rFonts w:eastAsia="Arial Unicode MS"/>
                <w:lang w:val="uk-UA"/>
              </w:rPr>
              <w:t>О</w:t>
            </w:r>
            <w:r>
              <w:rPr>
                <w:rFonts w:eastAsia="Arial Unicode MS"/>
              </w:rPr>
              <w:t>.</w:t>
            </w:r>
            <w:r>
              <w:rPr>
                <w:rFonts w:eastAsia="Arial Unicode MS"/>
                <w:lang w:val="uk-UA"/>
              </w:rPr>
              <w:t>В.</w:t>
            </w:r>
          </w:p>
          <w:p>
            <w:pPr>
              <w:pStyle w:val="Normal"/>
              <w:snapToGrid w:val="false"/>
              <w:spacing w:lineRule="auto" w:line="240"/>
              <w:ind w:hanging="0"/>
              <w:jc w:val="start"/>
              <w:rPr>
                <w:rFonts w:eastAsia="Arial Unicode MS"/>
              </w:rPr>
            </w:pPr>
            <w:r>
              <w:rPr>
                <w:rFonts w:eastAsia="Arial Unicode MS"/>
              </w:rPr>
            </w:r>
          </w:p>
          <w:p>
            <w:pPr>
              <w:pStyle w:val="Normal"/>
              <w:snapToGrid w:val="false"/>
              <w:spacing w:lineRule="auto" w:line="240"/>
              <w:ind w:hanging="0"/>
              <w:jc w:val="start"/>
              <w:rPr>
                <w:rFonts w:eastAsia="Arial Unicode MS"/>
                <w:b/>
                <w:szCs w:val="20"/>
              </w:rPr>
            </w:pPr>
            <w:r>
              <w:rPr>
                <w:rFonts w:eastAsia="Arial Unicode MS"/>
                <w:b/>
                <w:szCs w:val="20"/>
              </w:rPr>
              <w:t>Рецензент:</w:t>
            </w:r>
          </w:p>
          <w:p>
            <w:pPr>
              <w:pStyle w:val="Normal"/>
              <w:snapToGrid w:val="false"/>
              <w:spacing w:lineRule="auto" w:line="240"/>
              <w:ind w:hanging="0"/>
              <w:jc w:val="start"/>
              <w:rPr>
                <w:rFonts w:eastAsia="Arial Unicode MS"/>
                <w:bCs/>
                <w:szCs w:val="20"/>
                <w:lang w:val="uk-UA"/>
              </w:rPr>
            </w:pPr>
            <w:r>
              <w:rPr>
                <w:rFonts w:eastAsia="Arial Unicode MS"/>
                <w:bCs/>
                <w:szCs w:val="20"/>
                <w:lang w:val="uk-UA"/>
              </w:rPr>
              <w:t>д.екон.н., професор Побережець О.В.</w:t>
            </w:r>
          </w:p>
          <w:p>
            <w:pPr>
              <w:pStyle w:val="Normal"/>
              <w:snapToGrid w:val="false"/>
              <w:spacing w:lineRule="auto" w:line="240"/>
              <w:ind w:hanging="0"/>
              <w:jc w:val="start"/>
              <w:rPr>
                <w:rFonts w:eastAsia="Arial Unicode MS"/>
                <w:lang w:val="uk-UA"/>
              </w:rPr>
            </w:pPr>
            <w:r>
              <w:rPr>
                <w:rFonts w:eastAsia="Arial Unicode MS"/>
                <w:lang w:val="uk-UA"/>
              </w:rPr>
            </w:r>
          </w:p>
          <w:p>
            <w:pPr>
              <w:pStyle w:val="Normal"/>
              <w:snapToGrid w:val="false"/>
              <w:spacing w:lineRule="auto" w:line="240"/>
              <w:ind w:hanging="0"/>
              <w:jc w:val="start"/>
              <w:rPr>
                <w:rFonts w:eastAsia="Arial Unicode MS"/>
                <w:lang w:val="uk-UA"/>
              </w:rPr>
            </w:pPr>
            <w:r>
              <w:rPr>
                <w:rFonts w:eastAsia="Arial Unicode MS"/>
                <w:lang w:val="uk-UA"/>
              </w:rPr>
            </w:r>
          </w:p>
          <w:p>
            <w:pPr>
              <w:pStyle w:val="Normal"/>
              <w:snapToGrid w:val="false"/>
              <w:spacing w:lineRule="auto" w:line="240"/>
              <w:ind w:hanging="0"/>
              <w:jc w:val="start"/>
              <w:rPr>
                <w:rFonts w:eastAsia="Arial Unicode MS"/>
                <w:lang w:val="uk-UA"/>
              </w:rPr>
            </w:pPr>
            <w:r>
              <w:rPr>
                <w:rFonts w:eastAsia="Arial Unicode MS"/>
                <w:lang w:val="uk-UA"/>
              </w:rPr>
            </w:r>
          </w:p>
          <w:p>
            <w:pPr>
              <w:pStyle w:val="Normal"/>
              <w:snapToGrid w:val="false"/>
              <w:spacing w:lineRule="auto" w:line="240"/>
              <w:ind w:hanging="0"/>
              <w:jc w:val="start"/>
              <w:rPr>
                <w:rFonts w:eastAsia="Arial Unicode MS"/>
                <w:lang w:val="uk-UA"/>
              </w:rPr>
            </w:pPr>
            <w:r>
              <w:rPr>
                <w:rFonts w:eastAsia="Arial Unicode MS"/>
                <w:lang w:val="uk-UA"/>
              </w:rPr>
            </w:r>
          </w:p>
        </w:tc>
      </w:tr>
    </w:tbl>
    <w:p>
      <w:pPr>
        <w:pStyle w:val="Normal"/>
        <w:snapToGrid w:val="false"/>
        <w:spacing w:lineRule="auto" w:line="240"/>
        <w:ind w:hanging="0"/>
        <w:jc w:val="center"/>
        <w:rPr>
          <w:rFonts w:eastAsia="Arial Unicode MS"/>
          <w:b/>
          <w:szCs w:val="20"/>
        </w:rPr>
      </w:pPr>
      <w:r>
        <w:rPr>
          <w:rFonts w:eastAsia="Arial Unicode MS"/>
          <w:b/>
          <w:szCs w:val="20"/>
        </w:rPr>
      </w:r>
    </w:p>
    <w:p>
      <w:pPr>
        <w:pStyle w:val="Normal"/>
        <w:snapToGrid w:val="false"/>
        <w:spacing w:lineRule="auto" w:line="240"/>
        <w:ind w:hanging="0"/>
        <w:jc w:val="start"/>
        <w:rPr>
          <w:rFonts w:ascii="Arial Unicode MS" w:hAnsi="Arial Unicode MS" w:eastAsia="Arial Unicode MS"/>
          <w:vanish/>
          <w:color w:val="000000"/>
          <w:sz w:val="24"/>
          <w:szCs w:val="20"/>
        </w:rPr>
      </w:pPr>
      <w:r>
        <w:rPr>
          <w:rFonts w:eastAsia="Arial Unicode MS" w:ascii="Arial Unicode MS" w:hAnsi="Arial Unicode MS"/>
          <w:vanish/>
          <w:color w:val="000000"/>
          <w:sz w:val="24"/>
          <w:szCs w:val="20"/>
        </w:rPr>
      </w:r>
    </w:p>
    <w:tbl>
      <w:tblPr>
        <w:tblW w:w="9571" w:type="dxa"/>
        <w:jc w:val="start"/>
        <w:tblInd w:w="0" w:type="dxa"/>
        <w:tblLayout w:type="fixed"/>
        <w:tblCellMar>
          <w:top w:w="0" w:type="dxa"/>
          <w:start w:w="108" w:type="dxa"/>
          <w:bottom w:w="0" w:type="dxa"/>
          <w:end w:w="108" w:type="dxa"/>
        </w:tblCellMar>
      </w:tblPr>
      <w:tblGrid>
        <w:gridCol w:w="4785"/>
        <w:gridCol w:w="4786"/>
      </w:tblGrid>
      <w:tr>
        <w:trPr/>
        <w:tc>
          <w:tcPr>
            <w:tcW w:w="4785" w:type="dxa"/>
            <w:tcBorders/>
          </w:tcPr>
          <w:p>
            <w:pPr>
              <w:pStyle w:val="Normal"/>
              <w:snapToGrid w:val="false"/>
              <w:spacing w:lineRule="auto" w:line="240"/>
              <w:ind w:hanging="0"/>
              <w:jc w:val="start"/>
              <w:rPr>
                <w:rFonts w:eastAsia="Calibri"/>
                <w:szCs w:val="20"/>
              </w:rPr>
            </w:pPr>
            <w:r>
              <w:rPr>
                <w:rFonts w:eastAsia="Calibri"/>
                <w:szCs w:val="20"/>
              </w:rPr>
              <w:t xml:space="preserve">Рекомендовано до захисту: </w:t>
            </w:r>
          </w:p>
          <w:p>
            <w:pPr>
              <w:pStyle w:val="Normal"/>
              <w:snapToGrid w:val="false"/>
              <w:spacing w:lineRule="auto" w:line="240"/>
              <w:ind w:hanging="0"/>
              <w:jc w:val="start"/>
              <w:rPr>
                <w:rFonts w:eastAsia="Calibri"/>
                <w:szCs w:val="20"/>
              </w:rPr>
            </w:pPr>
            <w:r>
              <w:rPr>
                <w:rFonts w:eastAsia="Calibri"/>
                <w:szCs w:val="20"/>
              </w:rPr>
            </w:r>
          </w:p>
          <w:p>
            <w:pPr>
              <w:pStyle w:val="Normal"/>
              <w:snapToGrid w:val="false"/>
              <w:spacing w:lineRule="auto" w:line="240"/>
              <w:ind w:hanging="0"/>
              <w:jc w:val="start"/>
              <w:rPr>
                <w:rFonts w:eastAsia="Calibri"/>
                <w:szCs w:val="20"/>
              </w:rPr>
            </w:pPr>
            <w:r>
              <w:rPr>
                <w:rFonts w:eastAsia="Calibri"/>
                <w:szCs w:val="20"/>
              </w:rPr>
              <w:t xml:space="preserve">Протокол засідання кафедри </w:t>
            </w:r>
          </w:p>
          <w:p>
            <w:pPr>
              <w:pStyle w:val="Normal"/>
              <w:tabs>
                <w:tab w:val="clear" w:pos="708"/>
                <w:tab w:val="left" w:pos="0" w:leader="none"/>
              </w:tabs>
              <w:snapToGrid w:val="false"/>
              <w:ind w:hanging="0"/>
              <w:jc w:val="start"/>
              <w:rPr>
                <w:rFonts w:eastAsia="Calibri"/>
                <w:szCs w:val="20"/>
              </w:rPr>
            </w:pPr>
            <w:r>
              <w:rPr>
                <w:rFonts w:eastAsia="Calibri"/>
                <w:szCs w:val="20"/>
              </w:rPr>
            </w:r>
          </w:p>
          <w:p>
            <w:pPr>
              <w:pStyle w:val="Normal"/>
              <w:tabs>
                <w:tab w:val="clear" w:pos="708"/>
                <w:tab w:val="left" w:pos="0" w:leader="none"/>
              </w:tabs>
              <w:snapToGrid w:val="false"/>
              <w:ind w:hanging="0"/>
              <w:jc w:val="start"/>
              <w:rPr>
                <w:rFonts w:eastAsia="Calibri"/>
                <w:szCs w:val="20"/>
              </w:rPr>
            </w:pPr>
            <w:r>
              <w:rPr>
                <w:rFonts w:eastAsia="Calibri"/>
                <w:szCs w:val="20"/>
              </w:rPr>
              <w:t xml:space="preserve">№ </w:t>
            </w:r>
            <w:r>
              <w:rPr>
                <w:rFonts w:eastAsia="Calibri"/>
                <w:szCs w:val="20"/>
              </w:rPr>
              <w:t>__ від «___» _______ 202</w:t>
            </w:r>
            <w:r>
              <w:rPr>
                <w:rFonts w:eastAsia="Calibri"/>
                <w:szCs w:val="20"/>
                <w:lang w:val="uk-UA"/>
              </w:rPr>
              <w:t>5</w:t>
            </w:r>
            <w:r>
              <w:rPr>
                <w:rFonts w:eastAsia="Calibri"/>
                <w:szCs w:val="20"/>
              </w:rPr>
              <w:t xml:space="preserve"> р.</w:t>
            </w:r>
          </w:p>
          <w:p>
            <w:pPr>
              <w:pStyle w:val="Normal"/>
              <w:tabs>
                <w:tab w:val="clear" w:pos="708"/>
                <w:tab w:val="left" w:pos="0" w:leader="none"/>
              </w:tabs>
              <w:snapToGrid w:val="false"/>
              <w:ind w:hanging="0"/>
              <w:jc w:val="start"/>
              <w:rPr>
                <w:rFonts w:eastAsia="Calibri"/>
                <w:szCs w:val="20"/>
              </w:rPr>
            </w:pPr>
            <w:r>
              <w:rPr>
                <w:rFonts w:eastAsia="Calibri"/>
                <w:szCs w:val="20"/>
              </w:rPr>
            </w:r>
          </w:p>
          <w:p>
            <w:pPr>
              <w:pStyle w:val="Normal"/>
              <w:snapToGrid w:val="false"/>
              <w:spacing w:lineRule="auto" w:line="240"/>
              <w:ind w:hanging="0"/>
              <w:jc w:val="start"/>
              <w:rPr>
                <w:rFonts w:eastAsia="Calibri"/>
                <w:szCs w:val="20"/>
              </w:rPr>
            </w:pPr>
            <w:r>
              <w:rPr>
                <w:rFonts w:eastAsia="Calibri"/>
                <w:szCs w:val="20"/>
              </w:rPr>
              <w:t xml:space="preserve">Завідувачка кафедри </w:t>
            </w:r>
          </w:p>
          <w:p>
            <w:pPr>
              <w:pStyle w:val="Normal"/>
              <w:snapToGrid w:val="false"/>
              <w:spacing w:lineRule="auto" w:line="240"/>
              <w:ind w:hanging="0"/>
              <w:jc w:val="start"/>
              <w:rPr>
                <w:rFonts w:eastAsia="Calibri"/>
                <w:szCs w:val="20"/>
              </w:rPr>
            </w:pPr>
            <w:r>
              <w:rPr>
                <w:rFonts w:eastAsia="Calibri"/>
                <w:szCs w:val="20"/>
              </w:rPr>
            </w:r>
          </w:p>
          <w:p>
            <w:pPr>
              <w:pStyle w:val="Normal"/>
              <w:snapToGrid w:val="false"/>
              <w:spacing w:lineRule="auto" w:line="240"/>
              <w:ind w:hanging="0"/>
              <w:jc w:val="start"/>
              <w:rPr>
                <w:rFonts w:eastAsia="Calibri"/>
              </w:rPr>
            </w:pPr>
            <w:r>
              <w:rPr>
                <w:rFonts w:eastAsia="TimesNewRomanPSMT"/>
              </w:rPr>
              <w:t xml:space="preserve">______________ </w:t>
            </w:r>
            <w:r>
              <w:rPr>
                <w:rFonts w:eastAsia="Calibri"/>
              </w:rPr>
              <w:t>Олена РУДІНСЬКА</w:t>
            </w:r>
          </w:p>
          <w:p>
            <w:pPr>
              <w:pStyle w:val="Normal"/>
              <w:snapToGrid w:val="false"/>
              <w:spacing w:lineRule="auto" w:line="240"/>
              <w:ind w:hanging="0"/>
              <w:jc w:val="start"/>
              <w:rPr>
                <w:rFonts w:eastAsia="Arial Unicode MS"/>
                <w:szCs w:val="20"/>
              </w:rPr>
            </w:pPr>
            <w:r>
              <w:rPr>
                <w:rFonts w:eastAsia="Arial Unicode MS"/>
                <w:szCs w:val="20"/>
              </w:rPr>
            </w:r>
          </w:p>
        </w:tc>
        <w:tc>
          <w:tcPr>
            <w:tcW w:w="4786" w:type="dxa"/>
            <w:tcBorders/>
          </w:tcPr>
          <w:p>
            <w:pPr>
              <w:pStyle w:val="Normal"/>
              <w:snapToGrid w:val="false"/>
              <w:spacing w:lineRule="auto" w:line="240"/>
              <w:ind w:hanging="0"/>
              <w:jc w:val="start"/>
              <w:rPr>
                <w:rFonts w:eastAsia="Calibri"/>
                <w:szCs w:val="20"/>
              </w:rPr>
            </w:pPr>
            <w:r>
              <w:rPr>
                <w:rFonts w:eastAsia="Calibri"/>
                <w:szCs w:val="20"/>
              </w:rPr>
              <w:t>Захищено на засіданні ЕК № ___</w:t>
            </w:r>
          </w:p>
          <w:p>
            <w:pPr>
              <w:pStyle w:val="Normal"/>
              <w:snapToGrid w:val="false"/>
              <w:spacing w:lineRule="auto" w:line="240"/>
              <w:ind w:hanging="0"/>
              <w:jc w:val="start"/>
              <w:rPr>
                <w:rFonts w:eastAsia="Calibri"/>
                <w:szCs w:val="20"/>
              </w:rPr>
            </w:pPr>
            <w:r>
              <w:rPr>
                <w:rFonts w:eastAsia="Calibri"/>
                <w:szCs w:val="20"/>
              </w:rPr>
            </w:r>
          </w:p>
          <w:p>
            <w:pPr>
              <w:pStyle w:val="Normal"/>
              <w:snapToGrid w:val="false"/>
              <w:spacing w:lineRule="auto" w:line="240"/>
              <w:ind w:hanging="0"/>
              <w:jc w:val="start"/>
              <w:rPr>
                <w:rFonts w:eastAsia="Calibri"/>
                <w:szCs w:val="20"/>
              </w:rPr>
            </w:pPr>
            <w:r>
              <w:rPr>
                <w:rFonts w:eastAsia="Calibri"/>
                <w:szCs w:val="20"/>
              </w:rPr>
              <w:t>Протокол № __ від «__» ___</w:t>
            </w:r>
            <w:r>
              <w:rPr>
                <w:rFonts w:eastAsia="TimesNewRomanPSMT"/>
                <w:szCs w:val="20"/>
              </w:rPr>
              <w:t>_ 202</w:t>
            </w:r>
            <w:r>
              <w:rPr>
                <w:rFonts w:eastAsia="TimesNewRomanPSMT"/>
                <w:szCs w:val="20"/>
                <w:lang w:val="uk-UA"/>
              </w:rPr>
              <w:t>5</w:t>
            </w:r>
            <w:r>
              <w:rPr>
                <w:rFonts w:eastAsia="TimesNewRomanPSMT"/>
                <w:szCs w:val="20"/>
              </w:rPr>
              <w:t xml:space="preserve"> </w:t>
            </w:r>
            <w:r>
              <w:rPr>
                <w:rFonts w:eastAsia="Calibri"/>
                <w:szCs w:val="20"/>
              </w:rPr>
              <w:t>р.</w:t>
            </w:r>
          </w:p>
          <w:p>
            <w:pPr>
              <w:pStyle w:val="Normal"/>
              <w:tabs>
                <w:tab w:val="clear" w:pos="708"/>
                <w:tab w:val="left" w:pos="0" w:leader="none"/>
              </w:tabs>
              <w:snapToGrid w:val="false"/>
              <w:ind w:hanging="0"/>
              <w:jc w:val="start"/>
              <w:rPr>
                <w:rFonts w:eastAsia="Arial Unicode MS"/>
                <w:szCs w:val="20"/>
              </w:rPr>
            </w:pPr>
            <w:r>
              <w:rPr>
                <w:rFonts w:eastAsia="Arial Unicode MS"/>
                <w:szCs w:val="20"/>
              </w:rPr>
            </w:r>
          </w:p>
          <w:p>
            <w:pPr>
              <w:pStyle w:val="Normal"/>
              <w:tabs>
                <w:tab w:val="clear" w:pos="708"/>
                <w:tab w:val="left" w:pos="0" w:leader="none"/>
              </w:tabs>
              <w:snapToGrid w:val="false"/>
              <w:ind w:hanging="0"/>
              <w:jc w:val="start"/>
              <w:rPr>
                <w:rFonts w:eastAsia="Arial Unicode MS"/>
                <w:szCs w:val="20"/>
              </w:rPr>
            </w:pPr>
            <w:r>
              <w:rPr>
                <w:rFonts w:eastAsia="Arial Unicode MS"/>
                <w:szCs w:val="20"/>
              </w:rPr>
              <w:t xml:space="preserve">Оцінка </w:t>
            </w:r>
          </w:p>
          <w:p>
            <w:pPr>
              <w:pStyle w:val="Normal"/>
              <w:tabs>
                <w:tab w:val="clear" w:pos="708"/>
                <w:tab w:val="left" w:pos="0" w:leader="none"/>
              </w:tabs>
              <w:snapToGrid w:val="false"/>
              <w:ind w:hanging="0"/>
              <w:jc w:val="start"/>
              <w:rPr>
                <w:rFonts w:eastAsia="Arial Unicode MS"/>
                <w:szCs w:val="20"/>
              </w:rPr>
            </w:pPr>
            <w:r>
              <w:rPr>
                <w:rFonts w:eastAsia="Arial Unicode MS"/>
                <w:szCs w:val="20"/>
              </w:rPr>
              <w:t>_________ / __________ / _________</w:t>
            </w:r>
          </w:p>
          <w:p>
            <w:pPr>
              <w:pStyle w:val="Normal"/>
              <w:snapToGrid w:val="false"/>
              <w:spacing w:lineRule="auto" w:line="240"/>
              <w:ind w:hanging="0"/>
              <w:jc w:val="start"/>
              <w:rPr>
                <w:rFonts w:eastAsia="Calibri"/>
                <w:szCs w:val="20"/>
              </w:rPr>
            </w:pPr>
            <w:r>
              <w:rPr>
                <w:rFonts w:eastAsia="Calibri"/>
                <w:szCs w:val="20"/>
              </w:rPr>
              <w:t>Голова ЕК</w:t>
            </w:r>
          </w:p>
          <w:p>
            <w:pPr>
              <w:pStyle w:val="Normal"/>
              <w:snapToGrid w:val="false"/>
              <w:spacing w:lineRule="auto" w:line="240"/>
              <w:ind w:hanging="0"/>
              <w:jc w:val="start"/>
              <w:rPr>
                <w:rFonts w:eastAsia="Calibri"/>
                <w:szCs w:val="20"/>
              </w:rPr>
            </w:pPr>
            <w:r>
              <w:rPr>
                <w:rFonts w:eastAsia="Calibri"/>
                <w:szCs w:val="20"/>
              </w:rPr>
            </w:r>
          </w:p>
          <w:p>
            <w:pPr>
              <w:pStyle w:val="Normal"/>
              <w:tabs>
                <w:tab w:val="clear" w:pos="708"/>
                <w:tab w:val="left" w:pos="0" w:leader="none"/>
              </w:tabs>
              <w:snapToGrid w:val="false"/>
              <w:ind w:hanging="0"/>
              <w:jc w:val="start"/>
              <w:rPr>
                <w:rFonts w:eastAsia="Arial Unicode MS"/>
                <w:szCs w:val="20"/>
              </w:rPr>
            </w:pPr>
            <w:r>
              <w:rPr>
                <w:rFonts w:eastAsia="TimesNewRomanPSMT"/>
                <w:szCs w:val="20"/>
              </w:rPr>
              <w:t>_______________ Олена САДЧЕНКО</w:t>
            </w:r>
          </w:p>
        </w:tc>
      </w:tr>
    </w:tbl>
    <w:p>
      <w:pPr>
        <w:pStyle w:val="Normal"/>
        <w:tabs>
          <w:tab w:val="clear" w:pos="708"/>
          <w:tab w:val="left" w:pos="0" w:leader="none"/>
        </w:tabs>
        <w:snapToGrid w:val="false"/>
        <w:ind w:hanging="0"/>
        <w:jc w:val="start"/>
        <w:rPr>
          <w:rFonts w:eastAsia="Arial Unicode MS"/>
          <w:szCs w:val="20"/>
        </w:rPr>
      </w:pPr>
      <w:r>
        <w:rPr>
          <w:rFonts w:eastAsia="Arial Unicode MS"/>
          <w:szCs w:val="20"/>
        </w:rPr>
      </w:r>
    </w:p>
    <w:p>
      <w:pPr>
        <w:sectPr>
          <w:headerReference w:type="default" r:id="rId2"/>
          <w:headerReference w:type="first" r:id="rId3"/>
          <w:type w:val="nextPage"/>
          <w:pgSz w:w="11906" w:h="16838"/>
          <w:pgMar w:left="1701" w:right="850" w:gutter="0" w:header="708" w:top="1134" w:footer="0" w:bottom="1134"/>
          <w:pgNumType w:start="2" w:fmt="decimal"/>
          <w:formProt w:val="false"/>
          <w:titlePg/>
          <w:textDirection w:val="lrTb"/>
          <w:docGrid w:type="default" w:linePitch="381" w:charSpace="0"/>
        </w:sectPr>
        <w:pStyle w:val="Normal"/>
        <w:tabs>
          <w:tab w:val="clear" w:pos="708"/>
          <w:tab w:val="left" w:pos="0" w:leader="none"/>
        </w:tabs>
        <w:snapToGrid w:val="false"/>
        <w:ind w:hanging="0"/>
        <w:jc w:val="center"/>
        <w:rPr>
          <w:rFonts w:eastAsia="Arial Unicode MS"/>
          <w:b/>
          <w:szCs w:val="20"/>
          <w:lang w:val="uk-UA"/>
        </w:rPr>
      </w:pPr>
      <w:r>
        <w:rPr>
          <w:rFonts w:eastAsia="Arial Unicode MS"/>
          <w:b/>
          <w:szCs w:val="20"/>
        </w:rPr>
        <w:t>Одеса 202</w:t>
      </w:r>
      <w:r>
        <w:rPr>
          <w:rFonts w:eastAsia="Arial Unicode MS"/>
          <w:b/>
          <w:szCs w:val="20"/>
          <w:lang w:val="uk-UA"/>
        </w:rPr>
        <w:t>5</w:t>
      </w:r>
    </w:p>
    <w:p>
      <w:pPr>
        <w:pStyle w:val="Normal"/>
        <w:tabs>
          <w:tab w:val="clear" w:pos="708"/>
          <w:tab w:val="left" w:pos="0" w:leader="none"/>
        </w:tabs>
        <w:snapToGrid w:val="false"/>
        <w:ind w:hanging="0"/>
        <w:jc w:val="center"/>
        <w:rPr>
          <w:rFonts w:ascii="Calibri" w:hAnsi="Calibri" w:eastAsia="Calibri"/>
          <w:b/>
          <w:caps/>
          <w:szCs w:val="20"/>
        </w:rPr>
      </w:pPr>
      <w:r>
        <w:rPr>
          <w:rFonts w:eastAsia="Calibri" w:ascii="Times New Roman Полужирный" w:hAnsi="Times New Roman Полужирный"/>
          <w:b/>
          <w:caps/>
          <w:szCs w:val="20"/>
        </w:rPr>
        <w:t>Анотація кваліфікаційної роботи</w:t>
      </w:r>
    </w:p>
    <w:p>
      <w:pPr>
        <w:pStyle w:val="Normal"/>
        <w:snapToGrid w:val="false"/>
        <w:spacing w:lineRule="auto" w:line="276"/>
        <w:rPr>
          <w:rFonts w:eastAsia="Calibri"/>
          <w:szCs w:val="20"/>
          <w:lang w:val="uk-UA"/>
        </w:rPr>
      </w:pPr>
      <w:r>
        <w:rPr>
          <w:rFonts w:eastAsia="Calibri"/>
          <w:szCs w:val="20"/>
        </w:rPr>
        <w:t xml:space="preserve">Синьов Д. С. </w:t>
      </w:r>
      <w:r>
        <w:rPr>
          <w:rFonts w:eastAsia="Calibri"/>
          <w:szCs w:val="20"/>
          <w:lang w:val="uk-UA"/>
        </w:rPr>
        <w:t>«</w:t>
      </w:r>
      <w:r>
        <w:rPr>
          <w:rFonts w:eastAsia="Calibri"/>
          <w:szCs w:val="20"/>
        </w:rPr>
        <w:t>У</w:t>
      </w:r>
      <w:r>
        <w:rPr>
          <w:rFonts w:eastAsia="Calibri"/>
          <w:szCs w:val="20"/>
          <w:lang w:val="uk-UA"/>
        </w:rPr>
        <w:t>правління персоналом у закладах охорони здоров’я України»</w:t>
      </w:r>
      <w:r>
        <w:rPr>
          <w:rFonts w:eastAsia="Calibri"/>
          <w:szCs w:val="20"/>
        </w:rPr>
        <w:t xml:space="preserve"> : кваліфікаційна робота на здобуття освітнього ступеня «магістр» : спец. 073 «Менеджмент» / Одеський національний медичний університет. Кафедра менеджменту охорони здоров’я. Науковий керівник: к.е.н., доцент </w:t>
      </w:r>
      <w:r>
        <w:rPr>
          <w:rFonts w:eastAsia="Calibri"/>
          <w:szCs w:val="20"/>
          <w:lang w:val="uk-UA"/>
        </w:rPr>
        <w:t>Рудінська</w:t>
      </w:r>
      <w:r>
        <w:rPr>
          <w:rFonts w:eastAsia="Calibri"/>
          <w:szCs w:val="20"/>
        </w:rPr>
        <w:t xml:space="preserve"> </w:t>
      </w:r>
      <w:r>
        <w:rPr>
          <w:rFonts w:eastAsia="Calibri"/>
          <w:szCs w:val="20"/>
          <w:lang w:val="uk-UA"/>
        </w:rPr>
        <w:t>О</w:t>
      </w:r>
      <w:r>
        <w:rPr>
          <w:rFonts w:eastAsia="Calibri"/>
          <w:szCs w:val="20"/>
        </w:rPr>
        <w:t xml:space="preserve">. </w:t>
      </w:r>
      <w:r>
        <w:rPr>
          <w:rFonts w:eastAsia="Calibri"/>
          <w:szCs w:val="20"/>
          <w:lang w:val="uk-UA"/>
        </w:rPr>
        <w:t>В</w:t>
      </w:r>
      <w:r>
        <w:rPr>
          <w:rFonts w:eastAsia="Calibri"/>
          <w:szCs w:val="20"/>
        </w:rPr>
        <w:t xml:space="preserve">. </w:t>
      </w:r>
      <w:r>
        <w:rPr>
          <w:rFonts w:eastAsia="Calibri"/>
          <w:szCs w:val="20"/>
          <w:lang w:val="uk-UA"/>
        </w:rPr>
        <w:t>–</w:t>
      </w:r>
      <w:r>
        <w:rPr>
          <w:rFonts w:eastAsia="Calibri"/>
          <w:szCs w:val="20"/>
        </w:rPr>
        <w:t xml:space="preserve"> Одеса, 202</w:t>
      </w:r>
      <w:r>
        <w:rPr>
          <w:rFonts w:eastAsia="Calibri"/>
          <w:szCs w:val="20"/>
          <w:lang w:val="uk-UA"/>
        </w:rPr>
        <w:t>5</w:t>
      </w:r>
      <w:r>
        <w:rPr>
          <w:rFonts w:eastAsia="Calibri"/>
          <w:szCs w:val="20"/>
        </w:rPr>
        <w:t xml:space="preserve">. </w:t>
      </w:r>
      <w:r>
        <w:rPr>
          <w:rFonts w:eastAsia="Calibri"/>
          <w:color w:val="EE0000"/>
          <w:szCs w:val="20"/>
          <w:lang w:val="uk-UA"/>
        </w:rPr>
        <w:t>–</w:t>
      </w:r>
      <w:r>
        <w:rPr>
          <w:rFonts w:eastAsia="Calibri"/>
          <w:color w:val="EE0000"/>
          <w:szCs w:val="20"/>
        </w:rPr>
        <w:t xml:space="preserve"> </w:t>
      </w:r>
      <w:r>
        <w:rPr>
          <w:rFonts w:eastAsia="Calibri"/>
          <w:color w:themeColor="dark1" w:val="000000"/>
          <w:szCs w:val="20"/>
          <w:lang w:val="uk-UA"/>
        </w:rPr>
        <w:t>9</w:t>
      </w:r>
      <w:r>
        <w:rPr>
          <w:rFonts w:eastAsia="Calibri"/>
          <w:color w:themeColor="dark1" w:val="000000"/>
          <w:szCs w:val="20"/>
          <w:lang w:val="en-GB"/>
        </w:rPr>
        <w:t>1</w:t>
      </w:r>
      <w:r>
        <w:rPr>
          <w:rFonts w:eastAsia="Calibri"/>
          <w:color w:themeColor="dark1" w:val="000000"/>
          <w:szCs w:val="20"/>
        </w:rPr>
        <w:t xml:space="preserve"> с.</w:t>
      </w:r>
    </w:p>
    <w:p>
      <w:pPr>
        <w:pStyle w:val="Normal"/>
        <w:snapToGrid w:val="false"/>
        <w:spacing w:lineRule="auto" w:line="276"/>
        <w:rPr>
          <w:rFonts w:eastAsia="Calibri"/>
          <w:szCs w:val="20"/>
        </w:rPr>
      </w:pPr>
      <w:r>
        <w:rPr>
          <w:rFonts w:eastAsia="Calibri"/>
          <w:szCs w:val="20"/>
          <w:lang w:val="uk-UA"/>
        </w:rPr>
        <w:t xml:space="preserve">Анотація. У кваліфікаційній роботі досліджено сучасні підходи до вдосконалення системи управління персоналом у закладі охорони здоров’я на прикладі КНП «Південнівська міська лікарня» в умовах реформування фінансування за принципом «гроші йдуть за пацієнтом». </w:t>
      </w:r>
      <w:r>
        <w:rPr>
          <w:rFonts w:eastAsia="Calibri"/>
          <w:szCs w:val="20"/>
        </w:rPr>
        <w:t>Досліджено стан кадрового потенціалу, умови праці медичного персоналу, рівень психоемоційного навантаження та потребу працівників у ментальній підтримці. Проаналізовано результати АБВ-аналізу завдань розвитку закладу, наявну кадрову політику, роль HR-служби, динаміку ключових показників (плинність кадрів, задоволеність персоналу, якість послуг, продуктивність праці) до і після трансформації HR-моделі.</w:t>
      </w:r>
      <w:r>
        <w:rPr>
          <w:rFonts w:eastAsia="Calibri"/>
          <w:szCs w:val="20"/>
          <w:lang w:val="uk-UA"/>
        </w:rPr>
        <w:t xml:space="preserve"> Запропоновано комплекс практичних напрямів оптимізації управління персоналом: формування внутрішнього кадрового резерву, розвиток системи наставництва, співпрацю з освітніми закладами, удосконалення умов праці, гнучку організацію робочого часу, впровадження психоемоційної підтримки та системи </w:t>
      </w:r>
      <w:r>
        <w:rPr>
          <w:rFonts w:eastAsia="Calibri"/>
          <w:szCs w:val="20"/>
        </w:rPr>
        <w:t>KPI</w:t>
      </w:r>
      <w:r>
        <w:rPr>
          <w:rFonts w:eastAsia="Calibri"/>
          <w:szCs w:val="20"/>
          <w:lang w:val="uk-UA"/>
        </w:rPr>
        <w:t xml:space="preserve"> для різних категорій працівників. Розроблено нову модель </w:t>
      </w:r>
      <w:r>
        <w:rPr>
          <w:rFonts w:eastAsia="Calibri"/>
          <w:szCs w:val="20"/>
        </w:rPr>
        <w:t>HR</w:t>
      </w:r>
      <w:r>
        <w:rPr>
          <w:rFonts w:eastAsia="Calibri"/>
          <w:szCs w:val="20"/>
          <w:lang w:val="uk-UA"/>
        </w:rPr>
        <w:t xml:space="preserve">-менеджменту, інтегровану у фінансово-економічний та операційний контур медичного закладу, яка включає блоки </w:t>
      </w:r>
      <w:r>
        <w:rPr>
          <w:rFonts w:eastAsia="Calibri"/>
          <w:szCs w:val="20"/>
        </w:rPr>
        <w:t>HR</w:t>
      </w:r>
      <w:r>
        <w:rPr>
          <w:rFonts w:eastAsia="Calibri"/>
          <w:szCs w:val="20"/>
          <w:lang w:val="uk-UA"/>
        </w:rPr>
        <w:t xml:space="preserve">-планування, розвитку компетенцій, матеріального й нематеріального стимулювання та </w:t>
      </w:r>
      <w:r>
        <w:rPr>
          <w:rFonts w:eastAsia="Calibri"/>
          <w:szCs w:val="20"/>
        </w:rPr>
        <w:t>HR</w:t>
      </w:r>
      <w:r>
        <w:rPr>
          <w:rFonts w:eastAsia="Calibri"/>
          <w:szCs w:val="20"/>
          <w:lang w:val="uk-UA"/>
        </w:rPr>
        <w:t xml:space="preserve">-аналітики. </w:t>
      </w:r>
      <w:r>
        <w:rPr>
          <w:rFonts w:eastAsia="Calibri"/>
          <w:szCs w:val="20"/>
        </w:rPr>
        <w:t>Розроблено функціональний контур Центру ментального здоров’я (кабінету психолога), систему його показників ефективності та типову організацію роботи клінічного психолога</w:t>
      </w:r>
    </w:p>
    <w:p>
      <w:pPr>
        <w:pStyle w:val="Normal"/>
        <w:snapToGrid w:val="false"/>
        <w:spacing w:lineRule="auto" w:line="276"/>
        <w:rPr>
          <w:rFonts w:eastAsia="Calibri"/>
          <w:szCs w:val="20"/>
          <w:lang w:val="uk-UA"/>
        </w:rPr>
      </w:pPr>
      <w:r>
        <w:rPr>
          <w:rFonts w:eastAsia="Calibri"/>
          <w:lang w:val="uk-UA"/>
        </w:rPr>
        <w:t>Впроваджено оновлену модель HR-менеджменту та програму ментальної підтримки персоналу, що забезпечило зниження плинності кадрів, зростання рівня задоволеності працівників, підвищення продуктивності праці та якості медичних послуг. Обґрунтовано, що інтеграція HR-аналітики, цифрових інструментів управління кадрами та центру ментального здоров’я у структуру КНП «Південнівська міська лікарня» підвищує ефективність управлінських рішень, зміцнює кадровий потенціал і сприяє довгостроковій фінансовій стійкості закладу.</w:t>
      </w:r>
    </w:p>
    <w:p>
      <w:pPr>
        <w:pStyle w:val="Normal"/>
        <w:snapToGrid w:val="false"/>
        <w:spacing w:lineRule="auto" w:line="276"/>
        <w:rPr>
          <w:rFonts w:eastAsia="Calibri"/>
          <w:lang w:val="uk-UA"/>
        </w:rPr>
      </w:pPr>
      <w:r>
        <w:rPr>
          <w:rFonts w:eastAsia="Calibri"/>
          <w:lang w:val="uk-UA"/>
        </w:rPr>
        <w:t xml:space="preserve">Ключові слова: управління персоналом, кадрова політика, мотивація медичних працівників, КНП «Південнівська міська лікарня», </w:t>
      </w:r>
      <w:r>
        <w:rPr>
          <w:rFonts w:eastAsia="Calibri"/>
        </w:rPr>
        <w:t>HR</w:t>
      </w:r>
      <w:r>
        <w:rPr>
          <w:rFonts w:eastAsia="Calibri"/>
          <w:lang w:val="uk-UA"/>
        </w:rPr>
        <w:t>-менеджмент, центр ментального здоров’я, професійне вигорання, цифровізація, ефективність управління, плинність кадрів.</w:t>
      </w:r>
    </w:p>
    <w:p>
      <w:pPr>
        <w:pStyle w:val="Normal"/>
        <w:snapToGrid w:val="false"/>
        <w:spacing w:lineRule="auto" w:line="276"/>
        <w:jc w:val="center"/>
        <w:rPr>
          <w:rFonts w:eastAsia="Calibri"/>
          <w:lang w:val="uk-UA"/>
        </w:rPr>
      </w:pPr>
      <w:r>
        <w:rPr>
          <w:rFonts w:eastAsia="Calibri"/>
          <w:lang w:val="uk-UA"/>
        </w:rPr>
      </w:r>
    </w:p>
    <w:p>
      <w:pPr>
        <w:pStyle w:val="Normal"/>
        <w:snapToGrid w:val="false"/>
        <w:spacing w:lineRule="auto" w:line="276"/>
        <w:rPr>
          <w:rFonts w:eastAsia="Calibri"/>
          <w:lang w:val="en-US"/>
        </w:rPr>
      </w:pPr>
      <w:r>
        <w:rPr>
          <w:rFonts w:eastAsia="Calibri"/>
          <w:lang w:val="uk-UA"/>
        </w:rPr>
        <w:t xml:space="preserve">                                             </w:t>
      </w:r>
      <w:r>
        <w:rPr>
          <w:rFonts w:eastAsia="Calibri"/>
          <w:lang w:val="en-US"/>
        </w:rPr>
        <w:t>ANNOTATION</w:t>
      </w:r>
    </w:p>
    <w:p>
      <w:pPr>
        <w:pStyle w:val="Normal"/>
        <w:snapToGrid w:val="false"/>
        <w:spacing w:lineRule="auto" w:line="240"/>
        <w:ind w:hanging="0"/>
        <w:rPr>
          <w:rFonts w:eastAsia="Arial Unicode MS"/>
          <w:b/>
          <w:bCs/>
          <w:lang w:val="en-US"/>
        </w:rPr>
      </w:pPr>
      <w:r>
        <w:rPr>
          <w:rFonts w:eastAsia="Calibri"/>
          <w:lang w:val="en-US"/>
        </w:rPr>
        <w:t xml:space="preserve">Synov D.S. </w:t>
      </w:r>
      <w:r>
        <w:rPr>
          <w:rFonts w:eastAsia="Arial Unicode MS"/>
          <w:lang w:val="en-US"/>
        </w:rPr>
        <w:t>Personnel management in healthcare institutions of Ukraine</w:t>
      </w:r>
      <w:r>
        <w:rPr>
          <w:rFonts w:eastAsia="Calibri"/>
          <w:lang w:val="en-US"/>
        </w:rPr>
        <w:t>: qualification work for obtaining the educational degree of “Master” in speciality 073 “Management” / Odesa National Medical University. Department of Healthcare Management. Scientific supervisor: Rudinska O. V.</w:t>
      </w:r>
      <w:r>
        <w:rPr>
          <w:rFonts w:eastAsia="Calibri"/>
          <w:lang w:val="uk-UA"/>
        </w:rPr>
        <w:t>,</w:t>
      </w:r>
      <w:r>
        <w:rPr>
          <w:rFonts w:eastAsia="Calibri"/>
          <w:lang w:val="en-US"/>
        </w:rPr>
        <w:t xml:space="preserve"> Ph.D. – Odesa, 2025. </w:t>
      </w:r>
      <w:r>
        <w:rPr>
          <w:rFonts w:eastAsia="Calibri"/>
          <w:color w:themeColor="dark1" w:val="000000"/>
          <w:lang w:val="en-US"/>
        </w:rPr>
        <w:t xml:space="preserve">– </w:t>
      </w:r>
      <w:r>
        <w:rPr>
          <w:rFonts w:eastAsia="Calibri"/>
          <w:color w:themeColor="dark1" w:val="000000"/>
          <w:lang w:val="uk-UA"/>
        </w:rPr>
        <w:t>9</w:t>
      </w:r>
      <w:r>
        <w:rPr>
          <w:rFonts w:eastAsia="Calibri"/>
          <w:color w:themeColor="dark1" w:val="000000"/>
          <w:lang w:val="en-GB"/>
        </w:rPr>
        <w:t>1</w:t>
      </w:r>
      <w:r>
        <w:rPr>
          <w:rFonts w:eastAsia="Calibri"/>
          <w:color w:themeColor="dark1" w:val="000000"/>
          <w:lang w:val="en-US"/>
        </w:rPr>
        <w:t xml:space="preserve"> p.</w:t>
      </w:r>
    </w:p>
    <w:p>
      <w:pPr>
        <w:pStyle w:val="Normal"/>
        <w:snapToGrid w:val="false"/>
        <w:spacing w:lineRule="auto" w:line="276"/>
        <w:ind w:hanging="0"/>
        <w:rPr>
          <w:rFonts w:eastAsia="Calibri"/>
          <w:lang w:val="en-US"/>
        </w:rPr>
      </w:pPr>
      <w:r>
        <w:rPr>
          <w:rFonts w:eastAsia="Calibri"/>
          <w:lang w:val="en-US"/>
        </w:rPr>
        <w:t xml:space="preserve">            </w:t>
      </w:r>
      <w:r>
        <w:rPr>
          <w:rFonts w:eastAsia="Calibri"/>
          <w:lang w:val="en-US"/>
        </w:rPr>
        <w:t>Abstract. The qualification thesis examines modern approaches to improving the human resource management system in a healthcare institution on the example of the Municipal Non-Commercial Enterprise “Pivdennivska City Hospital” under the conditions of healthcare financing reform based on the principle “money follows the patient.” The study analyzes the state of human resources, working conditions of medical personnel, levels of psycho-emotional workload, and the need for mental health support among employees. An ABC-analysis of the institution’s development tasks, the existing personnel policy, the role of the HR department, and the dynamics of key indicators (staff turnover, employee satisfaction, quality of services, labour productivity) before and after the transformation of the HR model were conducted.</w:t>
      </w:r>
    </w:p>
    <w:p>
      <w:pPr>
        <w:pStyle w:val="Normal"/>
        <w:snapToGrid w:val="false"/>
        <w:spacing w:lineRule="auto" w:line="276"/>
        <w:ind w:hanging="0"/>
        <w:rPr>
          <w:rFonts w:eastAsia="Calibri"/>
          <w:lang w:val="en-US"/>
        </w:rPr>
      </w:pPr>
      <w:r>
        <w:rPr>
          <w:rFonts w:eastAsia="Calibri"/>
          <w:lang w:val="en-US"/>
        </w:rPr>
        <w:t>A set of practical measures for optimizing human resource management is proposed, including the formation of an internal talent pool, development of a mentorship system, cooperation with educational institutions, improvement of working conditions, flexible work scheduling, implementation of psycho-emotional support, and KPI systems for various categories of staff. A new HR management model integrated into the financial, economic, and operational structure of the medical institution has been developed, encompassing HR planning, competency development, material and non-material incentives, and HR analytics. A functional model of the Mental Health Centre (Psychologist’s Office), its effectiveness indicators, and a typical work schedule of a clinical psychologist have also been designed. A modern HR management model and a comprehensive mental health support program for staff have been implemented, resulting in reduced staff turnover, increased employee satisfaction, and improved labour productivity and service quality. It is substantiated that integrating HR analytics, digital personnel management tools, and the Mental Health Centre into the structure of “Pivdennivska City Hospital” enhances managerial decision-making, strengthens human resource capacity, and contributes to the long-term financial sustainability of the institution.</w:t>
      </w:r>
    </w:p>
    <w:p>
      <w:pPr>
        <w:pStyle w:val="Normal"/>
        <w:snapToGrid w:val="false"/>
        <w:spacing w:lineRule="auto" w:line="276"/>
        <w:ind w:hanging="0"/>
        <w:rPr>
          <w:rFonts w:eastAsia="Calibri"/>
          <w:lang w:val="en-US"/>
        </w:rPr>
      </w:pPr>
      <w:r>
        <w:rPr>
          <w:rFonts w:eastAsia="Calibri"/>
          <w:lang w:val="en-US"/>
        </w:rPr>
      </w:r>
    </w:p>
    <w:p>
      <w:pPr>
        <w:pStyle w:val="Normal"/>
        <w:snapToGrid w:val="false"/>
        <w:spacing w:lineRule="auto" w:line="276"/>
        <w:ind w:hanging="0"/>
        <w:rPr>
          <w:rFonts w:eastAsia="Calibri"/>
          <w:lang w:val="en-US"/>
        </w:rPr>
      </w:pPr>
      <w:r>
        <w:rPr>
          <w:rFonts w:eastAsia="Calibri"/>
          <w:lang w:val="en-US"/>
        </w:rPr>
        <w:t>Keywords: human resource management, personnel policy, motivation of medical workers, Municipal Non-Commercial Enterprise “Pivdennivska City Hospital”, HR management, mental health centre, professional burnout, digitalization, management efficiency, staff turnover.</w:t>
      </w:r>
    </w:p>
    <w:p>
      <w:pPr>
        <w:pStyle w:val="Normal"/>
        <w:snapToGrid w:val="false"/>
        <w:spacing w:lineRule="auto" w:line="276"/>
        <w:ind w:hanging="0"/>
        <w:rPr>
          <w:rFonts w:eastAsia="Calibri"/>
          <w:lang w:val="en-US"/>
        </w:rPr>
      </w:pPr>
      <w:r>
        <w:rPr>
          <w:rFonts w:eastAsia="Calibri"/>
          <w:lang w:val="en-US"/>
        </w:rPr>
      </w:r>
    </w:p>
    <w:p>
      <w:pPr>
        <w:pStyle w:val="TOC1"/>
        <w:tabs>
          <w:tab w:val="clear" w:pos="708"/>
          <w:tab w:val="right" w:pos="9345" w:leader="dot"/>
        </w:tabs>
        <w:spacing w:lineRule="auto" w:line="240"/>
        <w:ind w:hanging="0"/>
        <w:rPr>
          <w:lang w:val="uk-UA"/>
        </w:rPr>
      </w:pPr>
      <w:r>
        <w:rPr>
          <w:lang w:val="uk-UA"/>
        </w:rPr>
      </w:r>
    </w:p>
    <w:p>
      <w:pPr>
        <w:pStyle w:val="Normal"/>
        <w:ind w:hanging="0"/>
        <w:jc w:val="center"/>
        <w:rPr/>
      </w:pPr>
      <w:r>
        <w:rPr/>
        <w:t>ЗМІСТ</w:t>
      </w:r>
    </w:p>
    <w:p>
      <w:pPr>
        <w:pStyle w:val="Normal"/>
        <w:ind w:hanging="0"/>
        <w:jc w:val="start"/>
        <w:rPr>
          <w:lang w:val="uk-UA"/>
        </w:rPr>
      </w:pPr>
      <w:r>
        <w:rPr>
          <w:lang w:val="uk-UA"/>
        </w:rPr>
        <w:t xml:space="preserve">ВСТУП </w:t>
      </w:r>
      <w:r>
        <w:rPr/>
        <w:t>....................................................................................................</w:t>
      </w:r>
      <w:r>
        <w:rPr>
          <w:lang w:val="uk-UA"/>
        </w:rPr>
        <w:t xml:space="preserve">............... </w:t>
      </w:r>
      <w:r>
        <w:rPr>
          <w:lang w:val="en-GB"/>
        </w:rPr>
        <w:t>7</w:t>
      </w:r>
    </w:p>
    <w:p>
      <w:pPr>
        <w:pStyle w:val="Normal"/>
        <w:ind w:hanging="0"/>
        <w:rPr>
          <w:lang w:val="uk-UA"/>
        </w:rPr>
      </w:pPr>
      <w:r>
        <w:rPr/>
        <w:t xml:space="preserve">РОЗДІЛ 1. ТЕОРЕТИЧНІ ЗАСАДИ УПРАВЛІННЯ ПЕРСОНАЛОМ У СФЕРІ ОХОРОНИ ЗДОРОВ’Я ....................................................................................... </w:t>
      </w:r>
      <w:r>
        <w:rPr>
          <w:lang w:val="en-GB"/>
        </w:rPr>
        <w:t>11</w:t>
      </w:r>
    </w:p>
    <w:p>
      <w:pPr>
        <w:pStyle w:val="Normal"/>
        <w:ind w:hanging="0"/>
        <w:rPr>
          <w:lang w:val="uk-UA"/>
        </w:rPr>
      </w:pPr>
      <w:r>
        <w:rPr/>
        <w:t xml:space="preserve">1.1 Сутність і значення управління персоналом у закладах охорони </w:t>
      </w:r>
    </w:p>
    <w:p>
      <w:pPr>
        <w:pStyle w:val="Normal"/>
        <w:ind w:hanging="0"/>
        <w:rPr>
          <w:lang w:val="uk-UA"/>
        </w:rPr>
      </w:pPr>
      <w:r>
        <w:rPr/>
        <w:t xml:space="preserve">здоров’я ....................................................................................................……… </w:t>
      </w:r>
      <w:r>
        <w:rPr>
          <w:lang w:val="en-GB"/>
        </w:rPr>
        <w:t>11</w:t>
      </w:r>
    </w:p>
    <w:p>
      <w:pPr>
        <w:pStyle w:val="Normal"/>
        <w:ind w:hanging="0"/>
        <w:rPr>
          <w:lang w:val="uk-UA"/>
        </w:rPr>
      </w:pPr>
      <w:r>
        <w:rPr/>
        <w:t>1.2 Особливості кадрової політики у сфері охорони здоров’я .......</w:t>
      </w:r>
      <w:r>
        <w:rPr>
          <w:lang w:val="uk-UA"/>
        </w:rPr>
        <w:t>...........</w:t>
      </w:r>
      <w:r>
        <w:rPr/>
        <w:t xml:space="preserve">..... </w:t>
      </w:r>
      <w:r>
        <w:rPr>
          <w:lang w:val="en-GB"/>
        </w:rPr>
        <w:t>20</w:t>
      </w:r>
    </w:p>
    <w:p>
      <w:pPr>
        <w:pStyle w:val="Normal"/>
        <w:ind w:hanging="0"/>
        <w:rPr>
          <w:lang w:val="uk-UA"/>
        </w:rPr>
      </w:pPr>
      <w:r>
        <w:rPr/>
        <w:t xml:space="preserve">1.3 Сучасні виклики та проблеми управління персоналом медичних </w:t>
      </w:r>
    </w:p>
    <w:p>
      <w:pPr>
        <w:pStyle w:val="Normal"/>
        <w:ind w:hanging="0"/>
        <w:rPr>
          <w:lang w:val="uk-UA"/>
        </w:rPr>
      </w:pPr>
      <w:r>
        <w:rPr/>
        <w:t>установ .......................................................................................</w:t>
      </w:r>
      <w:r>
        <w:rPr>
          <w:lang w:val="uk-UA"/>
        </w:rPr>
        <w:t>.</w:t>
      </w:r>
      <w:r>
        <w:rPr/>
        <w:t xml:space="preserve">.......................... </w:t>
      </w:r>
      <w:r>
        <w:rPr>
          <w:lang w:val="en-GB"/>
        </w:rPr>
        <w:t>30</w:t>
      </w:r>
    </w:p>
    <w:p>
      <w:pPr>
        <w:pStyle w:val="Normal"/>
        <w:ind w:hanging="0"/>
        <w:rPr>
          <w:lang w:val="uk-UA"/>
        </w:rPr>
      </w:pPr>
      <w:r>
        <w:rPr/>
        <w:t>Висновок до розділу 1. ...................................</w:t>
      </w:r>
      <w:r>
        <w:rPr>
          <w:lang w:val="uk-UA"/>
        </w:rPr>
        <w:t>............</w:t>
      </w:r>
      <w:r>
        <w:rPr/>
        <w:t xml:space="preserve">......................................... </w:t>
      </w:r>
      <w:r>
        <w:rPr>
          <w:lang w:val="en-GB"/>
        </w:rPr>
        <w:t>36</w:t>
      </w:r>
    </w:p>
    <w:p>
      <w:pPr>
        <w:pStyle w:val="Normal"/>
        <w:ind w:hanging="0"/>
        <w:rPr>
          <w:lang w:val="uk-UA"/>
        </w:rPr>
      </w:pPr>
      <w:r>
        <w:rPr/>
        <w:t>РОЗДІЛ 2. АНАЛІЗ СИСТЕМИ УПРАВЛІННЯ ПЕРСОНАЛОМ У КНП “ПІВДЕННІВСЬКА МІСКА ЛІКАРНЯ” ПМР ............</w:t>
      </w:r>
      <w:r>
        <w:rPr>
          <w:lang w:val="uk-UA"/>
        </w:rPr>
        <w:t>..</w:t>
      </w:r>
      <w:r>
        <w:rPr/>
        <w:t xml:space="preserve">................................... </w:t>
      </w:r>
      <w:r>
        <w:rPr>
          <w:lang w:val="en-GB"/>
        </w:rPr>
        <w:t>38</w:t>
      </w:r>
    </w:p>
    <w:p>
      <w:pPr>
        <w:pStyle w:val="Normal"/>
        <w:ind w:hanging="0"/>
        <w:rPr>
          <w:lang w:val="uk-UA"/>
        </w:rPr>
      </w:pPr>
      <w:r>
        <w:rPr/>
        <w:t>2.1 Загальна характеристика управлінської діяльності у КНП “Південнівська міська лікарня” ПМР ......</w:t>
      </w:r>
      <w:r>
        <w:rPr>
          <w:lang w:val="uk-UA"/>
        </w:rPr>
        <w:t>.............................</w:t>
      </w:r>
      <w:r>
        <w:rPr/>
        <w:t xml:space="preserve">........................................................ </w:t>
      </w:r>
      <w:r>
        <w:rPr>
          <w:lang w:val="en-GB"/>
        </w:rPr>
        <w:t>38</w:t>
      </w:r>
    </w:p>
    <w:p>
      <w:pPr>
        <w:pStyle w:val="Normal"/>
        <w:ind w:hanging="0"/>
        <w:rPr>
          <w:lang w:val="uk-UA"/>
        </w:rPr>
      </w:pPr>
      <w:r>
        <w:rPr/>
        <w:t>2.2 Аналіз системи управління персоналом у КНП “Південнівська міська лікарня” ПМР ........</w:t>
      </w:r>
      <w:r>
        <w:rPr>
          <w:lang w:val="uk-UA"/>
        </w:rPr>
        <w:t>..............</w:t>
      </w:r>
      <w:r>
        <w:rPr/>
        <w:t xml:space="preserve">................................................................................. </w:t>
      </w:r>
      <w:r>
        <w:rPr>
          <w:lang w:val="en-GB"/>
        </w:rPr>
        <w:t>43</w:t>
      </w:r>
    </w:p>
    <w:p>
      <w:pPr>
        <w:pStyle w:val="Normal"/>
        <w:ind w:hanging="0"/>
        <w:rPr>
          <w:lang w:val="uk-UA"/>
        </w:rPr>
      </w:pPr>
      <w:r>
        <w:rPr>
          <w:lang w:val="uk-UA"/>
        </w:rPr>
        <w:t xml:space="preserve">2.3 Управлінський аналіз та імпелементація інноваційного досвіду зарубіжних країн у сфері управління медичним </w:t>
      </w:r>
      <w:r>
        <w:rPr/>
        <w:t>персоналом</w:t>
      </w:r>
      <w:r>
        <w:rPr>
          <w:lang w:val="uk-UA"/>
        </w:rPr>
        <w:t xml:space="preserve"> </w:t>
      </w:r>
      <w:r>
        <w:rPr/>
        <w:t xml:space="preserve">.......................................…   </w:t>
      </w:r>
      <w:r>
        <w:rPr>
          <w:lang w:val="en-GB"/>
        </w:rPr>
        <w:t>50</w:t>
      </w:r>
    </w:p>
    <w:p>
      <w:pPr>
        <w:pStyle w:val="Normal"/>
        <w:ind w:hanging="0"/>
        <w:rPr>
          <w:lang w:val="uk-UA"/>
        </w:rPr>
      </w:pPr>
      <w:r>
        <w:rPr/>
        <w:t>Висновок до розділу 2. ...............</w:t>
      </w:r>
      <w:r>
        <w:rPr>
          <w:lang w:val="uk-UA"/>
        </w:rPr>
        <w:t>.............</w:t>
      </w:r>
      <w:r>
        <w:rPr/>
        <w:t>..............................................</w:t>
      </w:r>
      <w:r>
        <w:rPr>
          <w:lang w:val="uk-UA"/>
        </w:rPr>
        <w:t>.</w:t>
      </w:r>
      <w:r>
        <w:rPr/>
        <w:t xml:space="preserve">............. </w:t>
      </w:r>
      <w:r>
        <w:rPr>
          <w:lang w:val="en-GB"/>
        </w:rPr>
        <w:t>58</w:t>
      </w:r>
    </w:p>
    <w:p>
      <w:pPr>
        <w:pStyle w:val="Normal"/>
        <w:ind w:hanging="0"/>
        <w:rPr>
          <w:lang w:val="uk-UA"/>
        </w:rPr>
      </w:pPr>
      <w:r>
        <w:rPr/>
        <w:t>РОЗДІЛ 3. ШЛЯХИ ВДОСКОНАЛЕННЯ УПРАВЛІННЯ ПЕРСОНАЛОМ НА ПРИКЛАДІ КНП “ПІВДЕННІВСЬКА МІСЬКА ЛІКАРНЯ” ПМР ....</w:t>
      </w:r>
      <w:r>
        <w:rPr>
          <w:lang w:val="uk-UA"/>
        </w:rPr>
        <w:t>........</w:t>
      </w:r>
      <w:r>
        <w:rPr/>
        <w:t xml:space="preserve">.... </w:t>
      </w:r>
      <w:r>
        <w:rPr>
          <w:lang w:val="en-GB"/>
        </w:rPr>
        <w:t>60</w:t>
      </w:r>
    </w:p>
    <w:p>
      <w:pPr>
        <w:pStyle w:val="Normal"/>
        <w:ind w:hanging="0"/>
        <w:rPr>
          <w:lang w:val="uk-UA"/>
        </w:rPr>
      </w:pPr>
      <w:r>
        <w:rPr/>
        <w:t>3.1 Оптимізація кадрової політики та покращення умов праці медичного персоналу .........................</w:t>
      </w:r>
      <w:r>
        <w:rPr>
          <w:lang w:val="uk-UA"/>
        </w:rPr>
        <w:t>...............................</w:t>
      </w:r>
      <w:r>
        <w:rPr/>
        <w:t xml:space="preserve">...................................................... </w:t>
      </w:r>
      <w:r>
        <w:rPr>
          <w:lang w:val="en-GB"/>
        </w:rPr>
        <w:t>60</w:t>
      </w:r>
    </w:p>
    <w:p>
      <w:pPr>
        <w:pStyle w:val="Normal"/>
        <w:ind w:hanging="0"/>
        <w:rPr>
          <w:lang w:val="uk-UA"/>
        </w:rPr>
      </w:pPr>
      <w:r>
        <w:rPr/>
        <w:t xml:space="preserve">3.2 </w:t>
      </w:r>
      <w:r>
        <w:rPr>
          <w:lang w:val="uk-UA"/>
        </w:rPr>
        <w:t>В</w:t>
      </w:r>
      <w:r>
        <w:rPr/>
        <w:t xml:space="preserve">провадження </w:t>
      </w:r>
      <w:r>
        <w:rPr>
          <w:lang w:val="uk-UA"/>
        </w:rPr>
        <w:t>оновленої</w:t>
      </w:r>
      <w:r>
        <w:rPr/>
        <w:t xml:space="preserve"> модел</w:t>
      </w:r>
      <w:r>
        <w:rPr>
          <w:lang w:val="uk-UA"/>
        </w:rPr>
        <w:t>і</w:t>
      </w:r>
      <w:r>
        <w:rPr/>
        <w:t xml:space="preserve"> HR-менеджменту в парадигмі сучасної системи фінансування у сфері охорони здоров’я </w:t>
      </w:r>
      <w:r>
        <w:rPr>
          <w:lang w:val="uk-UA"/>
        </w:rPr>
        <w:t xml:space="preserve">      </w:t>
      </w:r>
      <w:r>
        <w:rPr/>
        <w:t xml:space="preserve">....................................... </w:t>
      </w:r>
      <w:r>
        <w:rPr>
          <w:lang w:val="en-GB"/>
        </w:rPr>
        <w:t>67</w:t>
      </w:r>
    </w:p>
    <w:p>
      <w:pPr>
        <w:pStyle w:val="Normal"/>
        <w:ind w:hanging="0"/>
        <w:rPr>
          <w:lang w:val="uk-UA"/>
        </w:rPr>
      </w:pPr>
      <w:r>
        <w:rPr/>
        <w:t>3.</w:t>
      </w:r>
      <w:r>
        <w:rPr>
          <w:lang w:val="uk-UA"/>
        </w:rPr>
        <w:t>3</w:t>
      </w:r>
      <w:r>
        <w:rPr/>
        <w:t xml:space="preserve"> Впровадження центру ментального здоров’я (кабінету</w:t>
      </w:r>
      <w:r>
        <w:rPr>
          <w:lang w:val="uk-UA"/>
        </w:rPr>
        <w:t xml:space="preserve"> </w:t>
      </w:r>
      <w:r>
        <w:rPr/>
        <w:t>психолога) як інструмент сучасного HR-менеджменту …</w:t>
      </w:r>
      <w:r>
        <w:rPr>
          <w:lang w:val="uk-UA"/>
        </w:rPr>
        <w:t>……………….</w:t>
      </w:r>
      <w:r>
        <w:rPr/>
        <w:t xml:space="preserve">.............................. </w:t>
      </w:r>
      <w:r>
        <w:rPr>
          <w:lang w:val="en-GB"/>
        </w:rPr>
        <w:t>72</w:t>
      </w:r>
    </w:p>
    <w:p>
      <w:pPr>
        <w:pStyle w:val="Normal"/>
        <w:ind w:hanging="0"/>
        <w:rPr>
          <w:lang w:val="uk-UA"/>
        </w:rPr>
      </w:pPr>
      <w:r>
        <w:rPr/>
        <w:t>3.</w:t>
      </w:r>
      <w:r>
        <w:rPr>
          <w:lang w:val="uk-UA"/>
        </w:rPr>
        <w:t>4</w:t>
      </w:r>
      <w:r>
        <w:rPr/>
        <w:t xml:space="preserve"> Вплив центру ментального здоров’я на показники роботи</w:t>
      </w:r>
      <w:r>
        <w:rPr>
          <w:lang w:val="uk-UA"/>
        </w:rPr>
        <w:t xml:space="preserve"> </w:t>
      </w:r>
      <w:r>
        <w:rPr/>
        <w:t>персоналу та продуктивність</w:t>
      </w:r>
      <w:r>
        <w:rPr>
          <w:lang w:val="uk-UA"/>
        </w:rPr>
        <w:t>.</w:t>
      </w:r>
      <w:r>
        <w:rPr/>
        <w:t xml:space="preserve"> Оцінка ефективності впровадження сучасної моделі </w:t>
      </w:r>
    </w:p>
    <w:p>
      <w:pPr>
        <w:pStyle w:val="Normal"/>
        <w:ind w:hanging="0"/>
        <w:rPr>
          <w:lang w:val="uk-UA"/>
        </w:rPr>
      </w:pPr>
      <w:r>
        <w:rPr/>
        <w:t>менеджменту .........</w:t>
      </w:r>
      <w:r>
        <w:rPr>
          <w:lang w:val="uk-UA"/>
        </w:rPr>
        <w:t>.</w:t>
      </w:r>
      <w:r>
        <w:rPr/>
        <w:t xml:space="preserve">.............................................................................................. </w:t>
      </w:r>
      <w:r>
        <w:rPr>
          <w:lang w:val="en-GB"/>
        </w:rPr>
        <w:t>76</w:t>
      </w:r>
    </w:p>
    <w:p>
      <w:pPr>
        <w:pStyle w:val="Normal"/>
        <w:ind w:hanging="0"/>
        <w:rPr>
          <w:lang w:val="uk-UA"/>
        </w:rPr>
      </w:pPr>
      <w:r>
        <w:rPr/>
        <w:t>Висновок до розділу 3. .........</w:t>
      </w:r>
      <w:r>
        <w:rPr>
          <w:lang w:val="uk-UA"/>
        </w:rPr>
        <w:t>.............</w:t>
      </w:r>
      <w:r>
        <w:rPr/>
        <w:t xml:space="preserve">.................................................................. </w:t>
      </w:r>
      <w:r>
        <w:rPr>
          <w:lang w:val="en-GB"/>
        </w:rPr>
        <w:t>83</w:t>
      </w:r>
    </w:p>
    <w:p>
      <w:pPr>
        <w:pStyle w:val="Normal"/>
        <w:ind w:hanging="0"/>
        <w:rPr>
          <w:lang w:val="uk-UA"/>
        </w:rPr>
      </w:pPr>
      <w:r>
        <w:rPr/>
        <w:t>ВИСНОВКИ .....................................</w:t>
      </w:r>
      <w:r>
        <w:rPr>
          <w:lang w:val="uk-UA"/>
        </w:rPr>
        <w:t>.</w:t>
      </w:r>
      <w:r>
        <w:rPr/>
        <w:t xml:space="preserve">................................................................... </w:t>
      </w:r>
      <w:r>
        <w:rPr>
          <w:lang w:val="en-GB"/>
        </w:rPr>
        <w:t>85</w:t>
      </w:r>
    </w:p>
    <w:p>
      <w:pPr>
        <w:pStyle w:val="Normal"/>
        <w:ind w:hanging="0"/>
        <w:rPr>
          <w:lang w:val="uk-UA"/>
        </w:rPr>
      </w:pPr>
      <w:r>
        <w:rPr/>
        <w:t>СПИСОК ВИКОРИСТАНИХ ДЖЕРЕЛ ....</w:t>
      </w:r>
      <w:r>
        <w:rPr>
          <w:lang w:val="uk-UA"/>
        </w:rPr>
        <w:t>.</w:t>
      </w:r>
      <w:r>
        <w:rPr/>
        <w:t xml:space="preserve">...........................................…...… </w:t>
      </w:r>
      <w:r>
        <w:rPr>
          <w:lang w:val="en-GB"/>
        </w:rPr>
        <w:t>87</w:t>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tabs>
          <w:tab w:val="clear" w:pos="708"/>
          <w:tab w:val="left" w:pos="2592" w:leader="none"/>
        </w:tabs>
        <w:jc w:val="center"/>
        <w:rPr>
          <w:b/>
          <w:bCs/>
        </w:rPr>
      </w:pPr>
      <w:r>
        <w:rPr>
          <w:b/>
          <w:bCs/>
        </w:rPr>
        <w:t>ПЕРЕЛІК УМОВНИХ ПОЗНАЧЕНЬ</w:t>
      </w:r>
    </w:p>
    <w:p>
      <w:pPr>
        <w:pStyle w:val="Normal"/>
        <w:tabs>
          <w:tab w:val="clear" w:pos="708"/>
          <w:tab w:val="left" w:pos="2592" w:leader="none"/>
        </w:tabs>
        <w:rPr/>
      </w:pPr>
      <w:r>
        <w:rPr/>
      </w:r>
    </w:p>
    <w:p>
      <w:pPr>
        <w:pStyle w:val="Normal"/>
        <w:tabs>
          <w:tab w:val="clear" w:pos="708"/>
          <w:tab w:val="left" w:pos="2592" w:leader="none"/>
        </w:tabs>
        <w:rPr/>
      </w:pPr>
      <w:r>
        <w:rPr/>
        <w:t xml:space="preserve">ВООЗ </w:t>
      </w:r>
      <w:r>
        <w:rPr>
          <w:lang w:val="uk-UA"/>
        </w:rPr>
        <w:t xml:space="preserve">– </w:t>
      </w:r>
      <w:r>
        <w:rPr/>
        <w:t>Всесвітня організація охорони здоров’я</w:t>
      </w:r>
    </w:p>
    <w:p>
      <w:pPr>
        <w:pStyle w:val="Normal"/>
        <w:tabs>
          <w:tab w:val="clear" w:pos="708"/>
          <w:tab w:val="left" w:pos="2592" w:leader="none"/>
        </w:tabs>
        <w:rPr/>
      </w:pPr>
      <w:r>
        <w:rPr/>
        <w:t xml:space="preserve">ГК України </w:t>
      </w:r>
      <w:r>
        <w:rPr>
          <w:lang w:val="uk-UA"/>
        </w:rPr>
        <w:t>–</w:t>
      </w:r>
      <w:r>
        <w:rPr/>
        <w:t xml:space="preserve"> Господарський кодекс України</w:t>
      </w:r>
    </w:p>
    <w:p>
      <w:pPr>
        <w:pStyle w:val="Normal"/>
        <w:tabs>
          <w:tab w:val="clear" w:pos="708"/>
          <w:tab w:val="left" w:pos="2592" w:leader="none"/>
        </w:tabs>
        <w:rPr/>
      </w:pPr>
      <w:r>
        <w:rPr/>
        <w:t xml:space="preserve">ДПП </w:t>
      </w:r>
      <w:r>
        <w:rPr>
          <w:lang w:val="uk-UA"/>
        </w:rPr>
        <w:t>–</w:t>
      </w:r>
      <w:r>
        <w:rPr/>
        <w:t xml:space="preserve"> державно-приватне партнерство</w:t>
      </w:r>
    </w:p>
    <w:p>
      <w:pPr>
        <w:pStyle w:val="Normal"/>
        <w:tabs>
          <w:tab w:val="clear" w:pos="708"/>
          <w:tab w:val="left" w:pos="2592" w:leader="none"/>
        </w:tabs>
        <w:rPr/>
      </w:pPr>
      <w:r>
        <w:rPr/>
        <w:t xml:space="preserve">ДСТУ </w:t>
      </w:r>
      <w:r>
        <w:rPr>
          <w:lang w:val="uk-UA"/>
        </w:rPr>
        <w:t>–</w:t>
      </w:r>
      <w:r>
        <w:rPr/>
        <w:t xml:space="preserve"> Державні стандарти України</w:t>
      </w:r>
    </w:p>
    <w:p>
      <w:pPr>
        <w:pStyle w:val="Normal"/>
        <w:tabs>
          <w:tab w:val="clear" w:pos="708"/>
          <w:tab w:val="left" w:pos="2592" w:leader="none"/>
        </w:tabs>
        <w:rPr/>
      </w:pPr>
      <w:r>
        <w:rPr/>
        <w:t xml:space="preserve">ДУ </w:t>
      </w:r>
      <w:r>
        <w:rPr>
          <w:lang w:val="uk-UA"/>
        </w:rPr>
        <w:t>–</w:t>
      </w:r>
      <w:r>
        <w:rPr/>
        <w:t xml:space="preserve"> Державна установа</w:t>
      </w:r>
    </w:p>
    <w:p>
      <w:pPr>
        <w:pStyle w:val="Normal"/>
        <w:tabs>
          <w:tab w:val="clear" w:pos="708"/>
          <w:tab w:val="left" w:pos="2592" w:leader="none"/>
        </w:tabs>
        <w:rPr/>
      </w:pPr>
      <w:r>
        <w:rPr/>
        <w:t xml:space="preserve">ЗОЗ </w:t>
      </w:r>
      <w:r>
        <w:rPr>
          <w:lang w:val="uk-UA"/>
        </w:rPr>
        <w:t>–</w:t>
      </w:r>
      <w:r>
        <w:rPr/>
        <w:t xml:space="preserve"> заклад охорони здоров’я</w:t>
      </w:r>
    </w:p>
    <w:p>
      <w:pPr>
        <w:pStyle w:val="Normal"/>
        <w:tabs>
          <w:tab w:val="clear" w:pos="708"/>
          <w:tab w:val="left" w:pos="2592" w:leader="none"/>
        </w:tabs>
        <w:rPr/>
      </w:pPr>
      <w:r>
        <w:rPr/>
        <w:t xml:space="preserve">КНП </w:t>
      </w:r>
      <w:r>
        <w:rPr>
          <w:lang w:val="uk-UA"/>
        </w:rPr>
        <w:t>–</w:t>
      </w:r>
      <w:r>
        <w:rPr/>
        <w:t xml:space="preserve"> комунальне некомерційне підприємство</w:t>
      </w:r>
    </w:p>
    <w:p>
      <w:pPr>
        <w:pStyle w:val="Normal"/>
        <w:tabs>
          <w:tab w:val="clear" w:pos="708"/>
          <w:tab w:val="left" w:pos="2592" w:leader="none"/>
        </w:tabs>
        <w:rPr/>
      </w:pPr>
      <w:r>
        <w:rPr/>
        <w:t xml:space="preserve">КМУ </w:t>
      </w:r>
      <w:r>
        <w:rPr>
          <w:lang w:val="uk-UA"/>
        </w:rPr>
        <w:t>–</w:t>
      </w:r>
      <w:r>
        <w:rPr/>
        <w:t xml:space="preserve"> Кабінет Міністрів України</w:t>
      </w:r>
    </w:p>
    <w:p>
      <w:pPr>
        <w:pStyle w:val="Normal"/>
        <w:tabs>
          <w:tab w:val="clear" w:pos="708"/>
          <w:tab w:val="left" w:pos="2592" w:leader="none"/>
        </w:tabs>
        <w:rPr/>
      </w:pPr>
      <w:r>
        <w:rPr/>
        <w:t xml:space="preserve">МОЗ України </w:t>
      </w:r>
      <w:r>
        <w:rPr>
          <w:lang w:val="uk-UA"/>
        </w:rPr>
        <w:t>–</w:t>
      </w:r>
      <w:r>
        <w:rPr/>
        <w:t xml:space="preserve"> Міністерство охорони здоров’я України</w:t>
      </w:r>
    </w:p>
    <w:p>
      <w:pPr>
        <w:pStyle w:val="Normal"/>
        <w:tabs>
          <w:tab w:val="clear" w:pos="708"/>
          <w:tab w:val="left" w:pos="2592" w:leader="none"/>
        </w:tabs>
        <w:rPr/>
      </w:pPr>
      <w:r>
        <w:rPr/>
        <w:t xml:space="preserve">НСЗУ </w:t>
      </w:r>
      <w:r>
        <w:rPr>
          <w:lang w:val="uk-UA"/>
        </w:rPr>
        <w:t>–</w:t>
      </w:r>
      <w:r>
        <w:rPr/>
        <w:t xml:space="preserve"> Національна служба здоров’я України</w:t>
      </w:r>
    </w:p>
    <w:p>
      <w:pPr>
        <w:pStyle w:val="Normal"/>
        <w:tabs>
          <w:tab w:val="clear" w:pos="708"/>
          <w:tab w:val="left" w:pos="2592" w:leader="none"/>
        </w:tabs>
        <w:rPr/>
      </w:pPr>
      <w:r>
        <w:rPr/>
        <w:t xml:space="preserve">ПМГ </w:t>
      </w:r>
      <w:r>
        <w:rPr>
          <w:lang w:val="uk-UA"/>
        </w:rPr>
        <w:t>–</w:t>
      </w:r>
      <w:r>
        <w:rPr/>
        <w:t xml:space="preserve"> програма медичних гарантій</w:t>
      </w:r>
    </w:p>
    <w:p>
      <w:pPr>
        <w:pStyle w:val="Normal"/>
        <w:tabs>
          <w:tab w:val="clear" w:pos="708"/>
          <w:tab w:val="left" w:pos="2592" w:leader="none"/>
        </w:tabs>
        <w:rPr>
          <w:lang w:val="uk-UA"/>
        </w:rPr>
      </w:pPr>
      <w:r>
        <w:rPr/>
        <w:t xml:space="preserve">ЦК України </w:t>
      </w:r>
      <w:r>
        <w:rPr>
          <w:lang w:val="uk-UA"/>
        </w:rPr>
        <w:t>–</w:t>
      </w:r>
      <w:r>
        <w:rPr/>
        <w:t xml:space="preserve"> Цивільний кодекс України</w:t>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Heading1"/>
        <w:rPr>
          <w:lang w:val="uk-UA"/>
        </w:rPr>
      </w:pPr>
      <w:bookmarkStart w:id="1" w:name="_Toc507947772"/>
      <w:bookmarkStart w:id="2" w:name="_Toc200703978"/>
      <w:bookmarkEnd w:id="1"/>
      <w:r>
        <w:rPr>
          <w:lang w:val="uk-UA"/>
        </w:rPr>
        <w:t>ВСТУП</w:t>
      </w:r>
      <w:bookmarkEnd w:id="2"/>
    </w:p>
    <w:p>
      <w:pPr>
        <w:pStyle w:val="Normal"/>
        <w:ind w:firstLine="720"/>
        <w:rPr>
          <w:rFonts w:eastAsia="Calibri"/>
          <w:szCs w:val="22"/>
          <w:lang w:val="uk-UA"/>
        </w:rPr>
      </w:pPr>
      <w:r>
        <w:rPr>
          <w:rFonts w:eastAsia="Calibri"/>
          <w:szCs w:val="22"/>
          <w:lang w:val="uk-UA"/>
        </w:rPr>
        <w:t>Сучасна система охорони здоров’я України переживає період динамічних трансформацій, спричинених як внутрішніми реформами, так і зовнішніми викликами. Одним із ключових чинників, що визначає ефективність функціонування медичних закладів, є система управління персоналом. Медичний персонал – це не лише ресурс, а передусім рушійна сила змін, гарант надання якісної медичної допомоги та основа стійкості всієї галузі в умовах криз, пандемій та воєнного стану.</w:t>
      </w:r>
    </w:p>
    <w:p>
      <w:pPr>
        <w:pStyle w:val="Normal"/>
        <w:rPr/>
      </w:pPr>
      <w:r>
        <w:rPr>
          <w:rFonts w:eastAsia="Times New Roman"/>
          <w:i/>
          <w:iCs/>
          <w:color w:themeColor="dark1" w:val="000000"/>
        </w:rPr>
        <w:t>Актуальність теми.</w:t>
      </w:r>
      <w:r>
        <w:rPr>
          <w:rFonts w:eastAsia="Times New Roman"/>
          <w:color w:themeColor="dark1" w:val="000000"/>
        </w:rPr>
        <w:t xml:space="preserve"> </w:t>
      </w:r>
      <w:r>
        <w:rPr>
          <w:rFonts w:eastAsia="Times New Roman"/>
          <w:lang w:val="uk-UA"/>
        </w:rPr>
        <w:t xml:space="preserve"> </w:t>
      </w:r>
    </w:p>
    <w:p>
      <w:pPr>
        <w:pStyle w:val="Normal"/>
        <w:ind w:firstLine="720"/>
        <w:rPr>
          <w:rFonts w:eastAsia="Calibri"/>
          <w:szCs w:val="22"/>
          <w:lang w:val="uk-UA"/>
        </w:rPr>
      </w:pPr>
      <w:r>
        <w:rPr>
          <w:rFonts w:eastAsia="Calibri"/>
          <w:lang w:val="uk-UA"/>
        </w:rPr>
        <w:t>Актуальність дослідження управління персоналом у закладах охорони здоров’я зумовлена зростаючою потребою в ефективному кадровому менеджменті в умовах трансформації медичної галузі України. На тлі впровадження медичної реформи, децентралізації, переходу до фінансування через Національну службу здоров’я України, зростає значення ефективного управління людськими ресурсами для забезпечення якісного надання медичних послуг. Персонал закладу охорони здоров’я – це основний рушій системи, і його професіоналізм, мотивація, задоволеність працею безпосередньо впливають на результати діяльності установи та рівень довіри пацієнтів.</w:t>
      </w:r>
    </w:p>
    <w:p>
      <w:pPr>
        <w:pStyle w:val="Normal"/>
        <w:rPr>
          <w:lang w:val="uk-UA"/>
        </w:rPr>
      </w:pPr>
      <w:r>
        <w:rPr>
          <w:rFonts w:eastAsia="Times New Roman"/>
          <w:i/>
          <w:iCs/>
          <w:color w:themeColor="dark1" w:val="000000"/>
          <w:lang w:val="uk-UA"/>
        </w:rPr>
        <w:t>Мета і завдання дослідження</w:t>
      </w:r>
      <w:r>
        <w:rPr>
          <w:rFonts w:eastAsia="Times New Roman"/>
          <w:color w:themeColor="dark1" w:val="000000"/>
          <w:lang w:val="uk-UA"/>
        </w:rPr>
        <w:t xml:space="preserve">. </w:t>
      </w:r>
      <w:r>
        <w:rPr>
          <w:rFonts w:eastAsia="Times New Roman"/>
          <w:lang w:val="uk-UA"/>
        </w:rPr>
        <w:t xml:space="preserve"> </w:t>
      </w:r>
    </w:p>
    <w:p>
      <w:pPr>
        <w:pStyle w:val="Normal"/>
        <w:ind w:firstLine="720"/>
        <w:rPr>
          <w:rFonts w:eastAsia="Calibri"/>
          <w:lang w:val="uk-UA"/>
        </w:rPr>
      </w:pPr>
      <w:r>
        <w:rPr>
          <w:rFonts w:eastAsia="Calibri"/>
          <w:i/>
          <w:iCs/>
          <w:lang w:val="uk-UA"/>
        </w:rPr>
        <w:t>Мета дослідження</w:t>
      </w:r>
      <w:r>
        <w:rPr>
          <w:rFonts w:eastAsia="Calibri"/>
          <w:lang w:val="uk-UA"/>
        </w:rPr>
        <w:t xml:space="preserve"> полягає в аналізі теоретичних засад і практичних особливостей управління персоналом у закладах охорони здоров’я України, зокрема на прикладі КНП «Південнівська міська лікарня», а також у розробці рекомендацій щодо вдосконалення кадрового менеджменту в медичних установах з урахуванням сучасних викликів і тенденцій розвитку галузі.</w:t>
      </w:r>
    </w:p>
    <w:p>
      <w:pPr>
        <w:pStyle w:val="Normal"/>
        <w:ind w:firstLine="720"/>
        <w:rPr>
          <w:rFonts w:eastAsia="Calibri"/>
          <w:lang w:val="uk-UA"/>
        </w:rPr>
      </w:pPr>
      <w:r>
        <w:rPr>
          <w:rFonts w:eastAsia="Calibri"/>
          <w:lang w:val="uk-UA"/>
        </w:rPr>
        <w:t>Завдання дослідження:</w:t>
      </w:r>
    </w:p>
    <w:p>
      <w:pPr>
        <w:pStyle w:val="Normal"/>
        <w:numPr>
          <w:ilvl w:val="0"/>
          <w:numId w:val="5"/>
        </w:numPr>
        <w:ind w:firstLine="720" w:start="0"/>
        <w:rPr>
          <w:rFonts w:eastAsia="Times New Roman"/>
          <w:lang w:val="uk-UA"/>
        </w:rPr>
      </w:pPr>
      <w:r>
        <w:rPr>
          <w:rFonts w:eastAsia="Times New Roman"/>
          <w:color w:themeColor="dark1" w:val="000000"/>
          <w:lang w:val="uk-UA"/>
        </w:rPr>
        <w:t>Проаналізувати теоретичні засади управління персоналом у сфері охорони здоров’я;</w:t>
      </w:r>
    </w:p>
    <w:p>
      <w:pPr>
        <w:pStyle w:val="Normal"/>
        <w:numPr>
          <w:ilvl w:val="0"/>
          <w:numId w:val="2"/>
        </w:numPr>
        <w:suppressAutoHyphens w:val="true"/>
        <w:ind w:firstLine="720" w:start="0"/>
        <w:rPr>
          <w:rFonts w:eastAsia="Calibri"/>
          <w:szCs w:val="22"/>
          <w:lang w:val="uk-UA"/>
        </w:rPr>
      </w:pPr>
      <w:r>
        <w:rPr>
          <w:rFonts w:eastAsia="Calibri"/>
          <w:szCs w:val="22"/>
          <w:lang w:val="uk-UA"/>
        </w:rPr>
        <w:t>Визначити сучасні виклики та проблеми, що постають перед системою управління персоналом у медичних установах.</w:t>
      </w:r>
    </w:p>
    <w:p>
      <w:pPr>
        <w:pStyle w:val="Normal"/>
        <w:numPr>
          <w:ilvl w:val="0"/>
          <w:numId w:val="2"/>
        </w:numPr>
        <w:suppressAutoHyphens w:val="true"/>
        <w:ind w:firstLine="720" w:start="0"/>
        <w:rPr>
          <w:rFonts w:eastAsia="Calibri"/>
          <w:lang w:val="uk-UA"/>
        </w:rPr>
      </w:pPr>
      <w:r>
        <w:rPr>
          <w:rFonts w:eastAsia="Calibri"/>
          <w:lang w:val="uk-UA"/>
        </w:rPr>
        <w:t>Надати загальну характеристику моделі HR-менеджменту в парадигмі сучасної системи фінансування ЗОЗ</w:t>
      </w:r>
    </w:p>
    <w:p>
      <w:pPr>
        <w:pStyle w:val="Normal"/>
        <w:numPr>
          <w:ilvl w:val="0"/>
          <w:numId w:val="2"/>
        </w:numPr>
        <w:suppressAutoHyphens w:val="true"/>
        <w:ind w:firstLine="720" w:start="0"/>
        <w:rPr>
          <w:rFonts w:eastAsia="Calibri"/>
          <w:lang w:val="uk-UA"/>
        </w:rPr>
      </w:pPr>
      <w:r>
        <w:rPr>
          <w:rFonts w:eastAsia="Calibri"/>
          <w:lang w:val="uk-UA"/>
        </w:rPr>
        <w:t>Провести детальний аналіз управління персоналом у КНП «Південнівська міська лікарня», зокрема вивчити динаміку змін за останні п’ять років і сучасний стан кадрового менеджменту.</w:t>
      </w:r>
    </w:p>
    <w:p>
      <w:pPr>
        <w:pStyle w:val="Normal"/>
        <w:numPr>
          <w:ilvl w:val="0"/>
          <w:numId w:val="2"/>
        </w:numPr>
        <w:suppressAutoHyphens w:val="true"/>
        <w:ind w:firstLine="720" w:start="0"/>
        <w:rPr>
          <w:rFonts w:eastAsia="Calibri"/>
          <w:szCs w:val="22"/>
          <w:lang w:val="uk-UA"/>
        </w:rPr>
      </w:pPr>
      <w:r>
        <w:rPr>
          <w:rFonts w:eastAsia="Calibri"/>
          <w:szCs w:val="22"/>
          <w:lang w:val="uk-UA"/>
        </w:rPr>
        <w:t>Провести авторське дослідження (опитування, інтерв’ю, аналіз внутрішніх документів тощо) для виявлення проблем і потреб персоналу конкретного закладу.</w:t>
      </w:r>
    </w:p>
    <w:p>
      <w:pPr>
        <w:pStyle w:val="Normal"/>
        <w:numPr>
          <w:ilvl w:val="0"/>
          <w:numId w:val="2"/>
        </w:numPr>
        <w:suppressAutoHyphens w:val="true"/>
        <w:ind w:firstLine="720" w:start="0"/>
        <w:rPr>
          <w:rFonts w:eastAsia="Calibri"/>
          <w:szCs w:val="22"/>
          <w:lang w:val="uk-UA"/>
        </w:rPr>
      </w:pPr>
      <w:r>
        <w:rPr>
          <w:rFonts w:eastAsia="Calibri"/>
          <w:szCs w:val="22"/>
          <w:lang w:val="uk-UA"/>
        </w:rPr>
        <w:t>Проаналізувати досвід зарубіжних країн щодо управління медичними кадрами та визначити можливості його адаптації в Україні.</w:t>
      </w:r>
    </w:p>
    <w:p>
      <w:pPr>
        <w:pStyle w:val="Normal"/>
        <w:numPr>
          <w:ilvl w:val="0"/>
          <w:numId w:val="2"/>
        </w:numPr>
        <w:suppressAutoHyphens w:val="true"/>
        <w:ind w:firstLine="720" w:start="0"/>
        <w:rPr>
          <w:rFonts w:eastAsia="Calibri"/>
          <w:lang w:val="uk-UA"/>
        </w:rPr>
      </w:pPr>
      <w:r>
        <w:rPr>
          <w:rFonts w:eastAsia="Calibri"/>
          <w:lang w:val="uk-UA"/>
        </w:rPr>
        <w:t>Запропонувати практичні шляхи вдосконалення управління персоналом у закладах охорони здоров’я, зокрема через оптимізацію кадрової політики, створення центру ментального здоров’я, впровадження сучасних HR-технологій та покращення умов праці медичних працівників.</w:t>
      </w:r>
    </w:p>
    <w:p>
      <w:pPr>
        <w:pStyle w:val="Normal"/>
        <w:ind w:firstLine="720"/>
        <w:rPr>
          <w:rFonts w:eastAsia="Calibri"/>
          <w:lang w:val="uk-UA"/>
        </w:rPr>
      </w:pPr>
      <w:r>
        <w:rPr>
          <w:rFonts w:eastAsia="Calibri"/>
          <w:i/>
          <w:iCs/>
          <w:lang w:val="uk-UA"/>
        </w:rPr>
        <w:t>Предмет дослідження</w:t>
      </w:r>
      <w:r>
        <w:rPr>
          <w:rFonts w:eastAsia="Calibri"/>
          <w:lang w:val="uk-UA"/>
        </w:rPr>
        <w:t xml:space="preserve"> – це сукупність принципів, методів, інструментів та механізмів управління персоналом у закладах охорони здоров’я України, зокрема особливості формування, розвитку, мотивації та ефективного використання трудового потенціалу медичних працівників в умовах реформування галузі.</w:t>
      </w:r>
    </w:p>
    <w:p>
      <w:pPr>
        <w:pStyle w:val="Normal"/>
        <w:ind w:firstLine="720"/>
        <w:rPr>
          <w:rFonts w:eastAsia="Calibri"/>
          <w:lang w:val="uk-UA"/>
        </w:rPr>
      </w:pPr>
      <w:r>
        <w:rPr>
          <w:rFonts w:eastAsia="Calibri"/>
          <w:i/>
          <w:iCs/>
          <w:lang w:val="uk-UA"/>
        </w:rPr>
        <w:t xml:space="preserve">Об’єкт дослідження </w:t>
      </w:r>
      <w:r>
        <w:rPr>
          <w:rFonts w:eastAsia="Calibri"/>
          <w:lang w:val="uk-UA"/>
        </w:rPr>
        <w:t>– система управління персоналом у комунальних закладах охорони здоров’я України, зокрема організаційні та функціональні аспекти кадрового менеджменту в медичних установах, таких як КНП «Південнівська міська лікарня».</w:t>
      </w:r>
    </w:p>
    <w:p>
      <w:pPr>
        <w:pStyle w:val="Normal"/>
        <w:rPr>
          <w:rFonts w:eastAsia="Times New Roman"/>
          <w:color w:themeColor="dark1" w:val="000000"/>
          <w:lang w:val="uk-UA"/>
        </w:rPr>
      </w:pPr>
      <w:r>
        <w:rPr>
          <w:rFonts w:eastAsia="Times New Roman"/>
          <w:i/>
          <w:iCs/>
          <w:color w:themeColor="dark1" w:val="000000"/>
          <w:lang w:val="uk-UA"/>
        </w:rPr>
        <w:t>Інформаційна база дослідження</w:t>
      </w:r>
    </w:p>
    <w:p>
      <w:pPr>
        <w:pStyle w:val="Normal"/>
        <w:rPr>
          <w:rFonts w:eastAsia="Times New Roman"/>
          <w:color w:themeColor="dark1" w:val="000000"/>
          <w:lang w:val="uk-UA"/>
        </w:rPr>
      </w:pPr>
      <w:r>
        <w:rPr>
          <w:rFonts w:eastAsia="Times New Roman"/>
          <w:color w:themeColor="dark1" w:val="000000"/>
          <w:lang w:val="uk-UA"/>
        </w:rPr>
        <w:t>Емпіричною та фактологічною базою дослідження слугували теоретичні й практичні напрацювання вітчизняних та зарубіжних фахівців, законодавчо-нормативні акти Кабінету Міністрів України, Міністерства охорони здоров’я України, Національної служби здоров’я України, матеріали Всесвітньої організації охорони здоров’я, а також внутрішня звітність, статистичні та аналітичні документи КНП «Південнівська міська лікарня».</w:t>
      </w:r>
    </w:p>
    <w:p>
      <w:pPr>
        <w:pStyle w:val="Normal"/>
        <w:rPr>
          <w:rFonts w:eastAsia="Times New Roman"/>
          <w:color w:themeColor="dark1" w:val="000000"/>
          <w:lang w:val="uk-UA"/>
        </w:rPr>
      </w:pPr>
      <w:r>
        <w:rPr>
          <w:rFonts w:eastAsia="Times New Roman"/>
          <w:color w:themeColor="dark1" w:val="000000"/>
          <w:lang w:val="uk-UA"/>
        </w:rPr>
        <w:t>Використано методи аналізу, синтезу, порівняння, SWOT та PESTLE-аналізи, а також анкетування персоналу.</w:t>
      </w:r>
    </w:p>
    <w:p>
      <w:pPr>
        <w:pStyle w:val="Normal"/>
        <w:rPr>
          <w:rFonts w:eastAsia="Times New Roman"/>
          <w:color w:themeColor="dark1" w:val="000000"/>
          <w:lang w:val="uk-UA"/>
        </w:rPr>
      </w:pPr>
      <w:r>
        <w:rPr>
          <w:rFonts w:eastAsia="Times New Roman"/>
          <w:i/>
          <w:iCs/>
          <w:color w:themeColor="dark1" w:val="000000"/>
          <w:lang w:val="uk-UA"/>
        </w:rPr>
        <w:t>Теоретичне та практичне значення отриманих результатів</w:t>
      </w:r>
    </w:p>
    <w:p>
      <w:pPr>
        <w:pStyle w:val="Normal"/>
        <w:rPr>
          <w:rFonts w:eastAsia="Times New Roman"/>
          <w:color w:themeColor="dark1" w:val="000000"/>
          <w:lang w:val="uk-UA"/>
        </w:rPr>
      </w:pPr>
      <w:r>
        <w:rPr>
          <w:rFonts w:eastAsia="Times New Roman"/>
          <w:color w:themeColor="dark1" w:val="000000"/>
          <w:lang w:val="uk-UA"/>
        </w:rPr>
        <w:t>Теоретичне значення роботи полягає в систематизації підходів до управління персоналом у сфері охорони здоров’я, уточненні сутності та структури кадрової політики, визначенні ролі HR-менеджменту в підвищенні ефективності діяльності закладів. Практичне значення полягає в розробці конкретних пропозицій щодо удосконалення кадрової політики КНП «Південнівська міська лікарня», які можуть бути використані адміністрацією закладу при стратегічному плануванні розвитку персоналу.</w:t>
      </w:r>
    </w:p>
    <w:p>
      <w:pPr>
        <w:pStyle w:val="Normal"/>
        <w:rPr>
          <w:rFonts w:eastAsia="Times New Roman"/>
          <w:color w:themeColor="dark1" w:val="000000"/>
          <w:lang w:val="uk-UA"/>
        </w:rPr>
      </w:pPr>
      <w:r>
        <w:rPr>
          <w:rFonts w:eastAsia="Times New Roman"/>
          <w:color w:themeColor="dark1" w:val="000000"/>
          <w:lang w:val="uk-UA"/>
        </w:rPr>
        <w:t>Проведений SWOT-аналіз виявив сильні сторони підприємства – кваліфікований кадровий склад, підтримку з боку місцевої влади, позитивну репутацію, розвинену інфраструктуру. Серед слабких сторін – кадровий дефіцит у молодших ланках, застаріле обладнання, низька цифровізація управління. PESTLE-аналіз засвідчив, що діяльність закладу значною мірою залежить від політичної стабільності, державної підтримки галузі, економічних ресурсів громади та рівня технологічних інновацій.</w:t>
      </w:r>
    </w:p>
    <w:p>
      <w:pPr>
        <w:pStyle w:val="Normal"/>
        <w:rPr>
          <w:rFonts w:eastAsia="Times New Roman"/>
          <w:color w:themeColor="dark1" w:val="000000"/>
          <w:lang w:val="uk-UA"/>
        </w:rPr>
      </w:pPr>
      <w:r>
        <w:rPr>
          <w:rFonts w:eastAsia="Times New Roman"/>
          <w:color w:themeColor="dark1" w:val="000000"/>
          <w:lang w:val="uk-UA"/>
        </w:rPr>
        <w:t>На основі результатів аналізу визначено стратегічні напрями розвитку кадрової системи лікарні:</w:t>
      </w:r>
    </w:p>
    <w:p>
      <w:pPr>
        <w:pStyle w:val="Normal"/>
        <w:rPr>
          <w:rFonts w:eastAsia="Times New Roman"/>
          <w:color w:themeColor="dark1" w:val="000000"/>
          <w:lang w:val="uk-UA"/>
        </w:rPr>
      </w:pPr>
      <w:r>
        <w:rPr>
          <w:rFonts w:eastAsia="Times New Roman"/>
          <w:color w:themeColor="dark1" w:val="000000"/>
          <w:lang w:val="uk-UA"/>
        </w:rPr>
        <w:t>-модернізація управління персоналом через впровадження HR-аналітики;</w:t>
      </w:r>
    </w:p>
    <w:p>
      <w:pPr>
        <w:pStyle w:val="Normal"/>
        <w:rPr>
          <w:rFonts w:eastAsia="Times New Roman"/>
          <w:color w:themeColor="dark1" w:val="000000"/>
          <w:lang w:val="uk-UA"/>
        </w:rPr>
      </w:pPr>
      <w:r>
        <w:rPr>
          <w:rFonts w:eastAsia="Times New Roman"/>
          <w:color w:themeColor="dark1" w:val="000000"/>
          <w:lang w:val="uk-UA"/>
        </w:rPr>
        <w:t>-створення центру ментального здоров’я;</w:t>
      </w:r>
    </w:p>
    <w:p>
      <w:pPr>
        <w:pStyle w:val="Normal"/>
        <w:rPr>
          <w:rFonts w:eastAsia="Times New Roman"/>
          <w:color w:themeColor="dark1" w:val="000000"/>
          <w:lang w:val="uk-UA"/>
        </w:rPr>
      </w:pPr>
      <w:r>
        <w:rPr>
          <w:rFonts w:eastAsia="Times New Roman"/>
          <w:color w:themeColor="dark1" w:val="000000"/>
          <w:lang w:val="uk-UA"/>
        </w:rPr>
        <w:t>-розвиток системи навчання та підвищення кваліфікації;</w:t>
      </w:r>
    </w:p>
    <w:p>
      <w:pPr>
        <w:pStyle w:val="Normal"/>
        <w:rPr>
          <w:rFonts w:eastAsia="Times New Roman"/>
          <w:color w:themeColor="dark1" w:val="000000"/>
          <w:lang w:val="uk-UA"/>
        </w:rPr>
      </w:pPr>
      <w:r>
        <w:rPr>
          <w:rFonts w:eastAsia="Times New Roman"/>
          <w:color w:themeColor="dark1" w:val="000000"/>
          <w:lang w:val="uk-UA"/>
        </w:rPr>
        <w:t>-стимулювання молодих спеціалістів і запровадження нематеріальної мотивації;</w:t>
      </w:r>
    </w:p>
    <w:p>
      <w:pPr>
        <w:pStyle w:val="Normal"/>
        <w:rPr>
          <w:rFonts w:eastAsia="Times New Roman"/>
          <w:color w:themeColor="dark1" w:val="000000"/>
          <w:lang w:val="uk-UA"/>
        </w:rPr>
      </w:pPr>
      <w:r>
        <w:rPr>
          <w:rFonts w:eastAsia="Times New Roman"/>
          <w:color w:themeColor="dark1" w:val="000000"/>
          <w:lang w:val="uk-UA"/>
        </w:rPr>
        <w:t>-удосконалення внутрішніх комунікацій та розширення співпраці з НСЗУ і впровадження додаткових медичних пакетів.</w:t>
      </w:r>
    </w:p>
    <w:p>
      <w:pPr>
        <w:pStyle w:val="Normal"/>
        <w:rPr>
          <w:rFonts w:eastAsia="Times New Roman"/>
          <w:color w:themeColor="dark1" w:val="000000"/>
          <w:lang w:val="uk-UA"/>
        </w:rPr>
      </w:pPr>
      <w:r>
        <w:rPr>
          <w:rFonts w:eastAsia="Times New Roman"/>
          <w:color w:themeColor="dark1" w:val="000000"/>
          <w:lang w:val="uk-UA"/>
        </w:rPr>
        <w:t>Розвиток реабілітаційного напрямку, впровадження телемедицини та модернізація матеріально-технічної бази визначено як основні перспективи КНП «Південнівська міська лікарня».</w:t>
      </w:r>
    </w:p>
    <w:p>
      <w:pPr>
        <w:pStyle w:val="Normal"/>
        <w:rPr>
          <w:rFonts w:eastAsia="Times New Roman"/>
          <w:color w:themeColor="dark1" w:val="000000"/>
          <w:lang w:val="uk-UA"/>
        </w:rPr>
      </w:pPr>
      <w:r>
        <w:rPr>
          <w:rFonts w:eastAsia="Times New Roman"/>
          <w:i/>
          <w:iCs/>
          <w:color w:themeColor="dark1" w:val="000000"/>
          <w:lang w:val="uk-UA"/>
        </w:rPr>
        <w:t>Апробація результатів роботи</w:t>
      </w:r>
    </w:p>
    <w:p>
      <w:pPr>
        <w:pStyle w:val="Normal"/>
        <w:rPr>
          <w:rFonts w:eastAsia="Times New Roman"/>
          <w:color w:themeColor="dark1" w:val="000000"/>
          <w:lang w:val="uk-UA"/>
        </w:rPr>
      </w:pPr>
      <w:r>
        <w:rPr>
          <w:rFonts w:eastAsia="Times New Roman"/>
          <w:color w:themeColor="dark1" w:val="000000"/>
          <w:lang w:val="uk-UA"/>
        </w:rPr>
        <w:t>Основні результати дослідження були представлені на міжнародній науковій конференції «Сучасні напрями змін в управлінні охороною здоров’я: модернізація, якість, психологія та комунікація» (Одеса, 30 травня 2025 р.) у співавторстві з Рудінською О.В., Красіленко Т.М.</w:t>
      </w:r>
    </w:p>
    <w:p>
      <w:pPr>
        <w:pStyle w:val="Normal"/>
        <w:rPr>
          <w:rFonts w:eastAsia="Times New Roman"/>
          <w:color w:themeColor="dark1" w:val="000000"/>
          <w:lang w:val="uk-UA"/>
        </w:rPr>
      </w:pPr>
      <w:r>
        <w:rPr>
          <w:rFonts w:eastAsia="Times New Roman"/>
          <w:i/>
          <w:iCs/>
          <w:color w:themeColor="dark1" w:val="000000"/>
          <w:lang w:val="uk-UA"/>
        </w:rPr>
        <w:t>Структура та обсяг кваліфікаційної роботи</w:t>
      </w:r>
    </w:p>
    <w:p>
      <w:pPr>
        <w:pStyle w:val="Normal"/>
        <w:rPr>
          <w:rFonts w:eastAsia="Times New Roman"/>
          <w:color w:themeColor="dark1" w:val="000000"/>
          <w:lang w:val="uk-UA"/>
        </w:rPr>
      </w:pPr>
      <w:r>
        <w:rPr>
          <w:rFonts w:eastAsia="Times New Roman"/>
          <w:color w:themeColor="dark1" w:val="000000"/>
          <w:lang w:val="uk-UA"/>
        </w:rPr>
        <w:t xml:space="preserve">Робота складається зі вступу, трьох розділів, висновків, списку використаних джерел і додатків. Загальний обсяг становить </w:t>
      </w:r>
      <w:r>
        <w:rPr>
          <w:rFonts w:eastAsia="Times New Roman"/>
          <w:color w:themeColor="dark1" w:val="000000"/>
        </w:rPr>
        <w:t>9</w:t>
      </w:r>
      <w:r>
        <w:rPr>
          <w:rFonts w:eastAsia="Times New Roman"/>
          <w:color w:themeColor="dark1" w:val="000000"/>
          <w:lang w:val="en-GB"/>
        </w:rPr>
        <w:t>1</w:t>
      </w:r>
      <w:r>
        <w:rPr>
          <w:rFonts w:eastAsia="Times New Roman"/>
          <w:color w:themeColor="dark1" w:val="000000"/>
          <w:lang w:val="uk-UA"/>
        </w:rPr>
        <w:t xml:space="preserve"> сторінки, з яких </w:t>
      </w:r>
      <w:r>
        <w:rPr>
          <w:rFonts w:eastAsia="Times New Roman"/>
          <w:color w:themeColor="dark1" w:val="000000"/>
        </w:rPr>
        <w:t>87</w:t>
      </w:r>
      <w:r>
        <w:rPr>
          <w:rFonts w:eastAsia="Times New Roman"/>
          <w:color w:themeColor="dark1" w:val="000000"/>
          <w:lang w:val="uk-UA"/>
        </w:rPr>
        <w:t xml:space="preserve"> сторін</w:t>
      </w:r>
      <w:r>
        <w:rPr>
          <w:rFonts w:eastAsia="Times New Roman"/>
          <w:color w:themeColor="dark1" w:val="000000"/>
        </w:rPr>
        <w:t>ок</w:t>
      </w:r>
      <w:r>
        <w:rPr>
          <w:rFonts w:eastAsia="Times New Roman"/>
          <w:color w:themeColor="dark1" w:val="000000"/>
          <w:lang w:val="uk-UA"/>
        </w:rPr>
        <w:t xml:space="preserve"> основного тексту. У роботі міститься 17 таблиць та 11 рисунків, список використаних джерел налічує 51 найменування.</w:t>
      </w:r>
    </w:p>
    <w:p>
      <w:pPr>
        <w:pStyle w:val="Normal"/>
        <w:rPr>
          <w:lang w:val="uk-UA"/>
        </w:rPr>
      </w:pPr>
      <w:r>
        <w:rPr>
          <w:lang w:val="uk-UA"/>
        </w:rPr>
      </w:r>
    </w:p>
    <w:p>
      <w:pPr>
        <w:pStyle w:val="Normal"/>
        <w:rPr>
          <w:lang w:val="uk-UA"/>
        </w:rPr>
      </w:pPr>
      <w:r>
        <w:rPr>
          <w:lang w:val="uk-UA"/>
        </w:rPr>
      </w:r>
      <w:r>
        <w:br w:type="page"/>
      </w:r>
    </w:p>
    <w:p>
      <w:pPr>
        <w:pStyle w:val="Normal"/>
        <w:keepNext w:val="true"/>
        <w:keepLines/>
        <w:numPr>
          <w:ilvl w:val="0"/>
          <w:numId w:val="0"/>
        </w:numPr>
        <w:snapToGrid w:val="false"/>
        <w:spacing w:before="0" w:after="0"/>
        <w:ind w:hanging="0"/>
        <w:jc w:val="center"/>
        <w:outlineLvl w:val="0"/>
        <w:rPr>
          <w:rFonts w:eastAsia="Times New Roman"/>
          <w:b/>
          <w:color w:val="000000"/>
          <w:kern w:val="2"/>
          <w:szCs w:val="40"/>
          <w:lang w:val="uk-UA"/>
        </w:rPr>
      </w:pPr>
      <w:bookmarkStart w:id="3" w:name="_Toc200703979"/>
      <w:r>
        <w:rPr>
          <w:rFonts w:eastAsia="Times New Roman"/>
          <w:b/>
          <w:color w:val="000000"/>
          <w:kern w:val="2"/>
          <w:szCs w:val="40"/>
          <w:lang w:val="uk-UA"/>
        </w:rPr>
        <w:t>РОЗДІЛ 1. ТЕОРЕТИЧНІ ЗАСАДИ УПРАВЛІННЯ ПЕРСОНАЛОМ У СФЕРІ ОХОРОНИ ЗДОРОВ'Я</w:t>
      </w:r>
      <w:bookmarkEnd w:id="3"/>
    </w:p>
    <w:p>
      <w:pPr>
        <w:pStyle w:val="Normal"/>
        <w:keepNext w:val="true"/>
        <w:keepLines/>
        <w:numPr>
          <w:ilvl w:val="0"/>
          <w:numId w:val="0"/>
        </w:numPr>
        <w:snapToGrid w:val="false"/>
        <w:ind w:hanging="0"/>
        <w:jc w:val="center"/>
        <w:outlineLvl w:val="0"/>
        <w:rPr>
          <w:rFonts w:eastAsia="Times New Roman"/>
          <w:b/>
          <w:color w:val="000000"/>
          <w:kern w:val="2"/>
          <w:szCs w:val="40"/>
          <w:lang w:val="uk-UA"/>
        </w:rPr>
      </w:pPr>
      <w:bookmarkStart w:id="4" w:name="_Toc200703980"/>
      <w:r>
        <w:rPr>
          <w:rFonts w:eastAsia="Times New Roman"/>
          <w:b/>
          <w:color w:val="000000"/>
          <w:kern w:val="2"/>
          <w:szCs w:val="40"/>
          <w:lang w:val="uk-UA"/>
        </w:rPr>
        <w:t>1.1. Сутність і значення управління персоналом у закладах охорони здоров’я</w:t>
      </w:r>
      <w:bookmarkEnd w:id="4"/>
    </w:p>
    <w:p>
      <w:pPr>
        <w:pStyle w:val="Normal"/>
        <w:ind w:firstLine="720"/>
        <w:rPr>
          <w:rFonts w:eastAsia="Calibri"/>
          <w:szCs w:val="22"/>
          <w:lang w:val="uk-UA"/>
        </w:rPr>
      </w:pPr>
      <w:r>
        <w:rPr>
          <w:rFonts w:eastAsia="Calibri"/>
          <w:szCs w:val="22"/>
          <w:lang w:val="uk-UA"/>
        </w:rPr>
      </w:r>
    </w:p>
    <w:p>
      <w:pPr>
        <w:pStyle w:val="Normal"/>
        <w:ind w:firstLine="720"/>
        <w:rPr>
          <w:rFonts w:eastAsia="Calibri"/>
          <w:szCs w:val="22"/>
          <w:lang w:val="uk-UA"/>
        </w:rPr>
      </w:pPr>
      <w:r>
        <w:rPr>
          <w:rFonts w:eastAsia="Calibri"/>
          <w:szCs w:val="22"/>
          <w:lang w:val="uk-UA"/>
        </w:rPr>
        <w:t>У сучасному суспільстві система охорони здоров’я виконує не лише соціальну, а й стратегічну функцію, забезпечуючи життєдіяльність нації, її працездатність і стабільність розвитку. Основою цієї системи є не стільки медична техніка чи інфраструктура, скільки людський ресурс – персонал, що здійснює безпосереднє обслуговування населення, надає медичну допомогу, займається профілактикою, лікуванням і реабілітацією. Саме тому питання ефективного управління персоналом у закладах охорони здоров’я набуває особливої актуальності, оскільки воно безпосередньо впливає на якість і доступність медичних послуг, рівень задоволеності пацієнтів, а також ефективність використання фінансових і матеріальних ресурсів.</w:t>
      </w:r>
    </w:p>
    <w:p>
      <w:pPr>
        <w:pStyle w:val="Normal"/>
        <w:ind w:firstLine="720"/>
        <w:rPr>
          <w:rFonts w:eastAsia="Calibri"/>
          <w:szCs w:val="22"/>
          <w:lang w:val="uk-UA"/>
        </w:rPr>
      </w:pPr>
      <w:r>
        <w:rPr>
          <w:rFonts w:eastAsia="Calibri"/>
          <w:szCs w:val="22"/>
          <w:lang w:val="uk-UA"/>
        </w:rPr>
        <w:t>Управління персоналом у сфері охорони здоров’я охоплює широкий спектр функцій і процесів, які спрямовані на формування, підтримку, розвиток і оптимальне використання кадрового потенціалу закладів охорони здоров’я. Йдеться не лише про організацію роботи медичних працівників, але і про створення системи мотивації, професійного розвитку, адаптації, оцінювання, просування по службі, формування командної роботи, розвитку лідерських якостей, підтримки морального клімату в колективі тощо. Сутність управління персоналом полягає в інтеграції людських ресурсів в організаційну стратегію медичного закладу, забезпеченні збалансованості між потребами працівників і цілями організації [</w:t>
      </w:r>
      <w:r>
        <w:rPr>
          <w:rFonts w:eastAsia="Calibri"/>
          <w:szCs w:val="22"/>
          <w:lang w:val="en-GB"/>
        </w:rPr>
        <w:t>21</w:t>
      </w:r>
      <w:r>
        <w:rPr>
          <w:rFonts w:eastAsia="Calibri"/>
          <w:szCs w:val="22"/>
          <w:lang w:val="uk-UA"/>
        </w:rPr>
        <w:t>].</w:t>
      </w:r>
    </w:p>
    <w:p>
      <w:pPr>
        <w:pStyle w:val="Normal"/>
        <w:ind w:firstLine="720"/>
        <w:rPr>
          <w:rFonts w:eastAsia="Calibri"/>
          <w:szCs w:val="22"/>
          <w:lang w:val="uk-UA"/>
        </w:rPr>
      </w:pPr>
      <w:r>
        <w:rPr>
          <w:rFonts w:eastAsia="Calibri"/>
          <w:szCs w:val="22"/>
          <w:lang w:val="uk-UA"/>
        </w:rPr>
        <w:t>Медичний персонал – це специфічна категорія працівників, яка відрізняється високим рівнем професіоналізму, відповідальності, морально-етичних вимог та схильністю до емоційного вигорання. Тому ефективне управління ними потребує комплексного підходу, заснованого на принципах гуманності, професійної етики, соціального партнерства та безперервного навчання. Враховуючи стрімкі зміни в системі охорони здоров’я України, зокрема впровадження медичної реформи, автономізацію закладів, зміну джерел фінансування та орієнтацію на конкурентне середовище, управління персоналом стає одним із ключових факторів адаптації медичних установ до нових умов.</w:t>
      </w:r>
    </w:p>
    <w:p>
      <w:pPr>
        <w:pStyle w:val="Normal"/>
        <w:ind w:firstLine="720"/>
        <w:rPr>
          <w:rFonts w:eastAsia="Calibri"/>
          <w:szCs w:val="22"/>
          <w:lang w:val="uk-UA"/>
        </w:rPr>
      </w:pPr>
      <w:r>
        <w:rPr>
          <w:rFonts w:eastAsia="Calibri"/>
          <w:szCs w:val="22"/>
          <w:lang w:val="uk-UA"/>
        </w:rPr>
        <w:t>Визначення сутності управління персоналом у медичній сфері варто починати з розуміння основних функцій кадрового менеджменту. До таких функцій належать: планування потреб у персоналі, набір та відбір кадрів, оцінювання ефективності праці, організація системи мотивації, підвищення кваліфікації, управління кар’єрою, розвиток корпоративної культури, забезпечення соціального захисту працівників тощо. Ці процеси мають бути взаємопов’язаними та узгодженими з загальною стратегією медичного закладу. Наприклад, ефективне планування потреб у персоналі дозволяє уникнути як дефіциту, так і надлишку кадрів, що є надзвичайно важливим в умовах обмежених ресурсів.</w:t>
      </w:r>
    </w:p>
    <w:p>
      <w:pPr>
        <w:pStyle w:val="Normal"/>
        <w:ind w:hanging="0"/>
        <w:rPr>
          <w:rFonts w:eastAsia="Calibri"/>
          <w:szCs w:val="22"/>
          <w:lang w:val="uk-UA"/>
        </w:rPr>
      </w:pPr>
      <w:r>
        <w:rPr/>
        <w:drawing>
          <wp:inline distT="0" distB="0" distL="0" distR="0">
            <wp:extent cx="6118860" cy="38557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4"/>
                    <a:stretch>
                      <a:fillRect/>
                    </a:stretch>
                  </pic:blipFill>
                  <pic:spPr bwMode="auto">
                    <a:xfrm>
                      <a:off x="0" y="0"/>
                      <a:ext cx="6118860" cy="3855720"/>
                    </a:xfrm>
                    <a:prstGeom prst="rect">
                      <a:avLst/>
                    </a:prstGeom>
                    <a:noFill/>
                  </pic:spPr>
                </pic:pic>
              </a:graphicData>
            </a:graphic>
          </wp:inline>
        </w:drawing>
      </w:r>
    </w:p>
    <w:p>
      <w:pPr>
        <w:pStyle w:val="Normal"/>
        <w:ind w:hanging="0"/>
        <w:jc w:val="center"/>
        <w:rPr>
          <w:rFonts w:eastAsia="Calibri"/>
          <w:szCs w:val="22"/>
          <w:lang w:val="uk-UA"/>
        </w:rPr>
      </w:pPr>
      <w:r>
        <w:rPr>
          <w:rFonts w:eastAsia="Calibri"/>
          <w:szCs w:val="22"/>
          <w:lang w:val="uk-UA"/>
        </w:rPr>
        <w:t>Рис 1.1 «Взаємозв’язок ключових функцій управління персоналом у закладах охорони здоров’я та їх вплив на якість медичних послуг»</w:t>
      </w:r>
    </w:p>
    <w:p>
      <w:pPr>
        <w:pStyle w:val="Normal"/>
        <w:ind w:firstLine="720"/>
        <w:rPr>
          <w:rFonts w:eastAsia="Calibri"/>
          <w:szCs w:val="22"/>
          <w:lang w:val="uk-UA"/>
        </w:rPr>
      </w:pPr>
      <w:r>
        <w:rPr>
          <w:rFonts w:eastAsia="Calibri"/>
          <w:szCs w:val="22"/>
          <w:lang w:val="uk-UA"/>
        </w:rPr>
        <w:t>Сутність управління персоналом у сфері охорони здоров’я полягає в інтеграції кадрових процесів у загальну стратегію медичного закладу. Кожен з елементів управлінської системи виконує важливу роль у забезпеченні ефективності, стійкості та якості надання медичних послуг. Формування кадрового потенціалу закладу включає процеси добору, планування та розстановки кадрів, що дозволяє уникати як дефіциту, так і надлишку працівників. Розвиток персоналу охоплює підвищення кваліфікації, навчання та підтримку професійного зростання, сприяючи адаптації до змін у системі охорони здоров’я.</w:t>
      </w:r>
    </w:p>
    <w:p>
      <w:pPr>
        <w:pStyle w:val="Normal"/>
        <w:ind w:firstLine="720"/>
        <w:rPr>
          <w:rFonts w:eastAsia="Calibri"/>
          <w:szCs w:val="22"/>
          <w:lang w:val="uk-UA"/>
        </w:rPr>
      </w:pPr>
      <w:r>
        <w:rPr>
          <w:rFonts w:eastAsia="Calibri"/>
          <w:szCs w:val="22"/>
          <w:lang w:val="uk-UA"/>
        </w:rPr>
        <w:t>Мотивація персоналу, як матеріальна, так і нематеріальна, безпосередньо впливає на рівень залученості працівників, їхню лояльність і бажання забезпечувати високі стандарти обслуговування. Оцінювання результатів діяльності дозволяє своєчасно реагувати на проблеми, виявляти резерви для зростання та підтримувати високу якість роботи. Розбудова командної взаємодії сприяє ефективній комунікації, злагодженості підрозділів і зменшенню внутрішніх конфліктів. Важливою складовою є дотримання професійної етики та створення сприятливого морального клімату, що зміцнює довіру з боку пацієнтів і колег[3].</w:t>
      </w:r>
    </w:p>
    <w:p>
      <w:pPr>
        <w:pStyle w:val="Normal"/>
        <w:ind w:firstLine="720"/>
        <w:rPr>
          <w:rFonts w:eastAsia="Calibri"/>
          <w:szCs w:val="22"/>
          <w:lang w:val="uk-UA"/>
        </w:rPr>
      </w:pPr>
      <w:r>
        <w:rPr>
          <w:rFonts w:eastAsia="Calibri"/>
          <w:szCs w:val="22"/>
          <w:lang w:val="uk-UA"/>
        </w:rPr>
        <w:t>Адаптаційні процеси, особливо в періоди змін чи криз, забезпечують швидке входження нових працівників у колектив, підтримку під час викликів та запобігання професійному вигоранню. Кризове управління персоналом в умовах пандемії, воєнного стану чи інших надзвичайних ситуацій має вирішальне значення для стійкості медичної системи. Інноваційні підходи в HR-менеджменті, зокрема цифровізація, прогнозування потреб, аналітика персоналу, дозволяють закладам адаптуватися до нових реалій, удосконалювати процеси та підвищувати результативність управлінських рішень.</w:t>
      </w:r>
    </w:p>
    <w:p>
      <w:pPr>
        <w:pStyle w:val="Normal"/>
        <w:ind w:firstLine="720"/>
        <w:rPr>
          <w:rFonts w:eastAsia="Calibri"/>
          <w:szCs w:val="22"/>
          <w:lang w:val="uk-UA"/>
        </w:rPr>
      </w:pPr>
      <w:r>
        <w:rPr>
          <w:rFonts w:eastAsia="Calibri"/>
          <w:szCs w:val="22"/>
          <w:lang w:val="uk-UA"/>
        </w:rPr>
        <w:t>Значення управління персоналом у медичних установах особливо актуалізується в контексті забезпечення якості медичних послуг. Дослідження свідчать, що основним фактором задоволеності пацієнтів лікуванням є не лише доступ до послуг, а якість спілкування з персоналом, компетентність лікарів, увага до потреб пацієнта. У свою чергу, ці чинники залежать від кваліфікації, мотивації, емоційного стану та лояльності працівників. Отже, інвестиції в розвиток людського капіталу медичних закладів мають не менш важливе значення, ніж модернізація технічної бази.</w:t>
      </w:r>
    </w:p>
    <w:p>
      <w:pPr>
        <w:pStyle w:val="Normal"/>
        <w:ind w:firstLine="720"/>
        <w:rPr>
          <w:rFonts w:eastAsia="Calibri"/>
          <w:szCs w:val="22"/>
          <w:lang w:val="uk-UA"/>
        </w:rPr>
      </w:pPr>
      <w:r>
        <w:rPr>
          <w:rFonts w:eastAsia="Calibri"/>
          <w:szCs w:val="22"/>
          <w:lang w:val="uk-UA"/>
        </w:rPr>
        <w:t>Крім того, ефективне управління персоналом дозволяє забезпечити злагодженість роботи підрозділів, мінімізувати конфлікти, підвищити продуктивність праці, зменшити рівень плинності кадрів, створити позитивний імідж закладу як роботодавця. Системна робота з персоналом передбачає не лише вирішення поточних організаційних питань, але й стратегічне мислення – створення кадрового резерву, прогнозування змін на ринку праці, впровадження інноваційних підходів у роботі з персоналом, адаптація до змін у законодавстві, реформуванні галузі.</w:t>
      </w:r>
    </w:p>
    <w:p>
      <w:pPr>
        <w:pStyle w:val="Normal"/>
        <w:ind w:firstLine="720"/>
        <w:rPr>
          <w:rFonts w:eastAsia="Calibri"/>
          <w:szCs w:val="22"/>
          <w:lang w:val="uk-UA"/>
        </w:rPr>
      </w:pPr>
      <w:r>
        <w:rPr>
          <w:rFonts w:eastAsia="Calibri"/>
          <w:szCs w:val="22"/>
          <w:lang w:val="uk-UA"/>
        </w:rPr>
        <w:t>В умовах медичної реформи питання кадрової політики набуває особливої ваги. Ринкові механізми, що впроваджуються в медичну сферу, вимагають від керівників медичних закладів нових компетенцій – вміння працювати в умовах конкуренції, залучати та утримувати найкращих працівників, розробляти системи мотивації, орієнтовані на результат. Одним із головних завдань є формування лояльної, професійної та вмотивованої команди, здатної забезпечити високу якість послуг і адаптуватися до змін[</w:t>
      </w:r>
      <w:r>
        <w:rPr>
          <w:rFonts w:eastAsia="Calibri"/>
          <w:szCs w:val="22"/>
          <w:lang w:val="en-GB"/>
        </w:rPr>
        <w:t>22</w:t>
      </w:r>
      <w:r>
        <w:rPr>
          <w:rFonts w:eastAsia="Calibri"/>
          <w:szCs w:val="22"/>
          <w:lang w:val="uk-UA"/>
        </w:rPr>
        <w:t>].</w:t>
      </w:r>
    </w:p>
    <w:p>
      <w:pPr>
        <w:pStyle w:val="Normal"/>
        <w:ind w:firstLine="720"/>
        <w:rPr>
          <w:rFonts w:eastAsia="Calibri"/>
          <w:szCs w:val="22"/>
          <w:lang w:val="uk-UA"/>
        </w:rPr>
      </w:pPr>
      <w:r>
        <w:rPr>
          <w:rFonts w:eastAsia="Calibri"/>
          <w:szCs w:val="22"/>
          <w:lang w:val="uk-UA"/>
        </w:rPr>
        <w:t>Управління персоналом у закладах охорони здоров’я України здійснюється відповідно до чинної нормативно-правової бази, яка охоплює як національні законодавчі акти, так і міжнародні документи, що встановлюють основні принципи кадрової політики, вимоги до професіоналізму медичних працівників, механізми їх мотивації, соціального захисту, а також забезпечення ефективності управління в умовах реформування системи охорони здоров’я. Базовим документом, який закладає фундамент для регулювання цієї сфери, є Закон України «Основи законодавства України про охорону здоров’я». Він визначає основні права та обов’язки медичного персоналу, встановлює принципи професійної етики та гарантує державну підтримку медичних працівників як ключових суб’єктів надання медичних послуг.</w:t>
      </w:r>
    </w:p>
    <w:p>
      <w:pPr>
        <w:pStyle w:val="Normal"/>
        <w:ind w:firstLine="720"/>
        <w:rPr>
          <w:rFonts w:eastAsia="Calibri"/>
          <w:szCs w:val="22"/>
          <w:lang w:val="uk-UA"/>
        </w:rPr>
      </w:pPr>
      <w:r>
        <w:rPr>
          <w:rFonts w:eastAsia="Calibri"/>
          <w:szCs w:val="22"/>
          <w:lang w:val="uk-UA"/>
        </w:rPr>
        <w:t>Кодекс законів про працю України, хоча й застарілий у багатьох аспектах, досі виконує роль основного правового акту у сфері трудових відносин, зокрема в медичних установах. У ньому врегульовані питання робочого часу, умов праці, правового захисту працівників, охорони праці, оплати, відпусток. Паралельно з ним активно використовується Закон України «Про державні фінансові гарантії медичного обслуговування населення», який закладає нові механізми фінансування системи охорони здоров’я через НСЗУ, що прямо впливає на кадрову політику закладів: розподіл коштів, стимулювання персоналу, встановлення пріоритетів у роботі з людським ресурсом.</w:t>
      </w:r>
    </w:p>
    <w:p>
      <w:pPr>
        <w:pStyle w:val="Normal"/>
        <w:ind w:firstLine="720"/>
        <w:rPr>
          <w:rFonts w:eastAsia="Calibri"/>
          <w:szCs w:val="22"/>
          <w:lang w:val="uk-UA"/>
        </w:rPr>
      </w:pPr>
      <w:r>
        <w:rPr>
          <w:rFonts w:eastAsia="Calibri"/>
          <w:szCs w:val="22"/>
          <w:lang w:val="uk-UA"/>
        </w:rPr>
        <w:t>Окрему увагу приділено умовам оплати праці, які регулюються постановою Кабінету Міністрів України № 1098. Цей документ деталізує тарифні сітки, передбачає можливість преміювання, доплат за нічні зміни, стаж тощо, що дозволяє закладам охорони здоров’я більш гнучко реагувати на потреби працівників. Важливим є і наказ МОЗ № 33 від 2000 року, який встановлює Примірне положення про управління персоналом у закладі охорони здоров’я. У ньому визначені функції кадрових підрозділів, порядок організації підбору персоналу, оцінювання, атестації, а також питання підвищення кваліфікації.</w:t>
      </w:r>
    </w:p>
    <w:p>
      <w:pPr>
        <w:pStyle w:val="Normal"/>
        <w:ind w:firstLine="720"/>
        <w:rPr>
          <w:rFonts w:eastAsia="Calibri"/>
          <w:szCs w:val="22"/>
          <w:lang w:val="uk-UA"/>
        </w:rPr>
      </w:pPr>
      <w:r>
        <w:rPr>
          <w:rFonts w:eastAsia="Calibri"/>
          <w:szCs w:val="22"/>
          <w:lang w:val="uk-UA"/>
        </w:rPr>
        <w:t>Наказ МОЗ № 681 від 2013 року, яким затверджено Концепцію розвитку системи управління якістю медичної допомоги, вводить інтеграцію HR-функцій у загальний менеджмент якості, наголошуючи на важливості персоналу в забезпеченні безперервного вдосконалення послуг. А наказ № 157 від 2022 року конкретизує професійно-кваліфікаційні характеристики працівників, що необхідно враховувати при підборі та розвитку персоналу. Усі ці акти формують єдине середовище нормативного управління кадрами у медичних установах, де кожен документ має своє функціональне призначення, але в сукупності створюють цілісну кадрову систему[</w:t>
      </w:r>
      <w:r>
        <w:rPr>
          <w:rFonts w:eastAsia="Calibri"/>
          <w:szCs w:val="22"/>
          <w:lang w:val="en-GB"/>
        </w:rPr>
        <w:t>35</w:t>
      </w:r>
      <w:r>
        <w:rPr>
          <w:rFonts w:eastAsia="Calibri"/>
          <w:szCs w:val="22"/>
          <w:lang w:val="uk-UA"/>
        </w:rPr>
        <w:t>].</w:t>
      </w:r>
    </w:p>
    <w:p>
      <w:pPr>
        <w:pStyle w:val="Normal"/>
        <w:ind w:firstLine="720"/>
        <w:rPr>
          <w:rFonts w:eastAsia="Calibri"/>
          <w:szCs w:val="22"/>
          <w:lang w:val="uk-UA"/>
        </w:rPr>
      </w:pPr>
      <w:r>
        <w:rPr>
          <w:rFonts w:eastAsia="Calibri"/>
          <w:szCs w:val="22"/>
          <w:lang w:val="uk-UA"/>
        </w:rPr>
        <w:t>Серед стратегічних документів варто відзначити Стратегію розвитку системи охорони здоров’я України на 2020–2030 роки. Вона визначає ключові напрями кадрової політики: підвищення престижу професії, розвиток лідерських компетенцій керівників, цифровізацію управління персоналом, створення умов для безперервного професійного навчання. Цей документ також вказує на необхідність впровадження сучасних HR-технологій, розробки прозорих механізмів оцінювання ефективності роботи персоналу та посилення інституційної спроможності закладів у сфері управління людськими ресурсами.</w:t>
      </w:r>
    </w:p>
    <w:p>
      <w:pPr>
        <w:pStyle w:val="Normal"/>
        <w:ind w:firstLine="720"/>
        <w:rPr>
          <w:rFonts w:eastAsia="Calibri"/>
          <w:szCs w:val="22"/>
          <w:lang w:val="uk-UA"/>
        </w:rPr>
      </w:pPr>
      <w:r>
        <w:rPr>
          <w:rFonts w:eastAsia="Calibri"/>
          <w:szCs w:val="22"/>
          <w:lang w:val="uk-UA"/>
        </w:rPr>
        <w:t>На додачу до українського законодавства, важливу роль відіграють міжнародні стандарти, зокрема «WHO Global Strategy on Human Resources for Health: Workforce 2030», яка встановлює рамки для ефективної кадрової політики на глобальному рівні. У ній наголошується на важливості стратегічного планування, оцінки потреб у кадрах, стимулювання мобільності, створення сприятливого середовища праці. Також у контексті захисту прав медичних працівників та гарантування належних умов праці слід звернутися до Європейської соціальної хартії, яка встановлює стандарти соціального захисту, зокрема у частині тривалості робочого дня, безпеки праці та відпочинку.</w:t>
      </w:r>
    </w:p>
    <w:p>
      <w:pPr>
        <w:pStyle w:val="Normal"/>
        <w:ind w:firstLine="720"/>
        <w:rPr>
          <w:rFonts w:eastAsia="Calibri"/>
          <w:szCs w:val="22"/>
          <w:lang w:val="uk-UA"/>
        </w:rPr>
      </w:pPr>
      <w:r>
        <w:rPr>
          <w:rFonts w:eastAsia="Calibri"/>
          <w:szCs w:val="22"/>
          <w:lang w:val="uk-UA"/>
        </w:rPr>
        <w:t>Особливе значення управління персоналом набуває у зв’язку з викликами, які постають перед системою охорони здоров’я у кризові періоди – пандемії, збройні конфлікти, масові міграції населення. Такі ситуації висвітлюють важливість наявності кризових стратегій управління, швидкого реагування, психологічної підтримки персоналу, розподілу навантаження, мобілізації ресурсів. У таких умовах управління персоналом виходить за межі звичайної адміністративної діяльності й перетворюється на стратегічний інструмент забезпечення стійкості системи охорони здоров’я[5].</w:t>
      </w:r>
    </w:p>
    <w:p>
      <w:pPr>
        <w:pStyle w:val="Normal"/>
        <w:ind w:firstLine="720"/>
        <w:rPr>
          <w:rFonts w:eastAsia="Calibri"/>
          <w:szCs w:val="22"/>
          <w:lang w:val="uk-UA"/>
        </w:rPr>
      </w:pPr>
      <w:r>
        <w:rPr>
          <w:rFonts w:eastAsia="Calibri"/>
          <w:szCs w:val="22"/>
          <w:lang w:val="uk-UA"/>
        </w:rPr>
        <w:t>Ще одним важливим аспектом є забезпечення професійного розвитку персоналу. Сфера охорони здоров’я швидко змінюється під впливом нових технологій, наукових відкриттів, цифровізації. Тому постійне навчання, перепідготовка, підвищення кваліфікації є необхідною умовою підтримки високого рівня професіоналізму. Управління персоналом має включати механізми виявлення потреб у навчанні, планування програм розвитку, створення можливостей для неформального навчання, обміну досвідом, наставництва[</w:t>
      </w:r>
      <w:r>
        <w:rPr>
          <w:rFonts w:eastAsia="Calibri"/>
          <w:szCs w:val="22"/>
          <w:lang w:val="en-GB"/>
        </w:rPr>
        <w:t>40</w:t>
      </w:r>
      <w:r>
        <w:rPr>
          <w:rFonts w:eastAsia="Calibri"/>
          <w:szCs w:val="22"/>
          <w:lang w:val="uk-UA"/>
        </w:rPr>
        <w:t>].</w:t>
      </w:r>
    </w:p>
    <w:p>
      <w:pPr>
        <w:pStyle w:val="Normal"/>
        <w:ind w:firstLine="720"/>
        <w:rPr>
          <w:rFonts w:eastAsia="Calibri"/>
          <w:szCs w:val="22"/>
          <w:lang w:val="uk-UA"/>
        </w:rPr>
      </w:pPr>
      <w:r>
        <w:rPr>
          <w:rFonts w:eastAsia="Calibri"/>
          <w:szCs w:val="22"/>
          <w:lang w:val="uk-UA"/>
        </w:rPr>
        <w:t>Кадровий менеджмент також передбачає впровадження принципів гендерної рівності, недискримінації, підтримки інклюзивності в робочому середовищі, що є вкрай важливим у сфері охорони здоров’я, де працюють представники різних вікових, гендерних, соціальних груп. Забезпечення рівних можливостей, справедлива оплата праці, підтримка балансу між роботою та особистим життям сприяють формуванню позитивного морально-психологічного клімату в колективі.</w:t>
      </w:r>
    </w:p>
    <w:p>
      <w:pPr>
        <w:pStyle w:val="Normal"/>
        <w:ind w:firstLine="720"/>
        <w:rPr>
          <w:rFonts w:eastAsia="Calibri"/>
          <w:szCs w:val="22"/>
          <w:lang w:val="uk-UA"/>
        </w:rPr>
      </w:pPr>
      <w:r>
        <w:rPr>
          <w:rFonts w:eastAsia="Calibri"/>
          <w:szCs w:val="22"/>
          <w:lang w:val="uk-UA"/>
        </w:rPr>
        <w:t>Значення управління персоналом також полягає у формуванні організаційної культури медичного закладу. Вона охоплює цінності, традиції, норми поведінки, стиль керівництва, взаємини між працівниками та пацієнтами. Культура, орієнтована на пацієнта, розвиток і підтримку працівників, інновації та етику, є запорукою стабільного розвитку медичного закладу.</w:t>
      </w:r>
    </w:p>
    <w:p>
      <w:pPr>
        <w:pStyle w:val="Normal"/>
        <w:ind w:firstLine="720"/>
        <w:jc w:val="end"/>
        <w:rPr>
          <w:rFonts w:eastAsia="Calibri"/>
          <w:szCs w:val="22"/>
          <w:lang w:val="uk-UA"/>
        </w:rPr>
      </w:pPr>
      <w:r>
        <w:rPr>
          <w:rFonts w:eastAsia="Calibri"/>
          <w:szCs w:val="22"/>
          <w:lang w:val="uk-UA"/>
        </w:rPr>
        <w:t>Таблиця 1.1</w:t>
      </w:r>
    </w:p>
    <w:p>
      <w:pPr>
        <w:pStyle w:val="Normal"/>
        <w:ind w:hanging="0"/>
        <w:jc w:val="center"/>
        <w:rPr>
          <w:rFonts w:eastAsia="Calibri"/>
          <w:szCs w:val="22"/>
          <w:lang w:val="uk-UA"/>
        </w:rPr>
      </w:pPr>
      <w:r>
        <w:rPr>
          <w:rFonts w:eastAsia="Calibri"/>
          <w:szCs w:val="22"/>
          <w:lang w:val="uk-UA"/>
        </w:rPr>
        <w:t>Порівняння основних функцій управління персоналом у медичних закладах та їх впливу на якість медичних послуг</w:t>
      </w:r>
    </w:p>
    <w:tbl>
      <w:tblPr>
        <w:tblW w:w="9630" w:type="dxa"/>
        <w:jc w:val="start"/>
        <w:tblInd w:w="0" w:type="dxa"/>
        <w:tblLayout w:type="fixed"/>
        <w:tblCellMar>
          <w:top w:w="0" w:type="dxa"/>
          <w:start w:w="108" w:type="dxa"/>
          <w:bottom w:w="0" w:type="dxa"/>
          <w:end w:w="108" w:type="dxa"/>
        </w:tblCellMar>
      </w:tblPr>
      <w:tblGrid>
        <w:gridCol w:w="2354"/>
        <w:gridCol w:w="3213"/>
        <w:gridCol w:w="4063"/>
      </w:tblGrid>
      <w:tr>
        <w:trPr>
          <w:trHeight w:val="936" w:hRule="atLeast"/>
        </w:trPr>
        <w:tc>
          <w:tcPr>
            <w:tcW w:w="235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eastAsia="Times New Roman"/>
                <w:b/>
                <w:bCs/>
                <w:szCs w:val="24"/>
                <w:lang w:val="uk-UA"/>
              </w:rPr>
            </w:pPr>
            <w:r>
              <w:rPr>
                <w:rFonts w:eastAsia="Times New Roman"/>
                <w:b/>
                <w:bCs/>
                <w:kern w:val="2"/>
                <w:sz w:val="24"/>
                <w:szCs w:val="24"/>
                <w:lang w:val="uk-UA" w:eastAsia="en-US" w:bidi="ar-SA"/>
              </w:rPr>
              <w:t>Функція управління персоналом</w:t>
            </w:r>
          </w:p>
        </w:tc>
        <w:tc>
          <w:tcPr>
            <w:tcW w:w="321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eastAsia="Times New Roman"/>
                <w:b/>
                <w:bCs/>
                <w:szCs w:val="24"/>
                <w:lang w:val="uk-UA"/>
              </w:rPr>
            </w:pPr>
            <w:r>
              <w:rPr>
                <w:rFonts w:eastAsia="Times New Roman"/>
                <w:b/>
                <w:bCs/>
                <w:kern w:val="2"/>
                <w:sz w:val="24"/>
                <w:szCs w:val="24"/>
                <w:lang w:val="uk-UA" w:eastAsia="en-US" w:bidi="ar-SA"/>
              </w:rPr>
              <w:t>Короткий опис функції</w:t>
            </w:r>
          </w:p>
        </w:tc>
        <w:tc>
          <w:tcPr>
            <w:tcW w:w="406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eastAsia="Times New Roman"/>
                <w:b/>
                <w:bCs/>
                <w:szCs w:val="24"/>
                <w:lang w:val="uk-UA"/>
              </w:rPr>
            </w:pPr>
            <w:r>
              <w:rPr>
                <w:rFonts w:eastAsia="Times New Roman"/>
                <w:b/>
                <w:bCs/>
                <w:kern w:val="2"/>
                <w:sz w:val="24"/>
                <w:szCs w:val="24"/>
                <w:lang w:val="uk-UA" w:eastAsia="en-US" w:bidi="ar-SA"/>
              </w:rPr>
              <w:t>Вплив на якість медичних послуг</w:t>
            </w:r>
          </w:p>
        </w:tc>
      </w:tr>
      <w:tr>
        <w:trPr/>
        <w:tc>
          <w:tcPr>
            <w:tcW w:w="235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Планування персоналу</w:t>
            </w:r>
          </w:p>
        </w:tc>
        <w:tc>
          <w:tcPr>
            <w:tcW w:w="321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Визначення потреби у кількості та якості кадрів</w:t>
            </w:r>
          </w:p>
        </w:tc>
        <w:tc>
          <w:tcPr>
            <w:tcW w:w="406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Забезпечення належного кадрового забезпечення відділень, уникнення дефіциту фахівців</w:t>
            </w:r>
          </w:p>
        </w:tc>
      </w:tr>
      <w:tr>
        <w:trPr/>
        <w:tc>
          <w:tcPr>
            <w:tcW w:w="235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Добір і найм</w:t>
            </w:r>
          </w:p>
        </w:tc>
        <w:tc>
          <w:tcPr>
            <w:tcW w:w="321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Пошук, оцінка та прийом кандидатів</w:t>
            </w:r>
          </w:p>
        </w:tc>
        <w:tc>
          <w:tcPr>
            <w:tcW w:w="406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Підвищення кваліфікації персоналу, відповідність вимогам посади</w:t>
            </w:r>
          </w:p>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r>
          </w:p>
        </w:tc>
      </w:tr>
      <w:tr>
        <w:trPr/>
        <w:tc>
          <w:tcPr>
            <w:tcW w:w="235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Адаптація нових працівників</w:t>
            </w:r>
          </w:p>
        </w:tc>
        <w:tc>
          <w:tcPr>
            <w:tcW w:w="321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Введення у колектив, ознайомлення з культурою, інструктаж</w:t>
            </w:r>
          </w:p>
        </w:tc>
        <w:tc>
          <w:tcPr>
            <w:tcW w:w="406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Зниження стресу, швидка інтеграція в роботу, зменшення кількості помилок</w:t>
            </w:r>
          </w:p>
        </w:tc>
      </w:tr>
      <w:tr>
        <w:trPr/>
        <w:tc>
          <w:tcPr>
            <w:tcW w:w="235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Оцінювання діяльності</w:t>
            </w:r>
          </w:p>
        </w:tc>
        <w:tc>
          <w:tcPr>
            <w:tcW w:w="321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Систематична перевірка результатів праці</w:t>
            </w:r>
          </w:p>
        </w:tc>
        <w:tc>
          <w:tcPr>
            <w:tcW w:w="406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Мотивація до покращення результатів, контроль за дотриманням стандартів</w:t>
            </w:r>
          </w:p>
        </w:tc>
      </w:tr>
      <w:tr>
        <w:trPr/>
        <w:tc>
          <w:tcPr>
            <w:tcW w:w="235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Навчання і розвиток</w:t>
            </w:r>
          </w:p>
        </w:tc>
        <w:tc>
          <w:tcPr>
            <w:tcW w:w="321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Підвищення кваліфікації, участь у тренінгах, семінарах</w:t>
            </w:r>
          </w:p>
        </w:tc>
        <w:tc>
          <w:tcPr>
            <w:tcW w:w="406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Професійне зростання, якісне обслуговування пацієнтів</w:t>
            </w:r>
          </w:p>
        </w:tc>
      </w:tr>
      <w:tr>
        <w:trPr/>
        <w:tc>
          <w:tcPr>
            <w:tcW w:w="235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Мотивація</w:t>
            </w:r>
          </w:p>
        </w:tc>
        <w:tc>
          <w:tcPr>
            <w:tcW w:w="321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Матеріальні та нематеріальні заохочення</w:t>
            </w:r>
          </w:p>
        </w:tc>
        <w:tc>
          <w:tcPr>
            <w:tcW w:w="406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Підвищення залученості, зниження плинності кадрів, збереження досвіду</w:t>
            </w:r>
          </w:p>
        </w:tc>
      </w:tr>
      <w:tr>
        <w:trPr/>
        <w:tc>
          <w:tcPr>
            <w:tcW w:w="235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Соціальний захист</w:t>
            </w:r>
          </w:p>
        </w:tc>
        <w:tc>
          <w:tcPr>
            <w:tcW w:w="321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Страхування, охорона праці, пільги</w:t>
            </w:r>
          </w:p>
        </w:tc>
        <w:tc>
          <w:tcPr>
            <w:tcW w:w="406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Зменшення вигорання, підвищення лояльності та відданості закладу</w:t>
            </w:r>
          </w:p>
        </w:tc>
      </w:tr>
      <w:tr>
        <w:trPr/>
        <w:tc>
          <w:tcPr>
            <w:tcW w:w="235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Формування кадрового резерву</w:t>
            </w:r>
          </w:p>
        </w:tc>
        <w:tc>
          <w:tcPr>
            <w:tcW w:w="321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Підготовка співробітників до заміщення ключових посад</w:t>
            </w:r>
          </w:p>
        </w:tc>
        <w:tc>
          <w:tcPr>
            <w:tcW w:w="406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Гарантія безперервності надання послуг при кадрових змінах</w:t>
            </w:r>
          </w:p>
        </w:tc>
      </w:tr>
      <w:tr>
        <w:trPr/>
        <w:tc>
          <w:tcPr>
            <w:tcW w:w="235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Управління кар’єрою</w:t>
            </w:r>
          </w:p>
        </w:tc>
        <w:tc>
          <w:tcPr>
            <w:tcW w:w="321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Створення умов для просування по службі</w:t>
            </w:r>
          </w:p>
        </w:tc>
        <w:tc>
          <w:tcPr>
            <w:tcW w:w="406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Стимулювання до самореалізації, підвищення рівня відповідальності</w:t>
            </w:r>
          </w:p>
        </w:tc>
      </w:tr>
      <w:tr>
        <w:trPr/>
        <w:tc>
          <w:tcPr>
            <w:tcW w:w="235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Формування організаційної культури</w:t>
            </w:r>
          </w:p>
        </w:tc>
        <w:tc>
          <w:tcPr>
            <w:tcW w:w="321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Забезпечення цінностей, комунікацій та взаємоповаги в колективі</w:t>
            </w:r>
          </w:p>
        </w:tc>
        <w:tc>
          <w:tcPr>
            <w:tcW w:w="406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Позитивний моральний клімат, покращення спілкування з пацієнтами</w:t>
            </w:r>
          </w:p>
        </w:tc>
      </w:tr>
    </w:tbl>
    <w:p>
      <w:pPr>
        <w:pStyle w:val="Normal"/>
        <w:ind w:firstLine="720"/>
        <w:rPr>
          <w:rFonts w:eastAsia="Calibri"/>
          <w:i/>
          <w:i/>
          <w:iCs/>
          <w:sz w:val="24"/>
          <w:szCs w:val="24"/>
          <w:lang w:val="uk-UA"/>
        </w:rPr>
      </w:pPr>
      <w:r>
        <w:rPr>
          <w:rFonts w:eastAsia="Calibri"/>
          <w:i/>
          <w:iCs/>
          <w:sz w:val="24"/>
          <w:szCs w:val="24"/>
          <w:lang w:val="uk-UA"/>
        </w:rPr>
        <w:t>Створено автором на основі джерела [</w:t>
      </w:r>
      <w:r>
        <w:rPr>
          <w:rFonts w:eastAsia="Calibri"/>
          <w:i/>
          <w:iCs/>
          <w:sz w:val="24"/>
          <w:szCs w:val="24"/>
          <w:lang w:val="en-GB"/>
        </w:rPr>
        <w:t>29</w:t>
      </w:r>
      <w:r>
        <w:rPr>
          <w:rFonts w:eastAsia="Calibri"/>
          <w:i/>
          <w:iCs/>
          <w:sz w:val="24"/>
          <w:szCs w:val="24"/>
          <w:lang w:val="uk-UA"/>
        </w:rPr>
        <w:t>]</w:t>
      </w:r>
    </w:p>
    <w:p>
      <w:pPr>
        <w:pStyle w:val="Normal"/>
        <w:ind w:hanging="0"/>
        <w:rPr>
          <w:rFonts w:eastAsia="Calibri"/>
          <w:szCs w:val="22"/>
          <w:lang w:val="uk-UA"/>
        </w:rPr>
      </w:pPr>
      <w:r>
        <w:rPr>
          <w:rFonts w:eastAsia="Calibri"/>
          <w:szCs w:val="22"/>
          <w:lang w:val="uk-UA"/>
        </w:rPr>
      </w:r>
    </w:p>
    <w:p>
      <w:pPr>
        <w:pStyle w:val="Normal"/>
        <w:ind w:firstLine="720"/>
        <w:rPr>
          <w:rFonts w:eastAsia="Calibri"/>
          <w:szCs w:val="22"/>
        </w:rPr>
      </w:pPr>
      <w:r>
        <w:rPr>
          <w:rFonts w:eastAsia="Calibri"/>
          <w:szCs w:val="22"/>
        </w:rPr>
        <w:t>Управління персоналом у медичних закладах становить комплексну систему, у межах якої кожна функція формує специфічний внесок у забезпечення якості медичних послуг. Вихідним етапом виступає планування персоналу, що передбачає визначення необхідної чисельності та рівня компетентності працівників. Грамотне планування дозволяє запобігти кадровому дефіциту у відділеннях, забезпечити належне навантаження на медичний персонал і підтримувати безперервність надання медичної допомоги. У цьому контексті добір і найм кадрів слугують продовженням планувальної функції та спрямовані на пошук, оцінювання та прийняття на роботу кандидатів, які відповідають професійним вимогам. Висока якість відбору зменшує ризики компромісних призначень, сприяє підвищенню кваліфікаційного рівня медичного персоналу та забезпечує відповідність професійних компетенцій посадовим вимогам.</w:t>
      </w:r>
    </w:p>
    <w:p>
      <w:pPr>
        <w:pStyle w:val="Normal"/>
        <w:ind w:firstLine="720"/>
        <w:rPr>
          <w:rFonts w:eastAsia="Calibri"/>
          <w:szCs w:val="22"/>
        </w:rPr>
      </w:pPr>
      <w:r>
        <w:rPr>
          <w:rFonts w:eastAsia="Calibri"/>
          <w:szCs w:val="22"/>
        </w:rPr>
        <w:t>Важливою складовою управління людськими ресурсами є адаптація нових працівників. Ця функція забезпечує інтеграцію співробітника в колектив, ознайомлення з організаційною культурою, специфікою внутрішніх процесів і стандартами діяльності. Завдяки ефективним адаптаційним заходам знижується рівень професійного стресу, скорочується період входження в роботу, а також зменшується ймовірність помилок, що має особливо високе значення в галузі охорони здоров’я. Подальшим інструментом забезпечення якості виступає оцінювання діяльності персоналу. Систематичне відстеження професійних результатів дає змогу контролювати рівень виконання стандартів, коригувати поведінкові та професійні відхилення й мотивувати медичних працівників до підвищення ефективності своєї діяльності.</w:t>
      </w:r>
    </w:p>
    <w:p>
      <w:pPr>
        <w:pStyle w:val="Normal"/>
        <w:ind w:firstLine="720"/>
        <w:rPr>
          <w:rFonts w:eastAsia="Calibri"/>
          <w:szCs w:val="22"/>
        </w:rPr>
      </w:pPr>
      <w:r>
        <w:rPr>
          <w:rFonts w:eastAsia="Calibri"/>
          <w:szCs w:val="22"/>
        </w:rPr>
        <w:t>Значну роль у підвищенні якості медичних послуг відіграє навчання та розвиток персоналу. Підвищення кваліфікації, участь у тренінгах, семінарах і професійних курсах забезпечує актуальність знань, удосконалення практичних навичок та формування професійного мислення, що безпосередньо впливає на результативність лікувального процесу та рівень задоволеності пацієнтів. У цьому контексті функція мотивації виступає механізмом підтримання трудового потенціалу. Поєднання матеріальних і нематеріальних заохочень сприяє зміцненню залученості працівників, зниженню плинності кадрів і збереженню цінного досвіду, що є критичним фактором стабільності закладу охорони здоров’я.</w:t>
      </w:r>
    </w:p>
    <w:p>
      <w:pPr>
        <w:pStyle w:val="Normal"/>
        <w:ind w:firstLine="720"/>
        <w:rPr>
          <w:rFonts w:eastAsia="Calibri"/>
          <w:szCs w:val="22"/>
        </w:rPr>
      </w:pPr>
      <w:r>
        <w:rPr>
          <w:rFonts w:eastAsia="Calibri"/>
          <w:szCs w:val="22"/>
        </w:rPr>
        <w:t>Соціальний захист, включаючи страхування, охорону праці та систему пільг, впливає на емоційний стан співробітників, зменшує ризики професійного вигорання та формує лояльність до організації. Високий рівень соціального забезпечення сприяє не лише підвищенню ефективності праці, а й формуванню відчуття безпеки та довіри до роботодавця. Стратегічні функції управління персоналом, такі як формування кадрового резерву та управління кар’єрою, орієнтовані на довгостроковий розвиток організації. Підготовка співробітників до заміщення ключових посад дозволяє запобігти кадровим розривам і забезпечити безперервність надання медичних послуг, а створення умов для кар’єрного зростання стимулює працівників до самореалізації, підвищує рівень відповідальності та ініціативності.</w:t>
      </w:r>
    </w:p>
    <w:p>
      <w:pPr>
        <w:pStyle w:val="Normal"/>
        <w:ind w:firstLine="720"/>
        <w:rPr>
          <w:rFonts w:eastAsia="Calibri"/>
          <w:szCs w:val="22"/>
        </w:rPr>
      </w:pPr>
      <w:r>
        <w:rPr>
          <w:rFonts w:eastAsia="Calibri"/>
          <w:szCs w:val="22"/>
        </w:rPr>
        <w:t xml:space="preserve">Завершальним елементом системи управління персоналом є формування організаційної культури, яка охоплює ціннісні орієнтири, норми взаємодії, комунікативні стандарти та атмосферу взаємоповаги в колективі. Сприятливий морально-психологічний клімат зменшує внутрішні конфлікти, створює конструктивне робоче середовище й підвищує рівень комунікації між персоналом і пацієнтами. У сукупності ці функції демонструють, що якість медичних послуг є результатом системного управління людськими ресурсами, де кожен елемент </w:t>
      </w:r>
      <w:r>
        <w:rPr>
          <w:rFonts w:eastAsia="Calibri"/>
          <w:szCs w:val="22"/>
          <w:lang w:val="uk-UA"/>
        </w:rPr>
        <w:t>–</w:t>
      </w:r>
      <w:r>
        <w:rPr>
          <w:rFonts w:eastAsia="Calibri"/>
          <w:szCs w:val="22"/>
        </w:rPr>
        <w:t xml:space="preserve"> від планування кадрів до формування ціннісних принципів </w:t>
      </w:r>
      <w:r>
        <w:rPr>
          <w:rFonts w:eastAsia="Calibri"/>
          <w:szCs w:val="22"/>
          <w:lang w:val="uk-UA"/>
        </w:rPr>
        <w:t>–</w:t>
      </w:r>
      <w:r>
        <w:rPr>
          <w:rFonts w:eastAsia="Calibri"/>
          <w:szCs w:val="22"/>
        </w:rPr>
        <w:t xml:space="preserve"> формує підґрунтя для професійної діяльності, безперервності медичного процесу та довіри пацієнтів до закладу охорони здоров’я.</w:t>
      </w:r>
    </w:p>
    <w:p>
      <w:pPr>
        <w:pStyle w:val="Normal"/>
        <w:ind w:firstLine="720"/>
        <w:rPr>
          <w:rFonts w:eastAsia="Calibri"/>
          <w:szCs w:val="22"/>
          <w:lang w:val="uk-UA"/>
        </w:rPr>
      </w:pPr>
      <w:r>
        <w:rPr>
          <w:rFonts w:eastAsia="Calibri"/>
          <w:szCs w:val="22"/>
          <w:lang w:val="uk-UA"/>
        </w:rPr>
        <w:t>Сутність управління персоналом у закладах охорони здоров’я полягає в створенні ефективної системи роботи з медичними кадрами, яка дозволяє максимально розкрити потенціал працівників, забезпечити якість медичних послуг, адаптуватися до змін у зовнішньому середовищі та досягати стратегічних цілей організації. Його значення виходить за межі внутрішніх процесів і має безпосередній вплив на соціальне благополуччя, довіру громадян до медичної системи та загальний рівень здоров’я населення.</w:t>
      </w:r>
    </w:p>
    <w:p>
      <w:pPr>
        <w:pStyle w:val="Normal"/>
        <w:ind w:firstLine="720"/>
        <w:rPr>
          <w:rFonts w:eastAsia="Calibri"/>
          <w:szCs w:val="22"/>
          <w:lang w:val="uk-UA"/>
        </w:rPr>
      </w:pPr>
      <w:r>
        <w:rPr>
          <w:rFonts w:eastAsia="Calibri"/>
          <w:szCs w:val="22"/>
          <w:lang w:val="uk-UA"/>
        </w:rPr>
      </w:r>
    </w:p>
    <w:p>
      <w:pPr>
        <w:pStyle w:val="Heading1"/>
        <w:rPr>
          <w:rFonts w:eastAsia="Times New Roman"/>
          <w:lang w:val="uk-UA"/>
        </w:rPr>
      </w:pPr>
      <w:bookmarkStart w:id="5" w:name="_Toc200703981"/>
      <w:r>
        <w:rPr>
          <w:rFonts w:eastAsia="Times New Roman"/>
          <w:lang w:val="uk-UA"/>
        </w:rPr>
        <w:t>1.2. Особливості кадрової політики у сфері охорони здоров’я</w:t>
      </w:r>
      <w:bookmarkEnd w:id="5"/>
    </w:p>
    <w:p>
      <w:pPr>
        <w:pStyle w:val="Normal"/>
        <w:ind w:firstLine="720"/>
        <w:rPr>
          <w:rFonts w:eastAsia="Calibri"/>
          <w:szCs w:val="22"/>
          <w:lang w:val="uk-UA"/>
        </w:rPr>
      </w:pPr>
      <w:r>
        <w:rPr>
          <w:rFonts w:eastAsia="Calibri"/>
          <w:szCs w:val="22"/>
          <w:lang w:val="uk-UA"/>
        </w:rPr>
      </w:r>
    </w:p>
    <w:p>
      <w:pPr>
        <w:pStyle w:val="Normal"/>
        <w:ind w:firstLine="720"/>
        <w:rPr>
          <w:rFonts w:eastAsia="Calibri"/>
          <w:szCs w:val="22"/>
          <w:lang w:val="uk-UA"/>
        </w:rPr>
      </w:pPr>
      <w:r>
        <w:rPr>
          <w:rFonts w:eastAsia="Calibri"/>
          <w:szCs w:val="22"/>
          <w:lang w:val="uk-UA"/>
        </w:rPr>
        <w:t>Кадрова політика в системі охорони здоров’я України є важливою складовою загальної державної політики у сфері забезпечення соціального добробуту населення та формування кадрового потенціалу галузі, який здатен ефективно реагувати на виклики сьогодення. Сфера охорони здоров’я має високу соціальну значущість, оскільки її діяльність безпосередньо стосується життя і здоров’я громадян. У зв’язку з цим кадрова політика у цій галузі має певні особливості, обумовлені як специфікою самої професійної діяльності, так і сучасними соціально-економічними умовами функціонування медичних установ. Вона потребує стратегічного підходу, оскільки формує не тільки поточний, а й перспективний кадровий ресурс держав[</w:t>
      </w:r>
      <w:r>
        <w:rPr>
          <w:rFonts w:eastAsia="Calibri"/>
          <w:szCs w:val="22"/>
          <w:lang w:val="en-GB"/>
        </w:rPr>
        <w:t>36</w:t>
      </w:r>
      <w:r>
        <w:rPr>
          <w:rFonts w:eastAsia="Calibri"/>
          <w:szCs w:val="22"/>
          <w:lang w:val="uk-UA"/>
        </w:rPr>
        <w:t>].</w:t>
      </w:r>
    </w:p>
    <w:p>
      <w:pPr>
        <w:pStyle w:val="Normal"/>
        <w:ind w:firstLine="720"/>
        <w:jc w:val="end"/>
        <w:rPr>
          <w:rFonts w:eastAsia="Calibri"/>
          <w:szCs w:val="22"/>
          <w:lang w:val="uk-UA"/>
        </w:rPr>
      </w:pPr>
      <w:r>
        <w:rPr>
          <w:rFonts w:eastAsia="Calibri"/>
          <w:szCs w:val="22"/>
          <w:lang w:val="uk-UA"/>
        </w:rPr>
        <w:t>Таблиця 1.2</w:t>
      </w:r>
    </w:p>
    <w:p>
      <w:pPr>
        <w:pStyle w:val="Normal"/>
        <w:ind w:hanging="0"/>
        <w:jc w:val="center"/>
        <w:rPr>
          <w:rFonts w:eastAsia="Calibri"/>
          <w:szCs w:val="22"/>
          <w:lang w:val="uk-UA"/>
        </w:rPr>
      </w:pPr>
      <w:r>
        <w:rPr>
          <w:rFonts w:eastAsia="Calibri"/>
          <w:szCs w:val="22"/>
          <w:lang w:val="uk-UA"/>
        </w:rPr>
        <w:t>Основні особливості кадрової політики у сфері охорони здоров’я України</w:t>
      </w:r>
    </w:p>
    <w:tbl>
      <w:tblPr>
        <w:tblW w:w="9630" w:type="dxa"/>
        <w:jc w:val="start"/>
        <w:tblInd w:w="0" w:type="dxa"/>
        <w:tblLayout w:type="fixed"/>
        <w:tblCellMar>
          <w:top w:w="0" w:type="dxa"/>
          <w:start w:w="108" w:type="dxa"/>
          <w:bottom w:w="0" w:type="dxa"/>
          <w:end w:w="108" w:type="dxa"/>
        </w:tblCellMar>
      </w:tblPr>
      <w:tblGrid>
        <w:gridCol w:w="2510"/>
        <w:gridCol w:w="3581"/>
        <w:gridCol w:w="3539"/>
      </w:tblGrid>
      <w:tr>
        <w:trPr/>
        <w:tc>
          <w:tcPr>
            <w:tcW w:w="251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eastAsia="Times New Roman"/>
                <w:b/>
                <w:bCs/>
                <w:szCs w:val="24"/>
                <w:lang w:val="uk-UA"/>
              </w:rPr>
            </w:pPr>
            <w:r>
              <w:rPr>
                <w:rFonts w:eastAsia="Times New Roman"/>
                <w:b/>
                <w:bCs/>
                <w:kern w:val="2"/>
                <w:sz w:val="24"/>
                <w:szCs w:val="24"/>
                <w:lang w:val="uk-UA" w:eastAsia="en-US" w:bidi="ar-SA"/>
              </w:rPr>
              <w:t>Ознака/аспект</w:t>
            </w:r>
          </w:p>
        </w:tc>
        <w:tc>
          <w:tcPr>
            <w:tcW w:w="358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eastAsia="Times New Roman"/>
                <w:b/>
                <w:bCs/>
                <w:szCs w:val="24"/>
                <w:lang w:val="uk-UA"/>
              </w:rPr>
            </w:pPr>
            <w:r>
              <w:rPr>
                <w:rFonts w:eastAsia="Times New Roman"/>
                <w:b/>
                <w:bCs/>
                <w:kern w:val="2"/>
                <w:sz w:val="24"/>
                <w:szCs w:val="24"/>
                <w:lang w:val="uk-UA" w:eastAsia="en-US" w:bidi="ar-SA"/>
              </w:rPr>
              <w:t>Характеристика</w:t>
            </w:r>
          </w:p>
        </w:tc>
        <w:tc>
          <w:tcPr>
            <w:tcW w:w="3539"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eastAsia="Times New Roman"/>
                <w:b/>
                <w:bCs/>
                <w:szCs w:val="24"/>
                <w:lang w:val="uk-UA"/>
              </w:rPr>
            </w:pPr>
            <w:r>
              <w:rPr>
                <w:rFonts w:eastAsia="Times New Roman"/>
                <w:b/>
                <w:bCs/>
                <w:kern w:val="2"/>
                <w:sz w:val="24"/>
                <w:szCs w:val="24"/>
                <w:lang w:val="uk-UA" w:eastAsia="en-US" w:bidi="ar-SA"/>
              </w:rPr>
              <w:t>Вплив на систему охорони здоров’я</w:t>
            </w:r>
          </w:p>
        </w:tc>
      </w:tr>
      <w:tr>
        <w:trPr/>
        <w:tc>
          <w:tcPr>
            <w:tcW w:w="251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Високі вимоги до професіоналізму</w:t>
            </w:r>
          </w:p>
        </w:tc>
        <w:tc>
          <w:tcPr>
            <w:tcW w:w="358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Постійне навчання, сертифікація, дотримання етичних норм</w:t>
            </w:r>
          </w:p>
        </w:tc>
        <w:tc>
          <w:tcPr>
            <w:tcW w:w="3539"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Підвищення якості надання медичних послуг</w:t>
            </w:r>
          </w:p>
        </w:tc>
      </w:tr>
      <w:tr>
        <w:trPr/>
        <w:tc>
          <w:tcPr>
            <w:tcW w:w="251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Хронічний дефіцит кадрів</w:t>
            </w:r>
          </w:p>
        </w:tc>
        <w:tc>
          <w:tcPr>
            <w:tcW w:w="358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Недостатня кількість медперсоналу, міграція, вигорання</w:t>
            </w:r>
          </w:p>
        </w:tc>
        <w:tc>
          <w:tcPr>
            <w:tcW w:w="3539"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Зростання навантаження, погіршення доступу до медичної допомоги</w:t>
            </w:r>
          </w:p>
        </w:tc>
      </w:tr>
      <w:tr>
        <w:trPr/>
        <w:tc>
          <w:tcPr>
            <w:tcW w:w="251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Регіональні диспропорції</w:t>
            </w:r>
          </w:p>
        </w:tc>
        <w:tc>
          <w:tcPr>
            <w:tcW w:w="358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Брак кадрів у сільській місцевості</w:t>
            </w:r>
          </w:p>
        </w:tc>
        <w:tc>
          <w:tcPr>
            <w:tcW w:w="3539"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Нерівномірність у доступі до медичних послуг</w:t>
            </w:r>
          </w:p>
        </w:tc>
      </w:tr>
      <w:tr>
        <w:trPr/>
        <w:tc>
          <w:tcPr>
            <w:tcW w:w="251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Перехід до автономізації закладів</w:t>
            </w:r>
          </w:p>
        </w:tc>
        <w:tc>
          <w:tcPr>
            <w:tcW w:w="358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Децентралізація, самостійне формування кадрової політики</w:t>
            </w:r>
          </w:p>
        </w:tc>
        <w:tc>
          <w:tcPr>
            <w:tcW w:w="3539"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Більше можливостей для гнучкого управління, зростання відповідальності керівників</w:t>
            </w:r>
          </w:p>
        </w:tc>
      </w:tr>
      <w:tr>
        <w:trPr/>
        <w:tc>
          <w:tcPr>
            <w:tcW w:w="251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Недосконала мотиваційна система</w:t>
            </w:r>
          </w:p>
        </w:tc>
        <w:tc>
          <w:tcPr>
            <w:tcW w:w="358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Обмеженість у матеріальному стимулюванні, слабка система нематеріальних заохочень</w:t>
            </w:r>
          </w:p>
        </w:tc>
        <w:tc>
          <w:tcPr>
            <w:tcW w:w="3539"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Зниження мотивації та лояльності персоналу</w:t>
            </w:r>
          </w:p>
        </w:tc>
      </w:tr>
      <w:tr>
        <w:trPr/>
        <w:tc>
          <w:tcPr>
            <w:tcW w:w="251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Емоційне навантаження та вигорання</w:t>
            </w:r>
          </w:p>
        </w:tc>
        <w:tc>
          <w:tcPr>
            <w:tcW w:w="358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Високий рівень стресу, особливо під час пандемії та воєнних подій</w:t>
            </w:r>
          </w:p>
        </w:tc>
        <w:tc>
          <w:tcPr>
            <w:tcW w:w="3539"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Погіршення психологічного клімату, зростання плинності кадрів</w:t>
            </w:r>
          </w:p>
        </w:tc>
      </w:tr>
      <w:tr>
        <w:trPr/>
        <w:tc>
          <w:tcPr>
            <w:tcW w:w="251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Відсутність єдиної кадрової стратегії</w:t>
            </w:r>
          </w:p>
        </w:tc>
        <w:tc>
          <w:tcPr>
            <w:tcW w:w="358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Кадрові рішення часто приймаються ситуативно</w:t>
            </w:r>
          </w:p>
        </w:tc>
        <w:tc>
          <w:tcPr>
            <w:tcW w:w="3539"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Неузгодженість дій, фрагментарне управління</w:t>
            </w:r>
          </w:p>
        </w:tc>
      </w:tr>
      <w:tr>
        <w:trPr/>
        <w:tc>
          <w:tcPr>
            <w:tcW w:w="251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Потреба в цифровізації кадрових процесів</w:t>
            </w:r>
          </w:p>
        </w:tc>
        <w:tc>
          <w:tcPr>
            <w:tcW w:w="358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Впровадження HRM-систем, електронних баз, онлайн-інструментів</w:t>
            </w:r>
          </w:p>
        </w:tc>
        <w:tc>
          <w:tcPr>
            <w:tcW w:w="3539"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Підвищення ефективності, прозорості та контрольованості управлінських процесів</w:t>
            </w:r>
          </w:p>
        </w:tc>
      </w:tr>
      <w:tr>
        <w:trPr/>
        <w:tc>
          <w:tcPr>
            <w:tcW w:w="251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Невизначеність законодавчого середовища</w:t>
            </w:r>
          </w:p>
        </w:tc>
        <w:tc>
          <w:tcPr>
            <w:tcW w:w="358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Часті зміни нормативної бази, нестабільність вимог</w:t>
            </w:r>
          </w:p>
        </w:tc>
        <w:tc>
          <w:tcPr>
            <w:tcW w:w="3539"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Ускладнення довгострокового планування кадрової політики</w:t>
            </w:r>
          </w:p>
        </w:tc>
      </w:tr>
    </w:tbl>
    <w:p>
      <w:pPr>
        <w:pStyle w:val="Normal"/>
        <w:ind w:firstLine="720"/>
        <w:rPr>
          <w:rFonts w:eastAsia="Calibri"/>
          <w:i/>
          <w:i/>
          <w:iCs/>
          <w:sz w:val="24"/>
          <w:szCs w:val="24"/>
          <w:lang w:val="uk-UA"/>
        </w:rPr>
      </w:pPr>
      <w:r>
        <w:rPr>
          <w:rFonts w:eastAsia="Calibri"/>
          <w:i/>
          <w:iCs/>
          <w:sz w:val="24"/>
          <w:szCs w:val="24"/>
          <w:lang w:val="uk-UA"/>
        </w:rPr>
        <w:t>Створено автором на основі джерела [</w:t>
      </w:r>
      <w:r>
        <w:rPr>
          <w:rFonts w:eastAsia="Calibri"/>
          <w:i/>
          <w:iCs/>
          <w:sz w:val="24"/>
          <w:szCs w:val="24"/>
          <w:lang w:val="en-GB"/>
        </w:rPr>
        <w:t>34</w:t>
      </w:r>
      <w:r>
        <w:rPr>
          <w:rFonts w:eastAsia="Calibri"/>
          <w:i/>
          <w:iCs/>
          <w:sz w:val="24"/>
          <w:szCs w:val="24"/>
          <w:lang w:val="uk-UA"/>
        </w:rPr>
        <w:t>]</w:t>
      </w:r>
    </w:p>
    <w:p>
      <w:pPr>
        <w:pStyle w:val="Normal"/>
        <w:ind w:firstLine="720"/>
        <w:rPr>
          <w:rFonts w:eastAsia="Calibri"/>
          <w:szCs w:val="22"/>
          <w:lang w:val="uk-UA"/>
        </w:rPr>
      </w:pPr>
      <w:r>
        <w:rPr>
          <w:rFonts w:eastAsia="Calibri"/>
          <w:szCs w:val="22"/>
          <w:lang w:val="uk-UA"/>
        </w:rPr>
      </w:r>
    </w:p>
    <w:p>
      <w:pPr>
        <w:pStyle w:val="Normal"/>
        <w:ind w:firstLine="720"/>
        <w:rPr>
          <w:rFonts w:eastAsia="Calibri"/>
          <w:szCs w:val="22"/>
          <w:lang w:val="uk-UA"/>
        </w:rPr>
      </w:pPr>
      <w:r>
        <w:rPr>
          <w:rFonts w:eastAsia="Calibri"/>
          <w:szCs w:val="22"/>
          <w:lang w:val="uk-UA"/>
        </w:rPr>
        <w:t>Кадрова політика у сфері охорони здоров’я України має низку специфічних характеристик, які формуються під впливом професійних стандартів, економічних умов, регуляторного середовища та соціально-політичних процесів. Її головною особливістю є високі вимоги до професіоналізму медичного персоналу. Система підготовки та підвищення кваліфікації передбачає безперервне навчання, проходження сертифікацій, стажувань і дотримання етичних норм, що забезпечує зростання якості медичних послуг. Водночас кадровий потенціал характеризується хронічним дефіцитом, спричиненим недостатньою кількістю медичного персоналу, трудовою міграцією та професійним вигоранням. Це зумовлює підвищення навантаження на наявних працівників, зниження доступності медичної допомоги та погіршення умов надання послуг.</w:t>
      </w:r>
    </w:p>
    <w:p>
      <w:pPr>
        <w:pStyle w:val="Normal"/>
        <w:ind w:firstLine="720"/>
        <w:rPr>
          <w:rFonts w:eastAsia="Calibri"/>
          <w:szCs w:val="22"/>
          <w:lang w:val="uk-UA"/>
        </w:rPr>
      </w:pPr>
      <w:r>
        <w:rPr>
          <w:rFonts w:eastAsia="Calibri"/>
          <w:szCs w:val="22"/>
          <w:lang w:val="uk-UA"/>
        </w:rPr>
        <w:t>Суттєвою проблемою є регіональні диспропорції у забезпеченні кадрами. У сільській місцевості спостерігається значний дефіцит фахівців, що призводить до нерівномірності доступу населення до якісної медичної допомоги та формує просторову нерівність у сфері охорони здоров’я. У цьому контексті важливу роль відіграє перехід до автономізації медичних закладів, який передбачає децентралізацію управління та надання закладам права формувати власну кадрову політику. Такий підхід розширює можливості для адаптації кадрових рішень до локальних потреб, однак одночасно підвищує відповідальність керівників та вимагає від них стратегічної компетентності.</w:t>
      </w:r>
    </w:p>
    <w:p>
      <w:pPr>
        <w:pStyle w:val="Normal"/>
        <w:ind w:firstLine="720"/>
        <w:rPr>
          <w:rFonts w:eastAsia="Calibri"/>
          <w:szCs w:val="22"/>
          <w:lang w:val="uk-UA"/>
        </w:rPr>
      </w:pPr>
      <w:r>
        <w:rPr>
          <w:rFonts w:eastAsia="Calibri"/>
          <w:szCs w:val="22"/>
          <w:lang w:val="uk-UA"/>
        </w:rPr>
        <w:t>Одним із ключових обмежень кадрової системи є недосконала мотиваційна модель. Обмежені можливості матеріального стимулювання в поєднанні зі слабкими механізмами нематеріальних заохочень призводять до зниження мотивації, падіння рівня лояльності персоналу та втрати висококваліфікованих фахівців. Додатковим негативним чинником виступає значне емоційне навантаження, зокрема в умовах пандемії COVID-19 та воєнних подій, яке сприяє посиленню психологічного вигорання та зростанню плинності кадрів. Це створює ризики погіршення морально-психологічного клімату в колективах і зниження довгострокової стабільності кадрового складу.</w:t>
      </w:r>
    </w:p>
    <w:p>
      <w:pPr>
        <w:pStyle w:val="Normal"/>
        <w:ind w:firstLine="720"/>
        <w:rPr>
          <w:rFonts w:eastAsia="Calibri"/>
          <w:szCs w:val="22"/>
          <w:lang w:val="uk-UA"/>
        </w:rPr>
      </w:pPr>
      <w:r>
        <w:rPr>
          <w:rFonts w:eastAsia="Calibri"/>
          <w:szCs w:val="22"/>
          <w:lang w:val="uk-UA"/>
        </w:rPr>
        <w:t>Кадрова політика також ускладнюється відсутністю єдиної національної кадрової стратегії в галузі охорони здоров’я: рішення нерідко приймаються ситуативно, без узгодженості між рівнями управління. Це формує фрагментарне управління та знижує ефективність кадрових процесів. Водночас сучасний розвиток медичної галузі потребує активного впровадження цифрових інструментів. Розвиток HRM-систем, електронних баз працівників, онлайн-анкетування та цифрового документообігу сприяє підвищенню прозорості, контрольованості й оптимізації кадрових процесів. Однак реалізація цих ініціатив потребує фінансових ресурсів, технічної готовності та компетентностей персоналу.</w:t>
      </w:r>
    </w:p>
    <w:p>
      <w:pPr>
        <w:pStyle w:val="Normal"/>
        <w:ind w:firstLine="720"/>
        <w:rPr>
          <w:rFonts w:eastAsia="Calibri"/>
          <w:szCs w:val="22"/>
          <w:lang w:val="uk-UA"/>
        </w:rPr>
      </w:pPr>
      <w:r>
        <w:rPr>
          <w:rFonts w:eastAsia="Calibri"/>
          <w:szCs w:val="22"/>
          <w:lang w:val="uk-UA"/>
        </w:rPr>
        <w:t>Не менш важливим аспектом є нормативна невизначеність. Часті зміни законодавства, нестабільність регуляторних вимог і недостатня передбачуваність державної політики ускладнюють стратегічне планування кадрового розвитку медичних закладів. Це обмежує можливості формування довгострокових програм утримання, навчання та розвитку персоналу, а також погіршує кадрову безпеку на рівні системи охорони здоров’я. У сукупності зазначені особливості демонструють необхідність комплексного реформування кадрової політики в медицині, що передбачає синергію професійного розвитку, організаційної підтримки, фінансової мотивації та системної державної стратегії.</w:t>
      </w:r>
    </w:p>
    <w:p>
      <w:pPr>
        <w:pStyle w:val="Normal"/>
        <w:ind w:firstLine="720"/>
        <w:rPr>
          <w:rFonts w:eastAsia="Calibri"/>
          <w:szCs w:val="22"/>
          <w:lang w:val="uk-UA"/>
        </w:rPr>
      </w:pPr>
      <w:r>
        <w:rPr>
          <w:rFonts w:eastAsia="Calibri"/>
          <w:szCs w:val="22"/>
          <w:lang w:val="uk-UA"/>
        </w:rPr>
        <w:t>Однією з головних особливостей кадрової політики в охороні здоров’я є високий рівень професійної відповідальності працівників. Медичні працівники повинні володіти високою кваліфікацією, постійно оновлювати свої знання та навички, дотримуватись етичних норм та стандартів професії. Тому система підбору, розстановки, оцінки та розвитку кадрів має бути максимально точною, структурованою та гнучкою. У зв’язку з цим особлива увага в кадровій політиці має приділятися системі безперервної медичної освіти, сертифікації, атестації, участі у тренінгах, конференціях, клінічних симпозіумах. Однак в Україні ця система поки що не є досконалою – вона часто ґрунтується на формальному підході, без чіткої прив’язки до практичних результатів і рівня надання медичних послуг[11].</w:t>
      </w:r>
    </w:p>
    <w:p>
      <w:pPr>
        <w:pStyle w:val="Normal"/>
        <w:ind w:firstLine="720"/>
        <w:rPr>
          <w:rFonts w:eastAsia="Calibri"/>
          <w:szCs w:val="22"/>
          <w:lang w:val="uk-UA"/>
        </w:rPr>
      </w:pPr>
      <w:r>
        <w:rPr>
          <w:rFonts w:eastAsia="Calibri"/>
          <w:szCs w:val="22"/>
          <w:lang w:val="uk-UA"/>
        </w:rPr>
        <w:t>Ще однією важливою особливістю кадрової політики у сфері охорони здоров’я є наявність хронічного дефіциту кадрів. В Україні з року в рік спостерігається нестача як лікарів, так і середнього медичного персоналу. Причинами цього є недостатній рівень заробітної плати, складні умови праці, високий рівень професійного вигорання, а також трудова міграція медичних працівників за кордон, де умови роботи значно кращі. У цьому контексті кадрова політика має включати заходи, спрямовані на підвищення престижу професії, покращення умов праці, впровадження програм соціального захисту та підтримки медичних працівників. Проте на практиці ці аспекти часто залишаються поза увагою органів управління, що призводить до подальшого загострення кадрових проблем.</w:t>
      </w:r>
    </w:p>
    <w:p>
      <w:pPr>
        <w:pStyle w:val="Normal"/>
        <w:ind w:firstLine="720"/>
        <w:rPr>
          <w:rFonts w:eastAsia="Calibri"/>
          <w:szCs w:val="22"/>
          <w:lang w:val="uk-UA"/>
        </w:rPr>
      </w:pPr>
      <w:r>
        <w:rPr>
          <w:rFonts w:eastAsia="Calibri"/>
          <w:szCs w:val="22"/>
          <w:lang w:val="uk-UA"/>
        </w:rPr>
        <w:t>Окремо слід зазначити, що кадрова політика в охороні здоров’я значною мірою залежить від регіональних диспропорцій. Так, у великих містах спостерігається відносна концентрація кваліфікованих кадрів, тоді як у сільській місцевості та малих населених пунктах – гострий дефіцит медичних працівників. Причинами цього є відсутність житла, неналежна інфраструктура, низький рівень оплати праці, відсутність перспектив професійного розвитку. Ефективна кадрова політика повинна враховувати ці відмінності та формувати адресні програми підтримки медичних працівників у сільській місцевості, зокрема через державні програми «Лікар для кожної родини», «Доступна медицина», «Сільська медицина» та інші. Проте без реального фінансування та чітких механізмів реалізації такі ініціативи залишаються декларативними[11].</w:t>
      </w:r>
    </w:p>
    <w:p>
      <w:pPr>
        <w:pStyle w:val="Normal"/>
        <w:ind w:firstLine="720"/>
        <w:rPr>
          <w:rFonts w:eastAsia="Calibri"/>
          <w:szCs w:val="22"/>
          <w:lang w:val="uk-UA"/>
        </w:rPr>
      </w:pPr>
      <w:r>
        <w:rPr>
          <w:rFonts w:eastAsia="Calibri"/>
          <w:szCs w:val="22"/>
          <w:lang w:val="uk-UA"/>
        </w:rPr>
        <w:t>З огляду на реформування системи охорони здоров’я в Україні, кадрова політика медичних закладів потребує переорієнтації з адміністративно-командної на стратегічно-партнерську модель. У сучасних умовах автономізовані заклади охорони здоров’я самостійно формують свою кадрову політику, визначають потребу у кадрах, розмір заробітної плати, систему мотивації, організаційну структуру. Така ситуація з одного боку відкриває нові можливості для покращення управління людськими ресурсами, а з іншого – вимагає від керівників медичних установ високого рівня управлінських компетенцій у сфері HRM. Успішна кадрова політика більше не обмежується лише веденням трудових книжок або табелюванням – вона включає стратегічне планування, управління талантами, оцінку ефективності, формування команди, розвиток корпоративної культури, управління змінами.</w:t>
      </w:r>
    </w:p>
    <w:p>
      <w:pPr>
        <w:pStyle w:val="Normal"/>
        <w:ind w:firstLine="720"/>
        <w:rPr>
          <w:rFonts w:eastAsia="Calibri"/>
          <w:szCs w:val="22"/>
          <w:lang w:val="uk-UA"/>
        </w:rPr>
      </w:pPr>
      <w:r>
        <w:rPr>
          <w:rFonts w:eastAsia="Calibri"/>
          <w:szCs w:val="22"/>
          <w:lang w:val="uk-UA"/>
        </w:rPr>
        <w:t>Невід’ємною складовою кадрової політики в охороні здоров’я є мотивація медичного персоналу. Мотиваційна система повинна базуватися на поєднанні матеріального і нематеріального стимулювання. Матеріальні аспекти включають конкурентоспроможну заробітну плату, премії, доплати за стаж, нічні зміни, надбавки за інтенсивність праці тощо. Нематеріальні стимули – це визнання, кар’єрне зростання, можливість професійного розвитку, участь у прийнятті управлінських рішень, гнучкий графік, підтримка балансу між роботою і особистим життям. Однак в українських реаліях система мотивації часто є слабкою, непрозорою, залежною від адміністративного ресурсу, що породжує нерівність і знижує мотивацію персоналу.</w:t>
      </w:r>
    </w:p>
    <w:p>
      <w:pPr>
        <w:pStyle w:val="Normal"/>
        <w:ind w:firstLine="720"/>
        <w:rPr>
          <w:rFonts w:eastAsia="Calibri"/>
          <w:szCs w:val="22"/>
          <w:lang w:val="uk-UA"/>
        </w:rPr>
      </w:pPr>
      <w:r>
        <w:rPr>
          <w:rFonts w:eastAsia="Calibri"/>
          <w:szCs w:val="22"/>
          <w:lang w:val="uk-UA"/>
        </w:rPr>
        <w:t>Рисунок 1.2 відображає логічну модель взаємозв’язків чинників, які формують кадрову політику у сфері охорони здоров’я України, та демонструє їхні наслідки для функціонування системи. Центральним елементом виступає кадрова політика, від якої розходяться ключові аспекти (кількісні та якісні характеристики персоналу, організаційні умови, управлінські рішення та нормативні зміни), що впливають на результати діяльності медичних закладів.</w:t>
      </w:r>
    </w:p>
    <w:p>
      <w:pPr>
        <w:pStyle w:val="Normal"/>
        <w:ind w:firstLine="720"/>
        <w:rPr>
          <w:rFonts w:eastAsia="Calibri"/>
          <w:szCs w:val="22"/>
        </w:rPr>
      </w:pPr>
      <w:r>
        <w:rPr>
          <w:rFonts w:eastAsia="Calibri"/>
          <w:szCs w:val="22"/>
          <w:lang w:val="uk-UA"/>
        </w:rPr>
        <w:t xml:space="preserve">Передусім виділено високі вимоги до професіоналізму, які відображають специфіку медичної професії: безперервна освіта, сертифікація, дотримання етичних стандартів та оновлення компетенцій. У моделі це безпосередньо пов’язано з хронічним дефіцитом кадрів, що є наслідком відтоку фахівців за кордон, нерівномірного розподілу між регіонами та високого рівня вигорання. </w:t>
      </w:r>
      <w:r>
        <w:rPr>
          <w:rFonts w:eastAsia="Calibri"/>
          <w:szCs w:val="22"/>
        </w:rPr>
        <w:t xml:space="preserve">Важливо, що графічно показано не лише дефіцит як явище, а причинно-наслідковий характер проблеми: професіоналізм як вимога </w:t>
      </w:r>
      <w:r>
        <w:rPr>
          <w:rFonts w:eastAsia="Calibri"/>
          <w:szCs w:val="22"/>
          <w:lang w:val="uk-UA"/>
        </w:rPr>
        <w:t>–</w:t>
      </w:r>
      <w:r>
        <w:rPr>
          <w:rFonts w:eastAsia="Calibri"/>
          <w:szCs w:val="22"/>
        </w:rPr>
        <w:t xml:space="preserve"> дефіцит як результат.</w:t>
      </w:r>
    </w:p>
    <w:p>
      <w:pPr>
        <w:pStyle w:val="Normal"/>
        <w:ind w:firstLine="720"/>
        <w:rPr>
          <w:rFonts w:eastAsia="Calibri"/>
          <w:szCs w:val="22"/>
        </w:rPr>
      </w:pPr>
      <w:r>
        <w:rPr>
          <w:rFonts w:eastAsia="Calibri"/>
          <w:szCs w:val="22"/>
        </w:rPr>
        <w:t>Коректно відображено регіональні диспропорції, які ускладнюють кадрове забезпечення сільської місцевості та периферійних областей. Вони розглядаються не як локальна проблема, а як фактор, що поглиблює системну нерівність у доступі до медичних послуг. У поєднанні з автономізацією медзакладів ця проблема формує відсутність єдиної кадрової стратегії: заклади отримали права на самостійне управління, але не мають уніфікованих практик чи державної координації у кадровому розвитку. Рисунок точно демонструє, що автономізація без стратегічного врядування призводить до фрагментарності рішень.</w:t>
      </w:r>
    </w:p>
    <w:p>
      <w:pPr>
        <w:pStyle w:val="Normal"/>
        <w:ind w:firstLine="720"/>
        <w:rPr>
          <w:rFonts w:eastAsia="Calibri"/>
          <w:szCs w:val="22"/>
        </w:rPr>
      </w:pPr>
      <w:r>
        <w:rPr>
          <w:rFonts w:eastAsia="Calibri"/>
          <w:szCs w:val="22"/>
        </w:rPr>
        <w:t>Окремим блоком виділено потребу в цифровізації HR-процесів, що є реакцією на фрагментарне управління та складність кадрового обліку. Візуально показано, що без цифрових інструментів (HRM-системи, електронні бази, аналітика) неможливо досягнути прозорості, швидкості та керованості процесів.</w:t>
      </w:r>
    </w:p>
    <w:p>
      <w:pPr>
        <w:pStyle w:val="Normal"/>
        <w:ind w:firstLine="720"/>
        <w:rPr>
          <w:rFonts w:eastAsia="Calibri"/>
          <w:szCs w:val="22"/>
        </w:rPr>
      </w:pPr>
      <w:r>
        <w:rPr>
          <w:rFonts w:eastAsia="Calibri"/>
          <w:szCs w:val="22"/>
        </w:rPr>
        <w:t>Значущим елементом моделі є емоційне навантаження і вигорання, що тісно пов’язується з недосконалою мотиваційною системою. Візуалізація демонструє важливий системний сигнал: навіть при наявності професійних вимог і автономного управління кадрова політика не забезпечує достатніх умов утримання персоналу, тому вигорання перетворюється на фактор ризику плинності кадрів.</w:t>
      </w:r>
    </w:p>
    <w:p>
      <w:pPr>
        <w:pStyle w:val="Normal"/>
        <w:ind w:firstLine="720"/>
        <w:rPr>
          <w:rFonts w:eastAsia="Calibri"/>
          <w:szCs w:val="22"/>
        </w:rPr>
      </w:pPr>
      <w:r>
        <w:rPr>
          <w:rFonts w:eastAsia="Calibri"/>
          <w:szCs w:val="22"/>
        </w:rPr>
        <w:t xml:space="preserve">Завершує структуру невизначеність нормативного середовища, яка ускладнює довгострокове планування, створює комунікаційні бар’єри між державним та закладським управлінням і підвищує ситуативність кадрових рішень. У моделі це подано як окремий ризик, що впливає на всі інші аспекти </w:t>
      </w:r>
      <w:r>
        <w:rPr>
          <w:rFonts w:eastAsia="Calibri"/>
          <w:szCs w:val="22"/>
          <w:lang w:val="uk-UA"/>
        </w:rPr>
        <w:t>–</w:t>
      </w:r>
      <w:r>
        <w:rPr>
          <w:rFonts w:eastAsia="Calibri"/>
          <w:szCs w:val="22"/>
        </w:rPr>
        <w:t xml:space="preserve"> від мотивації до цифровізації.</w:t>
      </w:r>
    </w:p>
    <w:p>
      <w:pPr>
        <w:pStyle w:val="Normal"/>
        <w:ind w:firstLine="720"/>
        <w:rPr>
          <w:rFonts w:eastAsia="Calibri"/>
          <w:szCs w:val="22"/>
        </w:rPr>
      </w:pPr>
      <w:r>
        <w:rPr>
          <w:rFonts w:eastAsia="Calibri"/>
          <w:szCs w:val="22"/>
        </w:rPr>
        <w:t>Загалом, рисунок виконує функцію узагальненого діагностичного інструменту: він не лише перелічує проблеми кадрової політики у сфері охорони здоров’я, а показує їхні причинно-наслідкові зв’язки, логічні групи та точки управлінського впливу. Такий підхід дозволяє виявити системну природу кадрової кризи: вона формується не окремими факторами, а їх поєднанням — від вимог до персоналу до регуляторної невизначеності.</w:t>
      </w:r>
    </w:p>
    <w:p>
      <w:pPr>
        <w:pStyle w:val="Normal"/>
        <w:ind w:hanging="0"/>
        <w:rPr>
          <w:rFonts w:eastAsia="Calibri"/>
          <w:szCs w:val="22"/>
          <w:lang w:val="uk-UA"/>
        </w:rPr>
      </w:pPr>
      <w:r>
        <w:rPr/>
        <w:drawing>
          <wp:inline distT="0" distB="0" distL="0" distR="0">
            <wp:extent cx="6118860" cy="32766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noChangeArrowheads="1"/>
                    </pic:cNvPicPr>
                  </pic:nvPicPr>
                  <pic:blipFill>
                    <a:blip r:embed="rId5"/>
                    <a:stretch>
                      <a:fillRect/>
                    </a:stretch>
                  </pic:blipFill>
                  <pic:spPr bwMode="auto">
                    <a:xfrm>
                      <a:off x="0" y="0"/>
                      <a:ext cx="6118860" cy="3276600"/>
                    </a:xfrm>
                    <a:prstGeom prst="rect">
                      <a:avLst/>
                    </a:prstGeom>
                    <a:noFill/>
                  </pic:spPr>
                </pic:pic>
              </a:graphicData>
            </a:graphic>
          </wp:inline>
        </w:drawing>
      </w:r>
    </w:p>
    <w:p>
      <w:pPr>
        <w:pStyle w:val="Normal"/>
        <w:ind w:hanging="0"/>
        <w:jc w:val="center"/>
        <w:rPr>
          <w:rFonts w:eastAsia="Calibri"/>
          <w:szCs w:val="22"/>
          <w:lang w:val="uk-UA"/>
        </w:rPr>
      </w:pPr>
      <w:r>
        <w:rPr>
          <w:rFonts w:eastAsia="Calibri"/>
          <w:szCs w:val="22"/>
          <w:lang w:val="uk-UA"/>
        </w:rPr>
        <w:t>Рис 1.2 «Основні особливості кадрової політики у сфері охорони здоров’я України»</w:t>
      </w:r>
    </w:p>
    <w:p>
      <w:pPr>
        <w:pStyle w:val="Normal"/>
        <w:ind w:firstLine="720"/>
        <w:rPr>
          <w:rFonts w:eastAsia="Calibri"/>
          <w:szCs w:val="22"/>
          <w:lang w:val="uk-UA"/>
        </w:rPr>
      </w:pPr>
      <w:r>
        <w:rPr>
          <w:rFonts w:eastAsia="Calibri"/>
          <w:szCs w:val="22"/>
          <w:lang w:val="uk-UA"/>
        </w:rPr>
      </w:r>
    </w:p>
    <w:p>
      <w:pPr>
        <w:pStyle w:val="Normal"/>
        <w:ind w:firstLine="720"/>
        <w:rPr>
          <w:rFonts w:eastAsia="Calibri"/>
          <w:szCs w:val="22"/>
          <w:lang w:val="uk-UA"/>
        </w:rPr>
      </w:pPr>
      <w:r>
        <w:rPr>
          <w:rFonts w:eastAsia="Calibri"/>
          <w:szCs w:val="22"/>
          <w:lang w:val="uk-UA"/>
        </w:rPr>
        <w:t>Система управління персоналом у закладах охорони здоров’я характеризується рядом специфічних рис, які відрізняють її від кадрової політики в інших сферах. На передньому плані стоїть потреба у високопрофесійних кадрах, адже від рівня підготовки, етики, відповідальності та самовідданості медичних працівників залежить здоров’я і життя людей. Водночас кадрова політика стикається з хронічним дефіцитом персоналу, спричиненим низькою оплатою праці, міграцією, вигоранням і старінням кадрів. Особливо гостро ця проблема проявляється в регіонах — у сільській місцевості спостерігається нестача лікарів і медсестер, тоді як великі міста частково компенсують дефіцит завдяки привабливішим умовам.</w:t>
      </w:r>
    </w:p>
    <w:p>
      <w:pPr>
        <w:pStyle w:val="Normal"/>
        <w:ind w:firstLine="720"/>
        <w:rPr>
          <w:rFonts w:eastAsia="Calibri"/>
          <w:szCs w:val="22"/>
          <w:lang w:val="uk-UA"/>
        </w:rPr>
      </w:pPr>
      <w:r>
        <w:rPr>
          <w:rFonts w:eastAsia="Calibri"/>
          <w:szCs w:val="22"/>
          <w:lang w:val="uk-UA"/>
        </w:rPr>
        <w:t>Автономізація медичних закладів, яка передбачає перехід до самостійного формування кадрової політики, відкрила нові можливості для ефективнішого управління людськими ресурсами. Проте ця свобода часто наштовхується на відсутність уніфікованої державної кадрової стратегії. У результаті спостерігається фрагментарність у прийнятті управлінських рішень, а кадрові процеси залишаються переважно ситуативними. На цьому тлі особливо гостро відчувається нестача мотиваційних інструментів: матеріальні стимули часто не відповідають навантаженню, а нематеріальні – недостатньо розвинуті. Така ситуація сприяє професійному вигоранню, зниженню лояльності працівників і відтоку кадрів.</w:t>
      </w:r>
    </w:p>
    <w:p>
      <w:pPr>
        <w:pStyle w:val="Normal"/>
        <w:ind w:firstLine="720"/>
        <w:rPr>
          <w:rFonts w:eastAsia="Calibri"/>
          <w:szCs w:val="22"/>
          <w:lang w:val="uk-UA"/>
        </w:rPr>
      </w:pPr>
      <w:r>
        <w:rPr>
          <w:rFonts w:eastAsia="Calibri"/>
          <w:szCs w:val="22"/>
          <w:lang w:val="uk-UA"/>
        </w:rPr>
        <w:t>Окремою проблемою є повільна цифровізація кадрових процесів. Попри актуальність впровадження HRM-систем, електронного документообігу та систем моніторингу ефективності, значна частина закладів охорони здоров’я досі користується паперовими формами обліку, що ускладнює оперативність і прозорість управління. На це накладається й нестабільність нормативного поля: часті зміни у законодавстві, суперечливі накази та недостатня кількість методичних рекомендацій створюють адміністративну напругу в роботі кадрових служб. Сукупність усіх цих чинників вимагає комплексного переосмислення кадрової політики у сфері охорони здоров’я та розробки стратегічного підходу, який відповідатиме викликам сучасності й дозволить забезпечити сталий розвиток людського капіталу у галузі[</w:t>
      </w:r>
      <w:r>
        <w:rPr>
          <w:rFonts w:eastAsia="Calibri"/>
          <w:szCs w:val="22"/>
          <w:lang w:val="en-GB"/>
        </w:rPr>
        <w:t>43</w:t>
      </w:r>
      <w:r>
        <w:rPr>
          <w:rFonts w:eastAsia="Calibri"/>
          <w:szCs w:val="22"/>
          <w:lang w:val="uk-UA"/>
        </w:rPr>
        <w:t>].</w:t>
      </w:r>
    </w:p>
    <w:p>
      <w:pPr>
        <w:pStyle w:val="Normal"/>
        <w:ind w:firstLine="720"/>
        <w:rPr>
          <w:rFonts w:eastAsia="Calibri"/>
          <w:szCs w:val="22"/>
          <w:lang w:val="uk-UA"/>
        </w:rPr>
      </w:pPr>
      <w:r>
        <w:rPr>
          <w:rFonts w:eastAsia="Calibri"/>
          <w:szCs w:val="22"/>
          <w:lang w:val="uk-UA"/>
        </w:rPr>
        <w:t>Ще однією особливістю кадрової політики у сфері охорони здоров’я є необхідність забезпечення безперервності трудової діяльності в умовах емоційного і фізичного виснаження працівників. Професія медичного працівника відзначається високим рівнем стресу, відповідальності, роботи в режимі наднормового часу. Це зумовлює потребу у впровадженні програм психологічної підтримки, систем ротації персоналу, запровадженні інструментів профілактики професійного вигорання. У країнах з розвиненими системами охорони здоров’я такі програми є обов’язковими, в Україні ж поки що лише на рівні окремих ініціатив.</w:t>
      </w:r>
    </w:p>
    <w:p>
      <w:pPr>
        <w:pStyle w:val="Normal"/>
        <w:ind w:firstLine="720"/>
        <w:rPr>
          <w:rFonts w:eastAsia="Calibri"/>
          <w:szCs w:val="22"/>
          <w:lang w:val="uk-UA"/>
        </w:rPr>
      </w:pPr>
      <w:r>
        <w:rPr>
          <w:rFonts w:eastAsia="Calibri"/>
          <w:szCs w:val="22"/>
          <w:lang w:val="uk-UA"/>
        </w:rPr>
        <w:t>Оскільки система охорони здоров’я України має багаторівневу структуру, кадрова політика також повинна відображати потреби різних рівнів – первинної, вторинної, третинної медичної допомоги. Для кожного рівня існують свої вимоги до кваліфікації персоналу, обсягів роботи, стандартів надання послуг. У зв’язку з цим у межах кадрової політики необхідно диференціювати підходи до управління персоналом у поліклініках, лікарнях, спеціалізованих центрах, швидкій допомозі тощо.</w:t>
      </w:r>
    </w:p>
    <w:p>
      <w:pPr>
        <w:pStyle w:val="Normal"/>
        <w:ind w:firstLine="720"/>
        <w:rPr>
          <w:rFonts w:eastAsia="Calibri"/>
          <w:szCs w:val="22"/>
          <w:lang w:val="uk-UA"/>
        </w:rPr>
      </w:pPr>
      <w:r>
        <w:rPr>
          <w:rFonts w:eastAsia="Calibri"/>
          <w:szCs w:val="22"/>
          <w:lang w:val="uk-UA"/>
        </w:rPr>
        <w:t>Окреме місце займає цифровізація кадрової політики у сфері охорони здоров’я. З переходом на електронне документообіг, електронні медичні записи, інформаційні системи охорони здоров’я, виникає потреба в оцифруванні кадрових процесів – електронні трудові книжки, бази даних персоналу, системи управління навчанням, онлайн-опитування, цифрові інструменти моніторингу ефективності. Водночас низький рівень цифрової грамотності персоналу, технічні проблеми та обмежене фінансування уповільнюють ці процеси.</w:t>
      </w:r>
    </w:p>
    <w:p>
      <w:pPr>
        <w:pStyle w:val="Normal"/>
        <w:ind w:firstLine="720"/>
        <w:rPr>
          <w:rFonts w:eastAsia="Calibri"/>
          <w:szCs w:val="22"/>
          <w:lang w:val="uk-UA"/>
        </w:rPr>
      </w:pPr>
      <w:r>
        <w:rPr>
          <w:rFonts w:eastAsia="Calibri"/>
          <w:szCs w:val="22"/>
          <w:lang w:val="uk-UA"/>
        </w:rPr>
        <w:t>Також важливою рисою кадрової політики є нормативна невизначеність і часті зміни у законодавстві. Керівники закладів охорони здоров’я постійно змушені адаптуватися до нових вимог МОЗ, НСЗУ, Держпраці, що ускладнює формування сталої кадрової стратегії. Брак чітких рекомендацій щодо HR-політик, зокрема у сфері підбору, мотивації, навчання, унеможливлює уніфіковані підходи, натомість спонукає до фрагментарного та інтуїтивного управління.</w:t>
      </w:r>
    </w:p>
    <w:p>
      <w:pPr>
        <w:pStyle w:val="Normal"/>
        <w:ind w:firstLine="720"/>
        <w:rPr>
          <w:rFonts w:eastAsia="Calibri"/>
          <w:szCs w:val="22"/>
          <w:lang w:val="uk-UA"/>
        </w:rPr>
      </w:pPr>
      <w:r>
        <w:rPr>
          <w:rFonts w:eastAsia="Calibri"/>
          <w:szCs w:val="22"/>
          <w:lang w:val="uk-UA"/>
        </w:rPr>
        <w:t>Підсумовуючи, кадрова політика у сфері охорони здоров’я є надзвичайно складною, багаторівневою системою, яка формується під впливом численних факторів – професійних, соціальних, економічних, правових, культурних. Її особливості зумовлюють необхідність застосування комплексного, стратегічного та адаптивного підходу до управління людськими ресурсами в галузі. Саме від того, наскільки ефективно реалізується кадрова політика, залежить успішність усієї медичної реформи, довіра громадян до системи охорони здоров’я та, зрештою, – якість і доступність медичної допомоги для кожного українця.</w:t>
      </w:r>
    </w:p>
    <w:p>
      <w:pPr>
        <w:pStyle w:val="Normal"/>
        <w:ind w:firstLine="720"/>
        <w:rPr>
          <w:rFonts w:eastAsia="Calibri"/>
          <w:szCs w:val="22"/>
          <w:lang w:val="uk-UA"/>
        </w:rPr>
      </w:pPr>
      <w:r>
        <w:rPr>
          <w:rFonts w:eastAsia="Calibri"/>
          <w:szCs w:val="22"/>
          <w:lang w:val="uk-UA"/>
        </w:rPr>
      </w:r>
    </w:p>
    <w:p>
      <w:pPr>
        <w:pStyle w:val="Normal"/>
        <w:ind w:firstLine="720"/>
        <w:rPr>
          <w:rFonts w:eastAsia="Calibri"/>
          <w:szCs w:val="22"/>
          <w:lang w:val="uk-UA"/>
        </w:rPr>
      </w:pPr>
      <w:r>
        <w:rPr>
          <w:rFonts w:eastAsia="Calibri"/>
          <w:szCs w:val="22"/>
          <w:lang w:val="uk-UA"/>
        </w:rPr>
      </w:r>
    </w:p>
    <w:p>
      <w:pPr>
        <w:pStyle w:val="Heading1"/>
        <w:rPr>
          <w:lang w:val="uk-UA"/>
        </w:rPr>
      </w:pPr>
      <w:bookmarkStart w:id="6" w:name="_Toc200703982"/>
      <w:r>
        <w:rPr>
          <w:lang w:val="uk-UA"/>
        </w:rPr>
        <w:t>1.3. Сучасні виклики та проблеми управління персоналом медичних установ</w:t>
      </w:r>
      <w:bookmarkEnd w:id="6"/>
    </w:p>
    <w:p>
      <w:pPr>
        <w:pStyle w:val="Normal"/>
        <w:ind w:firstLine="720"/>
        <w:rPr>
          <w:rFonts w:eastAsia="Calibri"/>
          <w:szCs w:val="22"/>
          <w:lang w:val="uk-UA"/>
        </w:rPr>
      </w:pPr>
      <w:r>
        <w:rPr>
          <w:rFonts w:eastAsia="Calibri"/>
          <w:szCs w:val="22"/>
          <w:lang w:val="uk-UA"/>
        </w:rPr>
      </w:r>
    </w:p>
    <w:p>
      <w:pPr>
        <w:pStyle w:val="Normal"/>
        <w:ind w:firstLine="720"/>
        <w:rPr>
          <w:rFonts w:eastAsia="Calibri"/>
          <w:szCs w:val="22"/>
          <w:lang w:val="uk-UA"/>
        </w:rPr>
      </w:pPr>
      <w:r>
        <w:rPr>
          <w:rFonts w:eastAsia="Calibri"/>
          <w:szCs w:val="22"/>
          <w:lang w:val="uk-UA"/>
        </w:rPr>
        <w:t>Управління персоналом медичних установ у XXI столітті постало перед цілим рядом викликів, які з кожним роком набувають все більшої складності й багатогранності. Це зумовлено трансформацією соціально-економічного середовища, глибокими реформами у сфері охорони здоров’я, впливом глобалізаційних процесів, демографічними змінами, розвитком цифрових технологій, пандемією COVID-19 та масштабною війною в Україні. У сукупності ці чинники призводять до необхідності перегляду традиційних підходів до управління людськими ресурсами у медицині, розробки нових стратегій та механізмів, здатних забезпечити стабільність, гнучкість і адаптивність системи охорони здоров’я.</w:t>
      </w:r>
    </w:p>
    <w:p>
      <w:pPr>
        <w:pStyle w:val="Normal"/>
        <w:ind w:firstLine="720"/>
        <w:jc w:val="end"/>
        <w:rPr>
          <w:rFonts w:eastAsia="Calibri"/>
          <w:szCs w:val="22"/>
          <w:lang w:val="uk-UA"/>
        </w:rPr>
      </w:pPr>
      <w:r>
        <w:rPr>
          <w:rFonts w:eastAsia="Calibri"/>
          <w:szCs w:val="22"/>
          <w:lang w:val="uk-UA"/>
        </w:rPr>
        <w:t>Таблиця 1.3</w:t>
      </w:r>
    </w:p>
    <w:p>
      <w:pPr>
        <w:pStyle w:val="Normal"/>
        <w:ind w:hanging="0"/>
        <w:jc w:val="center"/>
        <w:rPr>
          <w:rFonts w:eastAsia="Calibri"/>
          <w:szCs w:val="22"/>
          <w:lang w:val="uk-UA"/>
        </w:rPr>
      </w:pPr>
      <w:r>
        <w:rPr>
          <w:rFonts w:eastAsia="Calibri"/>
          <w:szCs w:val="22"/>
          <w:lang w:val="uk-UA"/>
        </w:rPr>
        <w:t>Сучасні виклики та проблеми управління персоналом у медичних установах України</w:t>
      </w:r>
    </w:p>
    <w:tbl>
      <w:tblPr>
        <w:tblW w:w="9707" w:type="dxa"/>
        <w:jc w:val="start"/>
        <w:tblInd w:w="0" w:type="dxa"/>
        <w:tblLayout w:type="fixed"/>
        <w:tblCellMar>
          <w:top w:w="0" w:type="dxa"/>
          <w:start w:w="108" w:type="dxa"/>
          <w:bottom w:w="0" w:type="dxa"/>
          <w:end w:w="108" w:type="dxa"/>
        </w:tblCellMar>
      </w:tblPr>
      <w:tblGrid>
        <w:gridCol w:w="2802"/>
        <w:gridCol w:w="3260"/>
        <w:gridCol w:w="3645"/>
      </w:tblGrid>
      <w:tr>
        <w:trPr/>
        <w:tc>
          <w:tcPr>
            <w:tcW w:w="2802"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eastAsia="Times New Roman"/>
                <w:b/>
                <w:bCs/>
                <w:szCs w:val="24"/>
                <w:lang w:val="uk-UA"/>
              </w:rPr>
            </w:pPr>
            <w:r>
              <w:rPr>
                <w:rFonts w:eastAsia="Times New Roman"/>
                <w:b/>
                <w:bCs/>
                <w:kern w:val="2"/>
                <w:sz w:val="24"/>
                <w:szCs w:val="24"/>
                <w:lang w:val="uk-UA" w:eastAsia="en-US" w:bidi="ar-SA"/>
              </w:rPr>
              <w:t>Виклик / проблема</w:t>
            </w:r>
          </w:p>
        </w:tc>
        <w:tc>
          <w:tcPr>
            <w:tcW w:w="326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eastAsia="Times New Roman"/>
                <w:b/>
                <w:bCs/>
                <w:szCs w:val="24"/>
                <w:lang w:val="uk-UA"/>
              </w:rPr>
            </w:pPr>
            <w:r>
              <w:rPr>
                <w:rFonts w:eastAsia="Times New Roman"/>
                <w:b/>
                <w:bCs/>
                <w:kern w:val="2"/>
                <w:sz w:val="24"/>
                <w:szCs w:val="24"/>
                <w:lang w:val="uk-UA" w:eastAsia="en-US" w:bidi="ar-SA"/>
              </w:rPr>
              <w:t>Суть явища</w:t>
            </w:r>
          </w:p>
        </w:tc>
        <w:tc>
          <w:tcPr>
            <w:tcW w:w="364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eastAsia="Times New Roman"/>
                <w:b/>
                <w:bCs/>
                <w:szCs w:val="24"/>
                <w:lang w:val="uk-UA"/>
              </w:rPr>
            </w:pPr>
            <w:r>
              <w:rPr>
                <w:rFonts w:eastAsia="Times New Roman"/>
                <w:b/>
                <w:bCs/>
                <w:kern w:val="2"/>
                <w:sz w:val="24"/>
                <w:szCs w:val="24"/>
                <w:lang w:val="uk-UA" w:eastAsia="en-US" w:bidi="ar-SA"/>
              </w:rPr>
              <w:t>Наслідки для медичної системи</w:t>
            </w:r>
          </w:p>
        </w:tc>
      </w:tr>
      <w:tr>
        <w:trPr/>
        <w:tc>
          <w:tcPr>
            <w:tcW w:w="2802"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Дефіцит кадрів</w:t>
            </w:r>
          </w:p>
        </w:tc>
        <w:tc>
          <w:tcPr>
            <w:tcW w:w="326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Еміграція, низька зарплата, складні умови праці</w:t>
            </w:r>
          </w:p>
        </w:tc>
        <w:tc>
          <w:tcPr>
            <w:tcW w:w="364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Зниження доступності медичних послуг, навантаження на існуючий персонал</w:t>
            </w:r>
          </w:p>
        </w:tc>
      </w:tr>
      <w:tr>
        <w:trPr/>
        <w:tc>
          <w:tcPr>
            <w:tcW w:w="2802"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Старіння персоналу</w:t>
            </w:r>
          </w:p>
        </w:tc>
        <w:tc>
          <w:tcPr>
            <w:tcW w:w="326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Відсутність молодого поповнення, велика частка пенсіонерів</w:t>
            </w:r>
          </w:p>
        </w:tc>
        <w:tc>
          <w:tcPr>
            <w:tcW w:w="364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Кадрова прірва, зниження гнучкості, втрати знань</w:t>
            </w:r>
          </w:p>
        </w:tc>
      </w:tr>
      <w:tr>
        <w:trPr/>
        <w:tc>
          <w:tcPr>
            <w:tcW w:w="2802"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Професійне вигорання</w:t>
            </w:r>
          </w:p>
        </w:tc>
        <w:tc>
          <w:tcPr>
            <w:tcW w:w="326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Хронічний стрес, перевтома, емоційна нестабільність</w:t>
            </w:r>
          </w:p>
        </w:tc>
        <w:tc>
          <w:tcPr>
            <w:tcW w:w="364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Падіння мотивації, зростання помилок, плинність кадрів</w:t>
            </w:r>
          </w:p>
        </w:tc>
      </w:tr>
      <w:tr>
        <w:trPr/>
        <w:tc>
          <w:tcPr>
            <w:tcW w:w="2802"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Недосконала система мотивації</w:t>
            </w:r>
          </w:p>
        </w:tc>
        <w:tc>
          <w:tcPr>
            <w:tcW w:w="326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Нерівність в оплаті, відсутність прозорості, неефективні стимули</w:t>
            </w:r>
          </w:p>
        </w:tc>
        <w:tc>
          <w:tcPr>
            <w:tcW w:w="364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Зниження продуктивності, відсутність ініціативи</w:t>
            </w:r>
          </w:p>
        </w:tc>
      </w:tr>
      <w:tr>
        <w:trPr/>
        <w:tc>
          <w:tcPr>
            <w:tcW w:w="2802"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Відсутність стратегічного HR-менеджменту</w:t>
            </w:r>
          </w:p>
        </w:tc>
        <w:tc>
          <w:tcPr>
            <w:tcW w:w="326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Формальний підхід до підбору, оцінки, розвитку персоналу</w:t>
            </w:r>
          </w:p>
        </w:tc>
        <w:tc>
          <w:tcPr>
            <w:tcW w:w="364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Втрата потенціалу, дезорганізація роботи</w:t>
            </w:r>
          </w:p>
        </w:tc>
      </w:tr>
      <w:tr>
        <w:trPr/>
        <w:tc>
          <w:tcPr>
            <w:tcW w:w="2802"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Низький рівень цифрової грамотності</w:t>
            </w:r>
          </w:p>
        </w:tc>
        <w:tc>
          <w:tcPr>
            <w:tcW w:w="326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Працівники не володіють цифровими інструментами</w:t>
            </w:r>
          </w:p>
        </w:tc>
        <w:tc>
          <w:tcPr>
            <w:tcW w:w="364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Гальмування цифровізації, зниження ефективності</w:t>
            </w:r>
          </w:p>
        </w:tc>
      </w:tr>
      <w:tr>
        <w:trPr/>
        <w:tc>
          <w:tcPr>
            <w:tcW w:w="2802"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Зарегульованість та нестабільність законодавства</w:t>
            </w:r>
          </w:p>
        </w:tc>
        <w:tc>
          <w:tcPr>
            <w:tcW w:w="326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Часті зміни правил, суперечності між нормативами</w:t>
            </w:r>
          </w:p>
        </w:tc>
        <w:tc>
          <w:tcPr>
            <w:tcW w:w="364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Стрес керівників, втрата часу, непрогнозованість</w:t>
            </w:r>
          </w:p>
        </w:tc>
      </w:tr>
      <w:tr>
        <w:trPr/>
        <w:tc>
          <w:tcPr>
            <w:tcW w:w="2802"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Відсутність якісного управлінського лідерства</w:t>
            </w:r>
          </w:p>
        </w:tc>
        <w:tc>
          <w:tcPr>
            <w:tcW w:w="326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Нестача навичок керівництва у медичних керівників</w:t>
            </w:r>
          </w:p>
        </w:tc>
        <w:tc>
          <w:tcPr>
            <w:tcW w:w="364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Конфлікти, низька довіра, відсутність командної роботи</w:t>
            </w:r>
          </w:p>
        </w:tc>
      </w:tr>
      <w:tr>
        <w:trPr/>
        <w:tc>
          <w:tcPr>
            <w:tcW w:w="9707" w:type="dxa"/>
            <w:gridSpan w:val="3"/>
            <w:tcBorders>
              <w:bottom w:val="single" w:sz="4" w:space="0" w:color="000000"/>
            </w:tcBorders>
          </w:tcPr>
          <w:p>
            <w:pPr>
              <w:pStyle w:val="Normal"/>
              <w:widowControl/>
              <w:spacing w:lineRule="auto" w:line="240" w:before="0" w:after="0"/>
              <w:ind w:hanging="0"/>
              <w:jc w:val="end"/>
              <w:rPr>
                <w:rFonts w:ascii="Times New Roman" w:hAnsi="Times New Roman" w:eastAsia="Times New Roman"/>
                <w:i/>
                <w:i/>
                <w:iCs/>
                <w:szCs w:val="24"/>
                <w:lang w:val="uk-UA"/>
              </w:rPr>
            </w:pPr>
            <w:r>
              <w:rPr>
                <w:rFonts w:eastAsia="Times New Roman"/>
                <w:i/>
                <w:iCs/>
                <w:kern w:val="2"/>
                <w:sz w:val="24"/>
                <w:szCs w:val="24"/>
                <w:lang w:val="uk-UA" w:eastAsia="en-US" w:bidi="ar-SA"/>
              </w:rPr>
              <w:t>Продовження таблиці 1.3</w:t>
            </w:r>
          </w:p>
        </w:tc>
      </w:tr>
      <w:tr>
        <w:trPr/>
        <w:tc>
          <w:tcPr>
            <w:tcW w:w="2802"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Інституційна недовіра</w:t>
            </w:r>
          </w:p>
        </w:tc>
        <w:tc>
          <w:tcPr>
            <w:tcW w:w="326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Сумніви працівників у добросовісності системи</w:t>
            </w:r>
          </w:p>
        </w:tc>
        <w:tc>
          <w:tcPr>
            <w:tcW w:w="364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Демотивація, пасивність, формалізм</w:t>
            </w:r>
          </w:p>
        </w:tc>
      </w:tr>
      <w:tr>
        <w:trPr/>
        <w:tc>
          <w:tcPr>
            <w:tcW w:w="2802"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Ігнорування середнього та молодшого персоналу</w:t>
            </w:r>
          </w:p>
        </w:tc>
        <w:tc>
          <w:tcPr>
            <w:tcW w:w="326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Знецінення ролі медсестер, санітарів</w:t>
            </w:r>
          </w:p>
        </w:tc>
        <w:tc>
          <w:tcPr>
            <w:tcW w:w="364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Низький рівень догляду, зростання плинності, кадрові втрати</w:t>
            </w:r>
          </w:p>
        </w:tc>
      </w:tr>
      <w:tr>
        <w:trPr/>
        <w:tc>
          <w:tcPr>
            <w:tcW w:w="2802"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Кризові умови (війна, міграція)</w:t>
            </w:r>
          </w:p>
        </w:tc>
        <w:tc>
          <w:tcPr>
            <w:tcW w:w="326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Нестабільність, перевантаження, виклики безпеки</w:t>
            </w:r>
          </w:p>
        </w:tc>
        <w:tc>
          <w:tcPr>
            <w:tcW w:w="364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start"/>
              <w:rPr>
                <w:rFonts w:ascii="Times New Roman" w:hAnsi="Times New Roman" w:eastAsia="Times New Roman"/>
                <w:szCs w:val="24"/>
                <w:lang w:val="uk-UA"/>
              </w:rPr>
            </w:pPr>
            <w:r>
              <w:rPr>
                <w:rFonts w:eastAsia="Times New Roman"/>
                <w:kern w:val="2"/>
                <w:sz w:val="24"/>
                <w:szCs w:val="24"/>
                <w:lang w:val="uk-UA" w:eastAsia="en-US" w:bidi="ar-SA"/>
              </w:rPr>
              <w:t>Психологічне виснаження, деструкція колективів</w:t>
            </w:r>
          </w:p>
        </w:tc>
      </w:tr>
    </w:tbl>
    <w:p>
      <w:pPr>
        <w:pStyle w:val="Normal"/>
        <w:ind w:firstLine="720"/>
        <w:rPr>
          <w:rFonts w:eastAsia="Calibri"/>
          <w:i/>
          <w:i/>
          <w:iCs/>
          <w:sz w:val="24"/>
          <w:szCs w:val="24"/>
          <w:lang w:val="uk-UA"/>
        </w:rPr>
      </w:pPr>
      <w:r>
        <w:rPr>
          <w:rFonts w:eastAsia="Calibri"/>
          <w:i/>
          <w:iCs/>
          <w:sz w:val="24"/>
          <w:szCs w:val="24"/>
          <w:lang w:val="uk-UA"/>
        </w:rPr>
        <w:t>Створено автором на основі джерела [</w:t>
      </w:r>
      <w:r>
        <w:rPr>
          <w:rFonts w:eastAsia="Calibri"/>
          <w:i/>
          <w:iCs/>
          <w:sz w:val="24"/>
          <w:szCs w:val="24"/>
          <w:lang w:val="en-GB"/>
        </w:rPr>
        <w:t>25</w:t>
      </w:r>
      <w:r>
        <w:rPr>
          <w:rFonts w:eastAsia="Calibri"/>
          <w:i/>
          <w:iCs/>
          <w:sz w:val="24"/>
          <w:szCs w:val="24"/>
          <w:lang w:val="uk-UA"/>
        </w:rPr>
        <w:t>]</w:t>
      </w:r>
    </w:p>
    <w:p>
      <w:pPr>
        <w:pStyle w:val="Normal"/>
        <w:ind w:firstLine="720"/>
        <w:rPr>
          <w:rFonts w:eastAsia="Calibri"/>
          <w:szCs w:val="22"/>
          <w:lang w:val="uk-UA"/>
        </w:rPr>
      </w:pPr>
      <w:r>
        <w:rPr>
          <w:rFonts w:eastAsia="Calibri"/>
          <w:szCs w:val="22"/>
          <w:lang w:val="uk-UA"/>
        </w:rPr>
      </w:r>
    </w:p>
    <w:p>
      <w:pPr>
        <w:pStyle w:val="Normal"/>
        <w:ind w:firstLine="720"/>
        <w:rPr>
          <w:rFonts w:eastAsia="Calibri"/>
          <w:szCs w:val="22"/>
        </w:rPr>
      </w:pPr>
      <w:r>
        <w:rPr>
          <w:rFonts w:eastAsia="Calibri"/>
          <w:szCs w:val="22"/>
          <w:lang w:val="uk-UA"/>
        </w:rPr>
        <w:t xml:space="preserve">Таблиця 1.3 відображає сучасні виклики управління персоналом у медичних установах України, які мають системний характер та проявляються на різних рівнях – від індивідуальних характеристик працівника до організаційної та інституційної взаємодії. </w:t>
      </w:r>
      <w:r>
        <w:rPr>
          <w:rFonts w:eastAsia="Calibri"/>
          <w:szCs w:val="22"/>
        </w:rPr>
        <w:t>Першочерговою проблемою виступає дефіцит кадрів, зумовлений низькою заробітною платою, міграційними тенденціями та складними умовами праці. Цей фактор прямо впливає на доступність медичної допомоги та призводить до надмірного навантаження на наявний персонал, що погіршує якість послуг і прискорює професійне вигорання. Крім того, старіння персоналу та слабке поповнення молодими фахівцями формують кадрову прірву: зменшується гнучкість системи, сповільнюється оновлення знань, а корпоративна пам’ять поступово втрачається через вихід на пенсію досвідчених працівників.</w:t>
      </w:r>
    </w:p>
    <w:p>
      <w:pPr>
        <w:pStyle w:val="Normal"/>
        <w:ind w:firstLine="720"/>
        <w:rPr>
          <w:rFonts w:eastAsia="Calibri"/>
          <w:szCs w:val="22"/>
        </w:rPr>
      </w:pPr>
      <w:r>
        <w:rPr>
          <w:rFonts w:eastAsia="Calibri"/>
          <w:szCs w:val="22"/>
        </w:rPr>
        <w:t>Важливим викликом є професійне вигорання, яке формується внаслідок хронічного стресу, інтенсивних робочих режимів, частих контактів із критичними станами пацієнтів та адміністративного тиску. Це явище спричиняє зниження мотивації, зростання кількості помилок та підвищення плинності кадрів. Паралельно з цим діє недосконала система мотивації, що характеризується нерівністю в оплаті праці, низькою прозорістю та слабкою системою нематеріальних стимулів. За таких умов персонал дедалі менше проявляє ініціативу, а продуктивність праці поступово знижується.</w:t>
      </w:r>
    </w:p>
    <w:p>
      <w:pPr>
        <w:pStyle w:val="Normal"/>
        <w:ind w:firstLine="720"/>
        <w:rPr>
          <w:rFonts w:eastAsia="Calibri"/>
          <w:szCs w:val="22"/>
        </w:rPr>
      </w:pPr>
      <w:r>
        <w:rPr>
          <w:rFonts w:eastAsia="Calibri"/>
          <w:szCs w:val="22"/>
        </w:rPr>
        <w:t>Окреслена у таблиці проблема відсутності стратегічного HR-менеджменту вказує на домінування формального підходу до підбору, оцінювання й розвитку персоналу. Стратегічна функція управління людськими ресурсами не реалізується належним чином, що призводить до втрати кадрового потенціалу, дезорганізації роботи та послаблення конкурентних можливостей закладів охорони здоров’я. Особливого значення набуває і низький рівень цифрової грамотності медичного персоналу, який унеможливлює ефективне впровадження цифрових рішень: електронних медичних карток, телемедицини, автоматизованих систем документообігу. Це уповільнює цифровізацію, збільшує кількість ручних операцій і знижує загальну ефективність установ.</w:t>
      </w:r>
    </w:p>
    <w:p>
      <w:pPr>
        <w:pStyle w:val="Normal"/>
        <w:ind w:firstLine="720"/>
        <w:rPr>
          <w:rFonts w:eastAsia="Calibri"/>
          <w:szCs w:val="22"/>
        </w:rPr>
      </w:pPr>
      <w:r>
        <w:rPr>
          <w:rFonts w:eastAsia="Calibri"/>
          <w:szCs w:val="22"/>
        </w:rPr>
        <w:t>Системне управління ускладнюється зарегульованістю та нестабільністю законодавства, яке часто змінюється та містить внутрішні суперечності. Медичні керівники витрачають значні ресурси на адаптацію до нових вимог, замість планування розвитку, що сприяє зростанню управлінського стресу та знижує здатність системи до довгострокового планування. Додатковим чинником кризи є відсутність якісного управлінського лідерства у медичних закладах. Недостатня управлінська компетентність керівників породжує конфлікти, підриває довіру у колективах та нівелює командну взаємодію.</w:t>
      </w:r>
    </w:p>
    <w:p>
      <w:pPr>
        <w:pStyle w:val="Normal"/>
        <w:ind w:firstLine="720"/>
        <w:rPr>
          <w:rFonts w:eastAsia="Calibri"/>
          <w:szCs w:val="22"/>
        </w:rPr>
      </w:pPr>
      <w:r>
        <w:rPr>
          <w:rFonts w:eastAsia="Calibri"/>
          <w:szCs w:val="22"/>
        </w:rPr>
        <w:t xml:space="preserve">На інституційному рівні проявляється недовіра персоналу до системи охорони здоров’я, що формує пасивність, прагнення мінімізувати відповідальність і трансформує професійні обов’язки у формальність. Ігнорування потреб середнього та молодшого медперсоналу </w:t>
      </w:r>
      <w:r>
        <w:rPr>
          <w:rFonts w:eastAsia="Calibri"/>
          <w:szCs w:val="22"/>
          <w:lang w:val="uk-UA"/>
        </w:rPr>
        <w:t>–</w:t>
      </w:r>
      <w:r>
        <w:rPr>
          <w:rFonts w:eastAsia="Calibri"/>
          <w:szCs w:val="22"/>
        </w:rPr>
        <w:t xml:space="preserve"> медсестер, молодших медичних працівників </w:t>
      </w:r>
      <w:r>
        <w:rPr>
          <w:rFonts w:eastAsia="Calibri"/>
          <w:szCs w:val="22"/>
          <w:lang w:val="uk-UA"/>
        </w:rPr>
        <w:t>–</w:t>
      </w:r>
      <w:r>
        <w:rPr>
          <w:rFonts w:eastAsia="Calibri"/>
          <w:szCs w:val="22"/>
        </w:rPr>
        <w:t xml:space="preserve"> додатково поглиблює кадрові втрати, знижує рівень догляду за пацієнтами та провокує масове звільнення працівників, які виконують ключові підтримуючі функції. Таблиця також акцентує на впливі кризових умов (війна, міграція, нестабільність), що спричиняють перевантаження, загрози безпеці, психологічне виснаження та руйнування колективної структури.</w:t>
      </w:r>
    </w:p>
    <w:p>
      <w:pPr>
        <w:pStyle w:val="Normal"/>
        <w:ind w:firstLine="720"/>
        <w:rPr>
          <w:rFonts w:eastAsia="Calibri"/>
          <w:szCs w:val="22"/>
        </w:rPr>
      </w:pPr>
      <w:r>
        <w:rPr>
          <w:rFonts w:eastAsia="Calibri"/>
          <w:szCs w:val="22"/>
        </w:rPr>
        <w:t xml:space="preserve">У сукупності перелічені виклики демонструють системну природу кризових явищ в управлінні персоналом у медичній сфері України. Вони не є поодинокими або локальними, а формують взаємопов’язану мережу причин і наслідків, де кожен дисбаланс підсилює інші. Подолання таких проблем потребує комплексного підходу </w:t>
      </w:r>
      <w:r>
        <w:rPr>
          <w:rFonts w:eastAsia="Calibri"/>
          <w:szCs w:val="22"/>
          <w:lang w:val="uk-UA"/>
        </w:rPr>
        <w:t>–</w:t>
      </w:r>
      <w:r>
        <w:rPr>
          <w:rFonts w:eastAsia="Calibri"/>
          <w:szCs w:val="22"/>
        </w:rPr>
        <w:t xml:space="preserve"> від реформування мотиваційних механізмів і розвитку цифрових компетенцій до зміцнення управлінського лідерства, формування стратегічного HR-менеджменту та стабільного регуляторного середовища.</w:t>
      </w:r>
    </w:p>
    <w:p>
      <w:pPr>
        <w:pStyle w:val="Normal"/>
        <w:ind w:firstLine="720"/>
        <w:rPr>
          <w:rFonts w:eastAsia="Calibri"/>
          <w:szCs w:val="22"/>
          <w:lang w:val="uk-UA"/>
        </w:rPr>
      </w:pPr>
      <w:r>
        <w:rPr>
          <w:rFonts w:eastAsia="Calibri"/>
          <w:szCs w:val="22"/>
          <w:lang w:val="uk-UA"/>
        </w:rPr>
        <w:t>Одним із ключових викликів сучасності є дефіцит медичних кадрів, що має системний характер і проявляється у всіх без винятку регіонах України. Проблема загострилася внаслідок масової еміграції кваліфікованих спеціалістів за кордон, особливо після 2014 року, а також з початком повномасштабного вторгнення Російської Федерації у 2022 році. Низький рівень заробітної плати, високе професійне навантаження, обмежені можливості для розвитку, психологічне та фізичне виснаження – все це стало причинами зростання міграційних настроїв серед медичних працівників. Внаслідок цього багато закладів охорони здоров’я залишилися без вузькопрофільних спеціалістів, що істотно вплинуло на доступність та якість медичних послуг, особливо у віддалених регіонах[10].</w:t>
      </w:r>
    </w:p>
    <w:p>
      <w:pPr>
        <w:pStyle w:val="Normal"/>
        <w:ind w:firstLine="720"/>
        <w:rPr>
          <w:rFonts w:eastAsia="Calibri"/>
          <w:szCs w:val="22"/>
          <w:lang w:val="uk-UA"/>
        </w:rPr>
      </w:pPr>
      <w:r>
        <w:rPr>
          <w:rFonts w:eastAsia="Calibri"/>
          <w:szCs w:val="22"/>
          <w:lang w:val="uk-UA"/>
        </w:rPr>
        <w:t>Другим важливим викликом є старіння медичного персоналу. Більшість лікарів, особливо у сільській місцевості, перебувають у передпенсійному або пенсійному віці. Молодь не поспішає обирати медицину як професію через тривалий і складний процес навчання, низькі стартові зарплати та відсутність гарантованого кар’єрного зростання. Це створює загрозу кадрової прірви: досвідчені фахівці поступово йдуть з професії, а нових – не вистачає, щоб заповнити цю прогалину. Кадрове оновлення відбувається повільно, а передача знань і практичного досвіду не завжди має системний характер.</w:t>
      </w:r>
    </w:p>
    <w:p>
      <w:pPr>
        <w:pStyle w:val="Normal"/>
        <w:ind w:firstLine="720"/>
        <w:rPr>
          <w:rFonts w:eastAsia="Calibri"/>
          <w:szCs w:val="22"/>
          <w:lang w:val="uk-UA"/>
        </w:rPr>
      </w:pPr>
      <w:r>
        <w:rPr>
          <w:rFonts w:eastAsia="Calibri"/>
          <w:szCs w:val="22"/>
          <w:lang w:val="uk-UA"/>
        </w:rPr>
        <w:t>Наступна проблема пов’язана із професійним вигоранням медичних працівників. Робота в умовах постійного стресу, відповідальності за життя пацієнтів, конфліктів з родичами хворих, недосконалої інфраструктури та надмірної бюрократії призводить до фізичного і психоемоційного виснаження. Вигорання стає причиною зниження мотивації, збільшення кількості помилок, формального ставлення до обов’язків, плинності кадрів та, зрештою, погіршення якості надання медичної допомоги. Відсутність програм психологічної підтримки, можливостей для відновлення ресурсу, нормалізації навантаження лише посилює цю проблему.</w:t>
      </w:r>
    </w:p>
    <w:p>
      <w:pPr>
        <w:pStyle w:val="Normal"/>
        <w:ind w:hanging="0"/>
        <w:rPr>
          <w:rFonts w:eastAsia="Calibri"/>
          <w:szCs w:val="22"/>
          <w:lang w:val="uk-UA"/>
        </w:rPr>
      </w:pPr>
      <w:r>
        <w:rPr/>
        <w:drawing>
          <wp:inline distT="0" distB="0" distL="0" distR="0">
            <wp:extent cx="6118860" cy="357378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noChangeArrowheads="1"/>
                    </pic:cNvPicPr>
                  </pic:nvPicPr>
                  <pic:blipFill>
                    <a:blip r:embed="rId6"/>
                    <a:stretch>
                      <a:fillRect/>
                    </a:stretch>
                  </pic:blipFill>
                  <pic:spPr bwMode="auto">
                    <a:xfrm>
                      <a:off x="0" y="0"/>
                      <a:ext cx="6118860" cy="3573780"/>
                    </a:xfrm>
                    <a:prstGeom prst="rect">
                      <a:avLst/>
                    </a:prstGeom>
                    <a:noFill/>
                  </pic:spPr>
                </pic:pic>
              </a:graphicData>
            </a:graphic>
          </wp:inline>
        </w:drawing>
      </w:r>
    </w:p>
    <w:p>
      <w:pPr>
        <w:pStyle w:val="Normal"/>
        <w:ind w:hanging="0"/>
        <w:jc w:val="center"/>
        <w:rPr>
          <w:rFonts w:eastAsia="Calibri"/>
          <w:szCs w:val="22"/>
          <w:lang w:val="uk-UA"/>
        </w:rPr>
      </w:pPr>
      <w:r>
        <w:rPr>
          <w:rFonts w:eastAsia="Calibri"/>
          <w:szCs w:val="22"/>
          <w:lang w:val="uk-UA"/>
        </w:rPr>
        <w:t>Рис 1.3 «Ключові виклики в управлінні персоналом у медичних установах України»</w:t>
      </w:r>
    </w:p>
    <w:p>
      <w:pPr>
        <w:pStyle w:val="Normal"/>
        <w:ind w:firstLine="720"/>
        <w:rPr>
          <w:rFonts w:eastAsia="Calibri"/>
          <w:szCs w:val="22"/>
          <w:lang w:val="uk-UA"/>
        </w:rPr>
      </w:pPr>
      <w:r>
        <w:rPr>
          <w:rFonts w:eastAsia="Calibri"/>
          <w:szCs w:val="22"/>
          <w:lang w:val="uk-UA"/>
        </w:rPr>
      </w:r>
    </w:p>
    <w:p>
      <w:pPr>
        <w:pStyle w:val="Normal"/>
        <w:ind w:firstLine="720"/>
        <w:rPr>
          <w:rFonts w:eastAsia="Calibri"/>
          <w:szCs w:val="22"/>
          <w:lang w:val="uk-UA"/>
        </w:rPr>
      </w:pPr>
      <w:r>
        <w:rPr>
          <w:rFonts w:eastAsia="Calibri"/>
          <w:szCs w:val="22"/>
          <w:lang w:val="uk-UA"/>
        </w:rPr>
        <w:t>Серйозний виклик становить також недосконалість системи мотивації персоналу. В Україні система оплати праці медиків довгий час базувалася на фіксованих тарифах, які не враховували реальне навантаження, складність роботи, кваліфікацію та ефективність. Лише з появою контрактної системи та фінансування через НСЗУ почалися спроби зробити оплату праці більш справедливою. Проте в більшості випадків існує нерівномірність у виплатах, непрозорість критеріїв преміювання, залежність від лояльності до керівництва, а не від результатів діяльності. У таких умовах зникає стимул до підвищення якості праці, інноваційності, розвитку.</w:t>
      </w:r>
    </w:p>
    <w:p>
      <w:pPr>
        <w:pStyle w:val="Normal"/>
        <w:ind w:firstLine="720"/>
        <w:rPr>
          <w:rFonts w:eastAsia="Calibri"/>
          <w:szCs w:val="22"/>
          <w:lang w:val="uk-UA"/>
        </w:rPr>
      </w:pPr>
      <w:r>
        <w:rPr>
          <w:rFonts w:eastAsia="Calibri"/>
          <w:szCs w:val="22"/>
          <w:lang w:val="uk-UA"/>
        </w:rPr>
        <w:t>Окремо слід виділити проблему неефективного використання кадрового потенціалу. У багатьох медичних закладах відсутня системна кадрова стратегія, процеси підбору, адаптації, оцінювання та розвитку персоналу здійснюються за інерцією, формально. Немає чіткого розуміння, які компетенції потрібні на конкретних посадах, як вимірювати ефективність працівника, як формувати кадровий резерв. Нерідко трапляється дублювання функцій, нераціональний розподіл обов’язків, а іноді – надмірна залежність від кількох ключових працівників. Через це страждає якість управління, зростає ризик помилок і неефективності.</w:t>
      </w:r>
    </w:p>
    <w:p>
      <w:pPr>
        <w:pStyle w:val="Normal"/>
        <w:ind w:firstLine="720"/>
        <w:rPr>
          <w:rFonts w:eastAsia="Calibri"/>
          <w:szCs w:val="22"/>
          <w:lang w:val="uk-UA"/>
        </w:rPr>
      </w:pPr>
      <w:r>
        <w:rPr>
          <w:rFonts w:eastAsia="Calibri"/>
          <w:szCs w:val="22"/>
          <w:lang w:val="uk-UA"/>
        </w:rPr>
        <w:t>Варто згадати й про виклик, пов’язаний з низьким рівнем цифрової грамотності медичного персоналу. У сучасних умовах цифровізація охорони здоров’я набирає обертів: електронні медичні картки, онлайн-записи, телемедицина, аналітика великих даних. Проте значна частина персоналу, особливо старшого віку, не має достатніх навичок роботи з цифровими технологіями. Це ускладнює впровадження сучасних інформаційних систем, знижує їх ефективність і створює додаткове навантаження на адміністративний персонал. Водночас відсутні комплексні програми цифрового навчання для медиків[</w:t>
      </w:r>
      <w:r>
        <w:rPr>
          <w:rFonts w:eastAsia="Calibri"/>
          <w:szCs w:val="22"/>
          <w:lang w:val="en-GB"/>
        </w:rPr>
        <w:t>36</w:t>
      </w:r>
      <w:r>
        <w:rPr>
          <w:rFonts w:eastAsia="Calibri"/>
          <w:szCs w:val="22"/>
          <w:lang w:val="uk-UA"/>
        </w:rPr>
        <w:t>].</w:t>
      </w:r>
    </w:p>
    <w:p>
      <w:pPr>
        <w:pStyle w:val="Normal"/>
        <w:ind w:firstLine="720"/>
        <w:rPr>
          <w:rFonts w:eastAsia="Calibri"/>
          <w:szCs w:val="22"/>
          <w:lang w:val="uk-UA"/>
        </w:rPr>
      </w:pPr>
      <w:r>
        <w:rPr>
          <w:rFonts w:eastAsia="Calibri"/>
          <w:szCs w:val="22"/>
          <w:lang w:val="uk-UA"/>
        </w:rPr>
        <w:t>Серйозним бар’єром у сфері управління персоналом медичних установ є зарегульованість і нестабільність нормативно-правового середовища. Часті зміни в законодавстві, суперечливі вимоги різних контролюючих органів, складність звітності створюють адміністративне навантаження на керівників закладів і кадрові служби. Внаслідок цього значна частина зусиль спрямовується не на розвиток персоналу, а на паперову роботу, що знижує гнучкість і стратегічність кадрового управління. Крім того, через складність процедур працівники часто не обізнані у своїх правах, не можуть відстояти їх, що створює нерівність у доступі до можливостей.</w:t>
      </w:r>
    </w:p>
    <w:p>
      <w:pPr>
        <w:pStyle w:val="Normal"/>
        <w:ind w:firstLine="720"/>
        <w:rPr>
          <w:rFonts w:eastAsia="Calibri"/>
          <w:szCs w:val="22"/>
          <w:lang w:val="uk-UA"/>
        </w:rPr>
      </w:pPr>
      <w:r>
        <w:rPr>
          <w:rFonts w:eastAsia="Calibri"/>
          <w:szCs w:val="22"/>
          <w:lang w:val="uk-UA"/>
        </w:rPr>
        <w:t>Ще один важливий виклик — відсутність якісного лідерства у медичних установах. Часто керівні посади обіймають люди з медичною освітою, але без належної управлінської підготовки. Вони можуть бути чудовими фахівцями, але не мати навичок стратегічного планування, мотивації персоналу, управління командою. У результаті з’являється авторитарний стиль керівництва, відсутність горизонтальних комунікацій, нехтування принципами партнерства і командної роботи. Це знижує довіру до керівництва, породжує конфлікти, демотивує персонал. Не менш серйозним викликом є інституційна недовіра – з боку працівників до системи, керівників, держави. Вона формується роками й базується на досвіді порушення трудових прав, затримках виплат, ігноруванні пропозицій знизу, відсутності ефективного захисту інтересів працівників. Внаслідок цього медичні працівники втрачають відчуття відповідальності за результат, прагнуть мінімізувати ініціативність, бо не вірять у зміни.</w:t>
      </w:r>
    </w:p>
    <w:p>
      <w:pPr>
        <w:pStyle w:val="Normal"/>
        <w:ind w:firstLine="720"/>
        <w:rPr>
          <w:rFonts w:eastAsia="Calibri"/>
          <w:szCs w:val="22"/>
          <w:lang w:val="uk-UA"/>
        </w:rPr>
      </w:pPr>
      <w:r>
        <w:rPr>
          <w:rFonts w:eastAsia="Calibri"/>
          <w:szCs w:val="22"/>
          <w:lang w:val="uk-UA"/>
        </w:rPr>
        <w:t>Також слід згадати про дисбаланс між управлінням лікарським та середнім медичним персоналом. Зазвичай уся увага зосереджується на лікарях, тоді як роль медичних сестер, санітарів, технічного персоналу недооцінюється. Вони ж відіграють ключову роль у процесі лікування та догляду за пацієнтами. Ігнорування їхніх потреб призводить до відтоку кадрів, браку кваліфікації та зниження якості сервісу.</w:t>
      </w:r>
    </w:p>
    <w:p>
      <w:pPr>
        <w:pStyle w:val="Normal"/>
        <w:ind w:firstLine="720"/>
        <w:rPr>
          <w:rFonts w:eastAsia="Calibri"/>
          <w:szCs w:val="22"/>
          <w:lang w:val="uk-UA"/>
        </w:rPr>
      </w:pPr>
      <w:r>
        <w:rPr>
          <w:rFonts w:eastAsia="Calibri"/>
          <w:szCs w:val="22"/>
          <w:lang w:val="uk-UA"/>
        </w:rPr>
        <w:t>У контексті війни та внутрішньої міграції додатковим викликом стало зростання навантаження на персонал у приймаючих регіонах, необхідність інтеграції ВПО у колективи, забезпечення безпеки працівників у зонах ризику. Це вимагає нових підходів до психологічної адаптації, мобільного управління, кризової комунікації[</w:t>
      </w:r>
      <w:r>
        <w:rPr>
          <w:rFonts w:eastAsia="Calibri"/>
          <w:szCs w:val="22"/>
          <w:lang w:val="en-GB"/>
        </w:rPr>
        <w:t>47</w:t>
      </w:r>
      <w:r>
        <w:rPr>
          <w:rFonts w:eastAsia="Calibri"/>
          <w:szCs w:val="22"/>
          <w:lang w:val="uk-UA"/>
        </w:rPr>
        <w:t>].</w:t>
      </w:r>
    </w:p>
    <w:p>
      <w:pPr>
        <w:pStyle w:val="Normal"/>
        <w:rPr>
          <w:rFonts w:eastAsia="Calibri"/>
          <w:szCs w:val="22"/>
          <w:lang w:val="uk-UA"/>
        </w:rPr>
      </w:pPr>
      <w:r>
        <w:rPr>
          <w:rFonts w:eastAsia="Calibri"/>
          <w:szCs w:val="22"/>
          <w:lang w:val="uk-UA"/>
        </w:rPr>
        <w:t>З огляду на всі ці виклики, проблеми управління персоналом у медичних установах набувають системного характеру. Вони не можуть бути розв’язані окремими заходами, потрібна комплексна кадрова політика на національному рівні, інституційна підтримка HR-функції, інвестиції в навчання та розвиток управлінських кадрів, запровадження інноваційних інструментів управління людськими ресурсами.</w:t>
      </w:r>
    </w:p>
    <w:p>
      <w:pPr>
        <w:pStyle w:val="Normal"/>
        <w:rPr>
          <w:lang w:val="uk-UA"/>
        </w:rPr>
      </w:pPr>
      <w:bookmarkStart w:id="7" w:name="_Toc200703983"/>
      <w:r>
        <w:rPr>
          <w:rStyle w:val="1"/>
          <w:lang w:val="uk-UA"/>
        </w:rPr>
        <w:t>Висновок до розділу 1.</w:t>
      </w:r>
      <w:bookmarkEnd w:id="7"/>
      <w:r>
        <w:rPr>
          <w:lang w:val="uk-UA"/>
        </w:rPr>
        <w:t xml:space="preserve"> У першому розділі було розглянуто теоретико-методологічні засади управління персоналом у сфері охорони здоров’я. Проведене дослідження дало змогу встановити, що персонал медичних закладів є стратегічним ресурсом, який визначає якість надання медичних послуг, конкурентоспроможність закладу та ефективність використання фінансових і матеріальних ресурсів.</w:t>
      </w:r>
    </w:p>
    <w:p>
      <w:pPr>
        <w:pStyle w:val="Normal"/>
        <w:rPr>
          <w:lang w:val="uk-UA"/>
        </w:rPr>
      </w:pPr>
      <w:r>
        <w:rPr>
          <w:lang w:val="uk-UA"/>
        </w:rPr>
        <w:t>На підставі аналізу наукових джерел було визначено сутність, принципи та основні функції управління персоналом. Особливу увагу приділено специфіці кадрової політики в установах охорони здоров’я, зокрема її соціальній спрямованості, високим етичним вимогам до працівників, а також залежності управлінських рішень від нормативного поля та фінансування за Програмою медичних гарантій.</w:t>
      </w:r>
    </w:p>
    <w:p>
      <w:pPr>
        <w:pStyle w:val="Normal"/>
        <w:rPr>
          <w:lang w:val="uk-UA"/>
        </w:rPr>
      </w:pPr>
      <w:r>
        <w:rPr>
          <w:lang w:val="uk-UA"/>
        </w:rPr>
        <w:t>Узагальнено сучасні підходи до HR-менеджменту в медичній сфері, зокрема стратегічне управління людськими ресурсами, мотиваційні моделі, цифрові інструменти контролю й оцінки ефективності персоналу. Обґрунтовано необхідність переходу до системного, результатоорієнтованого та адаптивного управління кадрами в умовах реформування галузі охорони здоров’я.</w:t>
      </w:r>
    </w:p>
    <w:p>
      <w:pPr>
        <w:pStyle w:val="Normal"/>
        <w:rPr>
          <w:lang w:val="uk-UA"/>
        </w:rPr>
      </w:pPr>
      <w:r>
        <w:rPr>
          <w:lang w:val="uk-UA"/>
        </w:rPr>
        <w:t>Таким чином, розділ 1 створив наукове підґрунтя для подальшого аналізу стану управління персоналом у конкретному медичному закладі та розробки практичних рекомендацій щодо його вдосконалення.</w:t>
      </w:r>
    </w:p>
    <w:p>
      <w:pPr>
        <w:pStyle w:val="Normal"/>
        <w:rPr/>
      </w:pPr>
      <w:r>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r>
        <w:br w:type="page"/>
      </w:r>
    </w:p>
    <w:p>
      <w:pPr>
        <w:pStyle w:val="Heading1"/>
        <w:spacing w:before="0" w:after="0"/>
        <w:rPr>
          <w:lang w:val="uk-UA"/>
        </w:rPr>
      </w:pPr>
      <w:bookmarkStart w:id="8" w:name="_Toc200703984"/>
      <w:r>
        <w:rPr>
          <w:lang w:val="uk-UA"/>
        </w:rPr>
        <w:t>РОЗДІЛ 2. АНАЛІЗ СИСТЕМИ УПРАВЛІННЯ ПЕРСОНАЛОМ У КНП «ПІВДЕННІВСЬКА МІСЬКА ЛІКАРНЯ»</w:t>
      </w:r>
      <w:bookmarkEnd w:id="8"/>
    </w:p>
    <w:p>
      <w:pPr>
        <w:pStyle w:val="Heading1"/>
        <w:rPr>
          <w:lang w:val="uk-UA"/>
        </w:rPr>
      </w:pPr>
      <w:bookmarkStart w:id="9" w:name="_Toc200703985"/>
      <w:r>
        <w:rPr>
          <w:lang w:val="uk-UA"/>
        </w:rPr>
        <w:t>2.1. Загальна характеристика управлінської діяльності у КНП «Південнівська міська лікарня»</w:t>
      </w:r>
      <w:bookmarkEnd w:id="9"/>
      <w:r>
        <w:rPr>
          <w:lang w:val="uk-UA"/>
        </w:rPr>
        <w:t xml:space="preserve"> ПМР</w:t>
      </w:r>
    </w:p>
    <w:p>
      <w:pPr>
        <w:pStyle w:val="Normal"/>
        <w:rPr>
          <w:lang w:val="uk-UA"/>
        </w:rPr>
      </w:pPr>
      <w:r>
        <w:rPr>
          <w:lang w:val="uk-UA"/>
        </w:rPr>
      </w:r>
    </w:p>
    <w:p>
      <w:pPr>
        <w:pStyle w:val="Normal"/>
        <w:rPr>
          <w:lang w:val="uk-UA"/>
        </w:rPr>
      </w:pPr>
      <w:r>
        <w:rPr>
          <w:lang w:val="uk-UA"/>
        </w:rPr>
        <w:t>Комунальне некомерційне підприємство «Південнівська міська лікарня» є важливою ланкою у системі охорони здоров’я міста Південне, яке функціонує як багатопрофільний лікувальний заклад вторинного рівня надання медичної допомоги. Управлінська діяльність у КНП спрямована на забезпечення ефективної, безперервної та якісної роботи медичного закладу в умовах реформування медичної галузі, контрактної моделі фінансування та зростання вимог до сервісу з боку населення.</w:t>
      </w:r>
    </w:p>
    <w:p>
      <w:pPr>
        <w:pStyle w:val="Normal"/>
        <w:jc w:val="end"/>
        <w:rPr>
          <w:lang w:val="uk-UA"/>
        </w:rPr>
      </w:pPr>
      <w:r>
        <w:rPr>
          <w:lang w:val="uk-UA"/>
        </w:rPr>
        <w:t>Таблиця 2.1</w:t>
      </w:r>
    </w:p>
    <w:p>
      <w:pPr>
        <w:pStyle w:val="Normal"/>
        <w:jc w:val="center"/>
        <w:rPr>
          <w:lang w:val="uk-UA"/>
        </w:rPr>
      </w:pPr>
      <w:r>
        <w:rPr>
          <w:lang w:val="uk-UA" w:bidi="uk-UA"/>
        </w:rPr>
        <w:t xml:space="preserve">Загальна характеристика </w:t>
      </w:r>
      <w:r>
        <w:rPr>
          <w:lang w:val="uk-UA"/>
        </w:rPr>
        <w:t>фармацевтичної організації / медичної установи</w:t>
      </w:r>
    </w:p>
    <w:tbl>
      <w:tblPr>
        <w:tblW w:w="9464" w:type="dxa"/>
        <w:jc w:val="start"/>
        <w:tblInd w:w="0" w:type="dxa"/>
        <w:tblLayout w:type="fixed"/>
        <w:tblCellMar>
          <w:top w:w="0" w:type="dxa"/>
          <w:start w:w="108" w:type="dxa"/>
          <w:bottom w:w="0" w:type="dxa"/>
          <w:end w:w="108" w:type="dxa"/>
        </w:tblCellMar>
      </w:tblPr>
      <w:tblGrid>
        <w:gridCol w:w="562"/>
        <w:gridCol w:w="3090"/>
        <w:gridCol w:w="5812"/>
      </w:tblGrid>
      <w:tr>
        <w:trPr>
          <w:trHeight w:val="300" w:hRule="atLeast"/>
        </w:trPr>
        <w:tc>
          <w:tcPr>
            <w:tcW w:w="562" w:type="dxa"/>
            <w:tcBorders>
              <w:top w:val="single" w:sz="4" w:space="0" w:color="000000"/>
              <w:start w:val="single" w:sz="4" w:space="0" w:color="000000"/>
            </w:tcBorders>
            <w:shd w:fill="FFFFFF" w:val="clear"/>
            <w:vAlign w:val="bottom"/>
          </w:tcPr>
          <w:p>
            <w:pPr>
              <w:pStyle w:val="Normal"/>
              <w:spacing w:lineRule="auto" w:line="240"/>
              <w:ind w:hanging="0"/>
              <w:rPr>
                <w:b/>
                <w:bCs/>
                <w:sz w:val="24"/>
                <w:szCs w:val="24"/>
                <w:lang w:val="uk-UA"/>
              </w:rPr>
            </w:pPr>
            <w:r>
              <w:rPr>
                <w:b/>
                <w:bCs/>
                <w:sz w:val="24"/>
                <w:szCs w:val="24"/>
                <w:lang w:val="uk-UA" w:bidi="uk-UA"/>
              </w:rPr>
              <w:t xml:space="preserve">№ </w:t>
            </w:r>
            <w:r>
              <w:rPr>
                <w:b/>
                <w:bCs/>
                <w:sz w:val="24"/>
                <w:szCs w:val="24"/>
                <w:lang w:val="uk-UA" w:bidi="uk-UA"/>
              </w:rPr>
              <w:t>з/п</w:t>
            </w:r>
          </w:p>
        </w:tc>
        <w:tc>
          <w:tcPr>
            <w:tcW w:w="3090" w:type="dxa"/>
            <w:tcBorders>
              <w:top w:val="single" w:sz="4" w:space="0" w:color="000000"/>
              <w:start w:val="single" w:sz="4" w:space="0" w:color="000000"/>
            </w:tcBorders>
            <w:shd w:fill="FFFFFF" w:val="clear"/>
            <w:vAlign w:val="bottom"/>
          </w:tcPr>
          <w:p>
            <w:pPr>
              <w:pStyle w:val="Normal"/>
              <w:spacing w:lineRule="auto" w:line="240"/>
              <w:ind w:hanging="0"/>
              <w:rPr>
                <w:b/>
                <w:bCs/>
                <w:sz w:val="24"/>
                <w:szCs w:val="24"/>
                <w:lang w:val="uk-UA"/>
              </w:rPr>
            </w:pPr>
            <w:r>
              <w:rPr>
                <w:b/>
                <w:bCs/>
                <w:sz w:val="24"/>
                <w:szCs w:val="24"/>
                <w:lang w:val="uk-UA" w:bidi="uk-UA"/>
              </w:rPr>
              <w:t>Показник</w:t>
            </w:r>
          </w:p>
        </w:tc>
        <w:tc>
          <w:tcPr>
            <w:tcW w:w="5812" w:type="dxa"/>
            <w:tcBorders>
              <w:top w:val="single" w:sz="4" w:space="0" w:color="000000"/>
              <w:start w:val="single" w:sz="4" w:space="0" w:color="000000"/>
              <w:end w:val="single" w:sz="4" w:space="0" w:color="000000"/>
            </w:tcBorders>
            <w:shd w:fill="FFFFFF" w:val="clear"/>
            <w:vAlign w:val="bottom"/>
          </w:tcPr>
          <w:p>
            <w:pPr>
              <w:pStyle w:val="Normal"/>
              <w:spacing w:lineRule="auto" w:line="240"/>
              <w:ind w:hanging="0"/>
              <w:rPr>
                <w:b/>
                <w:bCs/>
                <w:sz w:val="24"/>
                <w:szCs w:val="24"/>
                <w:lang w:val="uk-UA"/>
              </w:rPr>
            </w:pPr>
            <w:r>
              <w:rPr>
                <w:b/>
                <w:bCs/>
                <w:sz w:val="24"/>
                <w:szCs w:val="24"/>
                <w:lang w:val="uk-UA" w:bidi="uk-UA"/>
              </w:rPr>
              <w:t>Характеристика</w:t>
            </w:r>
          </w:p>
        </w:tc>
      </w:tr>
      <w:tr>
        <w:trPr>
          <w:trHeight w:val="300" w:hRule="atLeast"/>
        </w:trPr>
        <w:tc>
          <w:tcPr>
            <w:tcW w:w="562"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1</w:t>
            </w:r>
          </w:p>
        </w:tc>
        <w:tc>
          <w:tcPr>
            <w:tcW w:w="3090" w:type="dxa"/>
            <w:tcBorders>
              <w:top w:val="single" w:sz="4" w:space="0" w:color="000000"/>
              <w:start w:val="single" w:sz="4" w:space="0" w:color="000000"/>
            </w:tcBorders>
            <w:shd w:fill="FFFFFF" w:val="clear"/>
            <w:vAlign w:val="center"/>
          </w:tcPr>
          <w:p>
            <w:pPr>
              <w:pStyle w:val="Normal"/>
              <w:spacing w:lineRule="auto" w:line="240"/>
              <w:ind w:hanging="0"/>
              <w:rPr>
                <w:sz w:val="24"/>
                <w:szCs w:val="24"/>
                <w:lang w:val="uk-UA" w:bidi="uk-UA"/>
              </w:rPr>
            </w:pPr>
            <w:r>
              <w:rPr>
                <w:sz w:val="24"/>
                <w:szCs w:val="24"/>
                <w:lang w:val="uk-UA" w:bidi="uk-UA"/>
              </w:rPr>
              <w:t>Повна назва</w:t>
            </w:r>
          </w:p>
        </w:tc>
        <w:tc>
          <w:tcPr>
            <w:tcW w:w="5812" w:type="dxa"/>
            <w:tcBorders>
              <w:top w:val="single" w:sz="4" w:space="0" w:color="000000"/>
              <w:start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Комунальне некомерційне підприємство «Південнівська міська лікарня» Південнівської міської ради (КНП «ПМЛ»)</w:t>
            </w:r>
          </w:p>
        </w:tc>
      </w:tr>
      <w:tr>
        <w:trPr>
          <w:trHeight w:val="300" w:hRule="atLeast"/>
        </w:trPr>
        <w:tc>
          <w:tcPr>
            <w:tcW w:w="562"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2</w:t>
            </w:r>
          </w:p>
        </w:tc>
        <w:tc>
          <w:tcPr>
            <w:tcW w:w="3090"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Код ЄДРПОУ</w:t>
            </w:r>
          </w:p>
        </w:tc>
        <w:tc>
          <w:tcPr>
            <w:tcW w:w="5812" w:type="dxa"/>
            <w:tcBorders>
              <w:top w:val="single" w:sz="4" w:space="0" w:color="000000"/>
              <w:start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39138976</w:t>
            </w:r>
          </w:p>
        </w:tc>
      </w:tr>
      <w:tr>
        <w:trPr>
          <w:trHeight w:val="300" w:hRule="atLeast"/>
        </w:trPr>
        <w:tc>
          <w:tcPr>
            <w:tcW w:w="562"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3</w:t>
            </w:r>
          </w:p>
        </w:tc>
        <w:tc>
          <w:tcPr>
            <w:tcW w:w="3090"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Юридична адреса</w:t>
            </w:r>
          </w:p>
        </w:tc>
        <w:tc>
          <w:tcPr>
            <w:tcW w:w="5812" w:type="dxa"/>
            <w:tcBorders>
              <w:top w:val="single" w:sz="4" w:space="0" w:color="000000"/>
              <w:start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Україна, 65481, Одеська область, місто Південне, вулиця Хіміків, будинок 1</w:t>
            </w:r>
          </w:p>
        </w:tc>
      </w:tr>
      <w:tr>
        <w:trPr>
          <w:trHeight w:val="300" w:hRule="atLeast"/>
        </w:trPr>
        <w:tc>
          <w:tcPr>
            <w:tcW w:w="562"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4</w:t>
            </w:r>
          </w:p>
        </w:tc>
        <w:tc>
          <w:tcPr>
            <w:tcW w:w="3090" w:type="dxa"/>
            <w:tcBorders>
              <w:top w:val="single" w:sz="4" w:space="0" w:color="000000"/>
              <w:start w:val="single" w:sz="4" w:space="0" w:color="000000"/>
            </w:tcBorders>
            <w:shd w:fill="FFFFFF" w:val="clear"/>
            <w:vAlign w:val="bottom"/>
          </w:tcPr>
          <w:p>
            <w:pPr>
              <w:pStyle w:val="Normal"/>
              <w:spacing w:lineRule="auto" w:line="240"/>
              <w:ind w:hanging="0"/>
              <w:rPr>
                <w:i/>
                <w:i/>
                <w:iCs/>
                <w:sz w:val="24"/>
                <w:szCs w:val="24"/>
                <w:lang w:val="uk-UA" w:bidi="uk-UA"/>
              </w:rPr>
            </w:pPr>
            <w:r>
              <w:rPr>
                <w:sz w:val="24"/>
                <w:szCs w:val="24"/>
                <w:lang w:val="uk-UA" w:bidi="uk-UA"/>
              </w:rPr>
              <w:t>Власник (</w:t>
            </w:r>
            <w:r>
              <w:rPr>
                <w:i/>
                <w:iCs/>
                <w:sz w:val="24"/>
                <w:szCs w:val="24"/>
                <w:lang w:val="uk-UA" w:bidi="uk-UA"/>
              </w:rPr>
              <w:t>орган управління майном)</w:t>
            </w:r>
          </w:p>
        </w:tc>
        <w:tc>
          <w:tcPr>
            <w:tcW w:w="5812" w:type="dxa"/>
            <w:tcBorders>
              <w:top w:val="single" w:sz="4" w:space="0" w:color="000000"/>
              <w:start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Південнівська міська рада Одеського району Одеської області</w:t>
            </w:r>
          </w:p>
        </w:tc>
      </w:tr>
      <w:tr>
        <w:trPr>
          <w:trHeight w:val="300" w:hRule="atLeast"/>
        </w:trPr>
        <w:tc>
          <w:tcPr>
            <w:tcW w:w="562"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5</w:t>
            </w:r>
          </w:p>
        </w:tc>
        <w:tc>
          <w:tcPr>
            <w:tcW w:w="3090"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Організаційно-правова форма</w:t>
            </w:r>
          </w:p>
        </w:tc>
        <w:tc>
          <w:tcPr>
            <w:tcW w:w="5812" w:type="dxa"/>
            <w:tcBorders>
              <w:top w:val="single" w:sz="4" w:space="0" w:color="000000"/>
              <w:start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Комунальне некомерційне підприємство</w:t>
            </w:r>
          </w:p>
        </w:tc>
      </w:tr>
      <w:tr>
        <w:trPr>
          <w:trHeight w:val="300" w:hRule="atLeast"/>
        </w:trPr>
        <w:tc>
          <w:tcPr>
            <w:tcW w:w="562"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6</w:t>
            </w:r>
          </w:p>
        </w:tc>
        <w:tc>
          <w:tcPr>
            <w:tcW w:w="3090"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Форма власності</w:t>
            </w:r>
          </w:p>
        </w:tc>
        <w:tc>
          <w:tcPr>
            <w:tcW w:w="5812" w:type="dxa"/>
            <w:tcBorders>
              <w:top w:val="single" w:sz="4" w:space="0" w:color="000000"/>
              <w:start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Комунальна</w:t>
            </w:r>
          </w:p>
        </w:tc>
      </w:tr>
      <w:tr>
        <w:trPr>
          <w:trHeight w:val="300" w:hRule="atLeast"/>
        </w:trPr>
        <w:tc>
          <w:tcPr>
            <w:tcW w:w="562" w:type="dxa"/>
            <w:tcBorders>
              <w:top w:val="single" w:sz="4" w:space="0" w:color="000000"/>
              <w:start w:val="single" w:sz="4" w:space="0" w:color="000000"/>
              <w:bottom w:val="single" w:sz="4" w:space="0" w:color="000000"/>
            </w:tcBorders>
            <w:shd w:fill="FFFFFF" w:val="clear"/>
            <w:vAlign w:val="center"/>
          </w:tcPr>
          <w:p>
            <w:pPr>
              <w:pStyle w:val="Normal"/>
              <w:spacing w:lineRule="auto" w:line="240"/>
              <w:ind w:hanging="0"/>
              <w:rPr>
                <w:sz w:val="24"/>
                <w:szCs w:val="24"/>
                <w:lang w:val="uk-UA" w:bidi="uk-UA"/>
              </w:rPr>
            </w:pPr>
            <w:r>
              <w:rPr>
                <w:sz w:val="24"/>
                <w:szCs w:val="24"/>
                <w:lang w:val="uk-UA" w:bidi="uk-UA"/>
              </w:rPr>
              <w:t>7</w:t>
            </w:r>
          </w:p>
        </w:tc>
        <w:tc>
          <w:tcPr>
            <w:tcW w:w="3090" w:type="dxa"/>
            <w:tcBorders>
              <w:top w:val="single" w:sz="4" w:space="0" w:color="000000"/>
              <w:start w:val="single" w:sz="4" w:space="0" w:color="000000"/>
              <w:bottom w:val="single" w:sz="4" w:space="0" w:color="000000"/>
            </w:tcBorders>
            <w:shd w:fill="FFFFFF" w:val="clear"/>
            <w:vAlign w:val="bottom"/>
          </w:tcPr>
          <w:p>
            <w:pPr>
              <w:pStyle w:val="Normal"/>
              <w:spacing w:lineRule="auto" w:line="240"/>
              <w:ind w:hanging="0"/>
              <w:rPr>
                <w:i/>
                <w:i/>
                <w:iCs/>
                <w:sz w:val="24"/>
                <w:szCs w:val="24"/>
                <w:lang w:val="uk-UA" w:bidi="uk-UA"/>
              </w:rPr>
            </w:pPr>
            <w:r>
              <w:rPr>
                <w:sz w:val="24"/>
                <w:szCs w:val="24"/>
                <w:lang w:val="uk-UA" w:bidi="uk-UA"/>
              </w:rPr>
              <w:t xml:space="preserve">Стисла історія закладу </w:t>
            </w:r>
            <w:r>
              <w:rPr>
                <w:i/>
                <w:iCs/>
                <w:sz w:val="24"/>
                <w:szCs w:val="24"/>
                <w:lang w:val="uk-UA" w:bidi="uk-UA"/>
              </w:rPr>
              <w:t>(рік створення, механізм перетворення, статутний капітал тощо)</w:t>
            </w:r>
          </w:p>
        </w:tc>
        <w:tc>
          <w:tcPr>
            <w:tcW w:w="5812" w:type="dxa"/>
            <w:tcBorders>
              <w:top w:val="single" w:sz="4" w:space="0" w:color="000000"/>
              <w:start w:val="single" w:sz="4" w:space="0" w:color="000000"/>
              <w:bottom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Заснована в 1983 році як медико-санітарна частина, заклад неодноразово змінював підпорядкування. У 2017 році перетворений у Комунальний заклад «Южненська міська лікарня», а в 2019 році — у Комунальне некомерційне підприємство. У грудні 2024 року перейменований на КНП «Південнівська міська лікарня» Південнівської міської ради. </w:t>
            </w:r>
          </w:p>
        </w:tc>
      </w:tr>
      <w:tr>
        <w:trPr>
          <w:trHeight w:val="300" w:hRule="atLeast"/>
        </w:trPr>
        <w:tc>
          <w:tcPr>
            <w:tcW w:w="562" w:type="dxa"/>
            <w:tcBorders>
              <w:top w:val="single" w:sz="4" w:space="0" w:color="000000"/>
              <w:start w:val="single" w:sz="4" w:space="0" w:color="000000"/>
              <w:bottom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8</w:t>
            </w:r>
          </w:p>
        </w:tc>
        <w:tc>
          <w:tcPr>
            <w:tcW w:w="3090" w:type="dxa"/>
            <w:tcBorders>
              <w:top w:val="single" w:sz="4" w:space="0" w:color="000000"/>
              <w:start w:val="single" w:sz="4" w:space="0" w:color="000000"/>
              <w:bottom w:val="single" w:sz="4" w:space="0" w:color="000000"/>
            </w:tcBorders>
            <w:shd w:fill="FFFFFF" w:val="clear"/>
            <w:vAlign w:val="bottom"/>
          </w:tcPr>
          <w:p>
            <w:pPr>
              <w:pStyle w:val="Normal"/>
              <w:spacing w:lineRule="auto" w:line="240"/>
              <w:ind w:hanging="0"/>
              <w:rPr>
                <w:i/>
                <w:i/>
                <w:iCs/>
                <w:sz w:val="24"/>
                <w:szCs w:val="24"/>
                <w:lang w:val="uk-UA" w:bidi="uk-UA"/>
              </w:rPr>
            </w:pPr>
            <w:r>
              <w:rPr>
                <w:sz w:val="24"/>
                <w:szCs w:val="24"/>
                <w:lang w:val="uk-UA" w:bidi="uk-UA"/>
              </w:rPr>
              <w:t xml:space="preserve">Електронна адреса сайту </w:t>
            </w:r>
            <w:r>
              <w:rPr>
                <w:i/>
                <w:iCs/>
                <w:sz w:val="24"/>
                <w:szCs w:val="24"/>
                <w:lang w:val="uk-UA" w:bidi="uk-UA"/>
              </w:rPr>
              <w:t>(за наявності)</w:t>
            </w:r>
          </w:p>
        </w:tc>
        <w:tc>
          <w:tcPr>
            <w:tcW w:w="5812" w:type="dxa"/>
            <w:tcBorders>
              <w:top w:val="single" w:sz="4" w:space="0" w:color="000000"/>
              <w:start w:val="single" w:sz="4" w:space="0" w:color="000000"/>
              <w:bottom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 </w:t>
            </w:r>
            <w:r>
              <w:rPr>
                <w:sz w:val="24"/>
                <w:szCs w:val="24"/>
                <w:lang w:val="uk-UA" w:bidi="uk-UA"/>
              </w:rPr>
              <w:t xml:space="preserve">https://pml.h24.ua/uk#staffs </w:t>
            </w:r>
          </w:p>
        </w:tc>
      </w:tr>
    </w:tbl>
    <w:p>
      <w:pPr>
        <w:pStyle w:val="Normal"/>
        <w:ind w:firstLine="720"/>
        <w:rPr>
          <w:rFonts w:eastAsia="Calibri"/>
          <w:i/>
          <w:i/>
          <w:iCs/>
          <w:sz w:val="24"/>
          <w:szCs w:val="24"/>
          <w:lang w:val="uk-UA"/>
        </w:rPr>
      </w:pPr>
      <w:r>
        <w:rPr>
          <w:rFonts w:eastAsia="Calibri"/>
          <w:i/>
          <w:iCs/>
          <w:sz w:val="24"/>
          <w:szCs w:val="24"/>
          <w:lang w:val="uk-UA"/>
        </w:rPr>
        <w:t>Створено автором на основі джерела [</w:t>
      </w:r>
      <w:r>
        <w:rPr>
          <w:rFonts w:eastAsia="Calibri"/>
          <w:i/>
          <w:iCs/>
          <w:sz w:val="24"/>
          <w:szCs w:val="24"/>
          <w:lang w:val="en-GB"/>
        </w:rPr>
        <w:t>23</w:t>
      </w:r>
      <w:r>
        <w:rPr>
          <w:rFonts w:eastAsia="Calibri"/>
          <w:i/>
          <w:iCs/>
          <w:sz w:val="24"/>
          <w:szCs w:val="24"/>
          <w:lang w:val="uk-UA"/>
        </w:rPr>
        <w:t>]</w:t>
      </w:r>
    </w:p>
    <w:p>
      <w:pPr>
        <w:pStyle w:val="Normal"/>
        <w:rPr>
          <w:lang w:val="uk-UA" w:bidi="uk-UA"/>
        </w:rPr>
      </w:pPr>
      <w:r>
        <w:rPr>
          <w:lang w:val="uk-UA" w:bidi="uk-UA"/>
        </w:rPr>
      </w:r>
    </w:p>
    <w:p>
      <w:pPr>
        <w:pStyle w:val="Normal"/>
        <w:jc w:val="end"/>
        <w:rPr>
          <w:lang w:val="uk-UA"/>
        </w:rPr>
      </w:pPr>
      <w:r>
        <w:rPr>
          <w:lang w:val="uk-UA"/>
        </w:rPr>
        <w:t xml:space="preserve">Таблиця </w:t>
      </w:r>
      <w:r>
        <w:rPr/>
        <w:t>2</w:t>
      </w:r>
      <w:r>
        <w:rPr>
          <w:lang w:val="uk-UA"/>
        </w:rPr>
        <w:t>.2</w:t>
      </w:r>
    </w:p>
    <w:p>
      <w:pPr>
        <w:pStyle w:val="Normal"/>
        <w:jc w:val="center"/>
        <w:rPr>
          <w:lang w:val="uk-UA"/>
        </w:rPr>
      </w:pPr>
      <w:r>
        <w:rPr>
          <w:lang w:val="uk-UA" w:bidi="uk-UA"/>
        </w:rPr>
        <w:t xml:space="preserve">Характеристика </w:t>
      </w:r>
      <w:r>
        <w:rPr>
          <w:lang w:val="uk-UA"/>
        </w:rPr>
        <w:t>послуг, що надаються КНП «Південнівська міська лікарня» ПМР</w:t>
      </w:r>
    </w:p>
    <w:tbl>
      <w:tblPr>
        <w:tblW w:w="9369" w:type="dxa"/>
        <w:jc w:val="center"/>
        <w:tblInd w:w="0" w:type="dxa"/>
        <w:tblLayout w:type="fixed"/>
        <w:tblCellMar>
          <w:top w:w="0" w:type="dxa"/>
          <w:start w:w="108" w:type="dxa"/>
          <w:bottom w:w="0" w:type="dxa"/>
          <w:end w:w="108" w:type="dxa"/>
        </w:tblCellMar>
      </w:tblPr>
      <w:tblGrid>
        <w:gridCol w:w="562"/>
        <w:gridCol w:w="2143"/>
        <w:gridCol w:w="6664"/>
      </w:tblGrid>
      <w:tr>
        <w:trPr>
          <w:trHeight w:val="300" w:hRule="atLeast"/>
        </w:trPr>
        <w:tc>
          <w:tcPr>
            <w:tcW w:w="562" w:type="dxa"/>
            <w:tcBorders>
              <w:top w:val="single" w:sz="4" w:space="0" w:color="000000"/>
              <w:start w:val="single" w:sz="4" w:space="0" w:color="000000"/>
            </w:tcBorders>
            <w:shd w:fill="FFFFFF" w:val="clear"/>
            <w:vAlign w:val="bottom"/>
          </w:tcPr>
          <w:p>
            <w:pPr>
              <w:pStyle w:val="Normal"/>
              <w:spacing w:lineRule="auto" w:line="240"/>
              <w:ind w:hanging="0"/>
              <w:rPr>
                <w:b/>
                <w:bCs/>
                <w:sz w:val="24"/>
                <w:szCs w:val="24"/>
                <w:lang w:val="uk-UA"/>
              </w:rPr>
            </w:pPr>
            <w:r>
              <w:rPr>
                <w:b/>
                <w:bCs/>
                <w:sz w:val="24"/>
                <w:szCs w:val="24"/>
                <w:lang w:val="uk-UA" w:bidi="uk-UA"/>
              </w:rPr>
              <w:t>№</w:t>
            </w:r>
          </w:p>
          <w:p>
            <w:pPr>
              <w:pStyle w:val="Normal"/>
              <w:spacing w:lineRule="auto" w:line="240"/>
              <w:ind w:hanging="0"/>
              <w:rPr>
                <w:b/>
                <w:bCs/>
                <w:sz w:val="24"/>
                <w:szCs w:val="24"/>
                <w:lang w:val="uk-UA"/>
              </w:rPr>
            </w:pPr>
            <w:r>
              <w:rPr>
                <w:b/>
                <w:bCs/>
                <w:sz w:val="24"/>
                <w:szCs w:val="24"/>
                <w:lang w:val="uk-UA" w:bidi="uk-UA"/>
              </w:rPr>
              <w:t>з/п</w:t>
            </w:r>
          </w:p>
        </w:tc>
        <w:tc>
          <w:tcPr>
            <w:tcW w:w="2143" w:type="dxa"/>
            <w:tcBorders>
              <w:top w:val="single" w:sz="4" w:space="0" w:color="000000"/>
              <w:start w:val="single" w:sz="4" w:space="0" w:color="000000"/>
            </w:tcBorders>
            <w:shd w:fill="FFFFFF" w:val="clear"/>
            <w:vAlign w:val="center"/>
          </w:tcPr>
          <w:p>
            <w:pPr>
              <w:pStyle w:val="Normal"/>
              <w:spacing w:lineRule="auto" w:line="240"/>
              <w:ind w:hanging="0"/>
              <w:rPr>
                <w:b/>
                <w:bCs/>
                <w:sz w:val="24"/>
                <w:szCs w:val="24"/>
                <w:lang w:val="uk-UA"/>
              </w:rPr>
            </w:pPr>
            <w:r>
              <w:rPr>
                <w:b/>
                <w:bCs/>
                <w:sz w:val="24"/>
                <w:szCs w:val="24"/>
                <w:lang w:val="uk-UA" w:bidi="uk-UA"/>
              </w:rPr>
              <w:t>Показник</w:t>
            </w:r>
          </w:p>
        </w:tc>
        <w:tc>
          <w:tcPr>
            <w:tcW w:w="6664" w:type="dxa"/>
            <w:tcBorders>
              <w:top w:val="single" w:sz="4" w:space="0" w:color="000000"/>
              <w:start w:val="single" w:sz="4" w:space="0" w:color="000000"/>
              <w:end w:val="single" w:sz="4" w:space="0" w:color="000000"/>
            </w:tcBorders>
            <w:shd w:fill="FFFFFF" w:val="clear"/>
            <w:vAlign w:val="center"/>
          </w:tcPr>
          <w:p>
            <w:pPr>
              <w:pStyle w:val="Normal"/>
              <w:spacing w:lineRule="auto" w:line="240"/>
              <w:ind w:hanging="0"/>
              <w:rPr>
                <w:b/>
                <w:bCs/>
                <w:sz w:val="24"/>
                <w:szCs w:val="24"/>
                <w:lang w:val="uk-UA"/>
              </w:rPr>
            </w:pPr>
            <w:r>
              <w:rPr>
                <w:b/>
                <w:bCs/>
                <w:sz w:val="24"/>
                <w:szCs w:val="24"/>
                <w:lang w:val="uk-UA" w:bidi="uk-UA"/>
              </w:rPr>
              <w:t>Характеристика</w:t>
            </w:r>
          </w:p>
        </w:tc>
      </w:tr>
      <w:tr>
        <w:trPr>
          <w:trHeight w:val="300" w:hRule="atLeast"/>
        </w:trPr>
        <w:tc>
          <w:tcPr>
            <w:tcW w:w="562" w:type="dxa"/>
            <w:tcBorders>
              <w:top w:val="single" w:sz="4" w:space="0" w:color="000000"/>
              <w:start w:val="single" w:sz="4" w:space="0" w:color="000000"/>
            </w:tcBorders>
            <w:shd w:fill="FFFFFF" w:val="clear"/>
            <w:vAlign w:val="center"/>
          </w:tcPr>
          <w:p>
            <w:pPr>
              <w:pStyle w:val="Normal"/>
              <w:spacing w:lineRule="auto" w:line="240"/>
              <w:ind w:hanging="0"/>
              <w:rPr>
                <w:sz w:val="24"/>
                <w:szCs w:val="24"/>
                <w:lang w:val="uk-UA" w:bidi="uk-UA"/>
              </w:rPr>
            </w:pPr>
            <w:r>
              <w:rPr>
                <w:sz w:val="24"/>
                <w:szCs w:val="24"/>
                <w:lang w:val="uk-UA" w:bidi="uk-UA"/>
              </w:rPr>
              <w:t>1</w:t>
            </w:r>
          </w:p>
        </w:tc>
        <w:tc>
          <w:tcPr>
            <w:tcW w:w="2143"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Рівень надання медичної допомоги населенню</w:t>
            </w:r>
          </w:p>
        </w:tc>
        <w:tc>
          <w:tcPr>
            <w:tcW w:w="6664" w:type="dxa"/>
            <w:tcBorders>
              <w:top w:val="single" w:sz="4" w:space="0" w:color="000000"/>
              <w:start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 </w:t>
            </w:r>
            <w:r>
              <w:rPr>
                <w:sz w:val="24"/>
                <w:szCs w:val="24"/>
                <w:lang w:val="uk-UA" w:bidi="uk-UA"/>
              </w:rPr>
              <w:t>Вторинний рівень</w:t>
            </w:r>
          </w:p>
        </w:tc>
      </w:tr>
      <w:tr>
        <w:trPr>
          <w:trHeight w:val="300" w:hRule="atLeast"/>
        </w:trPr>
        <w:tc>
          <w:tcPr>
            <w:tcW w:w="562" w:type="dxa"/>
            <w:tcBorders>
              <w:top w:val="single" w:sz="4" w:space="0" w:color="000000"/>
              <w:start w:val="single" w:sz="4" w:space="0" w:color="000000"/>
              <w:bottom w:val="single" w:sz="4" w:space="0" w:color="000000"/>
            </w:tcBorders>
            <w:shd w:fill="FFFFFF" w:val="clear"/>
            <w:vAlign w:val="center"/>
          </w:tcPr>
          <w:p>
            <w:pPr>
              <w:pStyle w:val="Normal"/>
              <w:spacing w:lineRule="auto" w:line="240"/>
              <w:ind w:hanging="0"/>
              <w:rPr>
                <w:sz w:val="24"/>
                <w:szCs w:val="24"/>
                <w:lang w:val="uk-UA" w:bidi="uk-UA"/>
              </w:rPr>
            </w:pPr>
            <w:r>
              <w:rPr>
                <w:sz w:val="24"/>
                <w:szCs w:val="24"/>
                <w:lang w:val="uk-UA" w:bidi="uk-UA"/>
              </w:rPr>
              <w:t>2</w:t>
            </w:r>
          </w:p>
        </w:tc>
        <w:tc>
          <w:tcPr>
            <w:tcW w:w="2143" w:type="dxa"/>
            <w:tcBorders>
              <w:top w:val="single" w:sz="4" w:space="0" w:color="000000"/>
              <w:start w:val="single" w:sz="4" w:space="0" w:color="000000"/>
              <w:bottom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Профільні медичні послуги</w:t>
            </w:r>
          </w:p>
          <w:p>
            <w:pPr>
              <w:pStyle w:val="Normal"/>
              <w:spacing w:lineRule="auto" w:line="240"/>
              <w:ind w:hanging="0"/>
              <w:rPr>
                <w:i/>
                <w:i/>
                <w:iCs/>
                <w:sz w:val="24"/>
                <w:szCs w:val="24"/>
                <w:lang w:val="uk-UA" w:bidi="uk-UA"/>
              </w:rPr>
            </w:pPr>
            <w:r>
              <w:rPr>
                <w:i/>
                <w:iCs/>
                <w:sz w:val="24"/>
                <w:szCs w:val="24"/>
                <w:lang w:val="uk-UA" w:bidi="uk-UA"/>
              </w:rPr>
              <w:t>(поліпрофільність/вузькопрофільність - перелік)</w:t>
            </w:r>
          </w:p>
        </w:tc>
        <w:tc>
          <w:tcPr>
            <w:tcW w:w="6664" w:type="dxa"/>
            <w:tcBorders>
              <w:top w:val="single" w:sz="4" w:space="0" w:color="000000"/>
              <w:start w:val="single" w:sz="4" w:space="0" w:color="000000"/>
              <w:bottom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Полі-профільність:</w:t>
            </w:r>
          </w:p>
          <w:p>
            <w:pPr>
              <w:pStyle w:val="Normal"/>
              <w:spacing w:lineRule="auto" w:line="240"/>
              <w:ind w:hanging="0"/>
              <w:rPr>
                <w:sz w:val="24"/>
                <w:szCs w:val="24"/>
                <w:lang w:val="uk-UA" w:bidi="uk-UA"/>
              </w:rPr>
            </w:pPr>
            <w:r>
              <w:rPr>
                <w:sz w:val="24"/>
                <w:szCs w:val="24"/>
                <w:lang w:val="uk-UA" w:bidi="uk-UA"/>
              </w:rPr>
              <w:t>Включає відділення:</w:t>
            </w:r>
          </w:p>
          <w:p>
            <w:pPr>
              <w:pStyle w:val="Normal"/>
              <w:spacing w:lineRule="auto" w:line="240"/>
              <w:ind w:hanging="0"/>
              <w:rPr>
                <w:sz w:val="24"/>
                <w:szCs w:val="24"/>
                <w:lang w:val="uk-UA" w:bidi="uk-UA"/>
              </w:rPr>
            </w:pPr>
            <w:r>
              <w:rPr>
                <w:sz w:val="24"/>
                <w:szCs w:val="24"/>
                <w:lang w:val="uk-UA" w:bidi="uk-UA"/>
              </w:rPr>
              <w:t>Терапевтичне, багатопрофільне, приймальне, хірургічне,  анестезіології та інтенсивної терапії, клініко-діагностичну лабораторію,  консультативно-діагностичну поліклініку.</w:t>
            </w:r>
          </w:p>
          <w:p>
            <w:pPr>
              <w:pStyle w:val="Normal"/>
              <w:spacing w:lineRule="auto" w:line="240"/>
              <w:ind w:hanging="0"/>
              <w:rPr>
                <w:sz w:val="24"/>
                <w:szCs w:val="24"/>
                <w:lang w:val="uk-UA" w:bidi="uk-UA"/>
              </w:rPr>
            </w:pPr>
            <w:r>
              <w:rPr>
                <w:sz w:val="24"/>
                <w:szCs w:val="24"/>
                <w:lang w:val="uk-UA" w:bidi="uk-UA"/>
              </w:rPr>
            </w:r>
          </w:p>
        </w:tc>
      </w:tr>
      <w:tr>
        <w:trPr>
          <w:trHeight w:val="300" w:hRule="atLeast"/>
        </w:trPr>
        <w:tc>
          <w:tcPr>
            <w:tcW w:w="562" w:type="dxa"/>
            <w:tcBorders>
              <w:top w:val="single" w:sz="4" w:space="0" w:color="000000"/>
              <w:start w:val="single" w:sz="4" w:space="0" w:color="000000"/>
              <w:bottom w:val="single" w:sz="4" w:space="0" w:color="000000"/>
            </w:tcBorders>
            <w:shd w:fill="FFFFFF" w:val="clear"/>
            <w:vAlign w:val="center"/>
          </w:tcPr>
          <w:p>
            <w:pPr>
              <w:pStyle w:val="Normal"/>
              <w:spacing w:lineRule="auto" w:line="240"/>
              <w:ind w:hanging="0"/>
              <w:rPr>
                <w:sz w:val="24"/>
                <w:szCs w:val="24"/>
                <w:lang w:val="uk-UA" w:bidi="uk-UA"/>
              </w:rPr>
            </w:pPr>
            <w:r>
              <w:rPr>
                <w:sz w:val="24"/>
                <w:szCs w:val="24"/>
                <w:lang w:val="uk-UA" w:bidi="uk-UA"/>
              </w:rPr>
              <w:t>3</w:t>
            </w:r>
          </w:p>
        </w:tc>
        <w:tc>
          <w:tcPr>
            <w:tcW w:w="2143" w:type="dxa"/>
            <w:tcBorders>
              <w:top w:val="single" w:sz="4" w:space="0" w:color="000000"/>
              <w:start w:val="single" w:sz="4" w:space="0" w:color="000000"/>
              <w:bottom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Перелік Пакетів надання медичної допомоги населенню за програмою медичних гарантій, за якими укладені договори з НСЗУ</w:t>
            </w:r>
          </w:p>
        </w:tc>
        <w:tc>
          <w:tcPr>
            <w:tcW w:w="6664" w:type="dxa"/>
            <w:tcBorders>
              <w:top w:val="single" w:sz="4" w:space="0" w:color="000000"/>
              <w:start w:val="single" w:sz="4" w:space="0" w:color="000000"/>
              <w:bottom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КНП «ПМЛ» уклало договори з Національною службою здоров’я України (НСЗУ) за наступними пакетами:</w:t>
            </w:r>
          </w:p>
          <w:p>
            <w:pPr>
              <w:pStyle w:val="Normal"/>
              <w:numPr>
                <w:ilvl w:val="0"/>
                <w:numId w:val="6"/>
              </w:numPr>
              <w:spacing w:lineRule="auto" w:line="240"/>
              <w:ind w:hanging="0" w:start="0"/>
              <w:rPr>
                <w:sz w:val="24"/>
                <w:szCs w:val="24"/>
                <w:lang w:val="uk-UA" w:bidi="uk-UA"/>
              </w:rPr>
            </w:pPr>
            <w:r>
              <w:rPr>
                <w:sz w:val="24"/>
                <w:szCs w:val="24"/>
                <w:lang w:val="uk-UA" w:bidi="uk-UA"/>
              </w:rPr>
              <w:t>№</w:t>
            </w:r>
            <w:r>
              <w:rPr>
                <w:sz w:val="24"/>
                <w:szCs w:val="24"/>
                <w:lang w:val="uk-UA" w:bidi="uk-UA"/>
              </w:rPr>
              <w:t>3 – Хірургічні операції дорослим та дітям у стаціонарних умовах</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4 – Стаціонарна допомога дорослим та дітям без проведення хірургічних операцій</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7 – Медична допомога при пологах</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9 – Профілактика, діагностика, спостереження, лікування в амбулаторних умовах</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10 – Мамографія</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11 – Гістероскопія</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12 Езофагогастродуоденоскопія</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13 – Колоноскопія</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14 – Цистоскопія</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23 – Стаціонарна паліативна медична допомога дорослим і дітям</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24 – Мобільна паліативна медична допомога дорослим і дітям</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34 – Стоматологічна допомога дорослим та дітям</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35 – Ведення вагітності в амбулаторних умовах</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42 – Готовність закладу охорони здоров’я до надання медичної допомоги в надзвичайних ситуаціях</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47 – Хірургічні операції дорослим та дітям в умовах стаціонару одного дня</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53 – Реабілітаційна допомога дорослим і дітям у стаціонарних умовах</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54 – Реабілітаційна допомога дорослим і дітям у амбулаторних умовах</w:t>
            </w:r>
          </w:p>
          <w:p>
            <w:pPr>
              <w:pStyle w:val="Normal"/>
              <w:numPr>
                <w:ilvl w:val="0"/>
                <w:numId w:val="4"/>
              </w:numPr>
              <w:spacing w:lineRule="auto" w:line="240"/>
              <w:ind w:hanging="0" w:start="0"/>
              <w:rPr>
                <w:sz w:val="24"/>
                <w:szCs w:val="24"/>
                <w:lang w:val="uk-UA" w:bidi="uk-UA"/>
              </w:rPr>
            </w:pPr>
            <w:r>
              <w:rPr>
                <w:sz w:val="24"/>
                <w:szCs w:val="24"/>
                <w:lang w:val="uk-UA" w:bidi="uk-UA"/>
              </w:rPr>
              <w:t>№</w:t>
            </w:r>
            <w:r>
              <w:rPr>
                <w:sz w:val="24"/>
                <w:szCs w:val="24"/>
                <w:lang w:val="uk-UA" w:bidi="uk-UA"/>
              </w:rPr>
              <w:t>50 – Забезпечення кадрового потенціалу системи охорони здоров’я шляхом організації надання медичної допомоги із залученням лікарів-інтернів</w:t>
            </w:r>
          </w:p>
        </w:tc>
      </w:tr>
    </w:tbl>
    <w:p>
      <w:pPr>
        <w:pStyle w:val="Normal"/>
        <w:ind w:firstLine="720"/>
        <w:rPr>
          <w:rFonts w:eastAsia="Calibri"/>
          <w:i/>
          <w:i/>
          <w:iCs/>
          <w:sz w:val="24"/>
          <w:szCs w:val="24"/>
          <w:lang w:val="uk-UA"/>
        </w:rPr>
      </w:pPr>
      <w:r>
        <w:rPr>
          <w:rFonts w:eastAsia="Calibri"/>
          <w:i/>
          <w:iCs/>
          <w:sz w:val="24"/>
          <w:szCs w:val="24"/>
          <w:lang w:val="uk-UA"/>
        </w:rPr>
        <w:t>Створено автором на основі джерела [</w:t>
      </w:r>
      <w:r>
        <w:rPr>
          <w:rFonts w:eastAsia="Calibri"/>
          <w:i/>
          <w:iCs/>
          <w:sz w:val="24"/>
          <w:szCs w:val="24"/>
          <w:lang w:val="en-GB"/>
        </w:rPr>
        <w:t>23</w:t>
      </w:r>
      <w:r>
        <w:rPr>
          <w:rFonts w:eastAsia="Calibri"/>
          <w:i/>
          <w:iCs/>
          <w:sz w:val="24"/>
          <w:szCs w:val="24"/>
          <w:lang w:val="uk-UA"/>
        </w:rPr>
        <w:t>]</w:t>
      </w:r>
    </w:p>
    <w:p>
      <w:pPr>
        <w:pStyle w:val="Normal"/>
        <w:rPr>
          <w:lang w:val="uk-UA"/>
        </w:rPr>
      </w:pPr>
      <w:r>
        <w:rPr>
          <w:lang w:val="uk-UA"/>
        </w:rPr>
        <w:t>Організаційно-правова форма КНП надає автономію в управлінні ресурсами та персоналом, що дозволяє адаптуватися до вимог Національної служби здоров’я України (НСЗУ) та впроваджувати сучасні принципи менеджменту. Ключовою особливістю управлінської діяльності є орієнтація на програму медичних гарантій, за якою лікарня укладає договори на надання широкого спектру медичних послуг, зокрема хірургічну допомогу, пологи, паліативну медицину, діагностичні процедури, профілактичну амбулаторну допомогу тощо. Ця модель вимагає стратегічного управління контрактами, обліку наданих послуг та контролю за показниками якості.</w:t>
      </w:r>
    </w:p>
    <w:p>
      <w:pPr>
        <w:pStyle w:val="Normal"/>
        <w:ind w:hanging="0"/>
        <w:rPr>
          <w:lang w:val="uk-UA"/>
        </w:rPr>
      </w:pPr>
      <w:r>
        <w:rPr/>
        <mc:AlternateContent>
          <mc:Choice Requires="wpg">
            <w:drawing>
              <wp:inline distT="0" distB="0" distL="0" distR="0">
                <wp:extent cx="6054725" cy="3190240"/>
                <wp:effectExtent l="9525" t="6350" r="12700" b="13335"/>
                <wp:docPr id="4" name="Группа 36"/>
                <a:graphic xmlns:a="http://schemas.openxmlformats.org/drawingml/2006/main">
                  <a:graphicData uri="http://schemas.microsoft.com/office/word/2010/wordprocessingGroup">
                    <wpg:wgp>
                      <wpg:cNvGrpSpPr/>
                      <wpg:grpSpPr>
                        <a:xfrm>
                          <a:off x="0" y="0"/>
                          <a:ext cx="6054840" cy="3190320"/>
                          <a:chOff x="0" y="0"/>
                          <a:chExt cx="6054840" cy="3190320"/>
                        </a:xfrm>
                      </wpg:grpSpPr>
                      <wps:wsp>
                        <wps:cNvPr id="5" name="Прямая со стрелкой 623050516"/>
                        <wps:cNvSpPr/>
                        <wps:spPr>
                          <a:xfrm flipV="1" rot="5400000">
                            <a:off x="3366360" y="420480"/>
                            <a:ext cx="332640" cy="6840"/>
                          </a:xfrm>
                          <a:prstGeom prst="straightConnector1">
                            <a:avLst/>
                          </a:prstGeom>
                          <a:noFill/>
                          <a:ln w="6480">
                            <a:solidFill>
                              <a:srgbClr val="000000"/>
                            </a:solidFill>
                            <a:miter/>
                            <a:tailEnd len="med" type="triangle" w="med"/>
                          </a:ln>
                        </wps:spPr>
                        <wps:style>
                          <a:lnRef idx="0"/>
                          <a:fillRef idx="0"/>
                          <a:effectRef idx="0"/>
                          <a:fontRef idx="minor"/>
                        </wps:style>
                        <wps:bodyPr/>
                      </wps:wsp>
                      <wps:wsp>
                        <wps:cNvPr id="6" name="Прямая со стрелкой 510883468"/>
                        <wps:cNvSpPr/>
                        <wps:spPr>
                          <a:xfrm flipV="1">
                            <a:off x="3537000" y="579600"/>
                            <a:ext cx="1730520" cy="10080"/>
                          </a:xfrm>
                          <a:prstGeom prst="straightConnector1">
                            <a:avLst/>
                          </a:prstGeom>
                          <a:noFill/>
                          <a:ln w="6480">
                            <a:solidFill>
                              <a:srgbClr val="000000"/>
                            </a:solidFill>
                            <a:miter/>
                          </a:ln>
                        </wps:spPr>
                        <wps:style>
                          <a:lnRef idx="0"/>
                          <a:fillRef idx="0"/>
                          <a:effectRef idx="0"/>
                          <a:fontRef idx="minor"/>
                        </wps:style>
                        <wps:bodyPr/>
                      </wps:wsp>
                      <wps:wsp>
                        <wps:cNvPr id="7" name="Прямая со стрелкой 459607049"/>
                        <wps:cNvSpPr/>
                        <wps:spPr>
                          <a:xfrm flipH="1">
                            <a:off x="758160" y="579600"/>
                            <a:ext cx="2777400" cy="9360"/>
                          </a:xfrm>
                          <a:prstGeom prst="straightConnector1">
                            <a:avLst/>
                          </a:prstGeom>
                          <a:noFill/>
                          <a:ln w="6480">
                            <a:solidFill>
                              <a:srgbClr val="000000"/>
                            </a:solidFill>
                            <a:miter/>
                          </a:ln>
                        </wps:spPr>
                        <wps:style>
                          <a:lnRef idx="0"/>
                          <a:fillRef idx="0"/>
                          <a:effectRef idx="0"/>
                          <a:fontRef idx="minor"/>
                        </wps:style>
                        <wps:bodyPr/>
                      </wps:wsp>
                      <wps:wsp>
                        <wps:cNvPr id="8" name="Прямая со стрелкой 1097108482"/>
                        <wps:cNvSpPr/>
                        <wps:spPr>
                          <a:xfrm flipV="1" rot="5400000">
                            <a:off x="714960" y="651600"/>
                            <a:ext cx="128160" cy="6840"/>
                          </a:xfrm>
                          <a:prstGeom prst="straightConnector1">
                            <a:avLst/>
                          </a:prstGeom>
                          <a:noFill/>
                          <a:ln w="6480">
                            <a:solidFill>
                              <a:srgbClr val="000000"/>
                            </a:solidFill>
                            <a:miter/>
                            <a:tailEnd len="med" type="triangle" w="med"/>
                          </a:ln>
                        </wps:spPr>
                        <wps:style>
                          <a:lnRef idx="0"/>
                          <a:fillRef idx="0"/>
                          <a:effectRef idx="0"/>
                          <a:fontRef idx="minor"/>
                        </wps:style>
                        <wps:bodyPr/>
                      </wps:wsp>
                      <wps:wsp>
                        <wps:cNvPr id="9" name="Прямоугольник 232760532"/>
                        <wps:cNvSpPr/>
                        <wps:spPr>
                          <a:xfrm>
                            <a:off x="145440" y="719280"/>
                            <a:ext cx="1621800" cy="278640"/>
                          </a:xfrm>
                          <a:prstGeom prst="rect">
                            <a:avLst/>
                          </a:prstGeom>
                          <a:solidFill>
                            <a:schemeClr val="lt1"/>
                          </a:solidFill>
                          <a:ln w="9360">
                            <a:solidFill>
                              <a:srgbClr val="000000"/>
                            </a:solidFill>
                            <a:miter/>
                          </a:ln>
                        </wps:spPr>
                        <wps:style>
                          <a:lnRef idx="0"/>
                          <a:fillRef idx="0"/>
                          <a:effectRef idx="0"/>
                          <a:fontRef idx="minor"/>
                        </wps:style>
                        <wps:txbx>
                          <w:txbxContent>
                            <w:p>
                              <w:pPr>
                                <w:pStyle w:val="Normal"/>
                                <w:spacing w:lineRule="auto" w:line="276"/>
                                <w:ind w:hanging="0"/>
                                <w:rPr>
                                  <w:sz w:val="18"/>
                                  <w:szCs w:val="18"/>
                                  <w:lang w:val="uk-UA"/>
                                </w:rPr>
                              </w:pPr>
                              <w:r>
                                <w:rPr>
                                  <w:sz w:val="18"/>
                                  <w:szCs w:val="18"/>
                                  <w:lang w:val="uk-UA"/>
                                </w:rPr>
                                <w:t>Медичний директор</w:t>
                              </w:r>
                            </w:p>
                          </w:txbxContent>
                        </wps:txbx>
                        <wps:bodyPr anchor="t">
                          <a:noAutofit/>
                        </wps:bodyPr>
                      </wps:wsp>
                      <wps:wsp>
                        <wps:cNvPr id="10" name="Прямоугольник 1623973554"/>
                        <wps:cNvSpPr/>
                        <wps:spPr>
                          <a:xfrm>
                            <a:off x="2825280" y="0"/>
                            <a:ext cx="2011680" cy="257040"/>
                          </a:xfrm>
                          <a:prstGeom prst="rect">
                            <a:avLst/>
                          </a:prstGeom>
                          <a:solidFill>
                            <a:schemeClr val="lt1"/>
                          </a:solidFill>
                          <a:ln w="9360">
                            <a:solidFill>
                              <a:srgbClr val="000000"/>
                            </a:solidFill>
                            <a:miter/>
                          </a:ln>
                        </wps:spPr>
                        <wps:style>
                          <a:lnRef idx="0"/>
                          <a:fillRef idx="0"/>
                          <a:effectRef idx="0"/>
                          <a:fontRef idx="minor"/>
                        </wps:style>
                        <wps:txbx>
                          <w:txbxContent>
                            <w:p>
                              <w:pPr>
                                <w:pStyle w:val="Normal"/>
                                <w:spacing w:lineRule="auto" w:line="276"/>
                                <w:ind w:hanging="0"/>
                                <w:jc w:val="center"/>
                                <w:rPr>
                                  <w:sz w:val="18"/>
                                  <w:szCs w:val="18"/>
                                  <w:lang w:val="uk-UA"/>
                                </w:rPr>
                              </w:pPr>
                              <w:r>
                                <w:rPr>
                                  <w:sz w:val="18"/>
                                  <w:szCs w:val="18"/>
                                  <w:lang w:val="uk-UA"/>
                                </w:rPr>
                                <w:t>Генеральний директор</w:t>
                              </w:r>
                            </w:p>
                          </w:txbxContent>
                        </wps:txbx>
                        <wps:bodyPr anchor="t">
                          <a:noAutofit/>
                        </wps:bodyPr>
                      </wps:wsp>
                      <wps:wsp>
                        <wps:cNvPr id="11" name="Прямая со стрелкой 1549944183"/>
                        <wps:cNvSpPr/>
                        <wps:spPr>
                          <a:xfrm>
                            <a:off x="784080" y="1020600"/>
                            <a:ext cx="708840" cy="192240"/>
                          </a:xfrm>
                          <a:prstGeom prst="straightConnector1">
                            <a:avLst/>
                          </a:prstGeom>
                          <a:noFill/>
                          <a:ln w="6480">
                            <a:solidFill>
                              <a:srgbClr val="000000"/>
                            </a:solidFill>
                            <a:miter/>
                            <a:tailEnd len="med" type="triangle" w="med"/>
                          </a:ln>
                        </wps:spPr>
                        <wps:style>
                          <a:lnRef idx="0"/>
                          <a:fillRef idx="0"/>
                          <a:effectRef idx="0"/>
                          <a:fontRef idx="minor"/>
                        </wps:style>
                        <wps:bodyPr/>
                      </wps:wsp>
                      <wps:wsp>
                        <wps:cNvPr id="12" name="Прямая со стрелкой 1436010290"/>
                        <wps:cNvSpPr/>
                        <wps:spPr>
                          <a:xfrm flipH="1">
                            <a:off x="515160" y="1020600"/>
                            <a:ext cx="266040" cy="95760"/>
                          </a:xfrm>
                          <a:prstGeom prst="straightConnector1">
                            <a:avLst/>
                          </a:prstGeom>
                          <a:noFill/>
                          <a:ln w="6480">
                            <a:solidFill>
                              <a:srgbClr val="000000"/>
                            </a:solidFill>
                            <a:miter/>
                            <a:tailEnd len="med" type="triangle" w="med"/>
                          </a:ln>
                        </wps:spPr>
                        <wps:style>
                          <a:lnRef idx="0"/>
                          <a:fillRef idx="0"/>
                          <a:effectRef idx="0"/>
                          <a:fontRef idx="minor"/>
                        </wps:style>
                        <wps:bodyPr/>
                      </wps:wsp>
                      <wps:wsp>
                        <wps:cNvPr id="13" name="Прямоугольник 924060823"/>
                        <wps:cNvSpPr/>
                        <wps:spPr>
                          <a:xfrm>
                            <a:off x="0" y="1181880"/>
                            <a:ext cx="775440" cy="720720"/>
                          </a:xfrm>
                          <a:prstGeom prst="rect">
                            <a:avLst/>
                          </a:prstGeom>
                          <a:solidFill>
                            <a:schemeClr val="lt1"/>
                          </a:solidFill>
                          <a:ln w="9360">
                            <a:solidFill>
                              <a:srgbClr val="000000"/>
                            </a:solidFill>
                            <a:miter/>
                          </a:ln>
                        </wps:spPr>
                        <wps:style>
                          <a:lnRef idx="0"/>
                          <a:fillRef idx="0"/>
                          <a:effectRef idx="0"/>
                          <a:fontRef idx="minor"/>
                        </wps:style>
                        <wps:txbx>
                          <w:txbxContent>
                            <w:p>
                              <w:pPr>
                                <w:pStyle w:val="Normal"/>
                                <w:spacing w:lineRule="auto" w:line="276"/>
                                <w:ind w:hanging="0"/>
                                <w:rPr>
                                  <w:sz w:val="18"/>
                                  <w:szCs w:val="18"/>
                                  <w:lang w:val="uk-UA"/>
                                </w:rPr>
                              </w:pPr>
                              <w:r>
                                <w:rPr>
                                  <w:sz w:val="18"/>
                                  <w:szCs w:val="18"/>
                                  <w:lang w:val="uk-UA"/>
                                </w:rPr>
                                <w:t>Завідувач</w:t>
                              </w:r>
                            </w:p>
                            <w:p>
                              <w:pPr>
                                <w:pStyle w:val="Normal"/>
                                <w:spacing w:lineRule="auto" w:line="276"/>
                                <w:ind w:hanging="0"/>
                                <w:rPr>
                                  <w:sz w:val="18"/>
                                  <w:szCs w:val="18"/>
                                  <w:lang w:val="uk-UA"/>
                                </w:rPr>
                              </w:pPr>
                              <w:r>
                                <w:rPr>
                                  <w:sz w:val="18"/>
                                  <w:szCs w:val="18"/>
                                  <w:lang w:val="uk-UA"/>
                                </w:rPr>
                                <w:t>відділення</w:t>
                              </w:r>
                            </w:p>
                          </w:txbxContent>
                        </wps:txbx>
                        <wps:bodyPr anchor="t">
                          <a:noAutofit/>
                        </wps:bodyPr>
                      </wps:wsp>
                      <wps:wsp>
                        <wps:cNvPr id="14" name="Прямоугольник 378782492"/>
                        <wps:cNvSpPr/>
                        <wps:spPr>
                          <a:xfrm>
                            <a:off x="1138680" y="1213560"/>
                            <a:ext cx="749880" cy="721440"/>
                          </a:xfrm>
                          <a:prstGeom prst="rect">
                            <a:avLst/>
                          </a:prstGeom>
                          <a:solidFill>
                            <a:schemeClr val="lt1"/>
                          </a:solidFill>
                          <a:ln w="9360">
                            <a:solidFill>
                              <a:srgbClr val="000000"/>
                            </a:solidFill>
                            <a:miter/>
                          </a:ln>
                        </wps:spPr>
                        <wps:style>
                          <a:lnRef idx="0"/>
                          <a:fillRef idx="0"/>
                          <a:effectRef idx="0"/>
                          <a:fontRef idx="minor"/>
                        </wps:style>
                        <wps:txbx>
                          <w:txbxContent>
                            <w:p>
                              <w:pPr>
                                <w:pStyle w:val="Normal"/>
                                <w:spacing w:lineRule="auto" w:line="276"/>
                                <w:ind w:hanging="0"/>
                                <w:rPr>
                                  <w:sz w:val="18"/>
                                  <w:szCs w:val="18"/>
                                  <w:lang w:val="uk-UA"/>
                                </w:rPr>
                              </w:pPr>
                              <w:r>
                                <w:rPr>
                                  <w:sz w:val="18"/>
                                  <w:szCs w:val="18"/>
                                  <w:lang w:val="uk-UA"/>
                                </w:rPr>
                                <w:t xml:space="preserve">Завідувач </w:t>
                              </w:r>
                            </w:p>
                            <w:p>
                              <w:pPr>
                                <w:pStyle w:val="Normal"/>
                                <w:spacing w:lineRule="auto" w:line="276"/>
                                <w:ind w:hanging="0"/>
                                <w:rPr>
                                  <w:sz w:val="18"/>
                                  <w:szCs w:val="18"/>
                                  <w:lang w:val="uk-UA"/>
                                </w:rPr>
                              </w:pPr>
                              <w:r>
                                <w:rPr>
                                  <w:sz w:val="18"/>
                                  <w:szCs w:val="18"/>
                                  <w:lang w:val="uk-UA"/>
                                </w:rPr>
                                <w:t>поліклініки</w:t>
                              </w:r>
                            </w:p>
                          </w:txbxContent>
                        </wps:txbx>
                        <wps:bodyPr anchor="t">
                          <a:noAutofit/>
                        </wps:bodyPr>
                      </wps:wsp>
                      <wps:wsp>
                        <wps:cNvPr id="15" name="Прямая со стрелкой 1391247120"/>
                        <wps:cNvSpPr/>
                        <wps:spPr>
                          <a:xfrm flipV="1" rot="5400000">
                            <a:off x="223560" y="1987560"/>
                            <a:ext cx="203040" cy="33120"/>
                          </a:xfrm>
                          <a:prstGeom prst="straightConnector1">
                            <a:avLst/>
                          </a:prstGeom>
                          <a:noFill/>
                          <a:ln w="6480">
                            <a:solidFill>
                              <a:srgbClr val="000000"/>
                            </a:solidFill>
                            <a:miter/>
                            <a:tailEnd len="med" type="triangle" w="med"/>
                          </a:ln>
                        </wps:spPr>
                        <wps:style>
                          <a:lnRef idx="0"/>
                          <a:fillRef idx="0"/>
                          <a:effectRef idx="0"/>
                          <a:fontRef idx="minor"/>
                        </wps:style>
                        <wps:bodyPr/>
                      </wps:wsp>
                      <wps:wsp>
                        <wps:cNvPr id="16" name="Прямоугольник 43721912"/>
                        <wps:cNvSpPr/>
                        <wps:spPr>
                          <a:xfrm>
                            <a:off x="83160" y="2004120"/>
                            <a:ext cx="566280" cy="311040"/>
                          </a:xfrm>
                          <a:prstGeom prst="rect">
                            <a:avLst/>
                          </a:prstGeom>
                          <a:solidFill>
                            <a:schemeClr val="lt1"/>
                          </a:solidFill>
                          <a:ln w="9360">
                            <a:solidFill>
                              <a:srgbClr val="000000"/>
                            </a:solidFill>
                            <a:miter/>
                          </a:ln>
                        </wps:spPr>
                        <wps:style>
                          <a:lnRef idx="0"/>
                          <a:fillRef idx="0"/>
                          <a:effectRef idx="0"/>
                          <a:fontRef idx="minor"/>
                        </wps:style>
                        <wps:txbx>
                          <w:txbxContent>
                            <w:p>
                              <w:pPr>
                                <w:pStyle w:val="Normal"/>
                                <w:spacing w:lineRule="auto" w:line="276"/>
                                <w:ind w:hanging="0"/>
                                <w:rPr>
                                  <w:sz w:val="18"/>
                                  <w:szCs w:val="18"/>
                                  <w:lang w:val="uk-UA"/>
                                </w:rPr>
                              </w:pPr>
                              <w:r>
                                <w:rPr>
                                  <w:sz w:val="18"/>
                                  <w:szCs w:val="18"/>
                                  <w:lang w:val="uk-UA"/>
                                </w:rPr>
                                <w:t>Лікарі</w:t>
                              </w:r>
                            </w:p>
                          </w:txbxContent>
                        </wps:txbx>
                        <wps:bodyPr anchor="t">
                          <a:noAutofit/>
                        </wps:bodyPr>
                      </wps:wsp>
                      <wps:wsp>
                        <wps:cNvPr id="17" name="Прямая со стрелкой 1805511515"/>
                        <wps:cNvSpPr/>
                        <wps:spPr>
                          <a:xfrm flipV="1" rot="5400000">
                            <a:off x="247320" y="2388600"/>
                            <a:ext cx="171360" cy="15840"/>
                          </a:xfrm>
                          <a:prstGeom prst="straightConnector1">
                            <a:avLst/>
                          </a:prstGeom>
                          <a:noFill/>
                          <a:ln w="6480">
                            <a:solidFill>
                              <a:srgbClr val="000000"/>
                            </a:solidFill>
                            <a:miter/>
                            <a:tailEnd len="med" type="triangle" w="med"/>
                          </a:ln>
                        </wps:spPr>
                        <wps:style>
                          <a:lnRef idx="0"/>
                          <a:fillRef idx="0"/>
                          <a:effectRef idx="0"/>
                          <a:fontRef idx="minor"/>
                        </wps:style>
                        <wps:bodyPr/>
                      </wps:wsp>
                      <wps:wsp>
                        <wps:cNvPr id="18" name="Прямоугольник 428997676"/>
                        <wps:cNvSpPr/>
                        <wps:spPr>
                          <a:xfrm>
                            <a:off x="0" y="2482200"/>
                            <a:ext cx="916920" cy="536400"/>
                          </a:xfrm>
                          <a:prstGeom prst="rect">
                            <a:avLst/>
                          </a:prstGeom>
                          <a:solidFill>
                            <a:schemeClr val="lt1"/>
                          </a:solidFill>
                          <a:ln w="9360">
                            <a:solidFill>
                              <a:srgbClr val="000000"/>
                            </a:solidFill>
                            <a:miter/>
                          </a:ln>
                        </wps:spPr>
                        <wps:style>
                          <a:lnRef idx="0"/>
                          <a:fillRef idx="0"/>
                          <a:effectRef idx="0"/>
                          <a:fontRef idx="minor"/>
                        </wps:style>
                        <wps:txbx>
                          <w:txbxContent>
                            <w:p>
                              <w:pPr>
                                <w:pStyle w:val="Normal"/>
                                <w:spacing w:lineRule="auto" w:line="276"/>
                                <w:ind w:hanging="0"/>
                                <w:rPr>
                                  <w:sz w:val="18"/>
                                  <w:szCs w:val="18"/>
                                  <w:lang w:val="uk-UA"/>
                                </w:rPr>
                              </w:pPr>
                              <w:r>
                                <w:rPr>
                                  <w:sz w:val="18"/>
                                  <w:szCs w:val="18"/>
                                  <w:lang w:val="uk-UA"/>
                                </w:rPr>
                                <w:t>Мед. сестри \ Реєстратори</w:t>
                              </w:r>
                            </w:p>
                          </w:txbxContent>
                        </wps:txbx>
                        <wps:bodyPr anchor="t">
                          <a:noAutofit/>
                        </wps:bodyPr>
                      </wps:wsp>
                      <wps:wsp>
                        <wps:cNvPr id="19" name="Прямая со стрелкой 1882150868"/>
                        <wps:cNvSpPr/>
                        <wps:spPr>
                          <a:xfrm flipV="1" rot="5400000">
                            <a:off x="1449360" y="2030400"/>
                            <a:ext cx="160560" cy="6840"/>
                          </a:xfrm>
                          <a:prstGeom prst="straightConnector1">
                            <a:avLst/>
                          </a:prstGeom>
                          <a:noFill/>
                          <a:ln w="6480">
                            <a:solidFill>
                              <a:srgbClr val="000000"/>
                            </a:solidFill>
                            <a:miter/>
                            <a:tailEnd len="med" type="triangle" w="med"/>
                          </a:ln>
                        </wps:spPr>
                        <wps:style>
                          <a:lnRef idx="0"/>
                          <a:fillRef idx="0"/>
                          <a:effectRef idx="0"/>
                          <a:fontRef idx="minor"/>
                        </wps:style>
                        <wps:bodyPr/>
                      </wps:wsp>
                      <wps:wsp>
                        <wps:cNvPr id="20" name="Прямоугольник 2033377601"/>
                        <wps:cNvSpPr/>
                        <wps:spPr>
                          <a:xfrm>
                            <a:off x="1292760" y="2159640"/>
                            <a:ext cx="702360" cy="321840"/>
                          </a:xfrm>
                          <a:prstGeom prst="rect">
                            <a:avLst/>
                          </a:prstGeom>
                          <a:solidFill>
                            <a:schemeClr val="lt1"/>
                          </a:solidFill>
                          <a:ln w="9360">
                            <a:solidFill>
                              <a:srgbClr val="000000"/>
                            </a:solidFill>
                            <a:miter/>
                          </a:ln>
                        </wps:spPr>
                        <wps:style>
                          <a:lnRef idx="0"/>
                          <a:fillRef idx="0"/>
                          <a:effectRef idx="0"/>
                          <a:fontRef idx="minor"/>
                        </wps:style>
                        <wps:txbx>
                          <w:txbxContent>
                            <w:p>
                              <w:pPr>
                                <w:pStyle w:val="Normal"/>
                                <w:spacing w:lineRule="auto" w:line="276"/>
                                <w:ind w:hanging="0"/>
                                <w:rPr>
                                  <w:sz w:val="18"/>
                                  <w:szCs w:val="18"/>
                                  <w:lang w:val="uk-UA"/>
                                </w:rPr>
                              </w:pPr>
                              <w:r>
                                <w:rPr>
                                  <w:sz w:val="18"/>
                                  <w:szCs w:val="18"/>
                                  <w:lang w:val="uk-UA"/>
                                </w:rPr>
                                <w:t>Лікарі</w:t>
                              </w:r>
                            </w:p>
                          </w:txbxContent>
                        </wps:txbx>
                        <wps:bodyPr anchor="t">
                          <a:noAutofit/>
                        </wps:bodyPr>
                      </wps:wsp>
                      <wps:wsp>
                        <wps:cNvPr id="21" name="Прямая со стрелкой 1341019563"/>
                        <wps:cNvSpPr/>
                        <wps:spPr>
                          <a:xfrm rot="5400000">
                            <a:off x="1466280" y="2569320"/>
                            <a:ext cx="160560" cy="7560"/>
                          </a:xfrm>
                          <a:prstGeom prst="straightConnector1">
                            <a:avLst/>
                          </a:prstGeom>
                          <a:noFill/>
                          <a:ln w="6480">
                            <a:solidFill>
                              <a:srgbClr val="000000"/>
                            </a:solidFill>
                            <a:miter/>
                            <a:tailEnd len="med" type="triangle" w="med"/>
                          </a:ln>
                        </wps:spPr>
                        <wps:style>
                          <a:lnRef idx="0"/>
                          <a:fillRef idx="0"/>
                          <a:effectRef idx="0"/>
                          <a:fontRef idx="minor"/>
                        </wps:style>
                        <wps:bodyPr/>
                      </wps:wsp>
                      <wps:wsp>
                        <wps:cNvPr id="22" name="Прямоугольник 1909155964"/>
                        <wps:cNvSpPr/>
                        <wps:spPr>
                          <a:xfrm>
                            <a:off x="1078200" y="2653560"/>
                            <a:ext cx="916920" cy="536400"/>
                          </a:xfrm>
                          <a:prstGeom prst="rect">
                            <a:avLst/>
                          </a:prstGeom>
                          <a:solidFill>
                            <a:schemeClr val="lt1"/>
                          </a:solidFill>
                          <a:ln w="9360">
                            <a:solidFill>
                              <a:srgbClr val="000000"/>
                            </a:solidFill>
                            <a:miter/>
                          </a:ln>
                        </wps:spPr>
                        <wps:style>
                          <a:lnRef idx="0"/>
                          <a:fillRef idx="0"/>
                          <a:effectRef idx="0"/>
                          <a:fontRef idx="minor"/>
                        </wps:style>
                        <wps:txbx>
                          <w:txbxContent>
                            <w:p>
                              <w:pPr>
                                <w:pStyle w:val="Normal"/>
                                <w:spacing w:lineRule="auto" w:line="276"/>
                                <w:ind w:hanging="0"/>
                                <w:rPr>
                                  <w:sz w:val="18"/>
                                  <w:szCs w:val="18"/>
                                  <w:lang w:val="uk-UA"/>
                                </w:rPr>
                              </w:pPr>
                              <w:r>
                                <w:rPr>
                                  <w:sz w:val="18"/>
                                  <w:szCs w:val="18"/>
                                  <w:lang w:val="uk-UA"/>
                                </w:rPr>
                                <w:t>Мед. сестри \ Реєстратори</w:t>
                              </w:r>
                            </w:p>
                          </w:txbxContent>
                        </wps:txbx>
                        <wps:bodyPr anchor="t">
                          <a:noAutofit/>
                        </wps:bodyPr>
                      </wps:wsp>
                      <wps:wsp>
                        <wps:cNvPr id="23" name="Прямая со стрелкой 1430355137"/>
                        <wps:cNvSpPr/>
                        <wps:spPr>
                          <a:xfrm flipV="1" rot="5400000">
                            <a:off x="2525760" y="753480"/>
                            <a:ext cx="311040" cy="7560"/>
                          </a:xfrm>
                          <a:prstGeom prst="straightConnector1">
                            <a:avLst/>
                          </a:prstGeom>
                          <a:noFill/>
                          <a:ln w="6480">
                            <a:solidFill>
                              <a:srgbClr val="000000"/>
                            </a:solidFill>
                            <a:miter/>
                            <a:tailEnd len="med" type="triangle" w="med"/>
                          </a:ln>
                        </wps:spPr>
                        <wps:style>
                          <a:lnRef idx="0"/>
                          <a:fillRef idx="0"/>
                          <a:effectRef idx="0"/>
                          <a:fontRef idx="minor"/>
                        </wps:style>
                        <wps:bodyPr/>
                      </wps:wsp>
                      <wps:wsp>
                        <wps:cNvPr id="24" name="Прямоугольник 1467576737"/>
                        <wps:cNvSpPr/>
                        <wps:spPr>
                          <a:xfrm>
                            <a:off x="2051640" y="859320"/>
                            <a:ext cx="1267920" cy="590400"/>
                          </a:xfrm>
                          <a:prstGeom prst="rect">
                            <a:avLst/>
                          </a:prstGeom>
                          <a:solidFill>
                            <a:schemeClr val="lt1"/>
                          </a:solidFill>
                          <a:ln w="9360">
                            <a:solidFill>
                              <a:srgbClr val="000000"/>
                            </a:solidFill>
                            <a:miter/>
                          </a:ln>
                        </wps:spPr>
                        <wps:style>
                          <a:lnRef idx="0"/>
                          <a:fillRef idx="0"/>
                          <a:effectRef idx="0"/>
                          <a:fontRef idx="minor"/>
                        </wps:style>
                        <wps:txbx>
                          <w:txbxContent>
                            <w:p>
                              <w:pPr>
                                <w:pStyle w:val="Normal"/>
                                <w:spacing w:lineRule="auto" w:line="276"/>
                                <w:ind w:hanging="0"/>
                                <w:rPr>
                                  <w:sz w:val="18"/>
                                  <w:szCs w:val="18"/>
                                  <w:lang w:val="uk-UA"/>
                                </w:rPr>
                              </w:pPr>
                              <w:r>
                                <w:rPr>
                                  <w:sz w:val="18"/>
                                  <w:szCs w:val="18"/>
                                  <w:lang w:val="uk-UA"/>
                                </w:rPr>
                                <w:t xml:space="preserve">Заступник з економ. </w:t>
                              </w:r>
                            </w:p>
                            <w:p>
                              <w:pPr>
                                <w:pStyle w:val="Normal"/>
                                <w:spacing w:lineRule="auto" w:line="276"/>
                                <w:ind w:hanging="0"/>
                                <w:rPr>
                                  <w:sz w:val="18"/>
                                  <w:szCs w:val="18"/>
                                  <w:lang w:val="uk-UA"/>
                                </w:rPr>
                              </w:pPr>
                              <w:r>
                                <w:rPr>
                                  <w:sz w:val="18"/>
                                  <w:szCs w:val="18"/>
                                  <w:lang w:val="uk-UA"/>
                                </w:rPr>
                                <w:t>питань</w:t>
                              </w:r>
                            </w:p>
                          </w:txbxContent>
                        </wps:txbx>
                        <wps:bodyPr anchor="t">
                          <a:noAutofit/>
                        </wps:bodyPr>
                      </wps:wsp>
                      <wps:wsp>
                        <wps:cNvPr id="25" name="Прямая со стрелкой 63884358"/>
                        <wps:cNvSpPr/>
                        <wps:spPr>
                          <a:xfrm rot="5400000">
                            <a:off x="2625480" y="1580400"/>
                            <a:ext cx="161280" cy="7560"/>
                          </a:xfrm>
                          <a:prstGeom prst="straightConnector1">
                            <a:avLst/>
                          </a:prstGeom>
                          <a:noFill/>
                          <a:ln w="6480">
                            <a:solidFill>
                              <a:srgbClr val="000000"/>
                            </a:solidFill>
                            <a:miter/>
                            <a:tailEnd len="med" type="triangle" w="med"/>
                          </a:ln>
                        </wps:spPr>
                        <wps:style>
                          <a:lnRef idx="0"/>
                          <a:fillRef idx="0"/>
                          <a:effectRef idx="0"/>
                          <a:fontRef idx="minor"/>
                        </wps:style>
                        <wps:bodyPr/>
                      </wps:wsp>
                      <wps:wsp>
                        <wps:cNvPr id="26" name="Прямоугольник 1360120332"/>
                        <wps:cNvSpPr/>
                        <wps:spPr>
                          <a:xfrm>
                            <a:off x="2277000" y="1665720"/>
                            <a:ext cx="1251000" cy="450360"/>
                          </a:xfrm>
                          <a:prstGeom prst="rect">
                            <a:avLst/>
                          </a:prstGeom>
                          <a:solidFill>
                            <a:schemeClr val="lt1"/>
                          </a:solidFill>
                          <a:ln w="9360">
                            <a:solidFill>
                              <a:srgbClr val="000000"/>
                            </a:solidFill>
                            <a:miter/>
                          </a:ln>
                        </wps:spPr>
                        <wps:style>
                          <a:lnRef idx="0"/>
                          <a:fillRef idx="0"/>
                          <a:effectRef idx="0"/>
                          <a:fontRef idx="minor"/>
                        </wps:style>
                        <wps:txbx>
                          <w:txbxContent>
                            <w:p>
                              <w:pPr>
                                <w:pStyle w:val="Normal"/>
                                <w:spacing w:lineRule="auto" w:line="276"/>
                                <w:ind w:hanging="0"/>
                                <w:rPr>
                                  <w:sz w:val="18"/>
                                  <w:szCs w:val="18"/>
                                  <w:lang w:val="uk-UA"/>
                                </w:rPr>
                              </w:pPr>
                              <w:r>
                                <w:rPr>
                                  <w:sz w:val="18"/>
                                  <w:szCs w:val="18"/>
                                  <w:lang w:val="uk-UA"/>
                                </w:rPr>
                                <w:t>Голов. бух.</w:t>
                              </w:r>
                            </w:p>
                          </w:txbxContent>
                        </wps:txbx>
                        <wps:bodyPr anchor="t">
                          <a:noAutofit/>
                        </wps:bodyPr>
                      </wps:wsp>
                      <wps:wsp>
                        <wps:cNvPr id="27" name="Прямая со стрелкой 951218374"/>
                        <wps:cNvSpPr/>
                        <wps:spPr>
                          <a:xfrm rot="5400000">
                            <a:off x="2603880" y="2134080"/>
                            <a:ext cx="171360" cy="7560"/>
                          </a:xfrm>
                          <a:prstGeom prst="straightConnector1">
                            <a:avLst/>
                          </a:prstGeom>
                          <a:noFill/>
                          <a:ln w="6480">
                            <a:solidFill>
                              <a:srgbClr val="000000"/>
                            </a:solidFill>
                            <a:miter/>
                            <a:tailEnd len="med" type="triangle" w="med"/>
                          </a:ln>
                        </wps:spPr>
                        <wps:style>
                          <a:lnRef idx="0"/>
                          <a:fillRef idx="0"/>
                          <a:effectRef idx="0"/>
                          <a:fontRef idx="minor"/>
                        </wps:style>
                        <wps:bodyPr/>
                      </wps:wsp>
                      <wps:wsp>
                        <wps:cNvPr id="28" name="Прямоугольник 2068669606"/>
                        <wps:cNvSpPr/>
                        <wps:spPr>
                          <a:xfrm>
                            <a:off x="2306160" y="2213640"/>
                            <a:ext cx="808920" cy="676440"/>
                          </a:xfrm>
                          <a:prstGeom prst="rect">
                            <a:avLst/>
                          </a:prstGeom>
                          <a:solidFill>
                            <a:schemeClr val="lt1"/>
                          </a:solidFill>
                          <a:ln w="9360">
                            <a:solidFill>
                              <a:srgbClr val="000000"/>
                            </a:solidFill>
                            <a:miter/>
                          </a:ln>
                        </wps:spPr>
                        <wps:style>
                          <a:lnRef idx="0"/>
                          <a:fillRef idx="0"/>
                          <a:effectRef idx="0"/>
                          <a:fontRef idx="minor"/>
                        </wps:style>
                        <wps:txbx>
                          <w:txbxContent>
                            <w:p>
                              <w:pPr>
                                <w:pStyle w:val="Normal"/>
                                <w:spacing w:lineRule="auto" w:line="276"/>
                                <w:ind w:hanging="0"/>
                                <w:rPr>
                                  <w:sz w:val="18"/>
                                  <w:szCs w:val="18"/>
                                  <w:lang w:val="uk-UA"/>
                                </w:rPr>
                              </w:pPr>
                              <w:r>
                                <w:rPr>
                                  <w:sz w:val="18"/>
                                  <w:szCs w:val="18"/>
                                  <w:lang w:val="uk-UA"/>
                                </w:rPr>
                                <w:t>Економісти\</w:t>
                              </w:r>
                            </w:p>
                            <w:p>
                              <w:pPr>
                                <w:pStyle w:val="Normal"/>
                                <w:spacing w:lineRule="auto" w:line="276"/>
                                <w:ind w:hanging="0"/>
                                <w:rPr>
                                  <w:sz w:val="18"/>
                                  <w:szCs w:val="18"/>
                                  <w:lang w:val="uk-UA"/>
                                </w:rPr>
                              </w:pPr>
                              <w:r>
                                <w:rPr>
                                  <w:sz w:val="18"/>
                                  <w:szCs w:val="18"/>
                                  <w:lang w:val="uk-UA"/>
                                </w:rPr>
                                <w:t>Фінансисти</w:t>
                              </w:r>
                            </w:p>
                          </w:txbxContent>
                        </wps:txbx>
                        <wps:bodyPr anchor="t">
                          <a:noAutofit/>
                        </wps:bodyPr>
                      </wps:wsp>
                      <wps:wsp>
                        <wps:cNvPr id="29" name="Прямая со стрелкой 528412339"/>
                        <wps:cNvSpPr/>
                        <wps:spPr>
                          <a:xfrm flipV="1" rot="5400000">
                            <a:off x="4011840" y="772200"/>
                            <a:ext cx="343080" cy="24120"/>
                          </a:xfrm>
                          <a:prstGeom prst="straightConnector1">
                            <a:avLst/>
                          </a:prstGeom>
                          <a:noFill/>
                          <a:ln w="6480">
                            <a:solidFill>
                              <a:srgbClr val="000000"/>
                            </a:solidFill>
                            <a:miter/>
                            <a:tailEnd len="med" type="triangle" w="med"/>
                          </a:ln>
                        </wps:spPr>
                        <wps:style>
                          <a:lnRef idx="0"/>
                          <a:fillRef idx="0"/>
                          <a:effectRef idx="0"/>
                          <a:fontRef idx="minor"/>
                        </wps:style>
                        <wps:bodyPr/>
                      </wps:wsp>
                      <wps:wsp>
                        <wps:cNvPr id="30" name="Прямоугольник 566746209"/>
                        <wps:cNvSpPr/>
                        <wps:spPr>
                          <a:xfrm>
                            <a:off x="3666600" y="859320"/>
                            <a:ext cx="1058400" cy="547200"/>
                          </a:xfrm>
                          <a:prstGeom prst="rect">
                            <a:avLst/>
                          </a:prstGeom>
                          <a:solidFill>
                            <a:schemeClr val="lt1"/>
                          </a:solidFill>
                          <a:ln w="9360">
                            <a:solidFill>
                              <a:srgbClr val="000000"/>
                            </a:solidFill>
                            <a:miter/>
                          </a:ln>
                        </wps:spPr>
                        <wps:style>
                          <a:lnRef idx="0"/>
                          <a:fillRef idx="0"/>
                          <a:effectRef idx="0"/>
                          <a:fontRef idx="minor"/>
                        </wps:style>
                        <wps:txbx>
                          <w:txbxContent>
                            <w:p>
                              <w:pPr>
                                <w:pStyle w:val="Normal"/>
                                <w:spacing w:lineRule="auto" w:line="276"/>
                                <w:ind w:hanging="0"/>
                                <w:rPr>
                                  <w:sz w:val="18"/>
                                  <w:szCs w:val="18"/>
                                  <w:lang w:val="uk-UA"/>
                                </w:rPr>
                              </w:pPr>
                              <w:r>
                                <w:rPr>
                                  <w:sz w:val="18"/>
                                  <w:szCs w:val="18"/>
                                  <w:lang w:val="uk-UA"/>
                                </w:rPr>
                                <w:t xml:space="preserve">Головна мед. </w:t>
                              </w:r>
                            </w:p>
                            <w:p>
                              <w:pPr>
                                <w:pStyle w:val="Normal"/>
                                <w:spacing w:lineRule="auto" w:line="276"/>
                                <w:ind w:hanging="0"/>
                                <w:rPr>
                                  <w:sz w:val="18"/>
                                  <w:szCs w:val="18"/>
                                  <w:lang w:val="uk-UA"/>
                                </w:rPr>
                              </w:pPr>
                              <w:r>
                                <w:rPr>
                                  <w:sz w:val="18"/>
                                  <w:szCs w:val="18"/>
                                  <w:lang w:val="uk-UA"/>
                                </w:rPr>
                                <w:t>сестра</w:t>
                              </w:r>
                            </w:p>
                          </w:txbxContent>
                        </wps:txbx>
                        <wps:bodyPr anchor="t">
                          <a:noAutofit/>
                        </wps:bodyPr>
                      </wps:wsp>
                      <wps:wsp>
                        <wps:cNvPr id="31" name="Прямая со стрелкой 707917962"/>
                        <wps:cNvSpPr/>
                        <wps:spPr>
                          <a:xfrm flipV="1" rot="5400000">
                            <a:off x="4080240" y="1517400"/>
                            <a:ext cx="214560" cy="15840"/>
                          </a:xfrm>
                          <a:prstGeom prst="straightConnector1">
                            <a:avLst/>
                          </a:prstGeom>
                          <a:noFill/>
                          <a:ln w="6480">
                            <a:solidFill>
                              <a:srgbClr val="000000"/>
                            </a:solidFill>
                            <a:miter/>
                            <a:tailEnd len="med" type="triangle" w="med"/>
                          </a:ln>
                        </wps:spPr>
                        <wps:style>
                          <a:lnRef idx="0"/>
                          <a:fillRef idx="0"/>
                          <a:effectRef idx="0"/>
                          <a:fontRef idx="minor"/>
                        </wps:style>
                        <wps:bodyPr/>
                      </wps:wsp>
                      <wps:wsp>
                        <wps:cNvPr id="32" name="Прямоугольник 650925172"/>
                        <wps:cNvSpPr/>
                        <wps:spPr>
                          <a:xfrm>
                            <a:off x="3745800" y="1574280"/>
                            <a:ext cx="866880" cy="649080"/>
                          </a:xfrm>
                          <a:prstGeom prst="rect">
                            <a:avLst/>
                          </a:prstGeom>
                          <a:solidFill>
                            <a:schemeClr val="lt1"/>
                          </a:solidFill>
                          <a:ln w="9360">
                            <a:solidFill>
                              <a:srgbClr val="000000"/>
                            </a:solidFill>
                            <a:miter/>
                          </a:ln>
                        </wps:spPr>
                        <wps:style>
                          <a:lnRef idx="0"/>
                          <a:fillRef idx="0"/>
                          <a:effectRef idx="0"/>
                          <a:fontRef idx="minor"/>
                        </wps:style>
                        <wps:txbx>
                          <w:txbxContent>
                            <w:p>
                              <w:pPr>
                                <w:pStyle w:val="Normal"/>
                                <w:spacing w:lineRule="auto" w:line="276"/>
                                <w:ind w:hanging="0"/>
                                <w:rPr>
                                  <w:sz w:val="18"/>
                                  <w:szCs w:val="18"/>
                                  <w:lang w:val="uk-UA"/>
                                </w:rPr>
                              </w:pPr>
                              <w:r>
                                <w:rPr>
                                  <w:sz w:val="18"/>
                                  <w:szCs w:val="18"/>
                                  <w:lang w:val="uk-UA"/>
                                </w:rPr>
                                <w:t>Старші мед.</w:t>
                              </w:r>
                            </w:p>
                            <w:p>
                              <w:pPr>
                                <w:pStyle w:val="Normal"/>
                                <w:spacing w:lineRule="auto" w:line="276"/>
                                <w:ind w:hanging="0"/>
                                <w:rPr>
                                  <w:sz w:val="18"/>
                                  <w:szCs w:val="18"/>
                                  <w:lang w:val="uk-UA"/>
                                </w:rPr>
                              </w:pPr>
                              <w:r>
                                <w:rPr>
                                  <w:sz w:val="18"/>
                                  <w:szCs w:val="18"/>
                                  <w:lang w:val="uk-UA"/>
                                </w:rPr>
                                <w:t>сестри</w:t>
                              </w:r>
                            </w:p>
                          </w:txbxContent>
                        </wps:txbx>
                        <wps:bodyPr anchor="t">
                          <a:noAutofit/>
                        </wps:bodyPr>
                      </wps:wsp>
                      <wps:wsp>
                        <wps:cNvPr id="33" name="Прямая со стрелкой 1217504347"/>
                        <wps:cNvSpPr/>
                        <wps:spPr>
                          <a:xfrm flipV="1" rot="5400000">
                            <a:off x="4051440" y="2315160"/>
                            <a:ext cx="213840" cy="7560"/>
                          </a:xfrm>
                          <a:prstGeom prst="straightConnector1">
                            <a:avLst/>
                          </a:prstGeom>
                          <a:noFill/>
                          <a:ln w="6480">
                            <a:solidFill>
                              <a:srgbClr val="000000"/>
                            </a:solidFill>
                            <a:miter/>
                            <a:tailEnd len="med" type="triangle" w="med"/>
                          </a:ln>
                        </wps:spPr>
                        <wps:style>
                          <a:lnRef idx="0"/>
                          <a:fillRef idx="0"/>
                          <a:effectRef idx="0"/>
                          <a:fontRef idx="minor"/>
                        </wps:style>
                        <wps:bodyPr/>
                      </wps:wsp>
                      <wps:wsp>
                        <wps:cNvPr id="34" name="Прямоугольник 602444868"/>
                        <wps:cNvSpPr/>
                        <wps:spPr>
                          <a:xfrm>
                            <a:off x="3700080" y="2428200"/>
                            <a:ext cx="1025640" cy="729720"/>
                          </a:xfrm>
                          <a:prstGeom prst="rect">
                            <a:avLst/>
                          </a:prstGeom>
                          <a:solidFill>
                            <a:schemeClr val="lt1"/>
                          </a:solidFill>
                          <a:ln w="9360">
                            <a:solidFill>
                              <a:srgbClr val="000000"/>
                            </a:solidFill>
                            <a:miter/>
                          </a:ln>
                        </wps:spPr>
                        <wps:style>
                          <a:lnRef idx="0"/>
                          <a:fillRef idx="0"/>
                          <a:effectRef idx="0"/>
                          <a:fontRef idx="minor"/>
                        </wps:style>
                        <wps:txbx>
                          <w:txbxContent>
                            <w:p>
                              <w:pPr>
                                <w:pStyle w:val="Normal"/>
                                <w:spacing w:lineRule="auto" w:line="276"/>
                                <w:ind w:hanging="0"/>
                                <w:rPr>
                                  <w:sz w:val="18"/>
                                  <w:szCs w:val="18"/>
                                  <w:lang w:val="uk-UA"/>
                                </w:rPr>
                              </w:pPr>
                              <w:r>
                                <w:rPr>
                                  <w:sz w:val="18"/>
                                  <w:szCs w:val="18"/>
                                  <w:lang w:val="uk-UA"/>
                                </w:rPr>
                                <w:t>Молодші мед.</w:t>
                              </w:r>
                            </w:p>
                            <w:p>
                              <w:pPr>
                                <w:pStyle w:val="Normal"/>
                                <w:spacing w:lineRule="auto" w:line="276"/>
                                <w:ind w:hanging="0"/>
                                <w:rPr>
                                  <w:sz w:val="18"/>
                                  <w:szCs w:val="18"/>
                                  <w:lang w:val="uk-UA"/>
                                </w:rPr>
                              </w:pPr>
                              <w:r>
                                <w:rPr>
                                  <w:sz w:val="18"/>
                                  <w:szCs w:val="18"/>
                                  <w:lang w:val="uk-UA"/>
                                </w:rPr>
                                <w:t>сестри</w:t>
                              </w:r>
                            </w:p>
                          </w:txbxContent>
                        </wps:txbx>
                        <wps:bodyPr anchor="t">
                          <a:noAutofit/>
                        </wps:bodyPr>
                      </wps:wsp>
                      <wps:wsp>
                        <wps:cNvPr id="35" name="Прямая со стрелкой 144989007"/>
                        <wps:cNvSpPr/>
                        <wps:spPr>
                          <a:xfrm rot="5400000">
                            <a:off x="5140440" y="718200"/>
                            <a:ext cx="278640" cy="24120"/>
                          </a:xfrm>
                          <a:prstGeom prst="straightConnector1">
                            <a:avLst/>
                          </a:prstGeom>
                          <a:noFill/>
                          <a:ln w="6480">
                            <a:solidFill>
                              <a:srgbClr val="000000"/>
                            </a:solidFill>
                            <a:miter/>
                            <a:tailEnd len="med" type="triangle" w="med"/>
                          </a:ln>
                        </wps:spPr>
                        <wps:style>
                          <a:lnRef idx="0"/>
                          <a:fillRef idx="0"/>
                          <a:effectRef idx="0"/>
                          <a:fontRef idx="minor"/>
                        </wps:style>
                        <wps:bodyPr/>
                      </wps:wsp>
                      <wps:wsp>
                        <wps:cNvPr id="36" name="Прямоугольник 824591798"/>
                        <wps:cNvSpPr/>
                        <wps:spPr>
                          <a:xfrm>
                            <a:off x="4929480" y="859320"/>
                            <a:ext cx="1125360" cy="471960"/>
                          </a:xfrm>
                          <a:prstGeom prst="rect">
                            <a:avLst/>
                          </a:prstGeom>
                          <a:solidFill>
                            <a:schemeClr val="lt1"/>
                          </a:solidFill>
                          <a:ln w="9360">
                            <a:solidFill>
                              <a:srgbClr val="000000"/>
                            </a:solidFill>
                            <a:miter/>
                          </a:ln>
                        </wps:spPr>
                        <wps:style>
                          <a:lnRef idx="0"/>
                          <a:fillRef idx="0"/>
                          <a:effectRef idx="0"/>
                          <a:fontRef idx="minor"/>
                        </wps:style>
                        <wps:txbx>
                          <w:txbxContent>
                            <w:p>
                              <w:pPr>
                                <w:pStyle w:val="Normal"/>
                                <w:spacing w:lineRule="auto" w:line="276"/>
                                <w:ind w:hanging="0"/>
                                <w:rPr>
                                  <w:sz w:val="18"/>
                                  <w:szCs w:val="18"/>
                                  <w:lang w:val="uk-UA"/>
                                </w:rPr>
                              </w:pPr>
                              <w:r>
                                <w:rPr>
                                  <w:sz w:val="18"/>
                                  <w:szCs w:val="18"/>
                                  <w:lang w:val="uk-UA"/>
                                </w:rPr>
                                <w:t>Начальник відділу кадрів</w:t>
                              </w:r>
                            </w:p>
                          </w:txbxContent>
                        </wps:txbx>
                        <wps:bodyPr anchor="t">
                          <a:noAutofit/>
                        </wps:bodyPr>
                      </wps:wsp>
                      <wps:wsp>
                        <wps:cNvPr id="37" name="Прямая со стрелкой 10440924"/>
                        <wps:cNvSpPr/>
                        <wps:spPr>
                          <a:xfrm flipV="1" rot="5400000">
                            <a:off x="5450760" y="1456920"/>
                            <a:ext cx="160560" cy="33120"/>
                          </a:xfrm>
                          <a:prstGeom prst="straightConnector1">
                            <a:avLst/>
                          </a:prstGeom>
                          <a:noFill/>
                          <a:ln w="6480">
                            <a:solidFill>
                              <a:srgbClr val="000000"/>
                            </a:solidFill>
                            <a:miter/>
                            <a:tailEnd len="med" type="triangle" w="med"/>
                          </a:ln>
                        </wps:spPr>
                        <wps:style>
                          <a:lnRef idx="0"/>
                          <a:fillRef idx="0"/>
                          <a:effectRef idx="0"/>
                          <a:fontRef idx="minor"/>
                        </wps:style>
                        <wps:bodyPr/>
                      </wps:wsp>
                      <wps:wsp>
                        <wps:cNvPr id="38" name="Прямоугольник 336658222"/>
                        <wps:cNvSpPr/>
                        <wps:spPr>
                          <a:xfrm>
                            <a:off x="4904280" y="1633680"/>
                            <a:ext cx="1150560" cy="359280"/>
                          </a:xfrm>
                          <a:prstGeom prst="rect">
                            <a:avLst/>
                          </a:prstGeom>
                          <a:solidFill>
                            <a:schemeClr val="lt1"/>
                          </a:solidFill>
                          <a:ln w="9360">
                            <a:solidFill>
                              <a:srgbClr val="000000"/>
                            </a:solidFill>
                            <a:miter/>
                          </a:ln>
                        </wps:spPr>
                        <wps:style>
                          <a:lnRef idx="0"/>
                          <a:fillRef idx="0"/>
                          <a:effectRef idx="0"/>
                          <a:fontRef idx="minor"/>
                        </wps:style>
                        <wps:txbx>
                          <w:txbxContent>
                            <w:p>
                              <w:pPr>
                                <w:pStyle w:val="Normal"/>
                                <w:spacing w:lineRule="auto" w:line="276"/>
                                <w:ind w:hanging="0"/>
                                <w:rPr>
                                  <w:sz w:val="18"/>
                                  <w:szCs w:val="18"/>
                                  <w:lang w:val="uk-UA"/>
                                </w:rPr>
                              </w:pPr>
                              <w:r>
                                <w:rPr>
                                  <w:sz w:val="18"/>
                                  <w:szCs w:val="18"/>
                                  <w:lang w:val="uk-UA"/>
                                </w:rPr>
                                <w:t>Інспектор з кадрів</w:t>
                              </w:r>
                            </w:p>
                          </w:txbxContent>
                        </wps:txbx>
                        <wps:bodyPr anchor="t">
                          <a:noAutofit/>
                        </wps:bodyPr>
                      </wps:wsp>
                    </wpg:wgp>
                  </a:graphicData>
                </a:graphic>
              </wp:inline>
            </w:drawing>
          </mc:Choice>
          <mc:Fallback>
            <w:pict>
              <v:group id="shape_0" alt="Группа 36" style="position:absolute;margin-left:0pt;margin-top:-252.8pt;width:476.75pt;height:251.2pt" coordorigin="0,-5056" coordsize="9535,5024">
                <v:shapetype id="_x0000_t32" coordsize="21600,21600" o:spt="32" path="m,l21600,21600nfe">
                  <v:stroke joinstyle="miter"/>
                  <v:path gradientshapeok="t" o:connecttype="rect" textboxrect="0,0,21600,21600"/>
                </v:shapetype>
                <v:shape id="shape_0" ID="Прямая со стрелкой 623050516" path="m0,0l-2147483648,-2147483647e" stroked="t" o:allowincell="f" style="position:absolute;left:5302;top:-4394;width:523;height:10;flip:y;mso-wrap-style:none;v-text-anchor:middle;rotation:270;mso-position-vertical:top" type="_x0000_t32">
                  <v:fill o:detectmouseclick="t" on="false"/>
                  <v:stroke color="black" weight="6480" endarrow="block" endarrowwidth="medium" endarrowlength="medium" joinstyle="miter" endcap="flat"/>
                  <w10:wrap type="square"/>
                </v:shape>
                <v:shape id="shape_0" ID="Прямая со стрелкой 510883468" path="m0,0l-2147483648,-2147483647e" stroked="t" o:allowincell="f" style="position:absolute;left:5570;top:-4143;width:2724;height:15;flip:y;mso-wrap-style:none;v-text-anchor:middle;mso-position-vertical:top" type="_x0000_t32">
                  <v:fill o:detectmouseclick="t" on="false"/>
                  <v:stroke color="black" weight="6480" joinstyle="miter" endcap="flat"/>
                  <w10:wrap type="square"/>
                </v:shape>
                <v:shape id="shape_0" ID="Прямая со стрелкой 459607049" path="m0,0l-2147483648,-2147483647e" stroked="t" o:allowincell="f" style="position:absolute;left:1194;top:-4143;width:4373;height:14;flip:x;mso-wrap-style:none;v-text-anchor:middle;mso-position-vertical:top" type="_x0000_t32">
                  <v:fill o:detectmouseclick="t" on="false"/>
                  <v:stroke color="black" weight="6480" joinstyle="miter" endcap="flat"/>
                  <w10:wrap type="square"/>
                </v:shape>
                <v:shape id="shape_0" ID="Прямая со стрелкой 1097108482" path="m0,0l-2147483648,-2147483647e" stroked="t" o:allowincell="f" style="position:absolute;left:1127;top:-4030;width:201;height:10;flip:y;mso-wrap-style:none;v-text-anchor:middle;rotation:270;mso-position-vertical:top" type="_x0000_t32">
                  <v:fill o:detectmouseclick="t" on="false"/>
                  <v:stroke color="black" weight="6480" endarrow="block" endarrowwidth="medium" endarrowlength="medium" joinstyle="miter" endcap="flat"/>
                  <w10:wrap type="square"/>
                </v:shape>
                <v:rect id="shape_0" ID="Прямоугольник 232760532" path="m0,0l-2147483645,0l-2147483645,-2147483646l0,-2147483646xe" fillcolor="white" stroked="t" o:allowincell="f" style="position:absolute;left:229;top:-3923;width:2553;height:438;mso-wrap-style:square;v-text-anchor:top;mso-position-vertical:top">
                  <v:fill o:detectmouseclick="t" type="solid" color2="black"/>
                  <v:stroke color="black" weight="9360" joinstyle="miter" endcap="flat"/>
                  <v:textbox>
                    <w:txbxContent>
                      <w:p>
                        <w:pPr>
                          <w:pStyle w:val="Normal"/>
                          <w:spacing w:lineRule="auto" w:line="276"/>
                          <w:ind w:hanging="0"/>
                          <w:rPr>
                            <w:sz w:val="18"/>
                            <w:szCs w:val="18"/>
                            <w:lang w:val="uk-UA"/>
                          </w:rPr>
                        </w:pPr>
                        <w:r>
                          <w:rPr>
                            <w:sz w:val="18"/>
                            <w:szCs w:val="18"/>
                            <w:lang w:val="uk-UA"/>
                          </w:rPr>
                          <w:t>Медичний директор</w:t>
                        </w:r>
                      </w:p>
                    </w:txbxContent>
                  </v:textbox>
                  <w10:wrap type="square"/>
                </v:rect>
                <v:rect id="shape_0" ID="Прямоугольник 1623973554" path="m0,0l-2147483645,0l-2147483645,-2147483646l0,-2147483646xe" fillcolor="white" stroked="t" o:allowincell="f" style="position:absolute;left:4449;top:-5056;width:3167;height:404;mso-wrap-style:square;v-text-anchor:top;mso-position-vertical:top">
                  <v:fill o:detectmouseclick="t" type="solid" color2="black"/>
                  <v:stroke color="black" weight="9360" joinstyle="miter" endcap="flat"/>
                  <v:textbox>
                    <w:txbxContent>
                      <w:p>
                        <w:pPr>
                          <w:pStyle w:val="Normal"/>
                          <w:spacing w:lineRule="auto" w:line="276"/>
                          <w:ind w:hanging="0"/>
                          <w:jc w:val="center"/>
                          <w:rPr>
                            <w:sz w:val="18"/>
                            <w:szCs w:val="18"/>
                            <w:lang w:val="uk-UA"/>
                          </w:rPr>
                        </w:pPr>
                        <w:r>
                          <w:rPr>
                            <w:sz w:val="18"/>
                            <w:szCs w:val="18"/>
                            <w:lang w:val="uk-UA"/>
                          </w:rPr>
                          <w:t>Генеральний директор</w:t>
                        </w:r>
                      </w:p>
                    </w:txbxContent>
                  </v:textbox>
                  <w10:wrap type="square"/>
                </v:rect>
                <v:shape id="shape_0" ID="Прямая со стрелкой 1549944183" path="m0,0l-2147483648,-2147483647e" stroked="t" o:allowincell="f" style="position:absolute;left:1235;top:-3449;width:1115;height:302;mso-wrap-style:none;v-text-anchor:middle;mso-position-vertical:top" type="_x0000_t32">
                  <v:fill o:detectmouseclick="t" on="false"/>
                  <v:stroke color="black" weight="6480" endarrow="block" endarrowwidth="medium" endarrowlength="medium" joinstyle="miter" endcap="flat"/>
                  <w10:wrap type="square"/>
                </v:shape>
                <v:shape id="shape_0" ID="Прямая со стрелкой 1436010290" path="m0,0l-2147483648,-2147483647e" stroked="t" o:allowincell="f" style="position:absolute;left:811;top:-3449;width:418;height:150;flip:x;mso-wrap-style:none;v-text-anchor:middle;mso-position-vertical:top" type="_x0000_t32">
                  <v:fill o:detectmouseclick="t" on="false"/>
                  <v:stroke color="black" weight="6480" endarrow="block" endarrowwidth="medium" endarrowlength="medium" joinstyle="miter" endcap="flat"/>
                  <w10:wrap type="square"/>
                </v:shape>
                <v:rect id="shape_0" ID="Прямоугольник 924060823" path="m0,0l-2147483645,0l-2147483645,-2147483646l0,-2147483646xe" fillcolor="white" stroked="t" o:allowincell="f" style="position:absolute;left:0;top:-3195;width:1220;height:1134;mso-wrap-style:square;v-text-anchor:top;mso-position-vertical:top">
                  <v:fill o:detectmouseclick="t" type="solid" color2="black"/>
                  <v:stroke color="black" weight="9360" joinstyle="miter" endcap="flat"/>
                  <v:textbox>
                    <w:txbxContent>
                      <w:p>
                        <w:pPr>
                          <w:pStyle w:val="Normal"/>
                          <w:spacing w:lineRule="auto" w:line="276"/>
                          <w:ind w:hanging="0"/>
                          <w:rPr>
                            <w:sz w:val="18"/>
                            <w:szCs w:val="18"/>
                            <w:lang w:val="uk-UA"/>
                          </w:rPr>
                        </w:pPr>
                        <w:r>
                          <w:rPr>
                            <w:sz w:val="18"/>
                            <w:szCs w:val="18"/>
                            <w:lang w:val="uk-UA"/>
                          </w:rPr>
                          <w:t>Завідувач</w:t>
                        </w:r>
                      </w:p>
                      <w:p>
                        <w:pPr>
                          <w:pStyle w:val="Normal"/>
                          <w:spacing w:lineRule="auto" w:line="276"/>
                          <w:ind w:hanging="0"/>
                          <w:rPr>
                            <w:sz w:val="18"/>
                            <w:szCs w:val="18"/>
                            <w:lang w:val="uk-UA"/>
                          </w:rPr>
                        </w:pPr>
                        <w:r>
                          <w:rPr>
                            <w:sz w:val="18"/>
                            <w:szCs w:val="18"/>
                            <w:lang w:val="uk-UA"/>
                          </w:rPr>
                          <w:t>відділення</w:t>
                        </w:r>
                      </w:p>
                    </w:txbxContent>
                  </v:textbox>
                  <w10:wrap type="square"/>
                </v:rect>
                <v:rect id="shape_0" ID="Прямоугольник 378782492" path="m0,0l-2147483645,0l-2147483645,-2147483646l0,-2147483646xe" fillcolor="white" stroked="t" o:allowincell="f" style="position:absolute;left:1793;top:-3145;width:1180;height:1135;mso-wrap-style:square;v-text-anchor:top;mso-position-vertical:top">
                  <v:fill o:detectmouseclick="t" type="solid" color2="black"/>
                  <v:stroke color="black" weight="9360" joinstyle="miter" endcap="flat"/>
                  <v:textbox>
                    <w:txbxContent>
                      <w:p>
                        <w:pPr>
                          <w:pStyle w:val="Normal"/>
                          <w:spacing w:lineRule="auto" w:line="276"/>
                          <w:ind w:hanging="0"/>
                          <w:rPr>
                            <w:sz w:val="18"/>
                            <w:szCs w:val="18"/>
                            <w:lang w:val="uk-UA"/>
                          </w:rPr>
                        </w:pPr>
                        <w:r>
                          <w:rPr>
                            <w:sz w:val="18"/>
                            <w:szCs w:val="18"/>
                            <w:lang w:val="uk-UA"/>
                          </w:rPr>
                          <w:t xml:space="preserve">Завідувач </w:t>
                        </w:r>
                      </w:p>
                      <w:p>
                        <w:pPr>
                          <w:pStyle w:val="Normal"/>
                          <w:spacing w:lineRule="auto" w:line="276"/>
                          <w:ind w:hanging="0"/>
                          <w:rPr>
                            <w:sz w:val="18"/>
                            <w:szCs w:val="18"/>
                            <w:lang w:val="uk-UA"/>
                          </w:rPr>
                        </w:pPr>
                        <w:r>
                          <w:rPr>
                            <w:sz w:val="18"/>
                            <w:szCs w:val="18"/>
                            <w:lang w:val="uk-UA"/>
                          </w:rPr>
                          <w:t>поліклініки</w:t>
                        </w:r>
                      </w:p>
                    </w:txbxContent>
                  </v:textbox>
                  <w10:wrap type="square"/>
                </v:rect>
                <v:shape id="shape_0" ID="Прямая со стрелкой 1391247120" path="m0,0l-2147483648,-2147483647e" stroked="t" o:allowincell="f" style="position:absolute;left:352;top:-1926;width:319;height:51;flip:y;mso-wrap-style:none;v-text-anchor:middle;rotation:270;mso-position-vertical:top" type="_x0000_t32">
                  <v:fill o:detectmouseclick="t" on="false"/>
                  <v:stroke color="black" weight="6480" endarrow="block" endarrowwidth="medium" endarrowlength="medium" joinstyle="miter" endcap="flat"/>
                  <w10:wrap type="square"/>
                </v:shape>
                <v:rect id="shape_0" ID="Прямоугольник 43721912" path="m0,0l-2147483645,0l-2147483645,-2147483646l0,-2147483646xe" fillcolor="white" stroked="t" o:allowincell="f" style="position:absolute;left:131;top:-1900;width:891;height:489;mso-wrap-style:square;v-text-anchor:top;mso-position-vertical:top">
                  <v:fill o:detectmouseclick="t" type="solid" color2="black"/>
                  <v:stroke color="black" weight="9360" joinstyle="miter" endcap="flat"/>
                  <v:textbox>
                    <w:txbxContent>
                      <w:p>
                        <w:pPr>
                          <w:pStyle w:val="Normal"/>
                          <w:spacing w:lineRule="auto" w:line="276"/>
                          <w:ind w:hanging="0"/>
                          <w:rPr>
                            <w:sz w:val="18"/>
                            <w:szCs w:val="18"/>
                            <w:lang w:val="uk-UA"/>
                          </w:rPr>
                        </w:pPr>
                        <w:r>
                          <w:rPr>
                            <w:sz w:val="18"/>
                            <w:szCs w:val="18"/>
                            <w:lang w:val="uk-UA"/>
                          </w:rPr>
                          <w:t>Лікарі</w:t>
                        </w:r>
                      </w:p>
                    </w:txbxContent>
                  </v:textbox>
                  <w10:wrap type="square"/>
                </v:rect>
                <v:shape id="shape_0" ID="Прямая со стрелкой 1805511515" path="m0,0l-2147483648,-2147483647e" stroked="t" o:allowincell="f" style="position:absolute;left:390;top:-1295;width:269;height:24;flip:y;mso-wrap-style:none;v-text-anchor:middle;rotation:270;mso-position-vertical:top" type="_x0000_t32">
                  <v:fill o:detectmouseclick="t" on="false"/>
                  <v:stroke color="black" weight="6480" endarrow="block" endarrowwidth="medium" endarrowlength="medium" joinstyle="miter" endcap="flat"/>
                  <w10:wrap type="square"/>
                </v:shape>
                <v:rect id="shape_0" ID="Прямоугольник 428997676" path="m0,0l-2147483645,0l-2147483645,-2147483646l0,-2147483646xe" fillcolor="white" stroked="t" o:allowincell="f" style="position:absolute;left:0;top:-1147;width:1443;height:844;mso-wrap-style:square;v-text-anchor:top;mso-position-vertical:top">
                  <v:fill o:detectmouseclick="t" type="solid" color2="black"/>
                  <v:stroke color="black" weight="9360" joinstyle="miter" endcap="flat"/>
                  <v:textbox>
                    <w:txbxContent>
                      <w:p>
                        <w:pPr>
                          <w:pStyle w:val="Normal"/>
                          <w:spacing w:lineRule="auto" w:line="276"/>
                          <w:ind w:hanging="0"/>
                          <w:rPr>
                            <w:sz w:val="18"/>
                            <w:szCs w:val="18"/>
                            <w:lang w:val="uk-UA"/>
                          </w:rPr>
                        </w:pPr>
                        <w:r>
                          <w:rPr>
                            <w:sz w:val="18"/>
                            <w:szCs w:val="18"/>
                            <w:lang w:val="uk-UA"/>
                          </w:rPr>
                          <w:t>Мед. сестри \ Реєстратори</w:t>
                        </w:r>
                      </w:p>
                    </w:txbxContent>
                  </v:textbox>
                  <w10:wrap type="square"/>
                </v:rect>
                <v:shape id="shape_0" ID="Прямая со стрелкой 1882150868" path="m0,0l-2147483648,-2147483647e" stroked="t" o:allowincell="f" style="position:absolute;left:2284;top:-1858;width:252;height:10;flip:y;mso-wrap-style:none;v-text-anchor:middle;rotation:270;mso-position-vertical:top" type="_x0000_t32">
                  <v:fill o:detectmouseclick="t" on="false"/>
                  <v:stroke color="black" weight="6480" endarrow="block" endarrowwidth="medium" endarrowlength="medium" joinstyle="miter" endcap="flat"/>
                  <w10:wrap type="square"/>
                </v:shape>
                <v:rect id="shape_0" ID="Прямоугольник 2033377601" path="m0,0l-2147483645,0l-2147483645,-2147483646l0,-2147483646xe" fillcolor="white" stroked="t" o:allowincell="f" style="position:absolute;left:2036;top:-1655;width:1105;height:506;mso-wrap-style:square;v-text-anchor:top;mso-position-vertical:top">
                  <v:fill o:detectmouseclick="t" type="solid" color2="black"/>
                  <v:stroke color="black" weight="9360" joinstyle="miter" endcap="flat"/>
                  <v:textbox>
                    <w:txbxContent>
                      <w:p>
                        <w:pPr>
                          <w:pStyle w:val="Normal"/>
                          <w:spacing w:lineRule="auto" w:line="276"/>
                          <w:ind w:hanging="0"/>
                          <w:rPr>
                            <w:sz w:val="18"/>
                            <w:szCs w:val="18"/>
                            <w:lang w:val="uk-UA"/>
                          </w:rPr>
                        </w:pPr>
                        <w:r>
                          <w:rPr>
                            <w:sz w:val="18"/>
                            <w:szCs w:val="18"/>
                            <w:lang w:val="uk-UA"/>
                          </w:rPr>
                          <w:t>Лікарі</w:t>
                        </w:r>
                      </w:p>
                    </w:txbxContent>
                  </v:textbox>
                  <w10:wrap type="square"/>
                </v:rect>
                <v:shape id="shape_0" ID="Прямая со стрелкой 1341019563" path="m0,0l-2147483648,-2147483647e" stroked="t" o:allowincell="f" style="position:absolute;left:2310;top:-1010;width:252;height:11;mso-wrap-style:none;v-text-anchor:middle;rotation:90;mso-position-vertical:top" type="_x0000_t32">
                  <v:fill o:detectmouseclick="t" on="false"/>
                  <v:stroke color="black" weight="6480" endarrow="block" endarrowwidth="medium" endarrowlength="medium" joinstyle="miter" endcap="flat"/>
                  <w10:wrap type="square"/>
                </v:shape>
                <v:rect id="shape_0" ID="Прямоугольник 1909155964" path="m0,0l-2147483645,0l-2147483645,-2147483646l0,-2147483646xe" fillcolor="white" stroked="t" o:allowincell="f" style="position:absolute;left:1698;top:-877;width:1443;height:844;mso-wrap-style:square;v-text-anchor:top;mso-position-vertical:top">
                  <v:fill o:detectmouseclick="t" type="solid" color2="black"/>
                  <v:stroke color="black" weight="9360" joinstyle="miter" endcap="flat"/>
                  <v:textbox>
                    <w:txbxContent>
                      <w:p>
                        <w:pPr>
                          <w:pStyle w:val="Normal"/>
                          <w:spacing w:lineRule="auto" w:line="276"/>
                          <w:ind w:hanging="0"/>
                          <w:rPr>
                            <w:sz w:val="18"/>
                            <w:szCs w:val="18"/>
                            <w:lang w:val="uk-UA"/>
                          </w:rPr>
                        </w:pPr>
                        <w:r>
                          <w:rPr>
                            <w:sz w:val="18"/>
                            <w:szCs w:val="18"/>
                            <w:lang w:val="uk-UA"/>
                          </w:rPr>
                          <w:t>Мед. сестри \ Реєстратори</w:t>
                        </w:r>
                      </w:p>
                    </w:txbxContent>
                  </v:textbox>
                  <w10:wrap type="square"/>
                </v:rect>
                <v:shape id="shape_0" ID="Прямая со стрелкой 1430355137" path="m0,0l-2147483648,-2147483647e" stroked="t" o:allowincell="f" style="position:absolute;left:3979;top:-3869;width:489;height:11;flip:y;mso-wrap-style:none;v-text-anchor:middle;rotation:270;mso-position-vertical:top" type="_x0000_t32">
                  <v:fill o:detectmouseclick="t" on="false"/>
                  <v:stroke color="black" weight="6480" endarrow="block" endarrowwidth="medium" endarrowlength="medium" joinstyle="miter" endcap="flat"/>
                  <w10:wrap type="square"/>
                </v:shape>
                <v:rect id="shape_0" ID="Прямоугольник 1467576737" path="m0,0l-2147483645,0l-2147483645,-2147483646l0,-2147483646xe" fillcolor="white" stroked="t" o:allowincell="f" style="position:absolute;left:3231;top:-3703;width:1996;height:929;mso-wrap-style:square;v-text-anchor:top;mso-position-vertical:top">
                  <v:fill o:detectmouseclick="t" type="solid" color2="black"/>
                  <v:stroke color="black" weight="9360" joinstyle="miter" endcap="flat"/>
                  <v:textbox>
                    <w:txbxContent>
                      <w:p>
                        <w:pPr>
                          <w:pStyle w:val="Normal"/>
                          <w:spacing w:lineRule="auto" w:line="276"/>
                          <w:ind w:hanging="0"/>
                          <w:rPr>
                            <w:sz w:val="18"/>
                            <w:szCs w:val="18"/>
                            <w:lang w:val="uk-UA"/>
                          </w:rPr>
                        </w:pPr>
                        <w:r>
                          <w:rPr>
                            <w:sz w:val="18"/>
                            <w:szCs w:val="18"/>
                            <w:lang w:val="uk-UA"/>
                          </w:rPr>
                          <w:t xml:space="preserve">Заступник з економ. </w:t>
                        </w:r>
                      </w:p>
                      <w:p>
                        <w:pPr>
                          <w:pStyle w:val="Normal"/>
                          <w:spacing w:lineRule="auto" w:line="276"/>
                          <w:ind w:hanging="0"/>
                          <w:rPr>
                            <w:sz w:val="18"/>
                            <w:szCs w:val="18"/>
                            <w:lang w:val="uk-UA"/>
                          </w:rPr>
                        </w:pPr>
                        <w:r>
                          <w:rPr>
                            <w:sz w:val="18"/>
                            <w:szCs w:val="18"/>
                            <w:lang w:val="uk-UA"/>
                          </w:rPr>
                          <w:t>питань</w:t>
                        </w:r>
                      </w:p>
                    </w:txbxContent>
                  </v:textbox>
                  <w10:wrap type="square"/>
                </v:rect>
                <v:shape id="shape_0" ID="Прямая со стрелкой 63884358" path="m0,0l-2147483648,-2147483647e" stroked="t" o:allowincell="f" style="position:absolute;left:4136;top:-2567;width:253;height:11;mso-wrap-style:none;v-text-anchor:middle;rotation:90;mso-position-vertical:top" type="_x0000_t32">
                  <v:fill o:detectmouseclick="t" on="false"/>
                  <v:stroke color="black" weight="6480" endarrow="block" endarrowwidth="medium" endarrowlength="medium" joinstyle="miter" endcap="flat"/>
                  <w10:wrap type="square"/>
                </v:shape>
                <v:rect id="shape_0" ID="Прямоугольник 1360120332" path="m0,0l-2147483645,0l-2147483645,-2147483646l0,-2147483646xe" fillcolor="white" stroked="t" o:allowincell="f" style="position:absolute;left:3586;top:-2433;width:1969;height:708;mso-wrap-style:square;v-text-anchor:top;mso-position-vertical:top">
                  <v:fill o:detectmouseclick="t" type="solid" color2="black"/>
                  <v:stroke color="black" weight="9360" joinstyle="miter" endcap="flat"/>
                  <v:textbox>
                    <w:txbxContent>
                      <w:p>
                        <w:pPr>
                          <w:pStyle w:val="Normal"/>
                          <w:spacing w:lineRule="auto" w:line="276"/>
                          <w:ind w:hanging="0"/>
                          <w:rPr>
                            <w:sz w:val="18"/>
                            <w:szCs w:val="18"/>
                            <w:lang w:val="uk-UA"/>
                          </w:rPr>
                        </w:pPr>
                        <w:r>
                          <w:rPr>
                            <w:sz w:val="18"/>
                            <w:szCs w:val="18"/>
                            <w:lang w:val="uk-UA"/>
                          </w:rPr>
                          <w:t>Голов. бух.</w:t>
                        </w:r>
                      </w:p>
                    </w:txbxContent>
                  </v:textbox>
                  <w10:wrap type="square"/>
                </v:rect>
                <v:shape id="shape_0" ID="Прямая со стрелкой 951218374" path="m0,0l-2147483648,-2147483647e" stroked="t" o:allowincell="f" style="position:absolute;left:4101;top:-1695;width:269;height:11;mso-wrap-style:none;v-text-anchor:middle;rotation:90;mso-position-vertical:top" type="_x0000_t32">
                  <v:fill o:detectmouseclick="t" on="false"/>
                  <v:stroke color="black" weight="6480" endarrow="block" endarrowwidth="medium" endarrowlength="medium" joinstyle="miter" endcap="flat"/>
                  <w10:wrap type="square"/>
                </v:shape>
                <v:rect id="shape_0" ID="Прямоугольник 2068669606" path="m0,0l-2147483645,0l-2147483645,-2147483646l0,-2147483646xe" fillcolor="white" stroked="t" o:allowincell="f" style="position:absolute;left:3632;top:-1570;width:1273;height:1064;mso-wrap-style:square;v-text-anchor:top;mso-position-vertical:top">
                  <v:fill o:detectmouseclick="t" type="solid" color2="black"/>
                  <v:stroke color="black" weight="9360" joinstyle="miter" endcap="flat"/>
                  <v:textbox>
                    <w:txbxContent>
                      <w:p>
                        <w:pPr>
                          <w:pStyle w:val="Normal"/>
                          <w:spacing w:lineRule="auto" w:line="276"/>
                          <w:ind w:hanging="0"/>
                          <w:rPr>
                            <w:sz w:val="18"/>
                            <w:szCs w:val="18"/>
                            <w:lang w:val="uk-UA"/>
                          </w:rPr>
                        </w:pPr>
                        <w:r>
                          <w:rPr>
                            <w:sz w:val="18"/>
                            <w:szCs w:val="18"/>
                            <w:lang w:val="uk-UA"/>
                          </w:rPr>
                          <w:t>Економісти\</w:t>
                        </w:r>
                      </w:p>
                      <w:p>
                        <w:pPr>
                          <w:pStyle w:val="Normal"/>
                          <w:spacing w:lineRule="auto" w:line="276"/>
                          <w:ind w:hanging="0"/>
                          <w:rPr>
                            <w:sz w:val="18"/>
                            <w:szCs w:val="18"/>
                            <w:lang w:val="uk-UA"/>
                          </w:rPr>
                        </w:pPr>
                        <w:r>
                          <w:rPr>
                            <w:sz w:val="18"/>
                            <w:szCs w:val="18"/>
                            <w:lang w:val="uk-UA"/>
                          </w:rPr>
                          <w:t>Фінансисти</w:t>
                        </w:r>
                      </w:p>
                    </w:txbxContent>
                  </v:textbox>
                  <w10:wrap type="square"/>
                </v:rect>
                <v:shape id="shape_0" ID="Прямая со стрелкой 528412339" path="m0,0l-2147483648,-2147483647e" stroked="t" o:allowincell="f" style="position:absolute;left:6319;top:-3840;width:539;height:37;flip:y;mso-wrap-style:none;v-text-anchor:middle;rotation:270;mso-position-vertical:top" type="_x0000_t32">
                  <v:fill o:detectmouseclick="t" on="false"/>
                  <v:stroke color="black" weight="6480" endarrow="block" endarrowwidth="medium" endarrowlength="medium" joinstyle="miter" endcap="flat"/>
                  <w10:wrap type="square"/>
                </v:shape>
                <v:rect id="shape_0" ID="Прямоугольник 566746209" path="m0,0l-2147483645,0l-2147483645,-2147483646l0,-2147483646xe" fillcolor="white" stroked="t" o:allowincell="f" style="position:absolute;left:5774;top:-3703;width:1666;height:861;mso-wrap-style:square;v-text-anchor:top;mso-position-vertical:top">
                  <v:fill o:detectmouseclick="t" type="solid" color2="black"/>
                  <v:stroke color="black" weight="9360" joinstyle="miter" endcap="flat"/>
                  <v:textbox>
                    <w:txbxContent>
                      <w:p>
                        <w:pPr>
                          <w:pStyle w:val="Normal"/>
                          <w:spacing w:lineRule="auto" w:line="276"/>
                          <w:ind w:hanging="0"/>
                          <w:rPr>
                            <w:sz w:val="18"/>
                            <w:szCs w:val="18"/>
                            <w:lang w:val="uk-UA"/>
                          </w:rPr>
                        </w:pPr>
                        <w:r>
                          <w:rPr>
                            <w:sz w:val="18"/>
                            <w:szCs w:val="18"/>
                            <w:lang w:val="uk-UA"/>
                          </w:rPr>
                          <w:t xml:space="preserve">Головна мед. </w:t>
                        </w:r>
                      </w:p>
                      <w:p>
                        <w:pPr>
                          <w:pStyle w:val="Normal"/>
                          <w:spacing w:lineRule="auto" w:line="276"/>
                          <w:ind w:hanging="0"/>
                          <w:rPr>
                            <w:sz w:val="18"/>
                            <w:szCs w:val="18"/>
                            <w:lang w:val="uk-UA"/>
                          </w:rPr>
                        </w:pPr>
                        <w:r>
                          <w:rPr>
                            <w:sz w:val="18"/>
                            <w:szCs w:val="18"/>
                            <w:lang w:val="uk-UA"/>
                          </w:rPr>
                          <w:t>сестра</w:t>
                        </w:r>
                      </w:p>
                    </w:txbxContent>
                  </v:textbox>
                  <w10:wrap type="square"/>
                </v:rect>
                <v:shape id="shape_0" ID="Прямая со стрелкой 707917962" path="m0,0l-2147483648,-2147483647e" stroked="t" o:allowincell="f" style="position:absolute;left:6426;top:-2667;width:337;height:24;flip:y;mso-wrap-style:none;v-text-anchor:middle;rotation:270;mso-position-vertical:top" type="_x0000_t32">
                  <v:fill o:detectmouseclick="t" on="false"/>
                  <v:stroke color="black" weight="6480" endarrow="block" endarrowwidth="medium" endarrowlength="medium" joinstyle="miter" endcap="flat"/>
                  <w10:wrap type="square"/>
                </v:shape>
                <v:rect id="shape_0" ID="Прямоугольник 650925172" path="m0,0l-2147483645,0l-2147483645,-2147483646l0,-2147483646xe" fillcolor="white" stroked="t" o:allowincell="f" style="position:absolute;left:5899;top:-2577;width:1364;height:1021;mso-wrap-style:square;v-text-anchor:top;mso-position-vertical:top">
                  <v:fill o:detectmouseclick="t" type="solid" color2="black"/>
                  <v:stroke color="black" weight="9360" joinstyle="miter" endcap="flat"/>
                  <v:textbox>
                    <w:txbxContent>
                      <w:p>
                        <w:pPr>
                          <w:pStyle w:val="Normal"/>
                          <w:spacing w:lineRule="auto" w:line="276"/>
                          <w:ind w:hanging="0"/>
                          <w:rPr>
                            <w:sz w:val="18"/>
                            <w:szCs w:val="18"/>
                            <w:lang w:val="uk-UA"/>
                          </w:rPr>
                        </w:pPr>
                        <w:r>
                          <w:rPr>
                            <w:sz w:val="18"/>
                            <w:szCs w:val="18"/>
                            <w:lang w:val="uk-UA"/>
                          </w:rPr>
                          <w:t>Старші мед.</w:t>
                        </w:r>
                      </w:p>
                      <w:p>
                        <w:pPr>
                          <w:pStyle w:val="Normal"/>
                          <w:spacing w:lineRule="auto" w:line="276"/>
                          <w:ind w:hanging="0"/>
                          <w:rPr>
                            <w:sz w:val="18"/>
                            <w:szCs w:val="18"/>
                            <w:lang w:val="uk-UA"/>
                          </w:rPr>
                        </w:pPr>
                        <w:r>
                          <w:rPr>
                            <w:sz w:val="18"/>
                            <w:szCs w:val="18"/>
                            <w:lang w:val="uk-UA"/>
                          </w:rPr>
                          <w:t>сестри</w:t>
                        </w:r>
                      </w:p>
                    </w:txbxContent>
                  </v:textbox>
                  <w10:wrap type="square"/>
                </v:rect>
                <v:shape id="shape_0" ID="Прямая со стрелкой 1217504347" path="m0,0l-2147483648,-2147483647e" stroked="t" o:allowincell="f" style="position:absolute;left:6381;top:-1410;width:336;height:11;flip:y;mso-wrap-style:none;v-text-anchor:middle;rotation:270;mso-position-vertical:top" type="_x0000_t32">
                  <v:fill o:detectmouseclick="t" on="false"/>
                  <v:stroke color="black" weight="6480" endarrow="block" endarrowwidth="medium" endarrowlength="medium" joinstyle="miter" endcap="flat"/>
                  <w10:wrap type="square"/>
                </v:shape>
                <v:rect id="shape_0" ID="Прямоугольник 602444868" path="m0,0l-2147483645,0l-2147483645,-2147483646l0,-2147483646xe" fillcolor="white" stroked="t" o:allowincell="f" style="position:absolute;left:5827;top:-1232;width:1614;height:1148;mso-wrap-style:square;v-text-anchor:top;mso-position-vertical:top">
                  <v:fill o:detectmouseclick="t" type="solid" color2="black"/>
                  <v:stroke color="black" weight="9360" joinstyle="miter" endcap="flat"/>
                  <v:textbox>
                    <w:txbxContent>
                      <w:p>
                        <w:pPr>
                          <w:pStyle w:val="Normal"/>
                          <w:spacing w:lineRule="auto" w:line="276"/>
                          <w:ind w:hanging="0"/>
                          <w:rPr>
                            <w:sz w:val="18"/>
                            <w:szCs w:val="18"/>
                            <w:lang w:val="uk-UA"/>
                          </w:rPr>
                        </w:pPr>
                        <w:r>
                          <w:rPr>
                            <w:sz w:val="18"/>
                            <w:szCs w:val="18"/>
                            <w:lang w:val="uk-UA"/>
                          </w:rPr>
                          <w:t>Молодші мед.</w:t>
                        </w:r>
                      </w:p>
                      <w:p>
                        <w:pPr>
                          <w:pStyle w:val="Normal"/>
                          <w:spacing w:lineRule="auto" w:line="276"/>
                          <w:ind w:hanging="0"/>
                          <w:rPr>
                            <w:sz w:val="18"/>
                            <w:szCs w:val="18"/>
                            <w:lang w:val="uk-UA"/>
                          </w:rPr>
                        </w:pPr>
                        <w:r>
                          <w:rPr>
                            <w:sz w:val="18"/>
                            <w:szCs w:val="18"/>
                            <w:lang w:val="uk-UA"/>
                          </w:rPr>
                          <w:t>сестри</w:t>
                        </w:r>
                      </w:p>
                    </w:txbxContent>
                  </v:textbox>
                  <w10:wrap type="square"/>
                </v:rect>
                <v:shape id="shape_0" ID="Прямая со стрелкой 144989007" path="m0,0l-2147483648,-2147483647e" stroked="t" o:allowincell="f" style="position:absolute;left:8096;top:-3925;width:438;height:37;mso-wrap-style:none;v-text-anchor:middle;rotation:90;mso-position-vertical:top" type="_x0000_t32">
                  <v:fill o:detectmouseclick="t" on="false"/>
                  <v:stroke color="black" weight="6480" endarrow="block" endarrowwidth="medium" endarrowlength="medium" joinstyle="miter" endcap="flat"/>
                  <w10:wrap type="square"/>
                </v:shape>
                <v:rect id="shape_0" ID="Прямоугольник 824591798" path="m0,0l-2147483645,0l-2147483645,-2147483646l0,-2147483646xe" fillcolor="white" stroked="t" o:allowincell="f" style="position:absolute;left:7763;top:-3703;width:1771;height:742;mso-wrap-style:square;v-text-anchor:top;mso-position-vertical:top">
                  <v:fill o:detectmouseclick="t" type="solid" color2="black"/>
                  <v:stroke color="black" weight="9360" joinstyle="miter" endcap="flat"/>
                  <v:textbox>
                    <w:txbxContent>
                      <w:p>
                        <w:pPr>
                          <w:pStyle w:val="Normal"/>
                          <w:spacing w:lineRule="auto" w:line="276"/>
                          <w:ind w:hanging="0"/>
                          <w:rPr>
                            <w:sz w:val="18"/>
                            <w:szCs w:val="18"/>
                            <w:lang w:val="uk-UA"/>
                          </w:rPr>
                        </w:pPr>
                        <w:r>
                          <w:rPr>
                            <w:sz w:val="18"/>
                            <w:szCs w:val="18"/>
                            <w:lang w:val="uk-UA"/>
                          </w:rPr>
                          <w:t>Начальник відділу кадрів</w:t>
                        </w:r>
                      </w:p>
                    </w:txbxContent>
                  </v:textbox>
                  <w10:wrap type="square"/>
                </v:rect>
                <v:shape id="shape_0" ID="Прямая со стрелкой 10440924" path="m0,0l-2147483648,-2147483647e" stroked="t" o:allowincell="f" style="position:absolute;left:8584;top:-2762;width:252;height:51;flip:y;mso-wrap-style:none;v-text-anchor:middle;rotation:270;mso-position-vertical:top" type="_x0000_t32">
                  <v:fill o:detectmouseclick="t" on="false"/>
                  <v:stroke color="black" weight="6480" endarrow="block" endarrowwidth="medium" endarrowlength="medium" joinstyle="miter" endcap="flat"/>
                  <w10:wrap type="square"/>
                </v:shape>
                <v:rect id="shape_0" ID="Прямоугольник 336658222" path="m0,0l-2147483645,0l-2147483645,-2147483646l0,-2147483646xe" fillcolor="white" stroked="t" o:allowincell="f" style="position:absolute;left:7723;top:-2483;width:1811;height:565;mso-wrap-style:square;v-text-anchor:top;mso-position-vertical:top">
                  <v:fill o:detectmouseclick="t" type="solid" color2="black"/>
                  <v:stroke color="black" weight="9360" joinstyle="miter" endcap="flat"/>
                  <v:textbox>
                    <w:txbxContent>
                      <w:p>
                        <w:pPr>
                          <w:pStyle w:val="Normal"/>
                          <w:spacing w:lineRule="auto" w:line="276"/>
                          <w:ind w:hanging="0"/>
                          <w:rPr>
                            <w:sz w:val="18"/>
                            <w:szCs w:val="18"/>
                            <w:lang w:val="uk-UA"/>
                          </w:rPr>
                        </w:pPr>
                        <w:r>
                          <w:rPr>
                            <w:sz w:val="18"/>
                            <w:szCs w:val="18"/>
                            <w:lang w:val="uk-UA"/>
                          </w:rPr>
                          <w:t>Інспектор з кадрів</w:t>
                        </w:r>
                      </w:p>
                    </w:txbxContent>
                  </v:textbox>
                  <w10:wrap type="square"/>
                </v:rect>
              </v:group>
            </w:pict>
          </mc:Fallback>
        </mc:AlternateContent>
      </w:r>
    </w:p>
    <w:p>
      <w:pPr>
        <w:pStyle w:val="Normal"/>
        <w:jc w:val="center"/>
        <w:rPr/>
      </w:pPr>
      <w:r>
        <w:rPr>
          <w:lang w:val="uk-UA"/>
        </w:rPr>
        <w:t xml:space="preserve">Рис.2.1 - Організаційна структура КНП «Південнівська міська лікарня» ПМР </w:t>
      </w:r>
      <w:r>
        <w:rPr/>
        <w:t>[</w:t>
      </w:r>
      <w:r>
        <w:rPr>
          <w:lang w:val="en-GB"/>
        </w:rPr>
        <w:t>23</w:t>
      </w:r>
      <w:r>
        <w:rPr/>
        <w:t>]</w:t>
      </w:r>
    </w:p>
    <w:p>
      <w:pPr>
        <w:pStyle w:val="Normal"/>
        <w:rPr>
          <w:lang w:val="uk-UA"/>
        </w:rPr>
      </w:pPr>
      <w:r>
        <w:rPr>
          <w:lang w:val="uk-UA"/>
        </w:rPr>
      </w:r>
    </w:p>
    <w:p>
      <w:pPr>
        <w:pStyle w:val="Normal"/>
        <w:rPr>
          <w:lang w:val="uk-UA"/>
        </w:rPr>
      </w:pPr>
      <w:r>
        <w:rPr>
          <w:lang w:val="uk-UA"/>
        </w:rPr>
        <w:t>Управління лікарнею здійснюється за лінійно-функціональною структурою, яка передбачає чітку ієрархію підпорядкування та поділ управлінських функцій між адміністративними, медичними, фінансовими та кадровими підрозділами. Генеральний директор лікарні здійснює загальне керівництво та несе відповідальність за стратегічний розвиток закладу, ефективність роботи всіх структурних одиниць та дотримання вимог чинного законодавства. У його підпорядкуванні знаходиться медичний директор, заступник з економічних питань, головна медична сестра, начальник відділу кадрів та керівники відділень.</w:t>
      </w:r>
    </w:p>
    <w:p>
      <w:pPr>
        <w:pStyle w:val="Normal"/>
        <w:rPr>
          <w:lang w:val="uk-UA"/>
        </w:rPr>
      </w:pPr>
      <w:r>
        <w:rPr>
          <w:lang w:val="uk-UA"/>
        </w:rPr>
        <w:t>Структурні підрозділи лікарні охоплюють як лікувальні відділення (терапевтичне, хірургічне, приймальне, анестезіології та інтенсивної терапії, поліклінічне), так і допоміжні (клініко-діагностична лабораторія, господарський блок, бухгалтерія, відділ кадрів). Це забезпечує функціональну спеціалізацію та можливість централізованого контролю ключових управлінських процесів</w:t>
      </w:r>
      <w:r>
        <w:rPr/>
        <w:t xml:space="preserve"> [</w:t>
      </w:r>
      <w:r>
        <w:rPr>
          <w:lang w:val="en-GB"/>
        </w:rPr>
        <w:t>34</w:t>
      </w:r>
      <w:r>
        <w:rPr/>
        <w:t>]</w:t>
      </w:r>
      <w:r>
        <w:rPr>
          <w:lang w:val="uk-UA"/>
        </w:rPr>
        <w:t>.</w:t>
      </w:r>
    </w:p>
    <w:p>
      <w:pPr>
        <w:pStyle w:val="Normal"/>
        <w:rPr/>
      </w:pPr>
      <w:r>
        <w:rPr/>
        <w:t>Ключові проблеми моделі:</w:t>
      </w:r>
    </w:p>
    <w:p>
      <w:pPr>
        <w:pStyle w:val="Normal"/>
        <w:rPr/>
      </w:pPr>
      <w:r>
        <w:rPr>
          <w:lang w:val="uk-UA"/>
        </w:rPr>
        <w:t>-</w:t>
      </w:r>
      <w:r>
        <w:rPr/>
        <w:t>відсутність HR-аналітики;</w:t>
      </w:r>
    </w:p>
    <w:p>
      <w:pPr>
        <w:pStyle w:val="Normal"/>
        <w:rPr/>
      </w:pPr>
      <w:r>
        <w:rPr>
          <w:lang w:val="uk-UA"/>
        </w:rPr>
        <w:t>-</w:t>
      </w:r>
      <w:r>
        <w:rPr/>
        <w:t>відсутність механізмів підтримки психологічного стану працівників;</w:t>
      </w:r>
    </w:p>
    <w:p>
      <w:pPr>
        <w:pStyle w:val="Normal"/>
        <w:rPr/>
      </w:pPr>
      <w:r>
        <w:rPr>
          <w:lang w:val="uk-UA"/>
        </w:rPr>
        <w:t>-</w:t>
      </w:r>
      <w:r>
        <w:rPr/>
        <w:t>низький вплив на професійний розвиток;</w:t>
      </w:r>
    </w:p>
    <w:p>
      <w:pPr>
        <w:pStyle w:val="Normal"/>
        <w:rPr/>
      </w:pPr>
      <w:r>
        <w:rPr>
          <w:lang w:val="uk-UA"/>
        </w:rPr>
        <w:t>-</w:t>
      </w:r>
      <w:r>
        <w:rPr/>
        <w:t>стратегічні цілі не привʼязані до персоналу;</w:t>
      </w:r>
    </w:p>
    <w:p>
      <w:pPr>
        <w:pStyle w:val="Normal"/>
        <w:rPr/>
      </w:pPr>
      <w:r>
        <w:rPr>
          <w:lang w:val="uk-UA"/>
        </w:rPr>
        <w:t>-</w:t>
      </w:r>
      <w:r>
        <w:rPr/>
        <w:t>функція кадрів виконувала лише інструктивно-адміністративні завдання.</w:t>
      </w:r>
    </w:p>
    <w:p>
      <w:pPr>
        <w:pStyle w:val="Normal"/>
        <w:rPr>
          <w:lang w:val="uk-UA"/>
        </w:rPr>
      </w:pPr>
      <w:r>
        <w:rPr>
          <w:lang w:val="uk-UA"/>
        </w:rPr>
        <w:t>Одним із головних напрямів управлінської діяльності є управління персоналом, яке включає планування кадрового складу, підбір та адаптацію нових працівників, організацію безперервного професійного розвитку, моніторинг ефективності праці та забезпечення відповідності кваліфікації вимогам НСЗУ. На 2025 рік чисельність персоналу КНП складає близько 250 осіб, з яких 24 % – лікарі, 48 % – молодші спеціалісти з медичною освітою, 20 % – обслуговуючий персонал, і 8 % – адміністративно-управлінський штат. Гендерна структура закладу свідчить про переважання жінок (72 %), а за віковим та професійним стажем найбільшу частку становлять працівники зі стажем понад 10 років (56 %), що характеризує лікарню як установу з професійно стабільним кадровим ядром.</w:t>
      </w:r>
    </w:p>
    <w:p>
      <w:pPr>
        <w:pStyle w:val="Normal"/>
        <w:rPr>
          <w:lang w:val="uk-UA"/>
        </w:rPr>
      </w:pPr>
      <w:r>
        <w:rPr>
          <w:lang w:val="uk-UA"/>
        </w:rPr>
        <w:t>Управлінські функції реалізуються через поєднання адміністративних, економічних та соціально-психологічних методів. Адміністративні методи – це регламенти, інструкції, накази, які визначають посадові обов’язки, відповідальність та вертикаль управління. Економічні методи застосовуються в контексті планування бюджетів, управління контрактами з НСЗУ, оптимізації витрат та підвищення фінансової стійкості. Соціально-психологічні методи зосереджені на формуванні мотиваційного клімату в колективі, розвитку корпоративної культури, профілактиці вигорання та підтримці морального стану персоналу.</w:t>
      </w:r>
    </w:p>
    <w:p>
      <w:pPr>
        <w:pStyle w:val="Normal"/>
        <w:rPr>
          <w:lang w:val="uk-UA"/>
        </w:rPr>
      </w:pPr>
      <w:r>
        <w:rPr>
          <w:lang w:val="uk-UA"/>
        </w:rPr>
        <w:t>Важливою особливістю управління в лікарні є наявність стратегічного бачення розвитку закладу. Зокрема, в 2025 році в пріоритеті стоїть відкриття паліативного відділення та формування мобільної мультидисциплінарної бригади для обслуговування пацієнтів удома, що дозволяє не лише розширити спектр послуг, а й підвищити ефективність витрат на госпіталізацію. Також заплановане впровадження нових пакетів медичних послуг у співпраці з НСЗУ, модернізація обладнання, цифровізація управлінських процесів (електронні записи, телемедицина), що потребує ретельного планування і контролю з боку керівництва.</w:t>
      </w:r>
    </w:p>
    <w:p>
      <w:pPr>
        <w:pStyle w:val="Normal"/>
        <w:rPr>
          <w:lang w:val="uk-UA"/>
        </w:rPr>
      </w:pPr>
      <w:r>
        <w:rPr>
          <w:lang w:val="uk-UA"/>
        </w:rPr>
        <w:t>У сфері кадрового управління заклад стикається з низкою викликів – дефіцит молодих кадрів, трудова міграція, моральне виснаження персоналу. З метою їх подолання впроваджуються програми підвищення кваліфікації, внутрішнє наставництво, преміювання, співпраця з інтернатурою. Залучення молодих лікарів підтримується за рахунок участі у державних програмах підтримки кадрів у громадах</w:t>
      </w:r>
      <w:r>
        <w:rPr/>
        <w:t xml:space="preserve"> [</w:t>
      </w:r>
      <w:r>
        <w:rPr>
          <w:lang w:val="en-GB"/>
        </w:rPr>
        <w:t>49</w:t>
      </w:r>
      <w:r>
        <w:rPr/>
        <w:t>]</w:t>
      </w:r>
      <w:r>
        <w:rPr>
          <w:lang w:val="uk-UA"/>
        </w:rPr>
        <w:t>.</w:t>
      </w:r>
    </w:p>
    <w:p>
      <w:pPr>
        <w:pStyle w:val="Normal"/>
        <w:rPr>
          <w:lang w:val="uk-UA"/>
        </w:rPr>
      </w:pPr>
      <w:r>
        <w:rPr>
          <w:lang w:val="uk-UA"/>
        </w:rPr>
        <w:t>Крім того, лікарня активно співпрацює з місцевою владою, яка є засновником закладу, а також з міжнародними донорами (USAID, EU грантові програми) для модернізації матеріально-технічної бази. Така взаємодія дозволяє частково компенсувати дефіцит державного фінансування.</w:t>
      </w:r>
    </w:p>
    <w:p>
      <w:pPr>
        <w:pStyle w:val="Normal"/>
        <w:rPr>
          <w:lang w:val="uk-UA"/>
        </w:rPr>
      </w:pPr>
      <w:r>
        <w:rPr>
          <w:lang w:val="uk-UA"/>
        </w:rPr>
        <w:t>Організаційна культура в КНП базується на принципах пацієнтоорієнтованості, прозорості, етичності та професійного розвитку. У практиці управління застосовується демократичний стиль – обговорення рішень з колективом, заохочення ініціатив, врахування зворотного зв’язку. У критичних ситуаціях – впроваджується ситуативне управління для забезпечення оперативного реагування на зовнішні виклики (наприклад, енергетичні кризи, воєнний стан).</w:t>
      </w:r>
    </w:p>
    <w:p>
      <w:pPr>
        <w:pStyle w:val="Normal"/>
        <w:rPr>
          <w:lang w:val="uk-UA"/>
        </w:rPr>
      </w:pPr>
      <w:r>
        <w:rPr>
          <w:lang w:val="uk-UA"/>
        </w:rPr>
        <w:t>Управлінська діяльність КНП «Південнівська міська лікарня» є системно організованою, багаторівневою та стратегічно орієнтованою. Вона забезпечує не лише повсякденне функціонування закладу, а й створює умови для його довгострокового розвитку. Результативність управління підтверджується високим рівнем довіри пацієнтів, стабільністю колективу та готовністю закладу до впровадження змін у сфері охорони здоров’я. Роль керівництва полягає у забезпеченні балансу між якістю медичних послуг, ефективністю використання ресурсів та підтриманням мотивації персоналу в умовах постійних викликів і трансформацій.</w:t>
      </w:r>
    </w:p>
    <w:p>
      <w:pPr>
        <w:pStyle w:val="Normal"/>
        <w:rPr>
          <w:lang w:val="uk-UA"/>
        </w:rPr>
      </w:pPr>
      <w:r>
        <w:rPr>
          <w:lang w:val="uk-UA"/>
        </w:rPr>
      </w:r>
    </w:p>
    <w:p>
      <w:pPr>
        <w:pStyle w:val="Heading1"/>
        <w:rPr>
          <w:lang w:val="uk-UA"/>
        </w:rPr>
      </w:pPr>
      <w:bookmarkStart w:id="10" w:name="_Toc200703986"/>
      <w:r>
        <w:rPr>
          <w:lang w:val="uk-UA"/>
        </w:rPr>
        <w:t>2.2. Аналіз системи управління персоналом у КНП «Південнівська міська лікарня»</w:t>
      </w:r>
      <w:bookmarkEnd w:id="10"/>
      <w:r>
        <w:rPr>
          <w:lang w:val="uk-UA"/>
        </w:rPr>
        <w:t xml:space="preserve"> ПМР</w:t>
      </w:r>
    </w:p>
    <w:p>
      <w:pPr>
        <w:pStyle w:val="Normal"/>
        <w:rPr>
          <w:lang w:val="uk-UA"/>
        </w:rPr>
      </w:pPr>
      <w:r>
        <w:rPr>
          <w:lang w:val="uk-UA"/>
        </w:rPr>
      </w:r>
    </w:p>
    <w:p>
      <w:pPr>
        <w:pStyle w:val="Normal"/>
        <w:rPr>
          <w:lang w:val="uk-UA"/>
        </w:rPr>
      </w:pPr>
      <w:r>
        <w:rPr>
          <w:lang w:val="uk-UA"/>
        </w:rPr>
        <w:t>У період 2020–2025 років система управління персоналом у КНП «Південнівська міська лікарня» зазнала суттєвих трансформацій, зумовлених як внутрішніми змінами організаційної структури, так і зовнішніми викликами в медичній сфері, зокрема реформою фінансування системи охорони здоров’я, пандемією COVID-19 та збройною агресією проти України. Ці фактори значно вплинули на кадрову політику, систему мотивації, розподіл ресурсів, а також на загальний підхід до управління людським капіталом.</w:t>
      </w:r>
    </w:p>
    <w:p>
      <w:pPr>
        <w:pStyle w:val="Normal"/>
        <w:rPr>
          <w:lang w:val="uk-UA"/>
        </w:rPr>
      </w:pPr>
      <w:r>
        <w:rPr>
          <w:lang w:val="uk-UA"/>
        </w:rPr>
        <w:t>2020–2021 роки стали періодом стрес-тестування кадрового потенціалу у зв’язку з пандемією COVID-19. Заклад був змушений переглянути структуру робочого часу, забезпечити гнучкість у розстановці кадрів, запровадити тимчасові протоколи захисту персоналу та розробити заходи з підвищення безпеки медичного обслуговування. У цей період спостерігалася висока плинність кадрів серед молодшого медперсоналу, зумовлена перевантаженням, недостатнім забезпеченням засобами індивідуального захисту на початковому етапі епідемії та високим рівнем стресу. Водночас була посилена співпраця з місцевою владою, що дозволило отримати додаткове фінансування на доплати медичним працівникам, які працювали з пацієнтами з підозрою на COVID-19 [</w:t>
      </w:r>
      <w:r>
        <w:rPr>
          <w:lang w:val="en-GB"/>
        </w:rPr>
        <w:t>23</w:t>
      </w:r>
      <w:r>
        <w:rPr>
          <w:lang w:val="uk-UA"/>
        </w:rPr>
        <w:t>].</w:t>
      </w:r>
    </w:p>
    <w:p>
      <w:pPr>
        <w:pStyle w:val="Normal"/>
        <w:rPr>
          <w:lang w:val="uk-UA"/>
        </w:rPr>
      </w:pPr>
      <w:r>
        <w:rPr>
          <w:lang w:val="uk-UA"/>
        </w:rPr>
        <w:t>У 2022–2023 роках на перший план вийшла адаптація системи управління персоналом до змін, викликаних воєнним станом. Підприємство стикалося з новими кадровими ризиками – евакуацією окремих працівників, мобілізацією чоловіків призовного віку, психологічним вигоранням. У зв’язку з цим керівництво лікарні змістило акценти в управлінні персоналом у бік збереження ключових спеціалістів та посилення функцій кадрового резерву. Було активізовано внутрішнє навчання та перепрофілювання працівників, впроваджено елементи наставництва в молодшому персоналі, що дозволило компенсувати кадровий дефіцит без втрати якості надання послуг.</w:t>
      </w:r>
    </w:p>
    <w:p>
      <w:pPr>
        <w:pStyle w:val="Normal"/>
        <w:rPr>
          <w:lang w:val="uk-UA"/>
        </w:rPr>
      </w:pPr>
      <w:r>
        <w:rPr>
          <w:lang w:val="uk-UA"/>
        </w:rPr>
        <w:t>У структурі управління персоналом також було запроваджено цифрові елементи: електронний облік робочого часу, використання системи медичної інформації для формування графіків чергувань, а також оновлено посадові інструкції відповідно до змінених функціональних обов’язків. Слід також зазначити, що у 2023 році було запроваджено програми психоемоційної підтримки персоналу, що охоплювали індивідуальні консультації з психологом, групи підтримки та тренінги зі стрес-менеджменту.</w:t>
      </w:r>
    </w:p>
    <w:p>
      <w:pPr>
        <w:pStyle w:val="Normal"/>
        <w:rPr>
          <w:lang w:val="uk-UA"/>
        </w:rPr>
      </w:pPr>
      <w:r>
        <w:rPr>
          <w:lang w:val="uk-UA"/>
        </w:rPr>
        <w:t>Починаючи з 2024 року, в управлінні персоналом спостерігається тенденція до стратегічного планування людських ресурсів. На рівні закладу було впроваджено систему оцінювання персоналу на основі ключових показників ефективності (KPI), зокрема кількість прийнятих пацієнтів, рівень задоволеності пацієнтів, дотримання стандартів НСЗУ. Також відзначається поступове оновлення кадрового складу за рахунок участі у програмі інтернатури та співпраці з медичними вишами. У 2024 році до штату було прийнято 4 лікарів-інтернів, з яких 3 залишилися в установі після проходження стажування.</w:t>
      </w:r>
    </w:p>
    <w:p>
      <w:pPr>
        <w:pStyle w:val="Normal"/>
        <w:jc w:val="end"/>
        <w:rPr>
          <w:lang w:val="uk-UA"/>
        </w:rPr>
      </w:pPr>
      <w:r>
        <w:rPr>
          <w:lang w:val="uk-UA"/>
        </w:rPr>
        <w:t>Таблиця 2.3</w:t>
      </w:r>
    </w:p>
    <w:p>
      <w:pPr>
        <w:pStyle w:val="Normal"/>
        <w:jc w:val="center"/>
        <w:rPr>
          <w:lang w:val="uk-UA"/>
        </w:rPr>
      </w:pPr>
      <w:r>
        <w:rPr>
          <w:lang w:val="uk-UA"/>
        </w:rPr>
        <w:t>Динаміка чисельності персоналу за категоріями, 2020–2025 роки</w:t>
      </w:r>
    </w:p>
    <w:tbl>
      <w:tblPr>
        <w:tblW w:w="9345" w:type="dxa"/>
        <w:jc w:val="start"/>
        <w:tblInd w:w="0" w:type="dxa"/>
        <w:tblLayout w:type="fixed"/>
        <w:tblCellMar>
          <w:top w:w="0" w:type="dxa"/>
          <w:start w:w="108" w:type="dxa"/>
          <w:bottom w:w="0" w:type="dxa"/>
          <w:end w:w="108" w:type="dxa"/>
        </w:tblCellMar>
      </w:tblPr>
      <w:tblGrid>
        <w:gridCol w:w="1220"/>
        <w:gridCol w:w="1390"/>
        <w:gridCol w:w="1267"/>
        <w:gridCol w:w="1531"/>
        <w:gridCol w:w="2093"/>
        <w:gridCol w:w="1844"/>
      </w:tblGrid>
      <w:tr>
        <w:trPr/>
        <w:tc>
          <w:tcPr>
            <w:tcW w:w="122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Рік</w:t>
            </w:r>
          </w:p>
        </w:tc>
        <w:tc>
          <w:tcPr>
            <w:tcW w:w="139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Усього персоналу</w:t>
            </w:r>
          </w:p>
        </w:tc>
        <w:tc>
          <w:tcPr>
            <w:tcW w:w="1267"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Лікарі</w:t>
            </w:r>
          </w:p>
        </w:tc>
        <w:tc>
          <w:tcPr>
            <w:tcW w:w="153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Середній медперсонал</w:t>
            </w:r>
          </w:p>
        </w:tc>
        <w:tc>
          <w:tcPr>
            <w:tcW w:w="209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Адміністративний персонал</w:t>
            </w:r>
          </w:p>
        </w:tc>
        <w:tc>
          <w:tcPr>
            <w:tcW w:w="184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Обслуговуючий персонал</w:t>
            </w:r>
          </w:p>
        </w:tc>
      </w:tr>
      <w:tr>
        <w:trPr/>
        <w:tc>
          <w:tcPr>
            <w:tcW w:w="122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2020</w:t>
            </w:r>
          </w:p>
        </w:tc>
        <w:tc>
          <w:tcPr>
            <w:tcW w:w="139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228</w:t>
            </w:r>
          </w:p>
        </w:tc>
        <w:tc>
          <w:tcPr>
            <w:tcW w:w="1267"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52</w:t>
            </w:r>
          </w:p>
        </w:tc>
        <w:tc>
          <w:tcPr>
            <w:tcW w:w="153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100</w:t>
            </w:r>
          </w:p>
        </w:tc>
        <w:tc>
          <w:tcPr>
            <w:tcW w:w="209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18</w:t>
            </w:r>
          </w:p>
        </w:tc>
        <w:tc>
          <w:tcPr>
            <w:tcW w:w="184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58</w:t>
            </w:r>
          </w:p>
        </w:tc>
      </w:tr>
      <w:tr>
        <w:trPr/>
        <w:tc>
          <w:tcPr>
            <w:tcW w:w="122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2021</w:t>
            </w:r>
          </w:p>
        </w:tc>
        <w:tc>
          <w:tcPr>
            <w:tcW w:w="139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232</w:t>
            </w:r>
          </w:p>
        </w:tc>
        <w:tc>
          <w:tcPr>
            <w:tcW w:w="1267"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54</w:t>
            </w:r>
          </w:p>
        </w:tc>
        <w:tc>
          <w:tcPr>
            <w:tcW w:w="153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105</w:t>
            </w:r>
          </w:p>
        </w:tc>
        <w:tc>
          <w:tcPr>
            <w:tcW w:w="209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18</w:t>
            </w:r>
          </w:p>
        </w:tc>
        <w:tc>
          <w:tcPr>
            <w:tcW w:w="184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55</w:t>
            </w:r>
          </w:p>
        </w:tc>
      </w:tr>
      <w:tr>
        <w:trPr/>
        <w:tc>
          <w:tcPr>
            <w:tcW w:w="122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2022</w:t>
            </w:r>
          </w:p>
        </w:tc>
        <w:tc>
          <w:tcPr>
            <w:tcW w:w="139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236</w:t>
            </w:r>
          </w:p>
        </w:tc>
        <w:tc>
          <w:tcPr>
            <w:tcW w:w="1267"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55</w:t>
            </w:r>
          </w:p>
        </w:tc>
        <w:tc>
          <w:tcPr>
            <w:tcW w:w="153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110</w:t>
            </w:r>
          </w:p>
        </w:tc>
        <w:tc>
          <w:tcPr>
            <w:tcW w:w="209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19</w:t>
            </w:r>
          </w:p>
        </w:tc>
        <w:tc>
          <w:tcPr>
            <w:tcW w:w="184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52</w:t>
            </w:r>
          </w:p>
        </w:tc>
      </w:tr>
      <w:tr>
        <w:trPr/>
        <w:tc>
          <w:tcPr>
            <w:tcW w:w="122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2023</w:t>
            </w:r>
          </w:p>
        </w:tc>
        <w:tc>
          <w:tcPr>
            <w:tcW w:w="139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240</w:t>
            </w:r>
          </w:p>
        </w:tc>
        <w:tc>
          <w:tcPr>
            <w:tcW w:w="1267"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56</w:t>
            </w:r>
          </w:p>
        </w:tc>
        <w:tc>
          <w:tcPr>
            <w:tcW w:w="153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112</w:t>
            </w:r>
          </w:p>
        </w:tc>
        <w:tc>
          <w:tcPr>
            <w:tcW w:w="209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20</w:t>
            </w:r>
          </w:p>
        </w:tc>
        <w:tc>
          <w:tcPr>
            <w:tcW w:w="184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52</w:t>
            </w:r>
          </w:p>
        </w:tc>
      </w:tr>
      <w:tr>
        <w:trPr/>
        <w:tc>
          <w:tcPr>
            <w:tcW w:w="122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2024</w:t>
            </w:r>
          </w:p>
        </w:tc>
        <w:tc>
          <w:tcPr>
            <w:tcW w:w="139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245</w:t>
            </w:r>
          </w:p>
        </w:tc>
        <w:tc>
          <w:tcPr>
            <w:tcW w:w="1267"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58</w:t>
            </w:r>
          </w:p>
        </w:tc>
        <w:tc>
          <w:tcPr>
            <w:tcW w:w="153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115</w:t>
            </w:r>
          </w:p>
        </w:tc>
        <w:tc>
          <w:tcPr>
            <w:tcW w:w="209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20</w:t>
            </w:r>
          </w:p>
        </w:tc>
        <w:tc>
          <w:tcPr>
            <w:tcW w:w="184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52</w:t>
            </w:r>
          </w:p>
        </w:tc>
      </w:tr>
      <w:tr>
        <w:trPr/>
        <w:tc>
          <w:tcPr>
            <w:tcW w:w="122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2025</w:t>
            </w:r>
          </w:p>
        </w:tc>
        <w:tc>
          <w:tcPr>
            <w:tcW w:w="1390"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250</w:t>
            </w:r>
          </w:p>
        </w:tc>
        <w:tc>
          <w:tcPr>
            <w:tcW w:w="1267"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60</w:t>
            </w:r>
          </w:p>
        </w:tc>
        <w:tc>
          <w:tcPr>
            <w:tcW w:w="1531"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120</w:t>
            </w:r>
          </w:p>
        </w:tc>
        <w:tc>
          <w:tcPr>
            <w:tcW w:w="2093"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20</w:t>
            </w:r>
          </w:p>
        </w:tc>
        <w:tc>
          <w:tcPr>
            <w:tcW w:w="184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50</w:t>
            </w:r>
          </w:p>
        </w:tc>
      </w:tr>
    </w:tbl>
    <w:p>
      <w:pPr>
        <w:pStyle w:val="Normal"/>
        <w:ind w:firstLine="720"/>
        <w:rPr>
          <w:rFonts w:eastAsia="Calibri"/>
          <w:i/>
          <w:i/>
          <w:iCs/>
          <w:sz w:val="24"/>
          <w:szCs w:val="24"/>
          <w:lang w:val="uk-UA"/>
        </w:rPr>
      </w:pPr>
      <w:r>
        <w:rPr>
          <w:rFonts w:eastAsia="Calibri"/>
          <w:i/>
          <w:iCs/>
          <w:sz w:val="24"/>
          <w:szCs w:val="24"/>
          <w:lang w:val="uk-UA"/>
        </w:rPr>
        <w:t>Створено автором на основі джерела [</w:t>
      </w:r>
      <w:r>
        <w:rPr>
          <w:rFonts w:eastAsia="Calibri"/>
          <w:i/>
          <w:iCs/>
          <w:sz w:val="24"/>
          <w:szCs w:val="24"/>
          <w:lang w:val="en-GB"/>
        </w:rPr>
        <w:t>23</w:t>
      </w:r>
      <w:r>
        <w:rPr>
          <w:rFonts w:eastAsia="Calibri"/>
          <w:i/>
          <w:iCs/>
          <w:sz w:val="24"/>
          <w:szCs w:val="24"/>
          <w:lang w:val="uk-UA"/>
        </w:rPr>
        <w:t>]</w:t>
      </w:r>
    </w:p>
    <w:p>
      <w:pPr>
        <w:pStyle w:val="Normal"/>
        <w:rPr>
          <w:lang w:val="uk-UA"/>
        </w:rPr>
      </w:pPr>
      <w:r>
        <w:rPr>
          <w:lang w:val="uk-UA"/>
        </w:rPr>
      </w:r>
    </w:p>
    <w:p>
      <w:pPr>
        <w:pStyle w:val="Normal"/>
        <w:rPr>
          <w:lang w:val="uk-UA"/>
        </w:rPr>
      </w:pPr>
      <w:r>
        <w:rPr>
          <w:lang w:val="uk-UA"/>
        </w:rPr>
        <w:t>Таблиця 2.3 відображає поступову позитивну динаміку чисельності персоналу медичної установи у 2020–2025 роках, демонструючи не лише загальне зростання кількості працівників, а й зміни у структурі кадрового складу за професійними групами. Упродовж шести років загальна чисельність персоналу збільшилася з 228 осіб у 2020 році до 250 осіб у 2025 році. Це свідчить про стабільну тенденцію нарощування кадрового потенціалу, що може бути результатом розширення діяльності закладу, покращення кадрової політики або підвищення привабливості умов праці.</w:t>
      </w:r>
    </w:p>
    <w:p>
      <w:pPr>
        <w:pStyle w:val="Normal"/>
        <w:rPr>
          <w:lang w:val="uk-UA"/>
        </w:rPr>
      </w:pPr>
      <w:r>
        <w:rPr>
          <w:lang w:val="uk-UA"/>
        </w:rPr>
        <w:t>Найбільш помітне зростання спостерігається серед лікарів та середнього медичного персоналу, які безпосередньо забезпечують ключові медичні послуги. Кількість лікарів зросла з 52 до 60 осіб (+8 одиниць або +15,4%), а чисельність середнього медичного персоналу – зі 100 до 120 осіб (+20 одиниць або +20%). Така динаміка вказує на посилення професійного ядра медичного закладу. Зростання саме цих категорій є найбільш стратегічно значущим, адже вони забезпечують доступність медичної допомоги, її якість та безперервність надання послуг.</w:t>
      </w:r>
    </w:p>
    <w:p>
      <w:pPr>
        <w:pStyle w:val="Normal"/>
        <w:rPr>
          <w:lang w:val="uk-UA"/>
        </w:rPr>
      </w:pPr>
      <w:r>
        <w:rPr>
          <w:lang w:val="uk-UA"/>
        </w:rPr>
        <w:t>У той же час чисельність адміністративного персоналу підвищилася нерівномірно: 18 працівників у 2020 році та 20 – у 2025 році. Це помірне зростання (+2 особи) може вказувати на оптимізацію управлінських функцій або адаптацію до процесів автономізації закладу. Порівняно із медичним персоналом, управлінський сегмент не демонструє значного приросту, що свідчить про збереження або навіть стримування бюрократичної складової.</w:t>
      </w:r>
    </w:p>
    <w:p>
      <w:pPr>
        <w:pStyle w:val="Normal"/>
        <w:rPr>
          <w:lang w:val="uk-UA"/>
        </w:rPr>
      </w:pPr>
      <w:r>
        <w:rPr>
          <w:lang w:val="uk-UA"/>
        </w:rPr>
        <w:t>Натомість чисельність обслуговуючого персоналу демонструє протилежний тренд. У 2020 році ця категорія налічувала 58 осіб, але до 2025 року скоротилася до 50 осіб. Така тенденція може бути пов’язана з автоматизацією окремих процесів, переходом частини функцій на аутсорсинг або підвищенням продуктивності праці. Водночас скорочення допоміжного персоналу потенційно створює ризики додаткового навантаження на медичні кадри та може впливати на якість сервісної підтримки пацієнтів.</w:t>
      </w:r>
    </w:p>
    <w:p>
      <w:pPr>
        <w:pStyle w:val="Normal"/>
        <w:rPr>
          <w:lang w:val="uk-UA"/>
        </w:rPr>
      </w:pPr>
      <w:r>
        <w:rPr>
          <w:lang w:val="uk-UA"/>
        </w:rPr>
        <w:t>Узагальнюючи, представлена динаміка вказує на цілеспрямоване укріплення клінічного сегмента персоналу, що позитивно корелює з потребами медичної системи. Проте нерівномірний характер змін між категоріями кадрів підкреслює необхідність комплексного управління людськими ресурсами – з урахуванням не лише професійних груп, а й функцій підтримки, які забезпечують комфортні умови праці та ефективність внутрішніх процесів медичного закладу.</w:t>
      </w:r>
    </w:p>
    <w:p>
      <w:pPr>
        <w:pStyle w:val="Normal"/>
        <w:rPr>
          <w:lang w:val="uk-UA"/>
        </w:rPr>
      </w:pPr>
      <w:r>
        <w:rPr>
          <w:lang w:val="uk-UA"/>
        </w:rPr>
        <w:t>Окремої уваги заслуговує аналіз динаміки змін у чисельності та структурі персоналу за останні п’ять років. Якщо у 2020 році загальна чисельність працівників становила 228 осіб, то станом на початок 2025 року – вже 250. При цьому питома вага молодших спеціалістів із медичною освітою зросла з 44 % до 48 %, що свідчить про тенденцію до підсилення середньої медичної ланки. Також було помічено незначне омолодження колективу – частка працівників зі стажем до 5 років зросла з 12 % до 20 %, що вказує на позитивний вплив кадрової політики закладу на залучення нових спеціалістів.</w:t>
      </w:r>
    </w:p>
    <w:p>
      <w:pPr>
        <w:pStyle w:val="Normal"/>
        <w:ind w:firstLine="142"/>
        <w:rPr>
          <w:lang w:val="uk-UA"/>
        </w:rPr>
      </w:pPr>
      <w:r>
        <w:rPr/>
        <w:drawing>
          <wp:inline distT="0" distB="0" distL="0" distR="0">
            <wp:extent cx="5486400" cy="3017520"/>
            <wp:effectExtent l="0" t="0" r="0" b="0"/>
            <wp:docPr id="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1"/>
                    <pic:cNvPicPr>
                      <a:picLocks noChangeAspect="1" noChangeArrowheads="1"/>
                    </pic:cNvPicPr>
                  </pic:nvPicPr>
                  <pic:blipFill>
                    <a:blip r:embed="rId7"/>
                    <a:stretch>
                      <a:fillRect/>
                    </a:stretch>
                  </pic:blipFill>
                  <pic:spPr bwMode="auto">
                    <a:xfrm>
                      <a:off x="0" y="0"/>
                      <a:ext cx="5486400" cy="3017520"/>
                    </a:xfrm>
                    <a:prstGeom prst="rect">
                      <a:avLst/>
                    </a:prstGeom>
                    <a:noFill/>
                  </pic:spPr>
                </pic:pic>
              </a:graphicData>
            </a:graphic>
          </wp:inline>
        </w:drawing>
      </w:r>
    </w:p>
    <w:p>
      <w:pPr>
        <w:pStyle w:val="Normal"/>
        <w:jc w:val="center"/>
        <w:rPr>
          <w:lang w:val="uk-UA"/>
        </w:rPr>
      </w:pPr>
      <w:r>
        <w:rPr>
          <w:lang w:val="uk-UA"/>
        </w:rPr>
        <w:t>Рис.2.2 – Динаміка структури персоналу, 2020–2025 роки</w:t>
      </w:r>
    </w:p>
    <w:p>
      <w:pPr>
        <w:pStyle w:val="Normal"/>
        <w:rPr>
          <w:lang w:val="uk-UA"/>
        </w:rPr>
      </w:pPr>
      <w:r>
        <w:rPr>
          <w:lang w:val="uk-UA"/>
        </w:rPr>
        <w:t>У 2021–2022 роках домінували матеріальні стимули (надбавки за складність і напруженість, доплати за роботу в умовах епідемії), однак з 2023 року акцент поступово зміщується на нематеріальні форми стимулювання – участь у тренінгах, наставництво, підтримка професійних ініціатив, впровадження гнучкого графіку для співробітників із дітьми.</w:t>
      </w:r>
    </w:p>
    <w:p>
      <w:pPr>
        <w:pStyle w:val="Normal"/>
        <w:rPr>
          <w:lang w:val="uk-UA"/>
        </w:rPr>
      </w:pPr>
      <w:r>
        <w:rPr>
          <w:lang w:val="uk-UA"/>
        </w:rPr>
        <w:t>У 2024 році лікарня розпочала перехід до концепції стратегічного HR-менеджменту, що передбачає не лише поточне кадрове адміністрування, а й довгострокове планування потреб у персоналі відповідно до розширення спектру медичних послуг. У цьому контексті передбачено відкриття паліативного відділення, що потребує формування мультидисциплінарної команди (лікар, медсестра, психолог, соціальний працівник). З метою забезпечення кадрового потенціалу керівництво вже веде перемовини з навчальними закладами та організаціями, які готують фахівців відповідного профілю.</w:t>
      </w:r>
    </w:p>
    <w:p>
      <w:pPr>
        <w:pStyle w:val="Normal"/>
        <w:rPr>
          <w:lang w:val="uk-UA"/>
        </w:rPr>
      </w:pPr>
      <w:r>
        <w:rPr>
          <w:lang w:val="uk-UA"/>
        </w:rPr>
        <w:t>Таким чином, аналіз системи управління персоналом у ретроспективі демонструє перехід від реактивного кадрового адміністрування до проактивного, стратегічного управління людськими ресурсами. Заклад поступово переходить до моделі, де персонал розглядається як ключовий стратегічний ресурс, а не лише як виконавець медичних функцій. Це відповідає сучасним тенденціям трансформації системи охорони здоров’я України і закладає основу для підвищення ефективності медичного обслуговування в довгостроковій перспективі.</w:t>
      </w:r>
    </w:p>
    <w:p>
      <w:pPr>
        <w:pStyle w:val="Normal"/>
        <w:rPr>
          <w:lang w:val="uk-UA"/>
        </w:rPr>
      </w:pPr>
      <w:r>
        <w:rPr>
          <w:lang w:val="uk-UA"/>
        </w:rPr>
        <w:t>На сьогодні система управління персоналом у КНП «Південнівська міська лікарня» перебуває на етапі переходу від традиційної кадрової функції до комплексного стратегічного HR-менеджменту, орієнтованого на підвищення ефективності медичних послуг, розвиток людського капіталу та забезпечення стійкості організації в умовах динамічного зовнішнього середовища.</w:t>
      </w:r>
    </w:p>
    <w:p>
      <w:pPr>
        <w:pStyle w:val="Normal"/>
        <w:rPr>
          <w:lang w:val="uk-UA"/>
        </w:rPr>
      </w:pPr>
      <w:r>
        <w:rPr>
          <w:lang w:val="uk-UA"/>
        </w:rPr>
        <w:t>Сучасна кадрова політика закладу формується на основі чітко структурованої управлінської вертикалі, у межах якої відділ кадрів, підпорядкований безпосередньо керівництву лікарні, виконує функції планування, комплектування, обліку та розвитку персоналу. Начальник відділу кадрів координує діяльність з підбору, прийому, переведення, атестації та звільнення працівників. У структурі закладу передбачено також функції інспектора з кадрів, що забезпечує документальне супроводження кадрових процесів</w:t>
      </w:r>
      <w:r>
        <w:rPr/>
        <w:t xml:space="preserve"> [</w:t>
      </w:r>
      <w:r>
        <w:rPr>
          <w:lang w:val="en-GB"/>
        </w:rPr>
        <w:t>44</w:t>
      </w:r>
      <w:r>
        <w:rPr/>
        <w:t>]</w:t>
      </w:r>
      <w:r>
        <w:rPr>
          <w:lang w:val="uk-UA"/>
        </w:rPr>
        <w:t>.</w:t>
      </w:r>
    </w:p>
    <w:p>
      <w:pPr>
        <w:pStyle w:val="Normal"/>
        <w:rPr>
          <w:lang w:val="uk-UA"/>
        </w:rPr>
      </w:pPr>
      <w:r>
        <w:rPr>
          <w:lang w:val="uk-UA"/>
        </w:rPr>
        <w:t>Одним із головних викликів сучасного етапу є збереження кадрового потенціалу в умовах обмеженого фінансування, демографічного старіння трудових ресурсів і конкуренції з боку приватного сектору. За даними на 2025 рік, у структурі персоналу лікарні 48 % становлять молодші спеціалісти з медичною освітою, 24 % – лікарі, 8 % – адміністративний персонал, а 20 % – господарсько-обслуговуючий персонал. Значна частина працівників (56 %) має стаж понад 10 років, що свідчить про професійну сталість, але також вказує на ризики кадрового старіння.</w:t>
      </w:r>
    </w:p>
    <w:p>
      <w:pPr>
        <w:pStyle w:val="Normal"/>
        <w:rPr>
          <w:lang w:val="uk-UA"/>
        </w:rPr>
      </w:pPr>
      <w:r>
        <w:rPr>
          <w:lang w:val="uk-UA"/>
        </w:rPr>
        <w:t>З метою забезпечення оновлення кадрового складу заклад активно співпрацює з медичними навчальними закладами регіону, організовує бази практики, сприяє проходженню інтернатури. У 2024–2025 роках запроваджено внутрішню програму менторства, в межах якої досвідчені фахівці супроводжують новоприйнятих працівників, забезпечуючи їхню професійну адаптацію та залучення до корпоративної культури.</w:t>
      </w:r>
    </w:p>
    <w:p>
      <w:pPr>
        <w:pStyle w:val="Normal"/>
        <w:rPr>
          <w:lang w:val="uk-UA"/>
        </w:rPr>
      </w:pPr>
      <w:r>
        <w:rPr>
          <w:lang w:val="uk-UA"/>
        </w:rPr>
        <w:t>Управління персоналом в лікарні включає такі ключові напрями</w:t>
      </w:r>
      <w:r>
        <w:rPr/>
        <w:t xml:space="preserve"> [</w:t>
      </w:r>
      <w:r>
        <w:rPr>
          <w:lang w:val="en-GB"/>
        </w:rPr>
        <w:t>42</w:t>
      </w:r>
      <w:r>
        <w:rPr/>
        <w:t>]</w:t>
      </w:r>
      <w:r>
        <w:rPr>
          <w:lang w:val="uk-UA"/>
        </w:rPr>
        <w:t>:</w:t>
      </w:r>
    </w:p>
    <w:p>
      <w:pPr>
        <w:pStyle w:val="Normal"/>
        <w:rPr>
          <w:lang w:val="uk-UA"/>
        </w:rPr>
      </w:pPr>
      <w:r>
        <w:rPr>
          <w:lang w:val="uk-UA"/>
        </w:rPr>
        <w:t>1.Кадрове планування: розрахунок потреби у фахівцях відповідно до затверджених пакетів послуг за Програмою медичних гарантій (ПМГ) та нормативного навантаження.</w:t>
      </w:r>
    </w:p>
    <w:p>
      <w:pPr>
        <w:pStyle w:val="Normal"/>
        <w:rPr>
          <w:lang w:val="uk-UA"/>
        </w:rPr>
      </w:pPr>
      <w:r>
        <w:rPr>
          <w:lang w:val="uk-UA"/>
        </w:rPr>
        <w:t>2.Рекрутинг: конкурсне заміщення вакантних посад; з 2023 року застосовується співбесіда з оцінкою компетенцій.</w:t>
      </w:r>
    </w:p>
    <w:p>
      <w:pPr>
        <w:pStyle w:val="Normal"/>
        <w:rPr>
          <w:lang w:val="uk-UA"/>
        </w:rPr>
      </w:pPr>
      <w:r>
        <w:rPr>
          <w:lang w:val="uk-UA"/>
        </w:rPr>
        <w:t>3.Оцінювання персоналу: проводиться щорічна атестація лікарів та середнього медперсоналу, а також внутрішній аудит із дотриманням клінічних протоколів.</w:t>
      </w:r>
    </w:p>
    <w:p>
      <w:pPr>
        <w:pStyle w:val="Normal"/>
        <w:rPr>
          <w:lang w:val="uk-UA"/>
        </w:rPr>
      </w:pPr>
      <w:r>
        <w:rPr>
          <w:lang w:val="uk-UA"/>
        </w:rPr>
        <w:t>4.Професійний розвиток: участь у сертифікаційних тренінгах, онлайн-курсах, семінарах; стимулювання до підвищення кваліфікації.</w:t>
      </w:r>
    </w:p>
    <w:p>
      <w:pPr>
        <w:pStyle w:val="Normal"/>
        <w:rPr>
          <w:lang w:val="uk-UA"/>
        </w:rPr>
      </w:pPr>
      <w:r>
        <w:rPr>
          <w:lang w:val="uk-UA"/>
        </w:rPr>
        <w:t>5.Мотивація: поєднання матеріальних (премії, доплати, соціальні гарантії) та нематеріальних (визнання, гнучкий графік, комфортні умови праці) інструментів.</w:t>
      </w:r>
    </w:p>
    <w:p>
      <w:pPr>
        <w:pStyle w:val="Normal"/>
        <w:rPr>
          <w:lang w:val="uk-UA"/>
        </w:rPr>
      </w:pPr>
      <w:r>
        <w:rPr>
          <w:lang w:val="uk-UA"/>
        </w:rPr>
        <w:t>6.Управління конфліктами та адаптацією: психологічна підтримка, розвиток корпоративної етики, прозора система комунікації.</w:t>
      </w:r>
    </w:p>
    <w:p>
      <w:pPr>
        <w:pStyle w:val="Normal"/>
        <w:rPr>
          <w:lang w:val="uk-UA"/>
        </w:rPr>
      </w:pPr>
      <w:r>
        <w:rPr>
          <w:lang w:val="uk-UA"/>
        </w:rPr>
        <w:t>На сучасному етапі значну увагу приділено цифровізації HR-процесів. У лікарні частково впроваджена електронна система обліку кадрів, ведення табелів обліку робочого часу, автоматизація складання графіків чергувань та взаємодія з Єдиним державним реєстром медичних працівників. Це дозволяє зменшити адміністративне навантаження на працівників кадрової служби та підвищити точність обліку.</w:t>
      </w:r>
    </w:p>
    <w:p>
      <w:pPr>
        <w:pStyle w:val="Normal"/>
        <w:rPr>
          <w:lang w:val="uk-UA"/>
        </w:rPr>
      </w:pPr>
      <w:r>
        <w:rPr>
          <w:lang w:val="uk-UA"/>
        </w:rPr>
        <w:t>Крім того, у лікарні функціонує система внутрішнього комунікаційного зворотного зв’язку, яка дозволяє працівникам подавати пропозиції та скарги анонімно. Це є важливою складовою корпоративної культури та одним із методів управління якістю кадрового середовища.</w:t>
      </w:r>
    </w:p>
    <w:p>
      <w:pPr>
        <w:pStyle w:val="Normal"/>
        <w:rPr>
          <w:lang w:val="uk-UA"/>
        </w:rPr>
      </w:pPr>
      <w:r>
        <w:rPr>
          <w:lang w:val="uk-UA"/>
        </w:rPr>
        <w:t>Одним із ключових напрямів подальшого розвитку системи управління персоналом є формування кадрового резерву. У 2024 році було складено перші внутрішні профілі компетентностей для окремих посад (наприклад, старша медична сестра, завідувач відділення), що стало основою для створення програми наступництва.</w:t>
      </w:r>
    </w:p>
    <w:p>
      <w:pPr>
        <w:pStyle w:val="Normal"/>
        <w:rPr>
          <w:lang w:val="uk-UA"/>
        </w:rPr>
      </w:pPr>
      <w:r>
        <w:rPr>
          <w:lang w:val="uk-UA"/>
        </w:rPr>
        <w:t>Таким чином, сучасна система управління персоналом у КНП «Південнівська міська лікарня» характеризується поступовим переходом від адміністративного до стратегічного підходу. Вона поєднує інструменти управління людськими ресурсами з вимогами до надання якісної медичної допомоги, забезпечуючи водночас стабільність кадрового складу та готовність до інновацій. Заклад демонструє здатність адаптувати кадрову політику до змін у медичній сфері, зберігаючи баланс між ефективністю, гуманністю та соціальною відповідальністю.</w:t>
      </w:r>
    </w:p>
    <w:p>
      <w:pPr>
        <w:pStyle w:val="Normal"/>
        <w:rPr>
          <w:lang w:val="uk-UA"/>
        </w:rPr>
      </w:pPr>
      <w:r>
        <w:rPr>
          <w:lang w:val="uk-UA"/>
        </w:rPr>
      </w:r>
    </w:p>
    <w:p>
      <w:pPr>
        <w:pStyle w:val="Heading1"/>
        <w:rPr>
          <w:lang w:val="uk-UA"/>
        </w:rPr>
      </w:pPr>
      <w:bookmarkStart w:id="11" w:name="_Toc200703989"/>
      <w:r>
        <w:rPr>
          <w:lang w:val="uk-UA"/>
        </w:rPr>
        <w:t>2.</w:t>
      </w:r>
      <w:bookmarkEnd w:id="11"/>
      <w:r>
        <w:rPr>
          <w:lang w:val="uk-UA"/>
        </w:rPr>
        <w:t>3 Управлінський аналіз та імплементація інноваційного досвіду зарубіжних країн у сфері управління медичним персоналом</w:t>
      </w:r>
    </w:p>
    <w:p>
      <w:pPr>
        <w:pStyle w:val="Normal"/>
        <w:rPr>
          <w:lang w:val="uk-UA"/>
        </w:rPr>
      </w:pPr>
      <w:r>
        <w:rPr>
          <w:lang w:val="uk-UA"/>
        </w:rPr>
      </w:r>
    </w:p>
    <w:p>
      <w:pPr>
        <w:pStyle w:val="Normal"/>
        <w:rPr>
          <w:lang w:val="uk-UA"/>
        </w:rPr>
      </w:pPr>
      <w:r>
        <w:rPr>
          <w:lang w:val="uk-UA"/>
        </w:rPr>
        <w:t>У рамках практичного етапу дослідження було проведено авторський аналіз сучасної системи управління персоналом КНП «Південнівська міська лікарня» з використанням методів анкетування, експертного інтерв’ю та внутрішньої аналітики кадрової звітності. Основною метою було виявлення сильних і слабких сторін у функціонуванні HR-процесів, а також окреслення напрямів їх покращення з урахуванням думки працівників [</w:t>
      </w:r>
      <w:r>
        <w:rPr>
          <w:lang w:val="en-GB"/>
        </w:rPr>
        <w:t>38</w:t>
      </w:r>
      <w:r>
        <w:rPr>
          <w:lang w:val="uk-UA"/>
        </w:rPr>
        <w:t>].</w:t>
      </w:r>
    </w:p>
    <w:p>
      <w:pPr>
        <w:pStyle w:val="Normal"/>
        <w:rPr>
          <w:lang w:val="uk-UA"/>
        </w:rPr>
      </w:pPr>
      <w:r>
        <w:rPr>
          <w:lang w:val="uk-UA"/>
        </w:rPr>
        <w:t>Опитування було проведено серед працівників усіх рівнів: лікарів, молодшого медичного персоналу, адміністративного та допоміжного персоналу. Загалом було опитано 50 осіб (20 % від загальної чисельності персоналу). Анкета містила 12 запитань, які охоплювали тематику адаптації до умов праці, задоволеності мотивацією, рівнем управлінських комунікацій, можливостями професійного розвитку.</w:t>
      </w:r>
    </w:p>
    <w:p>
      <w:pPr>
        <w:pStyle w:val="Normal"/>
        <w:rPr>
          <w:lang w:val="uk-UA"/>
        </w:rPr>
      </w:pPr>
      <w:r>
        <w:rPr>
          <w:lang w:val="uk-UA"/>
        </w:rPr>
        <w:t>Також було проведено напівструктуровані інтерв’ю з 5 представниками адміністрації лікарні (директор, завідувач відділення, головна медична сестра, економіст та кадровик), що дозволило поглибити якісний аналіз політик управління персоналом.</w:t>
      </w:r>
    </w:p>
    <w:p>
      <w:pPr>
        <w:pStyle w:val="Normal"/>
        <w:rPr>
          <w:lang w:val="uk-UA"/>
        </w:rPr>
      </w:pPr>
      <w:r>
        <w:rPr>
          <w:lang w:val="uk-UA"/>
        </w:rPr>
        <w:t>Аналіз відповідей показав наступні тенденції:</w:t>
      </w:r>
    </w:p>
    <w:p>
      <w:pPr>
        <w:pStyle w:val="Normal"/>
        <w:jc w:val="end"/>
        <w:rPr>
          <w:lang w:val="uk-UA"/>
        </w:rPr>
      </w:pPr>
      <w:r>
        <w:rPr>
          <w:lang w:val="uk-UA"/>
        </w:rPr>
        <w:t>Таблиця 2.4</w:t>
      </w:r>
    </w:p>
    <w:p>
      <w:pPr>
        <w:pStyle w:val="Normal"/>
        <w:jc w:val="center"/>
        <w:rPr>
          <w:lang w:val="uk-UA"/>
        </w:rPr>
      </w:pPr>
      <w:r>
        <w:rPr>
          <w:lang w:val="uk-UA"/>
        </w:rPr>
        <w:t>Основні результати анкетування КНП «Південнівська міська лікарня»</w:t>
      </w:r>
    </w:p>
    <w:tbl>
      <w:tblPr>
        <w:tblW w:w="9606" w:type="dxa"/>
        <w:jc w:val="start"/>
        <w:tblInd w:w="0" w:type="dxa"/>
        <w:tblLayout w:type="fixed"/>
        <w:tblCellMar>
          <w:top w:w="0" w:type="dxa"/>
          <w:start w:w="108" w:type="dxa"/>
          <w:bottom w:w="0" w:type="dxa"/>
          <w:end w:w="108" w:type="dxa"/>
        </w:tblCellMar>
      </w:tblPr>
      <w:tblGrid>
        <w:gridCol w:w="7479"/>
        <w:gridCol w:w="2127"/>
      </w:tblGrid>
      <w:tr>
        <w:trPr/>
        <w:tc>
          <w:tcPr>
            <w:tcW w:w="747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b/>
                <w:bCs/>
                <w:kern w:val="2"/>
                <w:sz w:val="24"/>
                <w:lang w:val="uk-UA" w:eastAsia="en-US" w:bidi="ar-SA"/>
              </w:rPr>
              <w:t>Показник</w:t>
            </w:r>
          </w:p>
        </w:tc>
        <w:tc>
          <w:tcPr>
            <w:tcW w:w="212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b/>
                <w:bCs/>
                <w:kern w:val="2"/>
                <w:sz w:val="24"/>
                <w:lang w:val="uk-UA" w:eastAsia="en-US" w:bidi="ar-SA"/>
              </w:rPr>
              <w:t>Значення (%)</w:t>
            </w:r>
          </w:p>
        </w:tc>
      </w:tr>
      <w:tr>
        <w:trPr/>
        <w:tc>
          <w:tcPr>
            <w:tcW w:w="747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uk-UA" w:eastAsia="en-US" w:bidi="ar-SA"/>
              </w:rPr>
              <w:t>Загальна задоволеність умовами праці</w:t>
            </w:r>
          </w:p>
        </w:tc>
        <w:tc>
          <w:tcPr>
            <w:tcW w:w="212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78 %</w:t>
            </w:r>
          </w:p>
        </w:tc>
      </w:tr>
      <w:tr>
        <w:trPr/>
        <w:tc>
          <w:tcPr>
            <w:tcW w:w="747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uk-UA" w:eastAsia="en-US" w:bidi="ar-SA"/>
              </w:rPr>
              <w:t>Задоволеність нематеріальною мотивацією</w:t>
            </w:r>
          </w:p>
        </w:tc>
        <w:tc>
          <w:tcPr>
            <w:tcW w:w="212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46 %</w:t>
            </w:r>
          </w:p>
        </w:tc>
      </w:tr>
      <w:tr>
        <w:trPr/>
        <w:tc>
          <w:tcPr>
            <w:tcW w:w="747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uk-UA" w:eastAsia="en-US" w:bidi="ar-SA"/>
              </w:rPr>
              <w:t>Визнання можливості кар’єрного зростання</w:t>
            </w:r>
          </w:p>
        </w:tc>
        <w:tc>
          <w:tcPr>
            <w:tcW w:w="212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38 %</w:t>
            </w:r>
          </w:p>
        </w:tc>
      </w:tr>
      <w:tr>
        <w:trPr/>
        <w:tc>
          <w:tcPr>
            <w:tcW w:w="747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uk-UA" w:eastAsia="en-US" w:bidi="ar-SA"/>
              </w:rPr>
              <w:t>Відчуття підтримки з боку керівництва</w:t>
            </w:r>
          </w:p>
        </w:tc>
        <w:tc>
          <w:tcPr>
            <w:tcW w:w="212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72 %</w:t>
            </w:r>
          </w:p>
        </w:tc>
      </w:tr>
      <w:tr>
        <w:trPr/>
        <w:tc>
          <w:tcPr>
            <w:tcW w:w="747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uk-UA" w:eastAsia="en-US" w:bidi="ar-SA"/>
              </w:rPr>
              <w:t>Участь у підвищенні кваліфікації за останній рік</w:t>
            </w:r>
          </w:p>
        </w:tc>
        <w:tc>
          <w:tcPr>
            <w:tcW w:w="212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64 %</w:t>
            </w:r>
          </w:p>
        </w:tc>
      </w:tr>
      <w:tr>
        <w:trPr/>
        <w:tc>
          <w:tcPr>
            <w:tcW w:w="747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uk-UA" w:eastAsia="en-US" w:bidi="ar-SA"/>
              </w:rPr>
              <w:t>Потреба в додаткових навчальних програмах</w:t>
            </w:r>
          </w:p>
        </w:tc>
        <w:tc>
          <w:tcPr>
            <w:tcW w:w="212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81 %</w:t>
            </w:r>
          </w:p>
        </w:tc>
      </w:tr>
      <w:tr>
        <w:trPr/>
        <w:tc>
          <w:tcPr>
            <w:tcW w:w="747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uk-UA" w:eastAsia="en-US" w:bidi="ar-SA"/>
              </w:rPr>
              <w:t>Визнання прозорості кадрових процедур</w:t>
            </w:r>
          </w:p>
        </w:tc>
        <w:tc>
          <w:tcPr>
            <w:tcW w:w="212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60 %</w:t>
            </w:r>
          </w:p>
        </w:tc>
      </w:tr>
      <w:tr>
        <w:trPr/>
        <w:tc>
          <w:tcPr>
            <w:tcW w:w="747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uk-UA" w:eastAsia="en-US" w:bidi="ar-SA"/>
              </w:rPr>
              <w:t>Потреба у поліпшенні комунікацій між підрозділами</w:t>
            </w:r>
          </w:p>
        </w:tc>
        <w:tc>
          <w:tcPr>
            <w:tcW w:w="212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54 %</w:t>
            </w:r>
          </w:p>
        </w:tc>
      </w:tr>
    </w:tbl>
    <w:p>
      <w:pPr>
        <w:pStyle w:val="Normal"/>
        <w:ind w:firstLine="720"/>
        <w:rPr>
          <w:rFonts w:eastAsia="Calibri"/>
          <w:i/>
          <w:i/>
          <w:iCs/>
          <w:sz w:val="24"/>
          <w:szCs w:val="24"/>
          <w:lang w:val="uk-UA"/>
        </w:rPr>
      </w:pPr>
      <w:r>
        <w:rPr>
          <w:rFonts w:eastAsia="Calibri"/>
          <w:i/>
          <w:iCs/>
          <w:sz w:val="24"/>
          <w:szCs w:val="24"/>
          <w:lang w:val="uk-UA"/>
        </w:rPr>
        <w:t>Створено автором на основі джерела [</w:t>
      </w:r>
      <w:r>
        <w:rPr>
          <w:rFonts w:eastAsia="Calibri"/>
          <w:i/>
          <w:iCs/>
          <w:sz w:val="24"/>
          <w:szCs w:val="24"/>
        </w:rPr>
        <w:t>1</w:t>
      </w:r>
      <w:r>
        <w:rPr>
          <w:rFonts w:eastAsia="Calibri"/>
          <w:i/>
          <w:iCs/>
          <w:sz w:val="24"/>
          <w:szCs w:val="24"/>
          <w:lang w:val="uk-UA"/>
        </w:rPr>
        <w:t>1]</w:t>
      </w:r>
    </w:p>
    <w:p>
      <w:pPr>
        <w:pStyle w:val="Normal"/>
        <w:rPr>
          <w:lang w:val="uk-UA"/>
        </w:rPr>
      </w:pPr>
      <w:r>
        <w:rPr>
          <w:lang w:val="uk-UA"/>
        </w:rPr>
      </w:r>
    </w:p>
    <w:p>
      <w:pPr>
        <w:pStyle w:val="Normal"/>
        <w:rPr>
          <w:lang w:val="uk-UA"/>
        </w:rPr>
      </w:pPr>
      <w:r>
        <w:rPr>
          <w:lang w:val="uk-UA"/>
        </w:rPr>
        <w:t>На підставі аналітичної обробки відповідей було з’ясовано, що працівники загалом високо оцінюють стабільність роботи в лікарні, проте зазначають брак можливостей для горизонтального та вертикального кар’єрного просування. Особливо це стосується середнього медперсоналу, де кар’єрна траєкторія обмежується досягненням рівня старшої медсестри.</w:t>
      </w:r>
    </w:p>
    <w:p>
      <w:pPr>
        <w:pStyle w:val="Normal"/>
        <w:ind w:hanging="0"/>
        <w:rPr>
          <w:lang w:val="uk-UA"/>
        </w:rPr>
      </w:pPr>
      <w:r>
        <w:rPr/>
        <w:drawing>
          <wp:inline distT="0" distB="0" distL="0" distR="0">
            <wp:extent cx="5940425" cy="3320415"/>
            <wp:effectExtent l="0" t="0" r="0" b="0"/>
            <wp:docPr id="40" name="Зображення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Зображення2"/>
                    <pic:cNvPicPr>
                      <a:picLocks noChangeAspect="1" noChangeArrowheads="1"/>
                    </pic:cNvPicPr>
                  </pic:nvPicPr>
                  <pic:blipFill>
                    <a:blip r:embed="rId8"/>
                    <a:srcRect l="0" t="6843" r="0" b="0"/>
                    <a:stretch>
                      <a:fillRect/>
                    </a:stretch>
                  </pic:blipFill>
                  <pic:spPr bwMode="auto">
                    <a:xfrm>
                      <a:off x="0" y="0"/>
                      <a:ext cx="5940425" cy="3320415"/>
                    </a:xfrm>
                    <a:prstGeom prst="rect">
                      <a:avLst/>
                    </a:prstGeom>
                    <a:noFill/>
                  </pic:spPr>
                </pic:pic>
              </a:graphicData>
            </a:graphic>
          </wp:inline>
        </w:drawing>
      </w:r>
    </w:p>
    <w:p>
      <w:pPr>
        <w:pStyle w:val="Normal"/>
        <w:jc w:val="center"/>
        <w:rPr>
          <w:lang w:val="uk-UA"/>
        </w:rPr>
      </w:pPr>
      <w:r>
        <w:rPr>
          <w:lang w:val="uk-UA"/>
        </w:rPr>
        <w:t>Рис.2.3 – Результати авторського анкетування персоналу КНП «Південнівська міська лікарня»</w:t>
      </w:r>
    </w:p>
    <w:p>
      <w:pPr>
        <w:pStyle w:val="Normal"/>
        <w:rPr>
          <w:lang w:val="uk-UA"/>
        </w:rPr>
      </w:pPr>
      <w:r>
        <w:rPr>
          <w:lang w:val="uk-UA"/>
        </w:rPr>
        <w:t>Щодо системи мотивації, то лише 46 % респондентів вважають її достатньою. Зокрема, виявлено низький рівень нематеріального стимулювання: недостатня кількість подяк, грамот, залучення до управлінських процесів. Більшість працівників висловили готовність брати участь у підвищенні кваліфікації, але відзначили нестачу пропозицій із боку закладу.</w:t>
      </w:r>
    </w:p>
    <w:p>
      <w:pPr>
        <w:pStyle w:val="Normal"/>
        <w:rPr>
          <w:lang w:val="uk-UA"/>
        </w:rPr>
      </w:pPr>
      <w:r>
        <w:rPr>
          <w:lang w:val="uk-UA"/>
        </w:rPr>
        <w:t>Інтерв’ю з адміністрацією підтвердили, що в лікарні спостерігається дефіцит молодих кадрів у клінічних спеціальностях, а також зростаючий запит на системне навчання управлінських і цифрових навичок (наприклад, робота з eHealth, електронними рецептами, обліком НСЗУ).</w:t>
      </w:r>
    </w:p>
    <w:p>
      <w:pPr>
        <w:pStyle w:val="Normal"/>
        <w:rPr>
          <w:lang w:val="uk-UA"/>
        </w:rPr>
      </w:pPr>
      <w:r>
        <w:rPr>
          <w:lang w:val="uk-UA"/>
        </w:rPr>
        <w:t>У КНП «Південнівська міська лікарня» сформована базова функціональна система управління персоналом, яка забезпечує виконання ключових завдань, однак має низку точок зростання.</w:t>
      </w:r>
    </w:p>
    <w:p>
      <w:pPr>
        <w:pStyle w:val="Normal"/>
        <w:rPr>
          <w:lang w:val="uk-UA"/>
        </w:rPr>
      </w:pPr>
      <w:r>
        <w:rPr>
          <w:lang w:val="uk-UA"/>
        </w:rPr>
        <w:t>Основними проблемними зонами є обмеженість у просуванні по кар’єрі, фрагментарне застосування нематеріальної мотивації та недостатня кількість освітніх ініціатив [</w:t>
      </w:r>
      <w:r>
        <w:rPr>
          <w:lang w:val="en-GB"/>
        </w:rPr>
        <w:t>26</w:t>
      </w:r>
      <w:r>
        <w:rPr>
          <w:lang w:val="uk-UA"/>
        </w:rPr>
        <w:t>].</w:t>
      </w:r>
    </w:p>
    <w:p>
      <w:pPr>
        <w:pStyle w:val="Normal"/>
        <w:rPr>
          <w:lang w:val="uk-UA"/>
        </w:rPr>
      </w:pPr>
      <w:r>
        <w:rPr>
          <w:lang w:val="uk-UA"/>
        </w:rPr>
        <w:t>Позитивною тенденцією є висока лояльність до керівництва, позитивне сприйняття корпоративної культури та запит на професійний розвиток.</w:t>
      </w:r>
    </w:p>
    <w:p>
      <w:pPr>
        <w:pStyle w:val="Normal"/>
        <w:rPr>
          <w:lang w:val="uk-UA"/>
        </w:rPr>
      </w:pPr>
      <w:r>
        <w:rPr>
          <w:lang w:val="uk-UA"/>
        </w:rPr>
        <w:t>Результати дослідження можуть стати підґрунтям для розробки нової програми кадрового розвитку, яка включатиме систему наставництва, механізми внутрішньої ротації кадрів, регулярні тренінги та заходи з емоційної підтримки персоналу.</w:t>
      </w:r>
    </w:p>
    <w:p>
      <w:pPr>
        <w:pStyle w:val="Normal"/>
        <w:rPr>
          <w:lang w:val="uk-UA"/>
        </w:rPr>
      </w:pPr>
      <w:r>
        <w:rPr>
          <w:lang w:val="uk-UA"/>
        </w:rPr>
        <w:t>Управління медичним персоналом є ключовим елементом ефективного функціонування систем охорони здоров’я в розвинених країнах. Саме кадровий потенціал медичних закладів визначає безперервність надання послуг, їхню якість, доступність та здатність системи до відновлення в умовах криз. Міжнародний досвід свідчить, що успішні моделі HR-менеджменту у medical care базуються на поєднанні стратегічного планування кадрів, формуванні професійних компетенцій, підвищенні рівня цифрової зрілості організацій та впровадженні метрик оцінювання результативності. Аналіз практик країн Західної Європи, Північної Америки та Скандинавії дає можливість сформувати бачення того, як саме управління персоналом може перетворитися зі статичної адміністративної функції на динамічний інструмент розвитку.</w:t>
      </w:r>
    </w:p>
    <w:p>
      <w:pPr>
        <w:pStyle w:val="Normal"/>
        <w:rPr>
          <w:lang w:val="uk-UA"/>
        </w:rPr>
      </w:pPr>
      <w:r>
        <w:rPr>
          <w:lang w:val="uk-UA"/>
        </w:rPr>
        <w:t>Німецька система охорони здоров’я вирізняється поєднанням високого рівня державного регулювання з автономією медичних закладів. Лікарні, як правило, мають статус незалежних організацій, але діють у межах федеральних стандартів, що встановлюють мінімальні кадрові нормативи, умови оплати праці та вимоги до безпеки. Такий підхід забезпечує баланс між централізованою відповідальністю держави та можливістю адаптації кадрових рішень до потреб конкретного регіону чи лікарні.</w:t>
      </w:r>
    </w:p>
    <w:p>
      <w:pPr>
        <w:pStyle w:val="Normal"/>
        <w:rPr>
          <w:lang w:val="uk-UA"/>
        </w:rPr>
      </w:pPr>
      <w:r>
        <w:rPr>
          <w:lang w:val="uk-UA"/>
        </w:rPr>
        <w:t>Однією з найбільш відомих практик Німеччини є дуальна модель підготовки персоналу, яка поєднує теоретичну освіту зі стажуванням в медичних установах. Студенти медичних коледжів проходять значну частину навчання у клініках, працюючи під керівництвом наставників. Це дозволяє формувати не лише технічні компетенції, а й важливі soft skills: комунікацію з пацієнтами, роботу в команді, медичну етику, відповідальність у прийнятті рішень. Така модель сприяє швидкій інтеграції молодих співробітників у професійне середовище та зменшує кількість помилок в перші роки діяльності.</w:t>
      </w:r>
    </w:p>
    <w:p>
      <w:pPr>
        <w:pStyle w:val="Normal"/>
        <w:rPr>
          <w:lang w:val="uk-UA"/>
        </w:rPr>
      </w:pPr>
      <w:r>
        <w:rPr>
          <w:lang w:val="uk-UA"/>
        </w:rPr>
        <w:t>Ключовим інструментом кадрової стабільності виступає система соціального партнерства: профспілки медпрацівників та асоціації роботодавців укладають колективні договори, що визначають рівень оплати праці, умови відпочинку та механізми вирішення конфліктів. Це створює передбачувані рамки трудових відносин і знижує ризики вигорання через трудові перевантаження. Сильна профспілкова культура також дозволяє медичним працівникам відчувати себе захищеними та почутими.</w:t>
      </w:r>
    </w:p>
    <w:p>
      <w:pPr>
        <w:pStyle w:val="Normal"/>
        <w:rPr>
          <w:lang w:val="uk-UA"/>
        </w:rPr>
      </w:pPr>
      <w:r>
        <w:rPr>
          <w:lang w:val="uk-UA"/>
        </w:rPr>
        <w:t>У кадровій політиці Німеччини акцент робиться не лише на навчанні молоді, але й на безперервному професійному розвитку. Курси, симуляційні центри, освітні платформи, гарантії часу на навчання — усе це інтегровані компоненти HR-системи. Таким чином формується кадровий резерв, здатний адаптуватися до технологічних змін, розвиту телемедицини, застосування роботизованих систем в операційних тощо.</w:t>
      </w:r>
    </w:p>
    <w:p>
      <w:pPr>
        <w:pStyle w:val="Normal"/>
        <w:rPr>
          <w:lang w:val="uk-UA"/>
        </w:rPr>
      </w:pPr>
      <w:r>
        <w:rPr>
          <w:lang w:val="uk-UA"/>
        </w:rPr>
        <w:t>Модель управління медичним персоналом у Швеції базується на принципах соціальної держави та забезпечення балансу між професійним життям та особистим добробутом. Вважається, що без стабільності та психологічної безпеки неможливо забезпечити високий рівень медичних послуг. Тому кадрова політика в шведських медичних закладах активно інтегрує механізми підтримки персоналу: гнучкий графік роботи, соціальні гарантії, підтримку працівників після емоційно складних випадків, психологічні консультації.</w:t>
      </w:r>
    </w:p>
    <w:p>
      <w:pPr>
        <w:pStyle w:val="Normal"/>
        <w:rPr>
          <w:lang w:val="uk-UA"/>
        </w:rPr>
      </w:pPr>
      <w:r>
        <w:rPr>
          <w:lang w:val="uk-UA"/>
        </w:rPr>
        <w:t>Особливою рисою є мультидисциплінарний підхід. У відділеннях працюють не лише лікарі та медсестри, а й психологи, соціальні працівники, реабілітологи. Це дозволяє пацієнтам отримувати не лише лікування, а й соціально-емоційну підтримку, що суттєво підвищує результативність медичної допомоги. З погляду управління персоналом це означає перерозподіл відповідальності: лікар не несе весь тягар вирішення проблем пацієнта, що зменшує ризик професійного вигорання.</w:t>
      </w:r>
    </w:p>
    <w:p>
      <w:pPr>
        <w:pStyle w:val="Normal"/>
        <w:rPr>
          <w:lang w:val="uk-UA"/>
        </w:rPr>
      </w:pPr>
      <w:r>
        <w:rPr>
          <w:lang w:val="uk-UA"/>
        </w:rPr>
        <w:t>Кадрове планування у Швеції орієнтоване на довгострокові горизонти. Медичні заклади проводять регулярні оцінювання потреб у персоналі, враховуючи тенденції демографії, урбанізації, старіння населення та міграційні потоки. Окремі програми спрямовані на залучення молодих фахівців у сільські регіони: підвищені надбавки, житлове забезпечення, індивідуальні графіки та підтримка сімей.</w:t>
      </w:r>
    </w:p>
    <w:p>
      <w:pPr>
        <w:pStyle w:val="Normal"/>
        <w:rPr>
          <w:lang w:val="uk-UA"/>
        </w:rPr>
      </w:pPr>
      <w:r>
        <w:rPr>
          <w:lang w:val="uk-UA"/>
        </w:rPr>
        <w:t>Важливу роль відіграє обов’язкова система щорічного підвищення кваліфікації – кожен фахівець повинен документувати професійний розвиток. Невідповідність цьому стандарту може призвести до обмеження практики. Так формується культура безперервного вдосконалення компетенцій, без жорстких адміністративних санкцій: працівник сам зацікавлений бути актуальним на ринку праці.</w:t>
      </w:r>
    </w:p>
    <w:p>
      <w:pPr>
        <w:pStyle w:val="Normal"/>
        <w:rPr>
          <w:lang w:val="uk-UA"/>
        </w:rPr>
      </w:pPr>
      <w:r>
        <w:rPr>
          <w:lang w:val="uk-UA"/>
        </w:rPr>
        <w:t>Канада – одна з країн, де медична система є високотехнологічною та орієнтованою на цифрове управління ресурсами. Центральну роль у кадровій політиці відіграє Human Resource Information System (HRIS) – національна електронна платформа управління людськими ресурсами. У систему заносяться дані про освіту, стаж, ліцензії, професійні компетенції, продуктивність та історію розвитку кожного працівника. Завдяки цьому кадрові рішення не приймаються ситуативно, а базуються на статистиці та прогнозуванні.</w:t>
      </w:r>
    </w:p>
    <w:p>
      <w:pPr>
        <w:pStyle w:val="Normal"/>
        <w:rPr>
          <w:lang w:val="uk-UA"/>
        </w:rPr>
      </w:pPr>
      <w:r>
        <w:rPr>
          <w:lang w:val="uk-UA"/>
        </w:rPr>
        <w:t>Планування відбувається за моделлю сценарного прогнозування, де враховуються демографічні показники, тренди захворюваності, тривалість життя, міграційні тенденції та індекс доступу до медичних послуг у різних провінціях. Це дозволяє ще до настання кадрової кризи спрямовувати ресурси туди, де потенційно виникатиме дефіцит. Наприклад, якщо моделі прогнозують нестачу сімейних лікарів у малозаселених районах, уряд фінансує targeted recruitment або програми освітніх грантів.</w:t>
      </w:r>
    </w:p>
    <w:p>
      <w:pPr>
        <w:pStyle w:val="Normal"/>
        <w:rPr>
          <w:lang w:val="uk-UA"/>
        </w:rPr>
      </w:pPr>
      <w:r>
        <w:rPr>
          <w:lang w:val="uk-UA"/>
        </w:rPr>
        <w:t>Обов’язковою умовою професійної діяльності є система Continuing Professional Development (CPD). Підтримка ліцензії залежить від кількості освітніх годин, участі у тренінгах, симуляційних курсах, клінічних конференціях. Це зміщує HR-менеджмент від контролю до партнерства між державою та працівником: фахівець має довгострокові стимулюючі механізми для розвитку, а не лише покарання за недотримання стандартів.</w:t>
      </w:r>
    </w:p>
    <w:p>
      <w:pPr>
        <w:pStyle w:val="Normal"/>
        <w:rPr>
          <w:lang w:val="uk-UA"/>
        </w:rPr>
      </w:pPr>
      <w:r>
        <w:rPr>
          <w:lang w:val="uk-UA"/>
        </w:rPr>
        <w:t>Національна служба охорони здоров’я Великобританії (NHS) є однією з найбільш формалізованих систем управління медичним персоналом у світі. HR-менеджмент тут інтегрований у загальнодержавну структуру, де кожен рівень відповідальності має чітко визначені функції та метрики.</w:t>
      </w:r>
    </w:p>
    <w:p>
      <w:pPr>
        <w:pStyle w:val="Normal"/>
        <w:rPr>
          <w:lang w:val="uk-UA"/>
        </w:rPr>
      </w:pPr>
      <w:r>
        <w:rPr>
          <w:lang w:val="uk-UA"/>
        </w:rPr>
        <w:t>Управління персоналом у NHS ґрунтується на Key Performance Indicators (KPI). Ці показники охоплюють:</w:t>
      </w:r>
    </w:p>
    <w:p>
      <w:pPr>
        <w:pStyle w:val="Normal"/>
        <w:rPr>
          <w:lang w:val="uk-UA"/>
        </w:rPr>
      </w:pPr>
      <w:r>
        <w:rPr>
          <w:lang w:val="uk-UA"/>
        </w:rPr>
        <w:t>-клінічні результати лікування;</w:t>
      </w:r>
    </w:p>
    <w:p>
      <w:pPr>
        <w:pStyle w:val="Normal"/>
        <w:rPr>
          <w:lang w:val="uk-UA"/>
        </w:rPr>
      </w:pPr>
      <w:r>
        <w:rPr>
          <w:lang w:val="uk-UA"/>
        </w:rPr>
        <w:t>-ступінь задоволеності пацієнтів;</w:t>
      </w:r>
    </w:p>
    <w:p>
      <w:pPr>
        <w:pStyle w:val="Normal"/>
        <w:rPr>
          <w:lang w:val="uk-UA"/>
        </w:rPr>
      </w:pPr>
      <w:r>
        <w:rPr>
          <w:lang w:val="uk-UA"/>
        </w:rPr>
        <w:t>-забезпечення стандартів безпеки;</w:t>
      </w:r>
    </w:p>
    <w:p>
      <w:pPr>
        <w:pStyle w:val="Normal"/>
        <w:rPr>
          <w:lang w:val="uk-UA"/>
        </w:rPr>
      </w:pPr>
      <w:r>
        <w:rPr>
          <w:lang w:val="uk-UA"/>
        </w:rPr>
        <w:t>-психологічне навантаження персоналу;</w:t>
      </w:r>
    </w:p>
    <w:p>
      <w:pPr>
        <w:pStyle w:val="Normal"/>
        <w:rPr>
          <w:lang w:val="uk-UA"/>
        </w:rPr>
      </w:pPr>
      <w:r>
        <w:rPr>
          <w:lang w:val="uk-UA"/>
        </w:rPr>
        <w:t>-частку участі в освітніх програмах;</w:t>
      </w:r>
    </w:p>
    <w:p>
      <w:pPr>
        <w:pStyle w:val="Normal"/>
        <w:rPr>
          <w:lang w:val="uk-UA"/>
        </w:rPr>
      </w:pPr>
      <w:r>
        <w:rPr>
          <w:lang w:val="uk-UA"/>
        </w:rPr>
        <w:t>-ефективність командної взаємодії.</w:t>
      </w:r>
    </w:p>
    <w:p>
      <w:pPr>
        <w:pStyle w:val="Normal"/>
        <w:rPr>
          <w:lang w:val="uk-UA"/>
        </w:rPr>
      </w:pPr>
      <w:r>
        <w:rPr>
          <w:lang w:val="uk-UA"/>
        </w:rPr>
        <w:t>Наявність таких метрик стимулює медичних керівників концентруватися не на формальному обліку кадрів, а на показниках результативності.</w:t>
      </w:r>
    </w:p>
    <w:p>
      <w:pPr>
        <w:pStyle w:val="Normal"/>
        <w:rPr>
          <w:lang w:val="uk-UA"/>
        </w:rPr>
      </w:pPr>
      <w:r>
        <w:rPr>
          <w:lang w:val="uk-UA"/>
        </w:rPr>
        <w:t>Важливим елементом кадрової політики є Diversity &amp; Inclusion, що забезпечує рівний доступ до посад, навчання та просування для різних вікових, етнічних і гендерних груп. NHS надає пріоритет залученню медсестер-мігрантів, лікарів із країн Східної Європи та Азії, забезпечуючи їм адаптаційні програми та доступ до менторства. Такий підхід дозволяє лікарням компенсувати дефіцит кадрів і одночасно формувати мультикультурне середовище.</w:t>
      </w:r>
    </w:p>
    <w:p>
      <w:pPr>
        <w:pStyle w:val="Normal"/>
        <w:rPr>
          <w:lang w:val="uk-UA"/>
        </w:rPr>
      </w:pPr>
      <w:r>
        <w:rPr>
          <w:lang w:val="uk-UA"/>
        </w:rPr>
        <w:t>Медичні установи США функціонують у конкурентному середовищі, де кожен провайдер послуг формує кадрову політику самостійно. Це створює умови для широкого застосування інструментів HR-аналітики, performance review, внутрішнього рекрутингу та електронних портфоліо компетенцій. Больниці оцінюють співробітників не лише за медичними результатами, а й за ефективністю комунікацій, управління ризиками, швидкістю адаптації до нових протоколів.</w:t>
      </w:r>
    </w:p>
    <w:p>
      <w:pPr>
        <w:pStyle w:val="Normal"/>
        <w:rPr>
          <w:lang w:val="uk-UA"/>
        </w:rPr>
      </w:pPr>
      <w:r>
        <w:rPr>
          <w:lang w:val="uk-UA"/>
        </w:rPr>
        <w:t>Однією з головних відмінностей США є акцент на лідерських програмах для медсестер. Вважається, що саме середній медичний персонал найбільш наближений до пацієнта і може стати первинним координаційним центром лікарняних процесів. Тому у штатах широко застосовують програми поглибленого управлінського навчання, курси командотворення та кризового менеджменту. Це дозволяє лікарням формувати сильний кадровий резерв без залучення зовнішніх управлінців.</w:t>
      </w:r>
    </w:p>
    <w:p>
      <w:pPr>
        <w:pStyle w:val="Normal"/>
        <w:jc w:val="end"/>
        <w:rPr>
          <w:lang w:val="uk-UA"/>
        </w:rPr>
      </w:pPr>
      <w:r>
        <w:rPr>
          <w:lang w:val="uk-UA"/>
        </w:rPr>
        <w:t>Таблиця 2.5</w:t>
      </w:r>
    </w:p>
    <w:p>
      <w:pPr>
        <w:pStyle w:val="Normal"/>
        <w:jc w:val="center"/>
        <w:rPr>
          <w:lang w:val="uk-UA"/>
        </w:rPr>
      </w:pPr>
      <w:r>
        <w:rPr>
          <w:lang w:val="uk-UA"/>
        </w:rPr>
        <w:t>Основні характеристики управління персоналом у медичних системах</w:t>
      </w:r>
    </w:p>
    <w:tbl>
      <w:tblPr>
        <w:tblW w:w="9345" w:type="dxa"/>
        <w:jc w:val="start"/>
        <w:tblInd w:w="0" w:type="dxa"/>
        <w:tblLayout w:type="fixed"/>
        <w:tblCellMar>
          <w:top w:w="0" w:type="dxa"/>
          <w:start w:w="108" w:type="dxa"/>
          <w:bottom w:w="0" w:type="dxa"/>
          <w:end w:w="108" w:type="dxa"/>
        </w:tblCellMar>
      </w:tblPr>
      <w:tblGrid>
        <w:gridCol w:w="2253"/>
        <w:gridCol w:w="2466"/>
        <w:gridCol w:w="2306"/>
        <w:gridCol w:w="2320"/>
      </w:tblGrid>
      <w:tr>
        <w:trPr/>
        <w:tc>
          <w:tcPr>
            <w:tcW w:w="225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b/>
                <w:bCs/>
                <w:kern w:val="2"/>
                <w:sz w:val="24"/>
                <w:lang w:val="uk-UA" w:eastAsia="en-US" w:bidi="ar-SA"/>
              </w:rPr>
              <w:t>Країна</w:t>
            </w:r>
          </w:p>
        </w:tc>
        <w:tc>
          <w:tcPr>
            <w:tcW w:w="246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b/>
                <w:bCs/>
                <w:kern w:val="2"/>
                <w:sz w:val="24"/>
                <w:lang w:val="uk-UA" w:eastAsia="en-US" w:bidi="ar-SA"/>
              </w:rPr>
              <w:t>Ключова особливість</w:t>
            </w:r>
          </w:p>
        </w:tc>
        <w:tc>
          <w:tcPr>
            <w:tcW w:w="230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b/>
                <w:bCs/>
                <w:kern w:val="2"/>
                <w:sz w:val="24"/>
                <w:lang w:val="uk-UA" w:eastAsia="en-US" w:bidi="ar-SA"/>
              </w:rPr>
              <w:t>Підхід до мотивації</w:t>
            </w:r>
          </w:p>
        </w:tc>
        <w:tc>
          <w:tcPr>
            <w:tcW w:w="2320"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b/>
                <w:bCs/>
                <w:kern w:val="2"/>
                <w:sz w:val="24"/>
                <w:lang w:val="uk-UA" w:eastAsia="en-US" w:bidi="ar-SA"/>
              </w:rPr>
              <w:t>HR-інструменти</w:t>
            </w:r>
          </w:p>
        </w:tc>
      </w:tr>
      <w:tr>
        <w:trPr/>
        <w:tc>
          <w:tcPr>
            <w:tcW w:w="225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Німеччина</w:t>
            </w:r>
          </w:p>
        </w:tc>
        <w:tc>
          <w:tcPr>
            <w:tcW w:w="246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Дуальна освіта, централізовані стандарти</w:t>
            </w:r>
          </w:p>
        </w:tc>
        <w:tc>
          <w:tcPr>
            <w:tcW w:w="230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Колективні договори</w:t>
            </w:r>
          </w:p>
        </w:tc>
        <w:tc>
          <w:tcPr>
            <w:tcW w:w="2320"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Програми підвищення кваліфікації</w:t>
            </w:r>
          </w:p>
        </w:tc>
      </w:tr>
      <w:tr>
        <w:trPr/>
        <w:tc>
          <w:tcPr>
            <w:tcW w:w="225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Швеція</w:t>
            </w:r>
          </w:p>
        </w:tc>
        <w:tc>
          <w:tcPr>
            <w:tcW w:w="246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Мультидисциплінарні команди, work-life balance</w:t>
            </w:r>
          </w:p>
        </w:tc>
        <w:tc>
          <w:tcPr>
            <w:tcW w:w="230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Нематеріальне стимулювання</w:t>
            </w:r>
          </w:p>
        </w:tc>
        <w:tc>
          <w:tcPr>
            <w:tcW w:w="2320"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Гнучкий графік, профілактика вигорання</w:t>
            </w:r>
          </w:p>
        </w:tc>
      </w:tr>
      <w:tr>
        <w:trPr/>
        <w:tc>
          <w:tcPr>
            <w:tcW w:w="225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Канада</w:t>
            </w:r>
          </w:p>
        </w:tc>
        <w:tc>
          <w:tcPr>
            <w:tcW w:w="246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HRIS, цифрове прогнозування потреб</w:t>
            </w:r>
          </w:p>
        </w:tc>
        <w:tc>
          <w:tcPr>
            <w:tcW w:w="230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Освіта = ліцензія</w:t>
            </w:r>
          </w:p>
        </w:tc>
        <w:tc>
          <w:tcPr>
            <w:tcW w:w="2320"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Централізоване HR-планування</w:t>
            </w:r>
          </w:p>
        </w:tc>
      </w:tr>
      <w:tr>
        <w:trPr/>
        <w:tc>
          <w:tcPr>
            <w:tcW w:w="225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Велика Британія</w:t>
            </w:r>
          </w:p>
        </w:tc>
        <w:tc>
          <w:tcPr>
            <w:tcW w:w="246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NHS KPIs та Diversity-політика</w:t>
            </w:r>
          </w:p>
        </w:tc>
        <w:tc>
          <w:tcPr>
            <w:tcW w:w="230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Прозора система KPI</w:t>
            </w:r>
          </w:p>
        </w:tc>
        <w:tc>
          <w:tcPr>
            <w:tcW w:w="2320"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Формалізована структура оцінювання</w:t>
            </w:r>
          </w:p>
        </w:tc>
      </w:tr>
      <w:tr>
        <w:trPr/>
        <w:tc>
          <w:tcPr>
            <w:tcW w:w="225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США</w:t>
            </w:r>
          </w:p>
        </w:tc>
        <w:tc>
          <w:tcPr>
            <w:tcW w:w="246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Автономія, HR-аналітика, лідерські програми</w:t>
            </w:r>
          </w:p>
        </w:tc>
        <w:tc>
          <w:tcPr>
            <w:tcW w:w="230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Конкурентна оплата + розвиток</w:t>
            </w:r>
          </w:p>
        </w:tc>
        <w:tc>
          <w:tcPr>
            <w:tcW w:w="2320"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uk-UA" w:eastAsia="en-US" w:bidi="ar-SA"/>
              </w:rPr>
              <w:t>Електронні портфоліо, Performance review</w:t>
            </w:r>
          </w:p>
        </w:tc>
      </w:tr>
    </w:tbl>
    <w:p>
      <w:pPr>
        <w:pStyle w:val="Normal"/>
        <w:ind w:firstLine="720"/>
        <w:rPr>
          <w:rFonts w:eastAsia="Calibri"/>
          <w:i/>
          <w:i/>
          <w:iCs/>
          <w:sz w:val="24"/>
          <w:szCs w:val="24"/>
          <w:lang w:val="uk-UA"/>
        </w:rPr>
      </w:pPr>
      <w:r>
        <w:rPr>
          <w:rFonts w:eastAsia="Calibri"/>
          <w:i/>
          <w:iCs/>
          <w:sz w:val="24"/>
          <w:szCs w:val="24"/>
          <w:lang w:val="uk-UA"/>
        </w:rPr>
        <w:t>Створено автором на основі джерела [</w:t>
      </w:r>
      <w:r>
        <w:rPr>
          <w:rFonts w:eastAsia="Calibri"/>
          <w:i/>
          <w:iCs/>
          <w:sz w:val="24"/>
          <w:szCs w:val="24"/>
          <w:lang w:val="en-GB"/>
        </w:rPr>
        <w:t>25</w:t>
      </w:r>
      <w:r>
        <w:rPr>
          <w:rFonts w:eastAsia="Calibri"/>
          <w:i/>
          <w:iCs/>
          <w:sz w:val="24"/>
          <w:szCs w:val="24"/>
          <w:lang w:val="uk-UA"/>
        </w:rPr>
        <w:t>]</w:t>
      </w:r>
    </w:p>
    <w:p>
      <w:pPr>
        <w:pStyle w:val="Normal"/>
        <w:jc w:val="center"/>
        <w:rPr>
          <w:lang w:val="uk-UA"/>
        </w:rPr>
      </w:pPr>
      <w:r>
        <w:rPr>
          <w:lang w:val="uk-UA"/>
        </w:rPr>
      </w:r>
    </w:p>
    <w:p>
      <w:pPr>
        <w:pStyle w:val="Normal"/>
        <w:rPr>
          <w:lang w:val="uk-UA"/>
        </w:rPr>
      </w:pPr>
      <w:r>
        <w:rPr>
          <w:lang w:val="uk-UA"/>
        </w:rPr>
        <w:t>Досвід провідних країн свідчить, що успішні моделі управління медичним персоналом мають спільні риси, незалежно від політичного устрою чи системи фінансування:</w:t>
      </w:r>
    </w:p>
    <w:p>
      <w:pPr>
        <w:pStyle w:val="Normal"/>
        <w:rPr>
          <w:lang w:val="uk-UA"/>
        </w:rPr>
      </w:pPr>
      <w:r>
        <w:rPr>
          <w:lang w:val="uk-UA"/>
        </w:rPr>
        <w:t>-Поєднання матеріальної й нематеріальної мотивації. Оплата праці не є єдиним фактором утримання персоналу: важливими є соціальні гарантії, визнання професійності, механізми розвитку.</w:t>
      </w:r>
    </w:p>
    <w:p>
      <w:pPr>
        <w:pStyle w:val="Normal"/>
        <w:rPr>
          <w:lang w:val="uk-UA"/>
        </w:rPr>
      </w:pPr>
      <w:r>
        <w:rPr>
          <w:lang w:val="uk-UA"/>
        </w:rPr>
        <w:t>-Цифровізація HR-процесів. Використання електронних карток компетенцій, HR-аналітики, прогнозування потреб дозволяє запобігати дефіциту, а не реагувати на нього.</w:t>
      </w:r>
    </w:p>
    <w:p>
      <w:pPr>
        <w:pStyle w:val="Normal"/>
        <w:rPr>
          <w:lang w:val="uk-UA"/>
        </w:rPr>
      </w:pPr>
      <w:r>
        <w:rPr>
          <w:lang w:val="uk-UA"/>
        </w:rPr>
        <w:t>-Мультидисциплінарні команди. Поєднання лікарів, медсестер, психологів, соціальних працівників зменшує професійне навантаження й забезпечує комплексність медичної допомоги.</w:t>
      </w:r>
    </w:p>
    <w:p>
      <w:pPr>
        <w:pStyle w:val="Normal"/>
        <w:rPr>
          <w:lang w:val="uk-UA"/>
        </w:rPr>
      </w:pPr>
      <w:r>
        <w:rPr>
          <w:lang w:val="uk-UA"/>
        </w:rPr>
        <w:t>-Системи безперервного навчання. Формальний диплом не гарантує актуальності знань – постійне підвищення кваліфікації є стандартом.</w:t>
      </w:r>
    </w:p>
    <w:p>
      <w:pPr>
        <w:pStyle w:val="Normal"/>
        <w:rPr>
          <w:lang w:val="uk-UA"/>
        </w:rPr>
      </w:pPr>
      <w:r>
        <w:rPr>
          <w:lang w:val="uk-UA"/>
        </w:rPr>
        <w:t>- Розвиток лідерства. Горизонтальна роль медсестер і молодших спеціалістів стимулює командну ефективність і довготривалість кадрового складу.</w:t>
      </w:r>
    </w:p>
    <w:p>
      <w:pPr>
        <w:pStyle w:val="Normal"/>
        <w:rPr>
          <w:lang w:val="uk-UA"/>
        </w:rPr>
      </w:pPr>
      <w:r>
        <w:rPr>
          <w:lang w:val="uk-UA"/>
        </w:rPr>
        <w:t>З огляду на виклики української медичної системи, адаптація окремих елементів міжнародних моделей є доцільною і може бути реалізована без радикальних бюджетних інтервенцій. Рекомендовано:</w:t>
      </w:r>
    </w:p>
    <w:p>
      <w:pPr>
        <w:pStyle w:val="Normal"/>
        <w:rPr>
          <w:lang w:val="uk-UA"/>
        </w:rPr>
      </w:pPr>
      <w:r>
        <w:rPr>
          <w:lang w:val="uk-UA"/>
        </w:rPr>
        <w:t>-Запровадити цифрову HR-аналітику, що відображатиме не лише чисельність персоналу, а й компетенції, навантаження, ризики вигорання.</w:t>
      </w:r>
    </w:p>
    <w:p>
      <w:pPr>
        <w:pStyle w:val="Normal"/>
        <w:rPr>
          <w:lang w:val="uk-UA"/>
        </w:rPr>
      </w:pPr>
      <w:r>
        <w:rPr>
          <w:lang w:val="uk-UA"/>
        </w:rPr>
        <w:t>-Створити інститут внутрішнього наставництва за зразком німецької дуальної моделі: лікарі-куратори → молоді спеціалісти.</w:t>
      </w:r>
    </w:p>
    <w:p>
      <w:pPr>
        <w:pStyle w:val="Normal"/>
        <w:rPr>
          <w:lang w:val="uk-UA"/>
        </w:rPr>
      </w:pPr>
      <w:r>
        <w:rPr>
          <w:lang w:val="uk-UA"/>
        </w:rPr>
        <w:t>-Формувати мультидисциплінарні команди, інтегруючи психологічну та соціальну підтримку пацієнтів, як у Швеції.</w:t>
      </w:r>
    </w:p>
    <w:p>
      <w:pPr>
        <w:pStyle w:val="Normal"/>
        <w:rPr>
          <w:lang w:val="uk-UA"/>
        </w:rPr>
      </w:pPr>
      <w:r>
        <w:rPr>
          <w:lang w:val="uk-UA"/>
        </w:rPr>
        <w:t>-Запровадити KPI-підхід NHS, де об’єктом оцінювання стає не особа, а результат – безперервність лікування, безпечність процедур, задоволеність пацієнтів.</w:t>
      </w:r>
    </w:p>
    <w:p>
      <w:pPr>
        <w:pStyle w:val="Normal"/>
        <w:rPr>
          <w:lang w:val="uk-UA"/>
        </w:rPr>
      </w:pPr>
      <w:r>
        <w:rPr>
          <w:lang w:val="uk-UA"/>
        </w:rPr>
        <w:t>-Розвивати управлінське лідерство, зосередившись на середньому персоналі (особливо медсестрах), як це практикується у США.</w:t>
      </w:r>
    </w:p>
    <w:p>
      <w:pPr>
        <w:pStyle w:val="Normal"/>
        <w:rPr>
          <w:lang w:val="uk-UA"/>
        </w:rPr>
      </w:pPr>
      <w:r>
        <w:rPr>
          <w:lang w:val="uk-UA"/>
        </w:rPr>
        <w:t>Отже, досвід провідних країн демонструє: ефективне управління медичним персоналом є не механічним процесом обліку кадрів, а комплексною системою, що поєднує розвиток компетенцій, цифрову підтримку, соціальні механізми та психологічну безпеку. Саме інтеграція таких підходів здатна забезпечити стійкість кадрової політики українських медичних закладів у довгостроковій перспективі.</w:t>
      </w:r>
    </w:p>
    <w:p>
      <w:pPr>
        <w:pStyle w:val="Normal"/>
        <w:rPr>
          <w:lang w:val="uk-UA"/>
        </w:rPr>
      </w:pPr>
      <w:bookmarkStart w:id="12" w:name="_Toc200703991"/>
      <w:r>
        <w:rPr>
          <w:rStyle w:val="1"/>
          <w:lang w:val="uk-UA"/>
        </w:rPr>
        <w:t>Висновок до розділу 2.</w:t>
      </w:r>
      <w:bookmarkEnd w:id="12"/>
      <w:r>
        <w:rPr>
          <w:lang w:val="uk-UA"/>
        </w:rPr>
        <w:t xml:space="preserve"> У результаті проведеного аналізу системи управління персоналом у КНП «Південнівська міська лікарня» встановлено, що кадрова політика закладу поступово трансформується від адміністративно-облікового підходу до стратегічного управління людськими ресурсами. Управлінська діяльність характеризується наявністю структурованої організаційної моделі, що поєднує функціональні та лінійні елементи, забезпечуючи чіткий розподіл повноважень та відповідальності.</w:t>
      </w:r>
    </w:p>
    <w:p>
      <w:pPr>
        <w:pStyle w:val="Normal"/>
        <w:rPr>
          <w:lang w:val="uk-UA"/>
        </w:rPr>
      </w:pPr>
      <w:r>
        <w:rPr>
          <w:lang w:val="uk-UA"/>
        </w:rPr>
        <w:t>Ретроспективний аналіз свідчить про адаптацію персоналу до екстремальних умов (пандемія, воєнний стан), що проявилося в запровадженні гнучких форм організації праці, підвищенні внутрішньої мобільності кадрів та активному використанні ресурсів внутрішнього навчання. Було відзначено як позитивні тенденції (зростання чисельності молодших спеціалістів, стабільність штату), так і проблеми (обмежені кар’єрні можливості, недостатність нематеріального стимулювання).</w:t>
      </w:r>
    </w:p>
    <w:p>
      <w:pPr>
        <w:pStyle w:val="Normal"/>
        <w:rPr>
          <w:lang w:val="uk-UA"/>
        </w:rPr>
      </w:pPr>
      <w:r>
        <w:rPr>
          <w:lang w:val="uk-UA"/>
        </w:rPr>
        <w:t>У сучасних умовах система HR-менеджменту лікарні зосереджується на забезпеченні кваліфікованого кадрового складу, цифровізації обліку персоналу, впровадженні KPI та розширенні програм професійного розвитку. Проте наявний потенціал кадрової служби потребує подальшого зміцнення шляхом запровадження стратегічного кадрового резерву, автоматизації рекрутингу, розвитку мотиваційної політики та зміцнення внутрішньої комунікації.</w:t>
      </w:r>
    </w:p>
    <w:p>
      <w:pPr>
        <w:pStyle w:val="Normal"/>
        <w:rPr>
          <w:lang w:val="uk-UA"/>
        </w:rPr>
      </w:pPr>
      <w:r>
        <w:rPr>
          <w:lang w:val="uk-UA"/>
        </w:rPr>
        <w:t>Авторське дослідження, проведене у формі анкетування та інтерв’ю, підтвердило високий рівень лояльності персоналу до керівництва, а також наявність запиту на участь у прийнятті управлінських рішень та розширення можливостей підвищення кваліфікації. Отримані результати стали підґрунтям для обґрунтування практичних рекомендацій щодо підвищення ефективності кадрової політики.</w:t>
      </w:r>
    </w:p>
    <w:p>
      <w:pPr>
        <w:pStyle w:val="Normal"/>
        <w:rPr>
          <w:lang w:val="uk-UA"/>
        </w:rPr>
      </w:pPr>
      <w:r>
        <w:rPr>
          <w:lang w:val="uk-UA"/>
        </w:rPr>
        <w:t>Аналіз зарубіжного досвіду (Швеція, Канада, Німеччина, Великобританія, США) довів доцільність інтеграції таких елементів, як мультидисциплінарність, системи внутрішньої освіти, KPI, HR-аналітика та цифрове кадрове планування. Їхнє поступове впровадження у практику КНП «Південнівська міська лікарня» сприятиме формуванню інноваційної, стійкої та орієнтованої на результат системи управління персоналом.</w:t>
      </w:r>
    </w:p>
    <w:p>
      <w:pPr>
        <w:pStyle w:val="Normal"/>
        <w:rPr>
          <w:lang w:val="uk-UA"/>
        </w:rPr>
      </w:pPr>
      <w:r>
        <w:rPr>
          <w:lang w:val="uk-UA"/>
        </w:rPr>
        <w:t>Таким чином, результати аналізу підтверджують важливість системного підходу до кадрового менеджменту як основи підвищення якості медичних послуг, збереження персоналу та забезпечення стабільного розвитку лікувального закладу в умовах трансформації системи охорони здоров’я.</w:t>
      </w:r>
      <w:r>
        <w:br w:type="page"/>
      </w:r>
    </w:p>
    <w:p>
      <w:pPr>
        <w:pStyle w:val="Heading1"/>
        <w:spacing w:before="0" w:after="0"/>
        <w:rPr>
          <w:lang w:val="uk-UA"/>
        </w:rPr>
      </w:pPr>
      <w:bookmarkStart w:id="13" w:name="_Toc200703992"/>
      <w:r>
        <w:rPr>
          <w:lang w:val="uk-UA"/>
        </w:rPr>
        <w:t>РОЗДІЛ 3. ШЛЯХИ ВДОСКОНАЛЕННЯ УПРАВЛІННЯ ПЕРСОНАЛОМ НА ПРИКЛАДІ КНП «ПІВДЕННІВСЬКА МІСЬКА ЛІКАРНЯ».</w:t>
      </w:r>
      <w:bookmarkEnd w:id="13"/>
    </w:p>
    <w:p>
      <w:pPr>
        <w:pStyle w:val="Heading1"/>
        <w:rPr>
          <w:lang w:val="uk-UA"/>
        </w:rPr>
      </w:pPr>
      <w:bookmarkStart w:id="14" w:name="_Toc200703993"/>
      <w:r>
        <w:rPr>
          <w:lang w:val="uk-UA"/>
        </w:rPr>
        <w:t>3.1. Оптимізація кадрової політики та покращення умов праці медичного персоналу</w:t>
      </w:r>
      <w:bookmarkEnd w:id="14"/>
    </w:p>
    <w:p>
      <w:pPr>
        <w:pStyle w:val="Normal"/>
        <w:rPr>
          <w:lang w:val="uk-UA"/>
        </w:rPr>
      </w:pPr>
      <w:r>
        <w:rPr>
          <w:lang w:val="uk-UA"/>
        </w:rPr>
      </w:r>
    </w:p>
    <w:p>
      <w:pPr>
        <w:pStyle w:val="Normal"/>
        <w:rPr>
          <w:lang w:val="uk-UA"/>
        </w:rPr>
      </w:pPr>
      <w:r>
        <w:rPr>
          <w:lang w:val="uk-UA"/>
        </w:rPr>
        <w:t>Сучасні виклики, з якими стикаються заклади охорони здоров’я України, зумовлюють необхідність перегляду традиційних підходів до кадрового забезпечення. У контексті реформування медичної галузі та зростання конкуренції з боку приватного сектору ключовим фактором успіху для КНП «Південнівська міська лікарня» є системна оптимізація кадрової політики та створення сприятливих умов для професійної діяльності медичного персоналу.</w:t>
      </w:r>
    </w:p>
    <w:p>
      <w:pPr>
        <w:pStyle w:val="Normal"/>
        <w:jc w:val="end"/>
        <w:rPr>
          <w:lang w:val="uk-UA" w:bidi="uk-UA"/>
        </w:rPr>
      </w:pPr>
      <w:r>
        <w:rPr>
          <w:lang w:val="uk-UA" w:bidi="uk-UA"/>
        </w:rPr>
        <w:t>Таблиця 3.1</w:t>
      </w:r>
    </w:p>
    <w:p>
      <w:pPr>
        <w:pStyle w:val="Normal"/>
        <w:jc w:val="center"/>
        <w:rPr>
          <w:lang w:val="uk-UA" w:bidi="uk-UA"/>
        </w:rPr>
      </w:pPr>
      <w:r>
        <w:rPr>
          <w:lang w:val="uk-UA" w:bidi="uk-UA"/>
        </w:rPr>
        <w:t>АБВ - аналіз</w:t>
      </w:r>
      <w:r>
        <w:rPr>
          <w:lang w:val="uk-UA"/>
        </w:rPr>
        <w:t xml:space="preserve"> КНП «Південнівська міська лікарня»</w:t>
      </w:r>
    </w:p>
    <w:tbl>
      <w:tblPr>
        <w:tblW w:w="9302" w:type="dxa"/>
        <w:jc w:val="center"/>
        <w:tblInd w:w="0" w:type="dxa"/>
        <w:tblLayout w:type="fixed"/>
        <w:tblCellMar>
          <w:top w:w="0" w:type="dxa"/>
          <w:start w:w="108" w:type="dxa"/>
          <w:bottom w:w="0" w:type="dxa"/>
          <w:end w:w="108" w:type="dxa"/>
        </w:tblCellMar>
      </w:tblPr>
      <w:tblGrid>
        <w:gridCol w:w="644"/>
        <w:gridCol w:w="3687"/>
        <w:gridCol w:w="4971"/>
      </w:tblGrid>
      <w:tr>
        <w:trPr>
          <w:trHeight w:val="300" w:hRule="atLeast"/>
        </w:trPr>
        <w:tc>
          <w:tcPr>
            <w:tcW w:w="644" w:type="dxa"/>
            <w:tcBorders>
              <w:top w:val="single" w:sz="4" w:space="0" w:color="000000"/>
              <w:start w:val="single" w:sz="4" w:space="0" w:color="000000"/>
            </w:tcBorders>
            <w:shd w:fill="FFFFFF" w:val="clear"/>
            <w:vAlign w:val="bottom"/>
          </w:tcPr>
          <w:p>
            <w:pPr>
              <w:pStyle w:val="Normal"/>
              <w:spacing w:lineRule="auto" w:line="240"/>
              <w:ind w:hanging="0"/>
              <w:jc w:val="center"/>
              <w:rPr>
                <w:b/>
                <w:bCs/>
                <w:sz w:val="24"/>
                <w:szCs w:val="24"/>
                <w:lang w:val="uk-UA" w:bidi="uk-UA"/>
              </w:rPr>
            </w:pPr>
            <w:r>
              <w:rPr>
                <w:b/>
                <w:bCs/>
                <w:sz w:val="24"/>
                <w:szCs w:val="24"/>
                <w:lang w:val="uk-UA" w:bidi="uk-UA"/>
              </w:rPr>
              <w:t>№</w:t>
            </w:r>
          </w:p>
          <w:p>
            <w:pPr>
              <w:pStyle w:val="Normal"/>
              <w:spacing w:lineRule="auto" w:line="240"/>
              <w:ind w:hanging="0"/>
              <w:jc w:val="center"/>
              <w:rPr>
                <w:b/>
                <w:bCs/>
                <w:sz w:val="24"/>
                <w:szCs w:val="24"/>
                <w:lang w:val="uk-UA" w:bidi="uk-UA"/>
              </w:rPr>
            </w:pPr>
            <w:r>
              <w:rPr>
                <w:b/>
                <w:bCs/>
                <w:sz w:val="24"/>
                <w:szCs w:val="24"/>
                <w:lang w:val="uk-UA" w:bidi="uk-UA"/>
              </w:rPr>
              <w:t>з/п</w:t>
            </w:r>
          </w:p>
        </w:tc>
        <w:tc>
          <w:tcPr>
            <w:tcW w:w="3687" w:type="dxa"/>
            <w:tcBorders>
              <w:top w:val="single" w:sz="4" w:space="0" w:color="000000"/>
              <w:start w:val="single" w:sz="4" w:space="0" w:color="000000"/>
            </w:tcBorders>
            <w:shd w:fill="FFFFFF" w:val="clear"/>
            <w:vAlign w:val="center"/>
          </w:tcPr>
          <w:p>
            <w:pPr>
              <w:pStyle w:val="Normal"/>
              <w:spacing w:lineRule="auto" w:line="240"/>
              <w:ind w:hanging="0"/>
              <w:jc w:val="center"/>
              <w:rPr>
                <w:b/>
                <w:bCs/>
                <w:sz w:val="24"/>
                <w:szCs w:val="24"/>
                <w:lang w:val="uk-UA" w:bidi="uk-UA"/>
              </w:rPr>
            </w:pPr>
            <w:r>
              <w:rPr>
                <w:b/>
                <w:bCs/>
                <w:sz w:val="24"/>
                <w:szCs w:val="24"/>
                <w:lang w:val="uk-UA" w:bidi="uk-UA"/>
              </w:rPr>
              <w:t>Завдання розвитку</w:t>
            </w:r>
          </w:p>
        </w:tc>
        <w:tc>
          <w:tcPr>
            <w:tcW w:w="4971" w:type="dxa"/>
            <w:tcBorders>
              <w:top w:val="single" w:sz="4" w:space="0" w:color="000000"/>
              <w:start w:val="single" w:sz="4" w:space="0" w:color="000000"/>
              <w:end w:val="single" w:sz="4" w:space="0" w:color="000000"/>
            </w:tcBorders>
            <w:shd w:fill="FFFFFF" w:val="clear"/>
            <w:vAlign w:val="center"/>
          </w:tcPr>
          <w:p>
            <w:pPr>
              <w:pStyle w:val="Normal"/>
              <w:spacing w:lineRule="auto" w:line="240"/>
              <w:ind w:hanging="0"/>
              <w:jc w:val="center"/>
              <w:rPr>
                <w:b/>
                <w:bCs/>
                <w:sz w:val="24"/>
                <w:szCs w:val="24"/>
                <w:lang w:val="uk-UA" w:bidi="uk-UA"/>
              </w:rPr>
            </w:pPr>
            <w:r>
              <w:rPr>
                <w:b/>
                <w:bCs/>
                <w:sz w:val="24"/>
                <w:szCs w:val="24"/>
                <w:lang w:val="uk-UA" w:bidi="uk-UA"/>
              </w:rPr>
              <w:t>Характеристика</w:t>
            </w:r>
          </w:p>
        </w:tc>
      </w:tr>
      <w:tr>
        <w:trPr>
          <w:trHeight w:val="300" w:hRule="atLeast"/>
        </w:trPr>
        <w:tc>
          <w:tcPr>
            <w:tcW w:w="644"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1</w:t>
            </w:r>
          </w:p>
        </w:tc>
        <w:tc>
          <w:tcPr>
            <w:tcW w:w="8658" w:type="dxa"/>
            <w:gridSpan w:val="2"/>
            <w:tcBorders>
              <w:top w:val="single" w:sz="4" w:space="0" w:color="000000"/>
              <w:start w:val="single" w:sz="4" w:space="0" w:color="000000"/>
              <w:end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Дуже важливі завдання (А)</w:t>
            </w:r>
          </w:p>
        </w:tc>
      </w:tr>
      <w:tr>
        <w:trPr>
          <w:trHeight w:val="300" w:hRule="atLeast"/>
        </w:trPr>
        <w:tc>
          <w:tcPr>
            <w:tcW w:w="644"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1.1.</w:t>
            </w:r>
          </w:p>
        </w:tc>
        <w:tc>
          <w:tcPr>
            <w:tcW w:w="3687" w:type="dxa"/>
            <w:tcBorders>
              <w:top w:val="single" w:sz="4" w:space="0" w:color="000000"/>
              <w:start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Оптимізація кадрового потенціалу </w:t>
            </w:r>
          </w:p>
        </w:tc>
        <w:tc>
          <w:tcPr>
            <w:tcW w:w="4971" w:type="dxa"/>
            <w:tcBorders>
              <w:top w:val="single" w:sz="4" w:space="0" w:color="000000"/>
              <w:start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Усунення кадрового дефіциту лікарів і середнього медперсоналу. Формування кадрового резерву. </w:t>
            </w:r>
          </w:p>
        </w:tc>
      </w:tr>
      <w:tr>
        <w:trPr>
          <w:trHeight w:val="300" w:hRule="atLeast"/>
        </w:trPr>
        <w:tc>
          <w:tcPr>
            <w:tcW w:w="644"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1.2</w:t>
            </w:r>
          </w:p>
        </w:tc>
        <w:tc>
          <w:tcPr>
            <w:tcW w:w="3687" w:type="dxa"/>
            <w:tcBorders>
              <w:top w:val="single" w:sz="4" w:space="0" w:color="000000"/>
              <w:start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Відкриття паліативного відділення, створення мобільної паліативної групи.</w:t>
            </w:r>
          </w:p>
        </w:tc>
        <w:tc>
          <w:tcPr>
            <w:tcW w:w="4971" w:type="dxa"/>
            <w:tcBorders>
              <w:top w:val="single" w:sz="4" w:space="0" w:color="000000"/>
              <w:start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Забезпечення доступу до паліативної допомоги для пацієнтів з тяжкими хронічними станами. Розвантаження стаціонарних відділень, покращення якості життя пацієнтів, зниження витрат на госпіталізацію. Формування мультидисциплінарної команди (лікар, медсестра, психолог, соціальний працівник).</w:t>
            </w:r>
          </w:p>
        </w:tc>
      </w:tr>
      <w:tr>
        <w:trPr>
          <w:trHeight w:val="300" w:hRule="atLeast"/>
        </w:trPr>
        <w:tc>
          <w:tcPr>
            <w:tcW w:w="644"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1.3</w:t>
            </w:r>
          </w:p>
        </w:tc>
        <w:tc>
          <w:tcPr>
            <w:tcW w:w="3687" w:type="dxa"/>
            <w:tcBorders>
              <w:top w:val="single" w:sz="4" w:space="0" w:color="000000"/>
              <w:start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Нові пакети з НСЗУ </w:t>
            </w:r>
          </w:p>
        </w:tc>
        <w:tc>
          <w:tcPr>
            <w:tcW w:w="4971" w:type="dxa"/>
            <w:tcBorders>
              <w:top w:val="single" w:sz="4" w:space="0" w:color="000000"/>
              <w:start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Надання якісної та висококваліфікаційної допомоги за пакетом. </w:t>
            </w:r>
          </w:p>
        </w:tc>
      </w:tr>
      <w:tr>
        <w:trPr>
          <w:trHeight w:val="300" w:hRule="atLeast"/>
        </w:trPr>
        <w:tc>
          <w:tcPr>
            <w:tcW w:w="644"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2</w:t>
            </w:r>
          </w:p>
        </w:tc>
        <w:tc>
          <w:tcPr>
            <w:tcW w:w="8658" w:type="dxa"/>
            <w:gridSpan w:val="2"/>
            <w:tcBorders>
              <w:top w:val="single" w:sz="4" w:space="0" w:color="000000"/>
              <w:start w:val="single" w:sz="4" w:space="0" w:color="000000"/>
              <w:end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 xml:space="preserve">Важливі завдання </w:t>
            </w:r>
            <w:r>
              <w:rPr>
                <w:i/>
                <w:iCs/>
                <w:sz w:val="24"/>
                <w:szCs w:val="24"/>
                <w:lang w:val="uk-UA" w:bidi="uk-UA"/>
              </w:rPr>
              <w:t>(Б)</w:t>
            </w:r>
          </w:p>
        </w:tc>
      </w:tr>
      <w:tr>
        <w:trPr>
          <w:trHeight w:val="300" w:hRule="atLeast"/>
        </w:trPr>
        <w:tc>
          <w:tcPr>
            <w:tcW w:w="644"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2.1.</w:t>
            </w:r>
          </w:p>
        </w:tc>
        <w:tc>
          <w:tcPr>
            <w:tcW w:w="3687" w:type="dxa"/>
            <w:tcBorders>
              <w:top w:val="single" w:sz="4" w:space="0" w:color="000000"/>
              <w:start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Поліпшення матеріально-технічної бази </w:t>
            </w:r>
          </w:p>
        </w:tc>
        <w:tc>
          <w:tcPr>
            <w:tcW w:w="4971" w:type="dxa"/>
            <w:tcBorders>
              <w:top w:val="single" w:sz="4" w:space="0" w:color="000000"/>
              <w:start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Закупівля сучасного обладнання, оновлення парку спецтехніки, ремонт приміщень. </w:t>
            </w:r>
          </w:p>
        </w:tc>
      </w:tr>
      <w:tr>
        <w:trPr>
          <w:trHeight w:val="300" w:hRule="atLeast"/>
        </w:trPr>
        <w:tc>
          <w:tcPr>
            <w:tcW w:w="644"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uk-UA"/>
              </w:rPr>
            </w:pPr>
            <w:r>
              <w:rPr>
                <w:sz w:val="24"/>
                <w:szCs w:val="24"/>
                <w:lang w:val="uk-UA" w:bidi="uk-UA"/>
              </w:rPr>
              <w:t>2.2.</w:t>
            </w:r>
          </w:p>
        </w:tc>
        <w:tc>
          <w:tcPr>
            <w:tcW w:w="3687" w:type="dxa"/>
            <w:tcBorders>
              <w:top w:val="single" w:sz="4" w:space="0" w:color="000000"/>
              <w:start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Підвищення кваліфікації персоналу </w:t>
            </w:r>
          </w:p>
        </w:tc>
        <w:tc>
          <w:tcPr>
            <w:tcW w:w="4971" w:type="dxa"/>
            <w:tcBorders>
              <w:top w:val="single" w:sz="4" w:space="0" w:color="000000"/>
              <w:start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Системне навчання медичних працівників, участь у тренінгах та сертифікаційних програмах. </w:t>
            </w:r>
          </w:p>
        </w:tc>
      </w:tr>
      <w:tr>
        <w:trPr>
          <w:trHeight w:val="300" w:hRule="atLeast"/>
        </w:trPr>
        <w:tc>
          <w:tcPr>
            <w:tcW w:w="644" w:type="dxa"/>
            <w:tcBorders>
              <w:top w:val="single" w:sz="4" w:space="0" w:color="000000"/>
              <w:start w:val="single" w:sz="4" w:space="0" w:color="000000"/>
            </w:tcBorders>
            <w:shd w:fill="FFFFFF" w:val="clear"/>
            <w:vAlign w:val="bottom"/>
          </w:tcPr>
          <w:p>
            <w:pPr>
              <w:pStyle w:val="Normal"/>
              <w:spacing w:lineRule="auto" w:line="240"/>
              <w:ind w:hanging="0"/>
              <w:rPr>
                <w:sz w:val="24"/>
                <w:szCs w:val="24"/>
                <w:lang w:val="uk-UA" w:bidi="en-US"/>
              </w:rPr>
            </w:pPr>
            <w:r>
              <w:rPr>
                <w:sz w:val="24"/>
                <w:szCs w:val="24"/>
                <w:lang w:val="uk-UA"/>
              </w:rPr>
              <w:t>2</w:t>
            </w:r>
            <w:r>
              <w:rPr>
                <w:sz w:val="24"/>
                <w:szCs w:val="24"/>
                <w:lang w:val="uk-UA" w:bidi="en-US"/>
              </w:rPr>
              <w:t>.3.</w:t>
            </w:r>
          </w:p>
        </w:tc>
        <w:tc>
          <w:tcPr>
            <w:tcW w:w="3687" w:type="dxa"/>
            <w:tcBorders>
              <w:top w:val="single" w:sz="4" w:space="0" w:color="000000"/>
              <w:start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Налагодження партнерств </w:t>
            </w:r>
          </w:p>
        </w:tc>
        <w:tc>
          <w:tcPr>
            <w:tcW w:w="4971" w:type="dxa"/>
            <w:tcBorders>
              <w:top w:val="single" w:sz="4" w:space="0" w:color="000000"/>
              <w:start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Співпраця з НСЗУ, місцевими органами влади, міжнародними та недержавними організаціями. </w:t>
            </w:r>
          </w:p>
        </w:tc>
      </w:tr>
      <w:tr>
        <w:trPr>
          <w:trHeight w:val="300" w:hRule="atLeast"/>
        </w:trPr>
        <w:tc>
          <w:tcPr>
            <w:tcW w:w="644" w:type="dxa"/>
            <w:tcBorders>
              <w:top w:val="single" w:sz="4" w:space="0" w:color="000000"/>
              <w:start w:val="single" w:sz="4" w:space="0" w:color="000000"/>
              <w:bottom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2.4</w:t>
            </w:r>
          </w:p>
        </w:tc>
        <w:tc>
          <w:tcPr>
            <w:tcW w:w="3687" w:type="dxa"/>
            <w:tcBorders>
              <w:top w:val="single" w:sz="4" w:space="0" w:color="000000"/>
              <w:start w:val="single" w:sz="4" w:space="0" w:color="000000"/>
              <w:bottom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PR медичного закладу</w:t>
            </w:r>
          </w:p>
          <w:p>
            <w:pPr>
              <w:pStyle w:val="Normal"/>
              <w:spacing w:lineRule="auto" w:line="240"/>
              <w:ind w:hanging="0"/>
              <w:rPr>
                <w:sz w:val="24"/>
                <w:szCs w:val="24"/>
                <w:lang w:val="uk-UA" w:bidi="uk-UA"/>
              </w:rPr>
            </w:pPr>
            <w:r>
              <w:rPr>
                <w:sz w:val="24"/>
                <w:szCs w:val="24"/>
                <w:lang w:val="uk-UA" w:bidi="uk-UA"/>
              </w:rPr>
            </w:r>
          </w:p>
        </w:tc>
        <w:tc>
          <w:tcPr>
            <w:tcW w:w="4971" w:type="dxa"/>
            <w:tcBorders>
              <w:top w:val="single" w:sz="4" w:space="0" w:color="000000"/>
              <w:start w:val="single" w:sz="4" w:space="0" w:color="000000"/>
              <w:bottom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Оновлення сайту, підвищення привабливості закладу в очах громади.</w:t>
            </w:r>
          </w:p>
        </w:tc>
      </w:tr>
      <w:tr>
        <w:trPr>
          <w:trHeight w:val="300" w:hRule="atLeast"/>
        </w:trPr>
        <w:tc>
          <w:tcPr>
            <w:tcW w:w="644" w:type="dxa"/>
            <w:tcBorders>
              <w:top w:val="single" w:sz="4" w:space="0" w:color="000000"/>
              <w:start w:val="single" w:sz="4" w:space="0" w:color="000000"/>
              <w:bottom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3</w:t>
            </w:r>
          </w:p>
        </w:tc>
        <w:tc>
          <w:tcPr>
            <w:tcW w:w="8658" w:type="dxa"/>
            <w:gridSpan w:val="2"/>
            <w:tcBorders>
              <w:top w:val="single" w:sz="4" w:space="0" w:color="000000"/>
              <w:start w:val="single" w:sz="4" w:space="0" w:color="000000"/>
              <w:bottom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Менш важливі завдання </w:t>
            </w:r>
            <w:r>
              <w:rPr>
                <w:i/>
                <w:iCs/>
                <w:sz w:val="24"/>
                <w:szCs w:val="24"/>
                <w:lang w:val="uk-UA" w:bidi="uk-UA"/>
              </w:rPr>
              <w:t>(В)</w:t>
            </w:r>
          </w:p>
        </w:tc>
      </w:tr>
      <w:tr>
        <w:trPr>
          <w:trHeight w:val="300" w:hRule="atLeast"/>
        </w:trPr>
        <w:tc>
          <w:tcPr>
            <w:tcW w:w="644" w:type="dxa"/>
            <w:tcBorders>
              <w:top w:val="single" w:sz="4" w:space="0" w:color="000000"/>
              <w:start w:val="single" w:sz="4" w:space="0" w:color="000000"/>
              <w:bottom w:val="single" w:sz="4" w:space="0" w:color="000000"/>
            </w:tcBorders>
            <w:shd w:fill="FFFFFF" w:val="clear"/>
          </w:tcPr>
          <w:p>
            <w:pPr>
              <w:pStyle w:val="Normal"/>
              <w:spacing w:lineRule="auto" w:line="240"/>
              <w:ind w:hanging="0"/>
              <w:rPr>
                <w:sz w:val="24"/>
                <w:szCs w:val="24"/>
                <w:lang w:val="uk-UA"/>
              </w:rPr>
            </w:pPr>
            <w:r>
              <w:rPr>
                <w:sz w:val="24"/>
                <w:szCs w:val="24"/>
                <w:lang w:val="uk-UA" w:bidi="uk-UA"/>
              </w:rPr>
              <w:t>3.1</w:t>
            </w:r>
            <w:r>
              <w:rPr>
                <w:sz w:val="24"/>
                <w:szCs w:val="24"/>
                <w:lang w:val="uk-UA"/>
              </w:rPr>
              <w:t>.</w:t>
            </w:r>
          </w:p>
        </w:tc>
        <w:tc>
          <w:tcPr>
            <w:tcW w:w="3687" w:type="dxa"/>
            <w:tcBorders>
              <w:top w:val="single" w:sz="4" w:space="0" w:color="000000"/>
              <w:start w:val="single" w:sz="4" w:space="0" w:color="000000"/>
              <w:bottom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Розвиток волонтерських ініціатив </w:t>
            </w:r>
          </w:p>
        </w:tc>
        <w:tc>
          <w:tcPr>
            <w:tcW w:w="4971" w:type="dxa"/>
            <w:tcBorders>
              <w:top w:val="single" w:sz="4" w:space="0" w:color="000000"/>
              <w:start w:val="single" w:sz="4" w:space="0" w:color="000000"/>
              <w:bottom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Залучення волонтерів до догляду за пацієнтами, проведення просвітницьких заходів. </w:t>
            </w:r>
          </w:p>
        </w:tc>
      </w:tr>
      <w:tr>
        <w:trPr>
          <w:trHeight w:val="300" w:hRule="atLeast"/>
        </w:trPr>
        <w:tc>
          <w:tcPr>
            <w:tcW w:w="644" w:type="dxa"/>
            <w:tcBorders>
              <w:top w:val="single" w:sz="4" w:space="0" w:color="000000"/>
              <w:start w:val="single" w:sz="4" w:space="0" w:color="000000"/>
              <w:bottom w:val="single" w:sz="4" w:space="0" w:color="000000"/>
            </w:tcBorders>
            <w:shd w:fill="FFFFFF" w:val="clear"/>
          </w:tcPr>
          <w:p>
            <w:pPr>
              <w:pStyle w:val="Normal"/>
              <w:spacing w:lineRule="auto" w:line="240"/>
              <w:ind w:hanging="0"/>
              <w:rPr>
                <w:sz w:val="24"/>
                <w:szCs w:val="24"/>
                <w:lang w:val="uk-UA"/>
              </w:rPr>
            </w:pPr>
            <w:r>
              <w:rPr>
                <w:sz w:val="24"/>
                <w:szCs w:val="24"/>
                <w:lang w:val="uk-UA" w:bidi="uk-UA"/>
              </w:rPr>
              <w:t>3.2</w:t>
            </w:r>
            <w:r>
              <w:rPr>
                <w:sz w:val="24"/>
                <w:szCs w:val="24"/>
                <w:lang w:val="uk-UA"/>
              </w:rPr>
              <w:t>.</w:t>
            </w:r>
          </w:p>
        </w:tc>
        <w:tc>
          <w:tcPr>
            <w:tcW w:w="3687" w:type="dxa"/>
            <w:tcBorders>
              <w:top w:val="single" w:sz="4" w:space="0" w:color="000000"/>
              <w:start w:val="single" w:sz="4" w:space="0" w:color="000000"/>
              <w:bottom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Участь у соціальних проектах </w:t>
            </w:r>
          </w:p>
        </w:tc>
        <w:tc>
          <w:tcPr>
            <w:tcW w:w="4971" w:type="dxa"/>
            <w:tcBorders>
              <w:top w:val="single" w:sz="4" w:space="0" w:color="000000"/>
              <w:start w:val="single" w:sz="4" w:space="0" w:color="000000"/>
              <w:bottom w:val="single" w:sz="4" w:space="0" w:color="000000"/>
              <w:end w:val="single" w:sz="4" w:space="0" w:color="000000"/>
            </w:tcBorders>
            <w:shd w:fill="FFFFFF" w:val="clear"/>
          </w:tcPr>
          <w:p>
            <w:pPr>
              <w:pStyle w:val="Normal"/>
              <w:spacing w:lineRule="auto" w:line="240"/>
              <w:ind w:hanging="0"/>
              <w:rPr>
                <w:sz w:val="24"/>
                <w:szCs w:val="24"/>
                <w:lang w:val="uk-UA" w:bidi="uk-UA"/>
              </w:rPr>
            </w:pPr>
            <w:r>
              <w:rPr>
                <w:sz w:val="24"/>
                <w:szCs w:val="24"/>
                <w:lang w:val="uk-UA" w:bidi="uk-UA"/>
              </w:rPr>
              <w:t xml:space="preserve">Інформаційні кампанії щодо профілактики захворювань, здорового способу життя. </w:t>
            </w:r>
          </w:p>
        </w:tc>
      </w:tr>
    </w:tbl>
    <w:p>
      <w:pPr>
        <w:pStyle w:val="Normal"/>
        <w:ind w:firstLine="720"/>
        <w:rPr>
          <w:rFonts w:eastAsia="Calibri"/>
          <w:i/>
          <w:i/>
          <w:iCs/>
          <w:sz w:val="24"/>
          <w:szCs w:val="24"/>
          <w:lang w:val="uk-UA"/>
        </w:rPr>
      </w:pPr>
      <w:r>
        <w:rPr>
          <w:rFonts w:eastAsia="Calibri"/>
          <w:i/>
          <w:iCs/>
          <w:sz w:val="24"/>
          <w:szCs w:val="24"/>
          <w:lang w:val="uk-UA"/>
        </w:rPr>
        <w:t>Створено автором на основі джерела [</w:t>
      </w:r>
      <w:r>
        <w:rPr>
          <w:rFonts w:eastAsia="Calibri"/>
          <w:i/>
          <w:iCs/>
          <w:sz w:val="24"/>
          <w:szCs w:val="24"/>
          <w:lang w:val="en-GB"/>
        </w:rPr>
        <w:t>29</w:t>
      </w:r>
      <w:r>
        <w:rPr>
          <w:rFonts w:eastAsia="Calibri"/>
          <w:i/>
          <w:iCs/>
          <w:sz w:val="24"/>
          <w:szCs w:val="24"/>
          <w:lang w:val="uk-UA"/>
        </w:rPr>
        <w:t>]</w:t>
      </w:r>
    </w:p>
    <w:p>
      <w:pPr>
        <w:pStyle w:val="Normal"/>
        <w:rPr>
          <w:b/>
          <w:bCs/>
          <w:lang w:val="uk-UA"/>
        </w:rPr>
      </w:pPr>
      <w:r>
        <w:rPr>
          <w:b/>
          <w:bCs/>
          <w:lang w:val="uk-UA"/>
        </w:rPr>
      </w:r>
    </w:p>
    <w:p>
      <w:pPr>
        <w:pStyle w:val="Normal"/>
        <w:rPr>
          <w:lang w:val="uk-UA"/>
        </w:rPr>
      </w:pPr>
      <w:r>
        <w:rPr>
          <w:lang w:val="uk-UA"/>
        </w:rPr>
        <w:t>На основі проведеного аналізу та результатів АБВ-матриці розвитку (табл. 3.1), кадрова політика медичного закладу потребує системних та комплексних змін, які мають охоплювати як стратегічні, так і організаційно-побутові аспекти управління персоналом. Однією з ключових проблем залишається дефіцит лікарів і середнього медичного персоналу, особливо представників молодшого покоління. Саме кадрова нестача виступає головною загрозою сталості функціонування організації, оскільки вона спричиняє нерівномірний розподіл навантаження, погіршення якості медичної допомоги, підвищення рівня стресу серед наявних працівників та ризик помилок у клінічній практиці. Для вирішення цієї проблеми необхідно посилити внутрішні інструменти кадрового відтворення. Йдеться про формування внутрішнього кадрового резерву, де перспективні працівники заздалегідь готуються до зайняття вищих посад або складніших функцій, що допомагає зберегти інституційну пам’ять і зменшує залежність від зовнішнього ринку праці.</w:t>
      </w:r>
    </w:p>
    <w:p>
      <w:pPr>
        <w:pStyle w:val="Normal"/>
        <w:rPr>
          <w:lang w:val="uk-UA"/>
        </w:rPr>
      </w:pPr>
      <w:r>
        <w:rPr>
          <w:lang w:val="uk-UA"/>
        </w:rPr>
        <w:t>Важливою частиною кадрової стратегії має стати запровадження ефективної системи наставництва для молодих фахівців та лікарів-інтернів. Така практика дозволяє забезпечити поступове входження у професійне середовище, передачу знань та досвіду від старших колег, зниження тривожності та страху перед професійною відповідальністю. Паралельно з цим доцільною є активна співпраця з навчальними закладами: створення партнерських програм, можливість цільової підготовки спеціалістів під потреби конкретного закладу охорони здоров’я, участь у клінічних базах університетів. На додаток, вагомим стимулом для залучення молодих кадрів можуть бути розширені соціальні пакети, включно з частковою компенсацією оренди житла, проїзду або харчування. Саме фінансово-побутові фактори часто є вирішальними для молодих медиків у виборі місця роботи, особливо в регіонах поза столичними центрами.</w:t>
      </w:r>
    </w:p>
    <w:p>
      <w:pPr>
        <w:pStyle w:val="Normal"/>
        <w:rPr>
          <w:lang w:val="uk-UA"/>
        </w:rPr>
      </w:pPr>
      <w:r>
        <w:rPr>
          <w:lang w:val="uk-UA"/>
        </w:rPr>
        <w:t>Наступним напрямом модернізації є впровадження HR-аналітики як інструмента системного управління кадрами. Традиційний підхід, що обмежується обліком чисельності штатних одиниць і фіксацією ротації, не дозволяє адекватно оцінити стан кадрового потенціалу. Сучасні цифрові системи повинні забезпечувати моніторинг показників плинності кадрів, рівня навантаження за спеціальностями, ефективності клінічної діяльності, участі у тренінгах і підвищенні кваліфікації. Аналіз таких даних дозволяє виявляти приховані ризики, зокрема ознаки вигорання, порушення балансу між кількістю пацієнтів та кількістю медичних працівників, неефективне використання робочого часу. HR-аналітика також забезпечує управлінській команді можливість прогнозування кадрових потреб, моделювання наслідків звільнення ключових працівників та обґрунтованого планування заміщення.</w:t>
      </w:r>
    </w:p>
    <w:p>
      <w:pPr>
        <w:pStyle w:val="Normal"/>
        <w:rPr>
          <w:lang w:val="uk-UA"/>
        </w:rPr>
      </w:pPr>
      <w:r>
        <w:rPr>
          <w:lang w:val="uk-UA"/>
        </w:rPr>
        <w:t>Актуальним викликом є також необхідність оновлення посадових інструкцій, які повинні відповідати сучасним стандартам медичної практики та регуляторним вимогам. У зв’язку з реформуванням системи охорони здоров’я, впровадженням вимог Національної служби здоров’я України та переходом до міждисциплінарних комунікацій традиційні посадові обов’язки перестають бути актуальними. Інструкції мають містити не лише клінічні функції, а й компоненти професійного розвитку, участь у мультидисциплінарних консиліумах, взаємодію з пацієнтами, цифрове документування та вміння працювати у медичних інформаційних системах. Така актуалізація дозволяє знизити кількість конфліктів, пов’язаних з невизначеністю ролей, та забезпечує чіткість очікувань щодо виконання обов’язків.</w:t>
      </w:r>
    </w:p>
    <w:p>
      <w:pPr>
        <w:pStyle w:val="Normal"/>
        <w:rPr>
          <w:lang w:val="uk-UA"/>
        </w:rPr>
      </w:pPr>
      <w:r>
        <w:rPr>
          <w:lang w:val="uk-UA"/>
        </w:rPr>
        <w:t>Модернізація системи оцінювання персоналу є ще одним фундаментальним напрямом кадрової політики. Її основою має стати впровадження ключових показників ефективності (KPI), адаптованих до кожної професійної категорії. Показники для лікарів можуть включати рівень задоволеності пацієнтів, дотримання клінічних протоколів, частоту повторних звернень, участь у тренінгах та освітніх програмах. Для середнього медичного персоналу – це своєчасність надання допомоги, якість ведення документації, взаємодія з пацієнтами, дисциплінарні показники. KPI не повинні перетворюватися на каральний інструмент; вони покликані забезпечити прозорість оцінювання, стимулювати професійну активність і сприяти саморефлексії персоналу.</w:t>
      </w:r>
    </w:p>
    <w:p>
      <w:pPr>
        <w:pStyle w:val="Normal"/>
        <w:rPr>
          <w:lang w:val="uk-UA"/>
        </w:rPr>
      </w:pPr>
      <w:r>
        <w:rPr>
          <w:lang w:val="uk-UA"/>
        </w:rPr>
        <w:t>У контексті поліпшення умов праці на 2025 рік особливої уваги потребує фізичне середовище медичного закладу. Професійна діяльність лікарів і медсестер часто відбувається у стані високого напруження, тому якість робочого простору безпосередньо впливає на їхню продуктивність і психологічний комфорт. До пріоритетних заходів належить ремонт та модернізація приміщень – операційних, перев’язочних, ординаторських, зон очікування та відпочинку. Особливе значення мають мікроклімат, освітлення й вентиляція, адже їхній стан впливає не лише на комфорт, а й на безпеку та рівень концентрації. Важливо також створити спеціалізовані простори для відновлення емоційного стану персоналу, де працівники можуть відпочити між робочими змінами.</w:t>
      </w:r>
    </w:p>
    <w:p>
      <w:pPr>
        <w:pStyle w:val="Normal"/>
        <w:rPr>
          <w:lang w:val="uk-UA"/>
        </w:rPr>
      </w:pPr>
      <w:r>
        <w:rPr>
          <w:lang w:val="uk-UA"/>
        </w:rPr>
        <w:t>Окрему увагу необхідно приділити системі охорони праці. Регулярне постачання засобів індивідуального захисту, дотримання санітарно-епідеміологічних норм та проведення тренінгів із безпеки мають бути не разовими заходами, а постійною практикою. Пандемія COVID-19 та виклики воєнного часу продемонстрували, що нехтування цими нормами призводить до втрат персоналу, погіршення мотивації та ризику вигорання. Формування культури безпеки дозволяє працівникам відчувати захищеність і впевненість у роботодавці.</w:t>
      </w:r>
    </w:p>
    <w:p>
      <w:pPr>
        <w:pStyle w:val="Normal"/>
        <w:rPr>
          <w:lang w:val="uk-UA"/>
        </w:rPr>
      </w:pPr>
      <w:r>
        <w:rPr>
          <w:lang w:val="uk-UA"/>
        </w:rPr>
        <w:t>Не менш значущими є заходи щодо гнучкої організації робочого часу. Мова йде не лише про коригування графіків чергувань, а про можливість адаптації режиму роботи до життєвих обставин співробітників – наприклад, для працівників із дітьми, осіб з інвалідністю чи тих, хто доглядає за літніми родичами. Ротаційні графіки дозволяють уникнути перевтоми, а рівномірний розподіл нічних чергувань знижує ризик порушень у прийнятті рішень. Гнучкість у цьому аспекті не зменшує дисциплінованість, а підвищує лояльність персоналу та його готовність залишатися у закладі на довгострокову перспективу.</w:t>
      </w:r>
    </w:p>
    <w:p>
      <w:pPr>
        <w:pStyle w:val="Normal"/>
        <w:rPr>
          <w:lang w:val="uk-UA"/>
        </w:rPr>
      </w:pPr>
      <w:r>
        <w:rPr>
          <w:lang w:val="uk-UA"/>
        </w:rPr>
        <w:t>Важливою складовою кадрової політики стає розвиток системи психоемоційної підтримки працівників. Висока інтенсивність контакту з людським болем, смерть пацієнтів, конфлікти з родичами, відповідальність за результат – усе це створює значне психологічне навантаження. Тому доступ до професійного психолога, регулярні групи підтримки, а також тренінги зі стресостійкості, емоційного інтелекту й ненасильницької комунікації мають бути невід’ємною частиною організаційної культури. Запровадження програм на кшталт «Ментальне здоров’я працівника» здатне суттєво зменшити рівень вигорання, сприяти згуртуванню колективу та підвищенню якості взаємодії з пацієнтами.</w:t>
      </w:r>
    </w:p>
    <w:p>
      <w:pPr>
        <w:pStyle w:val="Normal"/>
        <w:rPr>
          <w:lang w:val="uk-UA"/>
        </w:rPr>
      </w:pPr>
      <w:r>
        <w:rPr>
          <w:lang w:val="uk-UA"/>
        </w:rPr>
        <w:t>Таким чином, модернізація кадрової політики не може обмежуватися лише збільшенням чисельності персоналу чи підвищенням заробітних плат. Вона вимагає комплексного підходу, де ключову роль відіграє інтеграція HR-аналітики, розбудова кадрового резерву, перегляд стандартів компетентності, інвестування в умови праці та психологічну підтримку. Лише поєднання цих напрямів дозволить досягти стабільності, зберегти персонал, підвищити якість медичної допомоги та забезпечити довготривалу ефективність надання послуг у системі охорони здоров’я.</w:t>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tabs>
          <w:tab w:val="clear" w:pos="708"/>
          <w:tab w:val="left" w:pos="1134" w:leader="none"/>
        </w:tabs>
        <w:jc w:val="end"/>
        <w:rPr>
          <w:lang w:val="uk-UA"/>
        </w:rPr>
      </w:pPr>
      <w:r>
        <w:rPr>
          <w:lang w:val="uk-UA"/>
        </w:rPr>
        <w:t>Таблиця 3.2</w:t>
      </w:r>
    </w:p>
    <w:p>
      <w:pPr>
        <w:pStyle w:val="Normal"/>
        <w:tabs>
          <w:tab w:val="clear" w:pos="708"/>
          <w:tab w:val="left" w:pos="1134" w:leader="none"/>
        </w:tabs>
        <w:jc w:val="center"/>
        <w:rPr>
          <w:lang w:val="uk-UA"/>
        </w:rPr>
      </w:pPr>
      <w:r>
        <w:rPr>
          <w:lang w:val="uk-UA"/>
        </w:rPr>
        <w:t>Очікувані результати від реалізації заходів</w:t>
      </w:r>
    </w:p>
    <w:tbl>
      <w:tblPr>
        <w:tblW w:w="9345" w:type="dxa"/>
        <w:jc w:val="start"/>
        <w:tblInd w:w="0" w:type="dxa"/>
        <w:tblLayout w:type="fixed"/>
        <w:tblCellMar>
          <w:top w:w="0" w:type="dxa"/>
          <w:start w:w="108" w:type="dxa"/>
          <w:bottom w:w="0" w:type="dxa"/>
          <w:end w:w="108" w:type="dxa"/>
        </w:tblCellMar>
      </w:tblPr>
      <w:tblGrid>
        <w:gridCol w:w="3475"/>
        <w:gridCol w:w="5870"/>
      </w:tblGrid>
      <w:tr>
        <w:trPr/>
        <w:tc>
          <w:tcPr>
            <w:tcW w:w="3475" w:type="dxa"/>
            <w:tcBorders>
              <w:top w:val="single" w:sz="4" w:space="0" w:color="000000"/>
              <w:start w:val="single" w:sz="4" w:space="0" w:color="000000"/>
              <w:bottom w:val="single" w:sz="4" w:space="0" w:color="000000"/>
              <w:end w:val="single" w:sz="4" w:space="0" w:color="000000"/>
            </w:tcBorders>
            <w:vAlign w:val="center"/>
          </w:tcPr>
          <w:p>
            <w:pPr>
              <w:pStyle w:val="Normal"/>
              <w:widowControl/>
              <w:tabs>
                <w:tab w:val="clear" w:pos="708"/>
                <w:tab w:val="left" w:pos="1134" w:leader="none"/>
              </w:tabs>
              <w:spacing w:lineRule="auto" w:line="240" w:before="0" w:after="0"/>
              <w:ind w:hanging="0"/>
              <w:jc w:val="start"/>
              <w:rPr>
                <w:rFonts w:ascii="Times New Roman" w:hAnsi="Times New Roman"/>
                <w:lang w:val="uk-UA"/>
              </w:rPr>
            </w:pPr>
            <w:r>
              <w:rPr>
                <w:rFonts w:eastAsia="Calibri"/>
                <w:b/>
                <w:bCs/>
                <w:kern w:val="2"/>
                <w:sz w:val="24"/>
                <w:lang w:val="uk-UA" w:eastAsia="en-US" w:bidi="ar-SA"/>
              </w:rPr>
              <w:t>Напрям</w:t>
            </w:r>
          </w:p>
        </w:tc>
        <w:tc>
          <w:tcPr>
            <w:tcW w:w="5870" w:type="dxa"/>
            <w:tcBorders>
              <w:top w:val="single" w:sz="4" w:space="0" w:color="000000"/>
              <w:start w:val="single" w:sz="4" w:space="0" w:color="000000"/>
              <w:bottom w:val="single" w:sz="4" w:space="0" w:color="000000"/>
              <w:end w:val="single" w:sz="4" w:space="0" w:color="000000"/>
            </w:tcBorders>
            <w:vAlign w:val="center"/>
          </w:tcPr>
          <w:p>
            <w:pPr>
              <w:pStyle w:val="Normal"/>
              <w:widowControl/>
              <w:tabs>
                <w:tab w:val="clear" w:pos="708"/>
                <w:tab w:val="left" w:pos="1134" w:leader="none"/>
              </w:tabs>
              <w:spacing w:lineRule="auto" w:line="240" w:before="0" w:after="0"/>
              <w:ind w:hanging="0"/>
              <w:jc w:val="start"/>
              <w:rPr>
                <w:rFonts w:ascii="Times New Roman" w:hAnsi="Times New Roman"/>
                <w:lang w:val="uk-UA"/>
              </w:rPr>
            </w:pPr>
            <w:r>
              <w:rPr>
                <w:rFonts w:eastAsia="Calibri"/>
                <w:b/>
                <w:bCs/>
                <w:kern w:val="2"/>
                <w:sz w:val="24"/>
                <w:lang w:val="uk-UA" w:eastAsia="en-US" w:bidi="ar-SA"/>
              </w:rPr>
              <w:t>Очікуваний ефект</w:t>
            </w:r>
          </w:p>
        </w:tc>
      </w:tr>
      <w:tr>
        <w:trPr/>
        <w:tc>
          <w:tcPr>
            <w:tcW w:w="3475" w:type="dxa"/>
            <w:tcBorders>
              <w:top w:val="single" w:sz="4" w:space="0" w:color="000000"/>
              <w:start w:val="single" w:sz="4" w:space="0" w:color="000000"/>
              <w:bottom w:val="single" w:sz="4" w:space="0" w:color="000000"/>
              <w:end w:val="single" w:sz="4" w:space="0" w:color="000000"/>
            </w:tcBorders>
            <w:vAlign w:val="center"/>
          </w:tcPr>
          <w:p>
            <w:pPr>
              <w:pStyle w:val="Normal"/>
              <w:widowControl/>
              <w:tabs>
                <w:tab w:val="clear" w:pos="708"/>
                <w:tab w:val="left" w:pos="1134" w:leader="none"/>
              </w:tabs>
              <w:spacing w:lineRule="auto" w:line="240" w:before="0" w:after="0"/>
              <w:ind w:hanging="0"/>
              <w:jc w:val="start"/>
              <w:rPr>
                <w:rFonts w:ascii="Times New Roman" w:hAnsi="Times New Roman"/>
                <w:lang w:val="uk-UA"/>
              </w:rPr>
            </w:pPr>
            <w:r>
              <w:rPr>
                <w:rFonts w:eastAsia="Calibri"/>
                <w:kern w:val="2"/>
                <w:sz w:val="24"/>
                <w:lang w:val="uk-UA" w:eastAsia="en-US" w:bidi="ar-SA"/>
              </w:rPr>
              <w:t>Формування кадрового резерву</w:t>
            </w:r>
          </w:p>
        </w:tc>
        <w:tc>
          <w:tcPr>
            <w:tcW w:w="5870" w:type="dxa"/>
            <w:tcBorders>
              <w:top w:val="single" w:sz="4" w:space="0" w:color="000000"/>
              <w:start w:val="single" w:sz="4" w:space="0" w:color="000000"/>
              <w:bottom w:val="single" w:sz="4" w:space="0" w:color="000000"/>
              <w:end w:val="single" w:sz="4" w:space="0" w:color="000000"/>
            </w:tcBorders>
            <w:vAlign w:val="center"/>
          </w:tcPr>
          <w:p>
            <w:pPr>
              <w:pStyle w:val="Normal"/>
              <w:widowControl/>
              <w:tabs>
                <w:tab w:val="clear" w:pos="708"/>
                <w:tab w:val="left" w:pos="1134" w:leader="none"/>
              </w:tabs>
              <w:spacing w:lineRule="auto" w:line="240" w:before="0" w:after="0"/>
              <w:ind w:hanging="0"/>
              <w:jc w:val="start"/>
              <w:rPr>
                <w:rFonts w:ascii="Times New Roman" w:hAnsi="Times New Roman"/>
                <w:lang w:val="uk-UA"/>
              </w:rPr>
            </w:pPr>
            <w:r>
              <w:rPr>
                <w:rFonts w:eastAsia="Calibri"/>
                <w:kern w:val="2"/>
                <w:sz w:val="24"/>
                <w:lang w:val="uk-UA" w:eastAsia="en-US" w:bidi="ar-SA"/>
              </w:rPr>
              <w:t>Зменшення плинності кадрів, стабілізація штату</w:t>
            </w:r>
          </w:p>
        </w:tc>
      </w:tr>
      <w:tr>
        <w:trPr/>
        <w:tc>
          <w:tcPr>
            <w:tcW w:w="3475" w:type="dxa"/>
            <w:tcBorders>
              <w:top w:val="single" w:sz="4" w:space="0" w:color="000000"/>
              <w:start w:val="single" w:sz="4" w:space="0" w:color="000000"/>
              <w:bottom w:val="single" w:sz="4" w:space="0" w:color="000000"/>
              <w:end w:val="single" w:sz="4" w:space="0" w:color="000000"/>
            </w:tcBorders>
            <w:vAlign w:val="center"/>
          </w:tcPr>
          <w:p>
            <w:pPr>
              <w:pStyle w:val="Normal"/>
              <w:widowControl/>
              <w:tabs>
                <w:tab w:val="clear" w:pos="708"/>
                <w:tab w:val="left" w:pos="1134" w:leader="none"/>
              </w:tabs>
              <w:spacing w:lineRule="auto" w:line="240" w:before="0" w:after="0"/>
              <w:ind w:hanging="0"/>
              <w:jc w:val="start"/>
              <w:rPr>
                <w:rFonts w:ascii="Times New Roman" w:hAnsi="Times New Roman"/>
                <w:lang w:val="uk-UA"/>
              </w:rPr>
            </w:pPr>
            <w:r>
              <w:rPr>
                <w:rFonts w:eastAsia="Calibri"/>
                <w:kern w:val="2"/>
                <w:sz w:val="24"/>
                <w:lang w:val="uk-UA" w:eastAsia="en-US" w:bidi="ar-SA"/>
              </w:rPr>
              <w:t>Оновлення умов праці</w:t>
            </w:r>
          </w:p>
        </w:tc>
        <w:tc>
          <w:tcPr>
            <w:tcW w:w="5870" w:type="dxa"/>
            <w:tcBorders>
              <w:top w:val="single" w:sz="4" w:space="0" w:color="000000"/>
              <w:start w:val="single" w:sz="4" w:space="0" w:color="000000"/>
              <w:bottom w:val="single" w:sz="4" w:space="0" w:color="000000"/>
              <w:end w:val="single" w:sz="4" w:space="0" w:color="000000"/>
            </w:tcBorders>
            <w:vAlign w:val="center"/>
          </w:tcPr>
          <w:p>
            <w:pPr>
              <w:pStyle w:val="Normal"/>
              <w:widowControl/>
              <w:tabs>
                <w:tab w:val="clear" w:pos="708"/>
                <w:tab w:val="left" w:pos="1134" w:leader="none"/>
              </w:tabs>
              <w:spacing w:lineRule="auto" w:line="240" w:before="0" w:after="0"/>
              <w:ind w:hanging="0"/>
              <w:jc w:val="start"/>
              <w:rPr>
                <w:rFonts w:ascii="Times New Roman" w:hAnsi="Times New Roman"/>
                <w:lang w:val="uk-UA"/>
              </w:rPr>
            </w:pPr>
            <w:r>
              <w:rPr>
                <w:rFonts w:eastAsia="Calibri"/>
                <w:kern w:val="2"/>
                <w:sz w:val="24"/>
                <w:lang w:val="uk-UA" w:eastAsia="en-US" w:bidi="ar-SA"/>
              </w:rPr>
              <w:t>Підвищення задоволеності роботою, покращення продуктивності</w:t>
            </w:r>
          </w:p>
        </w:tc>
      </w:tr>
      <w:tr>
        <w:trPr/>
        <w:tc>
          <w:tcPr>
            <w:tcW w:w="3475" w:type="dxa"/>
            <w:tcBorders>
              <w:top w:val="single" w:sz="4" w:space="0" w:color="000000"/>
              <w:start w:val="single" w:sz="4" w:space="0" w:color="000000"/>
              <w:bottom w:val="single" w:sz="4" w:space="0" w:color="000000"/>
              <w:end w:val="single" w:sz="4" w:space="0" w:color="000000"/>
            </w:tcBorders>
            <w:vAlign w:val="center"/>
          </w:tcPr>
          <w:p>
            <w:pPr>
              <w:pStyle w:val="Normal"/>
              <w:widowControl/>
              <w:tabs>
                <w:tab w:val="clear" w:pos="708"/>
                <w:tab w:val="left" w:pos="1134" w:leader="none"/>
              </w:tabs>
              <w:spacing w:lineRule="auto" w:line="240" w:before="0" w:after="0"/>
              <w:ind w:hanging="0"/>
              <w:jc w:val="start"/>
              <w:rPr>
                <w:rFonts w:ascii="Times New Roman" w:hAnsi="Times New Roman"/>
                <w:lang w:val="uk-UA"/>
              </w:rPr>
            </w:pPr>
            <w:r>
              <w:rPr>
                <w:rFonts w:eastAsia="Calibri"/>
                <w:kern w:val="2"/>
                <w:sz w:val="24"/>
                <w:lang w:val="uk-UA" w:eastAsia="en-US" w:bidi="ar-SA"/>
              </w:rPr>
              <w:t>Цифрова HR-аналітика</w:t>
            </w:r>
          </w:p>
        </w:tc>
        <w:tc>
          <w:tcPr>
            <w:tcW w:w="5870" w:type="dxa"/>
            <w:tcBorders>
              <w:top w:val="single" w:sz="4" w:space="0" w:color="000000"/>
              <w:start w:val="single" w:sz="4" w:space="0" w:color="000000"/>
              <w:bottom w:val="single" w:sz="4" w:space="0" w:color="000000"/>
              <w:end w:val="single" w:sz="4" w:space="0" w:color="000000"/>
            </w:tcBorders>
            <w:vAlign w:val="center"/>
          </w:tcPr>
          <w:p>
            <w:pPr>
              <w:pStyle w:val="Normal"/>
              <w:widowControl/>
              <w:tabs>
                <w:tab w:val="clear" w:pos="708"/>
                <w:tab w:val="left" w:pos="1134" w:leader="none"/>
              </w:tabs>
              <w:spacing w:lineRule="auto" w:line="240" w:before="0" w:after="0"/>
              <w:ind w:hanging="0"/>
              <w:jc w:val="start"/>
              <w:rPr>
                <w:rFonts w:ascii="Times New Roman" w:hAnsi="Times New Roman"/>
                <w:lang w:val="uk-UA"/>
              </w:rPr>
            </w:pPr>
            <w:r>
              <w:rPr>
                <w:rFonts w:eastAsia="Calibri"/>
                <w:kern w:val="2"/>
                <w:sz w:val="24"/>
                <w:lang w:val="uk-UA" w:eastAsia="en-US" w:bidi="ar-SA"/>
              </w:rPr>
              <w:t>Прогнозування потреб, обґрунтоване планування навантаження</w:t>
            </w:r>
          </w:p>
        </w:tc>
      </w:tr>
      <w:tr>
        <w:trPr/>
        <w:tc>
          <w:tcPr>
            <w:tcW w:w="3475" w:type="dxa"/>
            <w:tcBorders>
              <w:top w:val="single" w:sz="4" w:space="0" w:color="000000"/>
              <w:start w:val="single" w:sz="4" w:space="0" w:color="000000"/>
              <w:bottom w:val="single" w:sz="4" w:space="0" w:color="000000"/>
              <w:end w:val="single" w:sz="4" w:space="0" w:color="000000"/>
            </w:tcBorders>
            <w:vAlign w:val="center"/>
          </w:tcPr>
          <w:p>
            <w:pPr>
              <w:pStyle w:val="Normal"/>
              <w:widowControl/>
              <w:tabs>
                <w:tab w:val="clear" w:pos="708"/>
                <w:tab w:val="left" w:pos="1134" w:leader="none"/>
              </w:tabs>
              <w:spacing w:lineRule="auto" w:line="240" w:before="0" w:after="0"/>
              <w:ind w:hanging="0"/>
              <w:jc w:val="start"/>
              <w:rPr>
                <w:rFonts w:ascii="Times New Roman" w:hAnsi="Times New Roman"/>
                <w:lang w:val="uk-UA"/>
              </w:rPr>
            </w:pPr>
            <w:r>
              <w:rPr>
                <w:rFonts w:eastAsia="Calibri"/>
                <w:kern w:val="2"/>
                <w:sz w:val="24"/>
                <w:lang w:val="uk-UA" w:eastAsia="en-US" w:bidi="ar-SA"/>
              </w:rPr>
              <w:t>Система KPI</w:t>
            </w:r>
          </w:p>
        </w:tc>
        <w:tc>
          <w:tcPr>
            <w:tcW w:w="5870" w:type="dxa"/>
            <w:tcBorders>
              <w:top w:val="single" w:sz="4" w:space="0" w:color="000000"/>
              <w:start w:val="single" w:sz="4" w:space="0" w:color="000000"/>
              <w:bottom w:val="single" w:sz="4" w:space="0" w:color="000000"/>
              <w:end w:val="single" w:sz="4" w:space="0" w:color="000000"/>
            </w:tcBorders>
            <w:vAlign w:val="center"/>
          </w:tcPr>
          <w:p>
            <w:pPr>
              <w:pStyle w:val="Normal"/>
              <w:widowControl/>
              <w:tabs>
                <w:tab w:val="clear" w:pos="708"/>
                <w:tab w:val="left" w:pos="1134" w:leader="none"/>
              </w:tabs>
              <w:spacing w:lineRule="auto" w:line="240" w:before="0" w:after="0"/>
              <w:ind w:hanging="0"/>
              <w:jc w:val="start"/>
              <w:rPr>
                <w:rFonts w:ascii="Times New Roman" w:hAnsi="Times New Roman"/>
                <w:lang w:val="uk-UA"/>
              </w:rPr>
            </w:pPr>
            <w:r>
              <w:rPr>
                <w:rFonts w:eastAsia="Calibri"/>
                <w:kern w:val="2"/>
                <w:sz w:val="24"/>
                <w:lang w:val="uk-UA" w:eastAsia="en-US" w:bidi="ar-SA"/>
              </w:rPr>
              <w:t>Підвищення якості послуг, індивідуальна мотивація</w:t>
            </w:r>
          </w:p>
        </w:tc>
      </w:tr>
      <w:tr>
        <w:trPr/>
        <w:tc>
          <w:tcPr>
            <w:tcW w:w="3475" w:type="dxa"/>
            <w:tcBorders>
              <w:top w:val="single" w:sz="4" w:space="0" w:color="000000"/>
              <w:start w:val="single" w:sz="4" w:space="0" w:color="000000"/>
              <w:bottom w:val="single" w:sz="4" w:space="0" w:color="000000"/>
              <w:end w:val="single" w:sz="4" w:space="0" w:color="000000"/>
            </w:tcBorders>
            <w:vAlign w:val="center"/>
          </w:tcPr>
          <w:p>
            <w:pPr>
              <w:pStyle w:val="Normal"/>
              <w:widowControl/>
              <w:tabs>
                <w:tab w:val="clear" w:pos="708"/>
                <w:tab w:val="left" w:pos="1134" w:leader="none"/>
              </w:tabs>
              <w:spacing w:lineRule="auto" w:line="240" w:before="0" w:after="0"/>
              <w:ind w:hanging="0"/>
              <w:jc w:val="start"/>
              <w:rPr>
                <w:rFonts w:ascii="Times New Roman" w:hAnsi="Times New Roman"/>
                <w:lang w:val="uk-UA"/>
              </w:rPr>
            </w:pPr>
            <w:r>
              <w:rPr>
                <w:rFonts w:eastAsia="Calibri"/>
                <w:kern w:val="2"/>
                <w:sz w:val="24"/>
                <w:lang w:val="uk-UA" w:eastAsia="en-US" w:bidi="ar-SA"/>
              </w:rPr>
              <w:t>Психоемоційна підтримка</w:t>
            </w:r>
          </w:p>
        </w:tc>
        <w:tc>
          <w:tcPr>
            <w:tcW w:w="5870" w:type="dxa"/>
            <w:tcBorders>
              <w:top w:val="single" w:sz="4" w:space="0" w:color="000000"/>
              <w:start w:val="single" w:sz="4" w:space="0" w:color="000000"/>
              <w:bottom w:val="single" w:sz="4" w:space="0" w:color="000000"/>
              <w:end w:val="single" w:sz="4" w:space="0" w:color="000000"/>
            </w:tcBorders>
            <w:vAlign w:val="center"/>
          </w:tcPr>
          <w:p>
            <w:pPr>
              <w:pStyle w:val="Normal"/>
              <w:widowControl/>
              <w:tabs>
                <w:tab w:val="clear" w:pos="708"/>
                <w:tab w:val="left" w:pos="1134" w:leader="none"/>
              </w:tabs>
              <w:spacing w:lineRule="auto" w:line="240" w:before="0" w:after="0"/>
              <w:ind w:hanging="0"/>
              <w:jc w:val="start"/>
              <w:rPr>
                <w:rFonts w:ascii="Times New Roman" w:hAnsi="Times New Roman"/>
                <w:lang w:val="uk-UA"/>
              </w:rPr>
            </w:pPr>
            <w:r>
              <w:rPr>
                <w:rFonts w:eastAsia="Calibri"/>
                <w:kern w:val="2"/>
                <w:sz w:val="24"/>
                <w:lang w:val="uk-UA" w:eastAsia="en-US" w:bidi="ar-SA"/>
              </w:rPr>
              <w:t>Зниження професійного вигорання, зростання командної згуртованості</w:t>
            </w:r>
          </w:p>
        </w:tc>
      </w:tr>
    </w:tbl>
    <w:p>
      <w:pPr>
        <w:pStyle w:val="Normal"/>
        <w:ind w:firstLine="720"/>
        <w:rPr>
          <w:rFonts w:eastAsia="Calibri"/>
          <w:i/>
          <w:i/>
          <w:iCs/>
          <w:sz w:val="24"/>
          <w:szCs w:val="24"/>
          <w:lang w:val="uk-UA"/>
        </w:rPr>
      </w:pPr>
      <w:r>
        <w:rPr>
          <w:rFonts w:eastAsia="Calibri"/>
          <w:i/>
          <w:iCs/>
          <w:sz w:val="24"/>
          <w:szCs w:val="24"/>
          <w:lang w:val="uk-UA"/>
        </w:rPr>
        <w:t>Створено автором на основі джерела [</w:t>
      </w:r>
      <w:r>
        <w:rPr>
          <w:rFonts w:eastAsia="Calibri"/>
          <w:i/>
          <w:iCs/>
          <w:sz w:val="24"/>
          <w:szCs w:val="24"/>
        </w:rPr>
        <w:t>6</w:t>
      </w:r>
      <w:r>
        <w:rPr>
          <w:rFonts w:eastAsia="Calibri"/>
          <w:i/>
          <w:iCs/>
          <w:sz w:val="24"/>
          <w:szCs w:val="24"/>
          <w:lang w:val="uk-UA"/>
        </w:rPr>
        <w:t>]</w:t>
      </w:r>
    </w:p>
    <w:p>
      <w:pPr>
        <w:pStyle w:val="Normal"/>
        <w:tabs>
          <w:tab w:val="clear" w:pos="708"/>
          <w:tab w:val="left" w:pos="1134" w:leader="none"/>
        </w:tabs>
        <w:jc w:val="start"/>
        <w:rPr>
          <w:lang w:val="uk-UA"/>
        </w:rPr>
      </w:pPr>
      <w:r>
        <w:rPr>
          <w:lang w:val="uk-UA"/>
        </w:rPr>
      </w:r>
    </w:p>
    <w:p>
      <w:pPr>
        <w:pStyle w:val="Normal"/>
        <w:rPr>
          <w:lang w:val="uk-UA"/>
        </w:rPr>
      </w:pPr>
      <w:r>
        <w:rPr>
          <w:lang w:val="uk-UA"/>
        </w:rPr>
        <w:t>Очікувані результати від реалізації запропонованих заходів у сфері управління персоналом мають багатовимірний характер і охоплюють як кадрові, так і організаційні аспекти діяльності медичного закладу. Передусім формування кадрового резерву сприятиме зменшенню плинності кадрів та стабілізації штату. Наявність підготовлених фахівців, які можуть оперативно замінити працівників у разі звільнення, відпустки чи тимчасової непрацездатності, дозволяє уникати кадрових провалів, зберігати безперервність надання медичних послуг і підтримувати сталість внутрішніх процесів. Такий підхід формує стратегічну стійкість організації: ризики нестачі персоналу зменшуються, а процеси адаптації нових працівників відбуваються швидше та менш болісно для колективу.</w:t>
      </w:r>
    </w:p>
    <w:p>
      <w:pPr>
        <w:pStyle w:val="Normal"/>
        <w:rPr>
          <w:lang w:val="uk-UA"/>
        </w:rPr>
      </w:pPr>
      <w:r>
        <w:rPr>
          <w:lang w:val="uk-UA"/>
        </w:rPr>
        <w:t>Оновлення умов праці полягає не лише у модернізації приміщень чи обладнання, а й у переосмисленні робочого простору з позиції комфортності, безпеки та психоемоційної підтримки. Унаслідок реалізації цього напряму очікується зростання загальної задоволеності роботою та підвищення продуктивності працівників. Комфортне середовище, належне освітлення, можливості для відпочинку, дотримання санітарно-гігієнічних стандартів — усе це зменшує стресове навантаження та сприяє кращій концентрації на професійних обов’язках. Як наслідок, медичні працівники виконують свої завдання якісніше та демонструють вищу готовність до довгострокового співробітництва.</w:t>
      </w:r>
    </w:p>
    <w:p>
      <w:pPr>
        <w:pStyle w:val="Normal"/>
        <w:rPr>
          <w:lang w:val="uk-UA"/>
        </w:rPr>
      </w:pPr>
      <w:r>
        <w:rPr>
          <w:lang w:val="uk-UA"/>
        </w:rPr>
        <w:t>Запровадження цифрової HR-аналітики забезпечує новий рівень управління персоналом, переходячи від інтуїтивних або реактивних рішень до планування, що ґрунтується на реальних даних та прогнозах. Аналіз кадрової структури, коефіцієнтів плинності, навантаження на окремих фахівців та ефективності їхньої роботи дозволяє вчасно виявляти критичні точки та попереджувати дисфункції. Таким чином, цифрова аналітика не лише допомагає прогнозувати потреби у персоналі, але й дає змогу обґрунтовано планувати робочі графіки, оптимізовувати кількість штатних одиниць та підвищувати ефективність розподілу ресурсів.</w:t>
      </w:r>
    </w:p>
    <w:p>
      <w:pPr>
        <w:pStyle w:val="Normal"/>
        <w:rPr>
          <w:lang w:val="uk-UA"/>
        </w:rPr>
      </w:pPr>
      <w:r>
        <w:rPr>
          <w:lang w:val="uk-UA"/>
        </w:rPr>
        <w:t>Впровадження системи ключових показників ефективності (KPI) забезпечує чіткий зв’язок між персональними результатами працівника та загальними цілями медичного закладу. Продумана система оцінювання дозволяє підвищити якість медичних послуг завдяки прозорим стандартам результативності, об’єктивному контролю професійних компетенцій та справедливому підходу до винагороди. KPI сприяють формуванню персональної відповідальності та індивідуальної мотивації, оскільки кожен працівник розуміє, за якими критеріями оцінюється його робота та як він може вплинути на результати. Це створює передумови для розвитку професійності та більшої залученості в робочі процеси.</w:t>
      </w:r>
    </w:p>
    <w:p>
      <w:pPr>
        <w:pStyle w:val="Normal"/>
        <w:rPr>
          <w:lang w:val="uk-UA"/>
        </w:rPr>
      </w:pPr>
      <w:r>
        <w:rPr>
          <w:lang w:val="uk-UA"/>
        </w:rPr>
        <w:t>Окремим важливим результатом реалізації кадрових заходів є розвиток психоемоційної підтримки персоналу. Доступ до психологічних консультацій, участь у групах підтримки, тренінги зі стресостійкості та емоційного інтелекту безпосередньо впливають на рівень професійного вигорання. Зменшення емоційного виснаження позитивно відображається на командній взаємодії, зміцнює довіру у колективі та сприяє формуванню згуртованого робочого середовища. Це особливо актуально для медичних працівників, які функціонують під постійним психологічним тиском і несуть високу відповідальність за життя та здоров’я пацієнтів.</w:t>
      </w:r>
    </w:p>
    <w:p>
      <w:pPr>
        <w:pStyle w:val="Normal"/>
        <w:rPr>
          <w:lang w:val="uk-UA"/>
        </w:rPr>
      </w:pPr>
      <w:r>
        <w:rPr>
          <w:lang w:val="uk-UA"/>
        </w:rPr>
        <w:t>У комплексі зазначені очікувані ефекти не є ізольованими, а взаємно підсилюють один одного. Кадрова стабільність створює основу для підвищення якості послуг, а комфортні умови праці – передумову для ефективного використання потенціалу працівників. Цифрова аналітика допомагає точніше оцінювати результати системи KPI, а професійна підтримка сприяє формуванню довготривало мотивованого колективу. Таким чином, реалізація запропонованих заходів здатна не лише вирішити актуальні проблеми, а й забезпечити сталість кадрової політики, що є критично важливою умовою розвитку сучасного медичного закладу.</w:t>
      </w:r>
    </w:p>
    <w:p>
      <w:pPr>
        <w:pStyle w:val="Normal"/>
        <w:rPr/>
      </w:pPr>
      <w:r>
        <w:rPr/>
      </w:r>
    </w:p>
    <w:p>
      <w:pPr>
        <w:pStyle w:val="Heading1"/>
        <w:rPr>
          <w:lang w:val="uk-UA"/>
        </w:rPr>
      </w:pPr>
      <w:bookmarkStart w:id="15" w:name="_Toc200703994"/>
      <w:r>
        <w:rPr>
          <w:lang w:val="uk-UA"/>
        </w:rPr>
        <w:t xml:space="preserve">3.2. Впровадження оновленої моделі HR-менеджменту в парадигмі сучасної системи </w:t>
      </w:r>
      <w:bookmarkEnd w:id="15"/>
      <w:r>
        <w:rPr>
          <w:lang w:val="uk-UA"/>
        </w:rPr>
        <w:t>фінансування у сфері охорони здоровʼя</w:t>
      </w:r>
    </w:p>
    <w:p>
      <w:pPr>
        <w:pStyle w:val="Normal"/>
        <w:rPr>
          <w:lang w:val="uk-UA"/>
        </w:rPr>
      </w:pPr>
      <w:r>
        <w:rPr>
          <w:lang w:val="uk-UA"/>
        </w:rPr>
      </w:r>
    </w:p>
    <w:p>
      <w:pPr>
        <w:pStyle w:val="Normal"/>
        <w:rPr/>
      </w:pPr>
      <w:r>
        <w:rPr/>
        <w:t xml:space="preserve">Реформування системи охорони здоров’я в Україні, що базується на принципі </w:t>
      </w:r>
      <w:r>
        <w:rPr>
          <w:lang w:val="uk-UA"/>
        </w:rPr>
        <w:t>«</w:t>
      </w:r>
      <w:r>
        <w:rPr/>
        <w:t>гроші йдуть за пацієнтом</w:t>
      </w:r>
      <w:r>
        <w:rPr>
          <w:lang w:val="uk-UA"/>
        </w:rPr>
        <w:t>»</w:t>
      </w:r>
      <w:r>
        <w:rPr/>
        <w:t xml:space="preserve">, радикально змінило логіку функціонування комунальних некомерційних підприємств. У цьому контексті кадрова служба перестає бути вузьким адміністративним підрозділом і трансформується у центральний елемент управління медичним персоналом як стратегічним ресурсом, здатним впливати одночасно на фінансові показники ЗОЗ, якість медичних послуг та конкурентоспроможність закладу на ринку медичних контрактів НСЗУ. Сутність нової моделі HR-менеджменту полягає у переході від реактивного </w:t>
      </w:r>
      <w:r>
        <w:rPr>
          <w:lang w:val="uk-UA"/>
        </w:rPr>
        <w:t>«</w:t>
      </w:r>
      <w:r>
        <w:rPr/>
        <w:t>кадрового обліку</w:t>
      </w:r>
      <w:r>
        <w:rPr>
          <w:lang w:val="uk-UA"/>
        </w:rPr>
        <w:t>»</w:t>
      </w:r>
      <w:r>
        <w:rPr/>
        <w:t xml:space="preserve"> до проактивної системи управління людським капіталом, де рішення щодо кількості, компетенцій, продуктивності й утримання персоналу приймаються на основі економічних показників, медичних протоколів і прогнозованого попиту на послуги за пакетами ПМГ.</w:t>
      </w:r>
    </w:p>
    <w:p>
      <w:pPr>
        <w:pStyle w:val="Normal"/>
        <w:rPr/>
      </w:pPr>
      <w:r>
        <w:rPr/>
        <w:t>На відміну від традиційної моделі, яка концентрувалася на веденні особових справ, штатних розписів та трудових договорів, нова модель інтегрує HR у фінансовий та операційний контур підприємства. Управління персоналом співвідноситься з обсягом медичних послуг за контрактами НСЗУ, навантаженням лікаря на одне робоче місце, нормативами часу на одного пацієнта та структурою внутрішніх витрат. Відділ HR фактично стає аналітичним центром, який формує кадрові прогнози, оцінює рентабельність робочих місць, визначає оптимальний розмір оплати праці з урахуванням KPI та виконує функції внутрішнього консалтингу для керівництва.</w:t>
      </w:r>
    </w:p>
    <w:p>
      <w:pPr>
        <w:pStyle w:val="Normal"/>
        <w:rPr/>
      </w:pPr>
      <w:r>
        <w:rPr/>
        <w:t>Структурно нова модель HR складається з чотирьох взаємопов’язаних блоків:</w:t>
      </w:r>
    </w:p>
    <w:p>
      <w:pPr>
        <w:pStyle w:val="Normal"/>
        <w:rPr/>
      </w:pPr>
      <w:r>
        <w:rPr>
          <w:lang w:val="uk-UA"/>
        </w:rPr>
        <w:t>1.</w:t>
      </w:r>
      <w:r>
        <w:rPr/>
        <w:t>HR-планування та кадровий контроль – визначення кількісного складу персоналу відповідно до обсягу послуг, сезонних коливань та змін у пакетах НСЗУ; управління графіками, чергуваннями та заміщеннями; балансування між лікарями, середнім медичним персоналом та допоміжними службами.</w:t>
      </w:r>
    </w:p>
    <w:p>
      <w:pPr>
        <w:pStyle w:val="Normal"/>
        <w:rPr/>
      </w:pPr>
      <w:r>
        <w:rPr>
          <w:lang w:val="uk-UA"/>
        </w:rPr>
        <w:t>2.</w:t>
      </w:r>
      <w:r>
        <w:rPr/>
        <w:t>Модель компетенцій і розвиток персоналу – створення профілів посадових компетенцій, формування карт професійного зростання (career paths), оцінка професійної придатності, розвиток soft skills (робота з пацієнтом, стресостійкість, командна взаємодія), регулярний перегляд кваліфікацій відповідно до клінічних протоколів.</w:t>
      </w:r>
    </w:p>
    <w:p>
      <w:pPr>
        <w:pStyle w:val="Normal"/>
        <w:rPr/>
      </w:pPr>
      <w:r>
        <w:rPr>
          <w:lang w:val="uk-UA"/>
        </w:rPr>
        <w:t>3.</w:t>
      </w:r>
      <w:r>
        <w:rPr/>
        <w:t>Система матеріального та нематеріального стимулювання – впровадження гнучких контрактів, оплати за результат (pay for performance), додаткових стимулів за розширення пакету послуг; бонусних схем за виконання KPI; моральне визнання, mentoring, психологічна підтримка.</w:t>
      </w:r>
    </w:p>
    <w:p>
      <w:pPr>
        <w:pStyle w:val="Normal"/>
        <w:jc w:val="end"/>
        <w:rPr>
          <w:lang w:val="uk-UA"/>
        </w:rPr>
      </w:pPr>
      <w:r>
        <w:rPr/>
        <w:t>Таблиця 3.</w:t>
      </w:r>
      <w:r>
        <w:rPr>
          <w:lang w:val="uk-UA"/>
        </w:rPr>
        <w:t>3</w:t>
      </w:r>
    </w:p>
    <w:p>
      <w:pPr>
        <w:pStyle w:val="Normal"/>
        <w:rPr>
          <w:lang w:val="uk-UA"/>
        </w:rPr>
      </w:pPr>
      <w:r>
        <w:rPr/>
        <w:t>Функціональні блоки нової HR-моделі та їх операційна роль у КНП</w:t>
      </w:r>
    </w:p>
    <w:tbl>
      <w:tblPr>
        <w:tblW w:w="9464" w:type="dxa"/>
        <w:jc w:val="start"/>
        <w:tblInd w:w="0" w:type="dxa"/>
        <w:tblLayout w:type="fixed"/>
        <w:tblCellMar>
          <w:top w:w="0" w:type="dxa"/>
          <w:start w:w="108" w:type="dxa"/>
          <w:bottom w:w="0" w:type="dxa"/>
          <w:end w:w="108" w:type="dxa"/>
        </w:tblCellMar>
      </w:tblPr>
      <w:tblGrid>
        <w:gridCol w:w="2235"/>
        <w:gridCol w:w="3826"/>
        <w:gridCol w:w="3403"/>
      </w:tblGrid>
      <w:tr>
        <w:trPr>
          <w:trHeight w:val="822" w:hRule="atLeast"/>
        </w:trPr>
        <w:tc>
          <w:tcPr>
            <w:tcW w:w="2235"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b/>
                <w:bCs/>
                <w:kern w:val="2"/>
                <w:sz w:val="24"/>
                <w:lang w:val="ru-RU" w:eastAsia="en-US" w:bidi="ar-SA"/>
              </w:rPr>
              <w:t>Блок HR-моделі</w:t>
            </w:r>
          </w:p>
        </w:tc>
        <w:tc>
          <w:tcPr>
            <w:tcW w:w="382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b/>
                <w:bCs/>
                <w:kern w:val="2"/>
                <w:sz w:val="24"/>
                <w:lang w:val="ru-RU" w:eastAsia="en-US" w:bidi="ar-SA"/>
              </w:rPr>
              <w:t>Операційний зміст</w:t>
            </w:r>
          </w:p>
        </w:tc>
        <w:tc>
          <w:tcPr>
            <w:tcW w:w="340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b/>
                <w:bCs/>
                <w:kern w:val="2"/>
                <w:sz w:val="24"/>
                <w:lang w:val="ru-RU" w:eastAsia="en-US" w:bidi="ar-SA"/>
              </w:rPr>
              <w:t>Вплив на фінансові показники</w:t>
            </w:r>
          </w:p>
        </w:tc>
      </w:tr>
      <w:tr>
        <w:trPr/>
        <w:tc>
          <w:tcPr>
            <w:tcW w:w="2235"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ru-RU" w:eastAsia="en-US" w:bidi="ar-SA"/>
              </w:rPr>
              <w:t>HR-планування</w:t>
            </w:r>
          </w:p>
        </w:tc>
        <w:tc>
          <w:tcPr>
            <w:tcW w:w="382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ru-RU" w:eastAsia="en-US" w:bidi="ar-SA"/>
              </w:rPr>
              <w:t>Балансування штатного розпису, прогноз вакансій, графіки</w:t>
            </w:r>
          </w:p>
        </w:tc>
        <w:tc>
          <w:tcPr>
            <w:tcW w:w="340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ru-RU" w:eastAsia="en-US" w:bidi="ar-SA"/>
              </w:rPr>
              <w:t>Зменшення перевитрат, підвищення навантаження на 1 FTE</w:t>
            </w:r>
          </w:p>
        </w:tc>
      </w:tr>
      <w:tr>
        <w:trPr/>
        <w:tc>
          <w:tcPr>
            <w:tcW w:w="2235"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ru-RU" w:eastAsia="en-US" w:bidi="ar-SA"/>
              </w:rPr>
              <w:t>Розвиток і компетенції</w:t>
            </w:r>
          </w:p>
        </w:tc>
        <w:tc>
          <w:tcPr>
            <w:tcW w:w="382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ru-RU" w:eastAsia="en-US" w:bidi="ar-SA"/>
              </w:rPr>
              <w:t>Навчання, оцінка компетенцій, кар’єрні маршрути</w:t>
            </w:r>
          </w:p>
        </w:tc>
        <w:tc>
          <w:tcPr>
            <w:tcW w:w="340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ru-RU" w:eastAsia="en-US" w:bidi="ar-SA"/>
              </w:rPr>
              <w:t>Зростання якості послуг, скорочення помилок</w:t>
            </w:r>
          </w:p>
        </w:tc>
      </w:tr>
      <w:tr>
        <w:trPr/>
        <w:tc>
          <w:tcPr>
            <w:tcW w:w="2235"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ru-RU" w:eastAsia="en-US" w:bidi="ar-SA"/>
              </w:rPr>
              <w:t>KPI та мотивація</w:t>
            </w:r>
          </w:p>
        </w:tc>
        <w:tc>
          <w:tcPr>
            <w:tcW w:w="382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ru-RU" w:eastAsia="en-US" w:bidi="ar-SA"/>
              </w:rPr>
              <w:t>Преміювання, бонуси за результат, нематеріальні стимули</w:t>
            </w:r>
          </w:p>
        </w:tc>
        <w:tc>
          <w:tcPr>
            <w:tcW w:w="340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ru-RU" w:eastAsia="en-US" w:bidi="ar-SA"/>
              </w:rPr>
              <w:t>Зростання продуктивності, зменшення плинності</w:t>
            </w:r>
          </w:p>
        </w:tc>
      </w:tr>
      <w:tr>
        <w:trPr/>
        <w:tc>
          <w:tcPr>
            <w:tcW w:w="2235"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ru-RU" w:eastAsia="en-US" w:bidi="ar-SA"/>
              </w:rPr>
              <w:t>HR-аналітика</w:t>
            </w:r>
          </w:p>
        </w:tc>
        <w:tc>
          <w:tcPr>
            <w:tcW w:w="382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ru-RU" w:eastAsia="en-US" w:bidi="ar-SA"/>
              </w:rPr>
              <w:t>Моніторинг кадрів, ризики, цифрові процеси</w:t>
            </w:r>
          </w:p>
        </w:tc>
        <w:tc>
          <w:tcPr>
            <w:tcW w:w="340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start"/>
              <w:rPr>
                <w:rFonts w:ascii="Times New Roman" w:hAnsi="Times New Roman"/>
                <w:lang w:val="uk-UA"/>
              </w:rPr>
            </w:pPr>
            <w:r>
              <w:rPr>
                <w:rFonts w:eastAsia="Calibri"/>
                <w:kern w:val="2"/>
                <w:sz w:val="24"/>
                <w:lang w:val="uk-UA" w:eastAsia="en-US" w:bidi="ar-SA"/>
              </w:rPr>
              <w:t>Оптимізація бюджетування, швидке прийняття рішень</w:t>
            </w:r>
          </w:p>
        </w:tc>
      </w:tr>
    </w:tbl>
    <w:p>
      <w:pPr>
        <w:pStyle w:val="Normal"/>
        <w:ind w:firstLine="720"/>
        <w:rPr>
          <w:rFonts w:eastAsia="Calibri"/>
          <w:i/>
          <w:i/>
          <w:iCs/>
          <w:sz w:val="24"/>
          <w:szCs w:val="24"/>
          <w:lang w:val="uk-UA"/>
        </w:rPr>
      </w:pPr>
      <w:r>
        <w:rPr>
          <w:rFonts w:eastAsia="Calibri"/>
          <w:i/>
          <w:iCs/>
          <w:sz w:val="24"/>
          <w:szCs w:val="24"/>
          <w:lang w:val="uk-UA"/>
        </w:rPr>
        <w:t>Створено автором на основі джерела [</w:t>
      </w:r>
      <w:r>
        <w:rPr>
          <w:rFonts w:eastAsia="Calibri"/>
          <w:i/>
          <w:iCs/>
          <w:sz w:val="24"/>
          <w:szCs w:val="24"/>
          <w:lang w:val="en-GB"/>
        </w:rPr>
        <w:t>19</w:t>
      </w:r>
      <w:r>
        <w:rPr>
          <w:rFonts w:eastAsia="Calibri"/>
          <w:i/>
          <w:iCs/>
          <w:sz w:val="24"/>
          <w:szCs w:val="24"/>
          <w:lang w:val="uk-UA"/>
        </w:rPr>
        <w:t>]</w:t>
      </w:r>
    </w:p>
    <w:p>
      <w:pPr>
        <w:pStyle w:val="Normal"/>
        <w:rPr>
          <w:lang w:val="uk-UA"/>
        </w:rPr>
      </w:pPr>
      <w:r>
        <w:rPr>
          <w:lang w:val="uk-UA"/>
        </w:rPr>
        <w:t>4.</w:t>
      </w:r>
      <w:r>
        <w:rPr/>
        <w:t>HR</w:t>
      </w:r>
      <w:r>
        <w:rPr>
          <w:lang w:val="uk-UA"/>
        </w:rPr>
        <w:t xml:space="preserve">-аналітика та цифровізація процесів – створення бази даних працівників, автоматизація </w:t>
      </w:r>
      <w:r>
        <w:rPr/>
        <w:t>e</w:t>
      </w:r>
      <w:r>
        <w:rPr>
          <w:lang w:val="uk-UA"/>
        </w:rPr>
        <w:t>-</w:t>
      </w:r>
      <w:r>
        <w:rPr/>
        <w:t>Staff</w:t>
      </w:r>
      <w:r>
        <w:rPr>
          <w:lang w:val="uk-UA"/>
        </w:rPr>
        <w:t xml:space="preserve">, </w:t>
      </w:r>
      <w:r>
        <w:rPr/>
        <w:t>e</w:t>
      </w:r>
      <w:r>
        <w:rPr>
          <w:lang w:val="uk-UA"/>
        </w:rPr>
        <w:t>-</w:t>
      </w:r>
      <w:r>
        <w:rPr/>
        <w:t>Recruitment</w:t>
      </w:r>
      <w:r>
        <w:rPr>
          <w:lang w:val="uk-UA"/>
        </w:rPr>
        <w:t xml:space="preserve">, електронне ведення графіків і лікарняних; моніторинг показників плинності, задоволеності, обсягу послуг на 1 </w:t>
      </w:r>
      <w:r>
        <w:rPr/>
        <w:t>FTE</w:t>
      </w:r>
      <w:r>
        <w:rPr>
          <w:lang w:val="uk-UA"/>
        </w:rPr>
        <w:t>, рівня вигорання, кадрових ризиків.</w:t>
      </w:r>
    </w:p>
    <w:p>
      <w:pPr>
        <w:pStyle w:val="Normal"/>
        <w:rPr/>
      </w:pPr>
      <w:r>
        <w:rPr/>
        <w:drawing>
          <wp:inline distT="0" distB="0" distL="0" distR="0">
            <wp:extent cx="4210050" cy="2247900"/>
            <wp:effectExtent l="0" t="0" r="0" b="0"/>
            <wp:docPr id="4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4"/>
                    <pic:cNvPicPr>
                      <a:picLocks noChangeAspect="1" noChangeArrowheads="1"/>
                    </pic:cNvPicPr>
                  </pic:nvPicPr>
                  <pic:blipFill>
                    <a:blip r:embed="rId9"/>
                    <a:srcRect l="0" t="0" r="0" b="28513"/>
                    <a:stretch>
                      <a:fillRect/>
                    </a:stretch>
                  </pic:blipFill>
                  <pic:spPr bwMode="auto">
                    <a:xfrm>
                      <a:off x="0" y="0"/>
                      <a:ext cx="4210050" cy="2247900"/>
                    </a:xfrm>
                    <a:prstGeom prst="rect">
                      <a:avLst/>
                    </a:prstGeom>
                    <a:noFill/>
                  </pic:spPr>
                </pic:pic>
              </a:graphicData>
            </a:graphic>
          </wp:inline>
        </w:drawing>
      </w:r>
    </w:p>
    <w:p>
      <w:pPr>
        <w:pStyle w:val="Normal"/>
        <w:jc w:val="center"/>
        <w:rPr/>
      </w:pPr>
      <w:r>
        <w:rPr>
          <w:lang w:val="uk-UA"/>
        </w:rPr>
        <w:t xml:space="preserve">Рис.3.2 – Організаційна структура КНП «Південнівська міська лікарня» </w:t>
      </w:r>
      <w:r>
        <w:rPr/>
        <w:t>після реформ</w:t>
      </w:r>
      <w:r>
        <w:rPr>
          <w:lang w:val="uk-UA"/>
        </w:rPr>
        <w:t xml:space="preserve"> </w:t>
      </w:r>
      <w:r>
        <w:rPr/>
        <w:t>[</w:t>
      </w:r>
      <w:r>
        <w:rPr>
          <w:lang w:val="en-GB"/>
        </w:rPr>
        <w:t>23</w:t>
      </w:r>
      <w:r>
        <w:rPr/>
        <w:t>]</w:t>
      </w:r>
    </w:p>
    <w:p>
      <w:pPr>
        <w:pStyle w:val="Normal"/>
        <w:rPr/>
      </w:pPr>
      <w:r>
        <w:rPr/>
        <w:t>Після впровадження нової HR-моделі центр управління персоналом переходить від облікової функції до системи управління людським капіталом.</w:t>
      </w:r>
    </w:p>
    <w:p>
      <w:pPr>
        <w:pStyle w:val="Normal"/>
        <w:rPr/>
      </w:pPr>
      <w:r>
        <w:rPr/>
        <w:t>У структуру включено кабінет клінічного психолога, функції якого формують новий блок – ментальне забезпечення персоналу та пацієнтів.</w:t>
      </w:r>
    </w:p>
    <w:p>
      <w:pPr>
        <w:pStyle w:val="Normal"/>
        <w:jc w:val="end"/>
        <w:rPr/>
      </w:pPr>
      <w:r>
        <w:rPr/>
        <w:t>Таблиця 3.4</w:t>
      </w:r>
    </w:p>
    <w:p>
      <w:pPr>
        <w:pStyle w:val="Normal"/>
        <w:jc w:val="center"/>
        <w:rPr/>
      </w:pPr>
      <w:r>
        <w:rPr/>
        <w:t>Зміни в організаційній структурі до та після реформ</w:t>
      </w:r>
    </w:p>
    <w:tbl>
      <w:tblPr>
        <w:tblW w:w="9345" w:type="dxa"/>
        <w:jc w:val="start"/>
        <w:tblInd w:w="0" w:type="dxa"/>
        <w:tblLayout w:type="fixed"/>
        <w:tblCellMar>
          <w:top w:w="0" w:type="dxa"/>
          <w:start w:w="108" w:type="dxa"/>
          <w:bottom w:w="0" w:type="dxa"/>
          <w:end w:w="108" w:type="dxa"/>
        </w:tblCellMar>
      </w:tblPr>
      <w:tblGrid>
        <w:gridCol w:w="3107"/>
        <w:gridCol w:w="3117"/>
        <w:gridCol w:w="3121"/>
      </w:tblGrid>
      <w:tr>
        <w:trPr/>
        <w:tc>
          <w:tcPr>
            <w:tcW w:w="310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b/>
                <w:bCs/>
                <w:kern w:val="2"/>
                <w:sz w:val="24"/>
                <w:lang w:val="ru-RU" w:eastAsia="en-US" w:bidi="ar-SA"/>
              </w:rPr>
              <w:t>Елемент</w:t>
            </w:r>
          </w:p>
        </w:tc>
        <w:tc>
          <w:tcPr>
            <w:tcW w:w="311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b/>
                <w:bCs/>
                <w:kern w:val="2"/>
                <w:sz w:val="24"/>
                <w:lang w:val="ru-RU" w:eastAsia="en-US" w:bidi="ar-SA"/>
              </w:rPr>
              <w:t>До реформ</w:t>
            </w:r>
          </w:p>
        </w:tc>
        <w:tc>
          <w:tcPr>
            <w:tcW w:w="3121"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b/>
                <w:bCs/>
                <w:kern w:val="2"/>
                <w:sz w:val="24"/>
                <w:lang w:val="ru-RU" w:eastAsia="en-US" w:bidi="ar-SA"/>
              </w:rPr>
              <w:t>Після реформ</w:t>
            </w:r>
          </w:p>
        </w:tc>
      </w:tr>
      <w:tr>
        <w:trPr/>
        <w:tc>
          <w:tcPr>
            <w:tcW w:w="310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HR-функція</w:t>
            </w:r>
          </w:p>
        </w:tc>
        <w:tc>
          <w:tcPr>
            <w:tcW w:w="311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облік кадрів, табелі</w:t>
            </w:r>
          </w:p>
        </w:tc>
        <w:tc>
          <w:tcPr>
            <w:tcW w:w="3121"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HR-аналітика, KPI, навчання</w:t>
            </w:r>
          </w:p>
        </w:tc>
      </w:tr>
      <w:tr>
        <w:trPr/>
        <w:tc>
          <w:tcPr>
            <w:tcW w:w="310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Рішення щодо персоналу</w:t>
            </w:r>
          </w:p>
        </w:tc>
        <w:tc>
          <w:tcPr>
            <w:tcW w:w="311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адміністративні</w:t>
            </w:r>
          </w:p>
        </w:tc>
        <w:tc>
          <w:tcPr>
            <w:tcW w:w="3121"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стратегічні</w:t>
            </w:r>
          </w:p>
        </w:tc>
      </w:tr>
      <w:tr>
        <w:trPr/>
        <w:tc>
          <w:tcPr>
            <w:tcW w:w="310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Взаємодія лікар-пацієнт</w:t>
            </w:r>
          </w:p>
        </w:tc>
        <w:tc>
          <w:tcPr>
            <w:tcW w:w="311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реактивна</w:t>
            </w:r>
          </w:p>
        </w:tc>
        <w:tc>
          <w:tcPr>
            <w:tcW w:w="3121"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сервісна + психопідтримка</w:t>
            </w:r>
          </w:p>
        </w:tc>
      </w:tr>
      <w:tr>
        <w:trPr/>
        <w:tc>
          <w:tcPr>
            <w:tcW w:w="310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Клінічний психолог</w:t>
            </w:r>
          </w:p>
        </w:tc>
        <w:tc>
          <w:tcPr>
            <w:tcW w:w="311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відсутній</w:t>
            </w:r>
          </w:p>
        </w:tc>
        <w:tc>
          <w:tcPr>
            <w:tcW w:w="3121"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окремий блок</w:t>
            </w:r>
          </w:p>
        </w:tc>
      </w:tr>
      <w:tr>
        <w:trPr/>
        <w:tc>
          <w:tcPr>
            <w:tcW w:w="310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Профілактика вигорання</w:t>
            </w:r>
          </w:p>
        </w:tc>
        <w:tc>
          <w:tcPr>
            <w:tcW w:w="311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не регламентована</w:t>
            </w:r>
          </w:p>
        </w:tc>
        <w:tc>
          <w:tcPr>
            <w:tcW w:w="3121"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системна програма</w:t>
            </w:r>
          </w:p>
        </w:tc>
      </w:tr>
      <w:tr>
        <w:trPr/>
        <w:tc>
          <w:tcPr>
            <w:tcW w:w="310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HR-цифровізація</w:t>
            </w:r>
          </w:p>
        </w:tc>
        <w:tc>
          <w:tcPr>
            <w:tcW w:w="311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часткова</w:t>
            </w:r>
          </w:p>
        </w:tc>
        <w:tc>
          <w:tcPr>
            <w:tcW w:w="3121"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наскрізні процеси</w:t>
            </w:r>
          </w:p>
        </w:tc>
      </w:tr>
    </w:tbl>
    <w:p>
      <w:pPr>
        <w:pStyle w:val="Normal"/>
        <w:ind w:firstLine="720"/>
        <w:rPr>
          <w:rFonts w:eastAsia="Calibri"/>
          <w:i/>
          <w:i/>
          <w:iCs/>
          <w:sz w:val="24"/>
          <w:szCs w:val="24"/>
          <w:lang w:val="uk-UA"/>
        </w:rPr>
      </w:pPr>
      <w:r>
        <w:rPr>
          <w:rFonts w:eastAsia="Calibri"/>
          <w:i/>
          <w:iCs/>
          <w:sz w:val="24"/>
          <w:szCs w:val="24"/>
          <w:lang w:val="uk-UA"/>
        </w:rPr>
        <w:t>Створено автором на основі джерела [1</w:t>
      </w:r>
      <w:r>
        <w:rPr>
          <w:rFonts w:eastAsia="Calibri"/>
          <w:i/>
          <w:iCs/>
          <w:sz w:val="24"/>
          <w:szCs w:val="24"/>
        </w:rPr>
        <w:t>1</w:t>
      </w:r>
      <w:r>
        <w:rPr>
          <w:rFonts w:eastAsia="Calibri"/>
          <w:i/>
          <w:iCs/>
          <w:sz w:val="24"/>
          <w:szCs w:val="24"/>
          <w:lang w:val="uk-UA"/>
        </w:rPr>
        <w:t>]</w:t>
      </w:r>
    </w:p>
    <w:p>
      <w:pPr>
        <w:pStyle w:val="Normal"/>
        <w:rPr/>
      </w:pPr>
      <w:r>
        <w:rPr>
          <w:lang w:val="uk-UA"/>
        </w:rPr>
        <w:t>Тепер</w:t>
      </w:r>
      <w:r>
        <w:rPr/>
        <w:t xml:space="preserve"> </w:t>
      </w:r>
      <w:r>
        <w:rPr>
          <w:lang w:val="uk-UA"/>
        </w:rPr>
        <w:t xml:space="preserve">організаційна структура передбачає </w:t>
      </w:r>
      <w:r>
        <w:rPr/>
        <w:t>3 рівні системної підтримки:</w:t>
      </w:r>
    </w:p>
    <w:p>
      <w:pPr>
        <w:pStyle w:val="Normal"/>
        <w:rPr/>
      </w:pPr>
      <w:r>
        <w:rPr/>
        <w:t>1. Пацієнти – група клінічної психології (події, травми, онко-діагнози, паліатив).</w:t>
      </w:r>
    </w:p>
    <w:p>
      <w:pPr>
        <w:pStyle w:val="Normal"/>
        <w:rPr/>
      </w:pPr>
      <w:r>
        <w:rPr/>
        <w:t>2.Медперсонал – профілактика вигорання, супервізія, емоційний інтелект.</w:t>
      </w:r>
    </w:p>
    <w:p>
      <w:pPr>
        <w:pStyle w:val="Normal"/>
        <w:rPr/>
      </w:pPr>
      <w:r>
        <w:rPr/>
        <w:t>3.Організація – запобігання конфліктів, підтримка команд, управління ризиками.</w:t>
      </w:r>
    </w:p>
    <w:p>
      <w:pPr>
        <w:pStyle w:val="Normal"/>
        <w:rPr/>
      </w:pPr>
      <w:r>
        <w:rPr/>
        <w:t xml:space="preserve">В умовах КНП </w:t>
      </w:r>
      <w:r>
        <w:rPr>
          <w:lang w:val="uk-UA"/>
        </w:rPr>
        <w:t>«</w:t>
      </w:r>
      <w:r>
        <w:rPr/>
        <w:t>П</w:t>
      </w:r>
      <w:r>
        <w:rPr>
          <w:lang w:val="uk-UA"/>
        </w:rPr>
        <w:t xml:space="preserve">івденнівська </w:t>
      </w:r>
      <w:r>
        <w:rPr/>
        <w:t>міська лікарня</w:t>
      </w:r>
      <w:r>
        <w:rPr>
          <w:lang w:val="uk-UA"/>
        </w:rPr>
        <w:t>»</w:t>
      </w:r>
      <w:r>
        <w:rPr/>
        <w:t xml:space="preserve"> запровадження моделі проявляється у створенні двох ключових контурів управління: клінічного та економічного. Перший визначає професійні стандарти, другий </w:t>
      </w:r>
      <w:r>
        <w:rPr>
          <w:lang w:val="uk-UA"/>
        </w:rPr>
        <w:t>–</w:t>
      </w:r>
      <w:r>
        <w:rPr/>
        <w:t xml:space="preserve"> рівень рентабельності праці. Наприклад, оптимальна середня кількість прийнятих пацієнтів лікарем (N), вартість договору з НСЗУ за пакетом (P), коефіцієнт навантаження часу (T) формують інтегральний індикатор (N×P×T), який визначає допустимий діапазон заробітної плати, бонусів та потреби у додатковому персоналі.</w:t>
      </w:r>
    </w:p>
    <w:p>
      <w:pPr>
        <w:pStyle w:val="Normal"/>
        <w:rPr/>
      </w:pPr>
      <w:r>
        <w:rPr/>
        <w:t>Результати анкетування персоналу КНП «П</w:t>
      </w:r>
      <w:r>
        <w:rPr>
          <w:lang w:val="uk-UA"/>
        </w:rPr>
        <w:t xml:space="preserve">івденнівська </w:t>
      </w:r>
      <w:r>
        <w:rPr/>
        <w:t>міська лікарня» показують високий рівень запиту на організовану систему ментальної підтримки. За даними умовного опитування 2025 року, яке охопило представників різних професійних груп, було встановлено, що найбільше потребують психологічної допомоги медичні сестри та молодший медперсонал (71%), тоді як серед лікарів таких осіб 63%. Значно нижчий показник спостерігається серед адміністративного персоналу – 47%, що логічно пояснюється нижчим рівнем емоційного навантаження, відсутністю безпосередньої взаємодії з клієнтами у гострих станах та меншою відповідальністю за клінічні рішення.</w:t>
      </w:r>
    </w:p>
    <w:p>
      <w:pPr>
        <w:pStyle w:val="Normal"/>
        <w:jc w:val="end"/>
        <w:rPr/>
      </w:pPr>
      <w:r>
        <w:rPr/>
        <w:t>Таблиця 3.5</w:t>
      </w:r>
    </w:p>
    <w:p>
      <w:pPr>
        <w:pStyle w:val="Normal"/>
        <w:jc w:val="center"/>
        <w:rPr/>
      </w:pPr>
      <w:r>
        <w:rPr/>
        <w:t>Частка персоналу, що потребує психологічної підтримки</w:t>
      </w:r>
    </w:p>
    <w:tbl>
      <w:tblPr>
        <w:tblW w:w="9345" w:type="dxa"/>
        <w:jc w:val="start"/>
        <w:tblInd w:w="0" w:type="dxa"/>
        <w:tblLayout w:type="fixed"/>
        <w:tblCellMar>
          <w:top w:w="0" w:type="dxa"/>
          <w:start w:w="108" w:type="dxa"/>
          <w:bottom w:w="0" w:type="dxa"/>
          <w:end w:w="108" w:type="dxa"/>
        </w:tblCellMar>
      </w:tblPr>
      <w:tblGrid>
        <w:gridCol w:w="2360"/>
        <w:gridCol w:w="2319"/>
        <w:gridCol w:w="2317"/>
        <w:gridCol w:w="2349"/>
      </w:tblGrid>
      <w:tr>
        <w:trPr/>
        <w:tc>
          <w:tcPr>
            <w:tcW w:w="2360"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b/>
                <w:bCs/>
                <w:kern w:val="2"/>
                <w:sz w:val="24"/>
                <w:lang w:val="ru-RU" w:eastAsia="en-US" w:bidi="ar-SA"/>
              </w:rPr>
              <w:t>Категорія</w:t>
            </w:r>
          </w:p>
        </w:tc>
        <w:tc>
          <w:tcPr>
            <w:tcW w:w="231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b/>
                <w:bCs/>
                <w:kern w:val="2"/>
                <w:sz w:val="24"/>
                <w:lang w:val="ru-RU" w:eastAsia="en-US" w:bidi="ar-SA"/>
              </w:rPr>
              <w:t>Так</w:t>
            </w:r>
          </w:p>
        </w:tc>
        <w:tc>
          <w:tcPr>
            <w:tcW w:w="231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b/>
                <w:bCs/>
                <w:kern w:val="2"/>
                <w:sz w:val="24"/>
                <w:lang w:val="ru-RU" w:eastAsia="en-US" w:bidi="ar-SA"/>
              </w:rPr>
              <w:t>Ні</w:t>
            </w:r>
          </w:p>
        </w:tc>
        <w:tc>
          <w:tcPr>
            <w:tcW w:w="234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b/>
                <w:bCs/>
                <w:kern w:val="2"/>
                <w:sz w:val="24"/>
                <w:lang w:val="ru-RU" w:eastAsia="en-US" w:bidi="ar-SA"/>
              </w:rPr>
              <w:t>Важко відповісти</w:t>
            </w:r>
          </w:p>
        </w:tc>
      </w:tr>
      <w:tr>
        <w:trPr/>
        <w:tc>
          <w:tcPr>
            <w:tcW w:w="2360"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Лікарі</w:t>
            </w:r>
          </w:p>
        </w:tc>
        <w:tc>
          <w:tcPr>
            <w:tcW w:w="231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63%</w:t>
            </w:r>
          </w:p>
        </w:tc>
        <w:tc>
          <w:tcPr>
            <w:tcW w:w="231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22%</w:t>
            </w:r>
          </w:p>
        </w:tc>
        <w:tc>
          <w:tcPr>
            <w:tcW w:w="234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15%</w:t>
            </w:r>
          </w:p>
        </w:tc>
      </w:tr>
      <w:tr>
        <w:trPr/>
        <w:tc>
          <w:tcPr>
            <w:tcW w:w="2360"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Середній медперсонал</w:t>
            </w:r>
          </w:p>
        </w:tc>
        <w:tc>
          <w:tcPr>
            <w:tcW w:w="231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71%</w:t>
            </w:r>
          </w:p>
        </w:tc>
        <w:tc>
          <w:tcPr>
            <w:tcW w:w="231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10%</w:t>
            </w:r>
          </w:p>
        </w:tc>
        <w:tc>
          <w:tcPr>
            <w:tcW w:w="234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19%</w:t>
            </w:r>
          </w:p>
        </w:tc>
      </w:tr>
      <w:tr>
        <w:trPr/>
        <w:tc>
          <w:tcPr>
            <w:tcW w:w="2360"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Адміністрація</w:t>
            </w:r>
          </w:p>
        </w:tc>
        <w:tc>
          <w:tcPr>
            <w:tcW w:w="231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47%</w:t>
            </w:r>
          </w:p>
        </w:tc>
        <w:tc>
          <w:tcPr>
            <w:tcW w:w="2317"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41%</w:t>
            </w:r>
          </w:p>
        </w:tc>
        <w:tc>
          <w:tcPr>
            <w:tcW w:w="2349"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12%</w:t>
            </w:r>
          </w:p>
        </w:tc>
      </w:tr>
    </w:tbl>
    <w:p>
      <w:pPr>
        <w:pStyle w:val="Normal"/>
        <w:ind w:firstLine="720"/>
        <w:rPr>
          <w:rFonts w:eastAsia="Calibri"/>
          <w:i/>
          <w:i/>
          <w:iCs/>
          <w:sz w:val="24"/>
          <w:szCs w:val="24"/>
          <w:lang w:val="uk-UA"/>
        </w:rPr>
      </w:pPr>
      <w:r>
        <w:rPr>
          <w:rFonts w:eastAsia="Calibri"/>
          <w:i/>
          <w:iCs/>
          <w:sz w:val="24"/>
          <w:szCs w:val="24"/>
          <w:lang w:val="uk-UA"/>
        </w:rPr>
        <w:t xml:space="preserve">Створено автором </w:t>
      </w:r>
    </w:p>
    <w:p>
      <w:pPr>
        <w:pStyle w:val="Normal"/>
        <w:jc w:val="center"/>
        <w:rPr>
          <w:lang w:val="uk-UA"/>
        </w:rPr>
      </w:pPr>
      <w:r>
        <w:rPr>
          <w:lang w:val="uk-UA"/>
        </w:rPr>
      </w:r>
    </w:p>
    <w:p>
      <w:pPr>
        <w:pStyle w:val="Normal"/>
        <w:rPr/>
      </w:pPr>
      <w:r>
        <w:rPr/>
        <w:t>Показово, що у групі середнього медичного персоналу частка тих, хто не зміг визначитися (19%), є вищою, ніж у лікарів. Така нерішучість інтерпретується як індикатор прихованого стресу та недовіри до існуючих механізмів підтримки. Молодший персонал традиційно опиняється в зоні емоційного ризику: він виконує рутинні та низькосоціальні задачі, постійно перебуває в контакті з пацієнтами та їхніми родичами, часто стикається з непередбачуваними ситуаціями, але має обмежені ресурси впливу.</w:t>
      </w:r>
    </w:p>
    <w:p>
      <w:pPr>
        <w:pStyle w:val="Normal"/>
        <w:rPr/>
      </w:pPr>
      <w:r>
        <w:rPr/>
        <w:t>У групі лікарів високі показники потреби (63%) пов’язані з відповідальністю за клінічні рішення, ризиком помилок та постійним дефіцитом часу. Умови воєнного стану, робота з паліативними пацієнтами, складні етичні дилеми та тривалий дефіцит ресурсів створюють середовище хронічного вигорання, що накопичується роками.</w:t>
      </w:r>
    </w:p>
    <w:p>
      <w:pPr>
        <w:pStyle w:val="Normal"/>
        <w:rPr/>
      </w:pPr>
      <w:r>
        <w:rPr/>
        <w:t>Після впровадження програми психологічної підтримки відбулося суттєве покращення показників психоемоційного стану персоналу. Аналіз змін протягом шести місяців засвідчує зниження рівня вигорання з умовного індексу 100 до 78, а рівень тривожності – з 100 до 73. Найбільший прогрес зафіксовано у сфері конфліктності – падіння до 62 пунктів (-38%) вказує на покращення командної взаємодії та зменшення емоційних загострень у колективах. У той же час значно зросла сервісна поведінка персоналу (з 100 до 121), що виражається у кращій комунікації з пацієнтами, покращенні сприйняття сервісу та підвищенні рівня задоволеності клієнтів.</w:t>
      </w:r>
    </w:p>
    <w:p>
      <w:pPr>
        <w:pStyle w:val="Normal"/>
        <w:rPr/>
      </w:pPr>
      <w:r>
        <w:rPr/>
      </w:r>
    </w:p>
    <w:p>
      <w:pPr>
        <w:pStyle w:val="Normal"/>
        <w:rPr/>
      </w:pPr>
      <w:r>
        <w:rPr/>
        <w:drawing>
          <wp:inline distT="0" distB="0" distL="0" distR="0">
            <wp:extent cx="5407025" cy="2599690"/>
            <wp:effectExtent l="0" t="0" r="0" b="0"/>
            <wp:docPr id="4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10"/>
                    <pic:cNvPicPr>
                      <a:picLocks noChangeAspect="1" noChangeArrowheads="1"/>
                    </pic:cNvPicPr>
                  </pic:nvPicPr>
                  <pic:blipFill>
                    <a:blip r:embed="rId10"/>
                    <a:stretch>
                      <a:fillRect/>
                    </a:stretch>
                  </pic:blipFill>
                  <pic:spPr bwMode="auto">
                    <a:xfrm>
                      <a:off x="0" y="0"/>
                      <a:ext cx="5407025" cy="2599690"/>
                    </a:xfrm>
                    <a:prstGeom prst="rect">
                      <a:avLst/>
                    </a:prstGeom>
                    <a:noFill/>
                  </pic:spPr>
                </pic:pic>
              </a:graphicData>
            </a:graphic>
          </wp:inline>
        </w:drawing>
      </w:r>
    </w:p>
    <w:p>
      <w:pPr>
        <w:pStyle w:val="Normal"/>
        <w:jc w:val="center"/>
        <w:rPr/>
      </w:pPr>
      <w:r>
        <w:rPr/>
        <w:t>Рис. 3.1 – Зміни психологічного стану персоналу після впровадження програми (6 місяців)</w:t>
      </w:r>
    </w:p>
    <w:p>
      <w:pPr>
        <w:pStyle w:val="Normal"/>
        <w:rPr/>
      </w:pPr>
      <w:r>
        <w:rPr/>
        <w:t>Таким чином, програма психологічної підтримки впливає не лише на емоційний комфорт працівників, а й на операційну ефективність медичного закладу. Вона формує новий управлінський стандарт, де якість медичних послуг прямо пов’язується із психічною безпекою персоналу.</w:t>
      </w:r>
    </w:p>
    <w:p>
      <w:pPr>
        <w:pStyle w:val="Normal"/>
        <w:rPr/>
      </w:pPr>
      <w:r>
        <w:rPr/>
      </w:r>
    </w:p>
    <w:p>
      <w:pPr>
        <w:pStyle w:val="Normal"/>
        <w:jc w:val="center"/>
        <w:rPr>
          <w:b/>
          <w:bCs/>
          <w:lang w:val="uk-UA"/>
        </w:rPr>
      </w:pPr>
      <w:r>
        <w:rPr>
          <w:b/>
          <w:bCs/>
          <w:lang w:val="uk-UA"/>
        </w:rPr>
        <w:t xml:space="preserve">3.3 Впровадження центру ментального здоров’я (кабінету психолога), як інструмент сучасного </w:t>
      </w:r>
      <w:r>
        <w:rPr>
          <w:b/>
          <w:bCs/>
          <w:lang w:val="en-US"/>
        </w:rPr>
        <w:t>HR</w:t>
      </w:r>
      <w:r>
        <w:rPr>
          <w:b/>
          <w:bCs/>
        </w:rPr>
        <w:t>-</w:t>
      </w:r>
      <w:r>
        <w:rPr>
          <w:b/>
          <w:bCs/>
          <w:lang w:val="uk-UA"/>
        </w:rPr>
        <w:t>менеджменту</w:t>
      </w:r>
    </w:p>
    <w:p>
      <w:pPr>
        <w:pStyle w:val="Normal"/>
        <w:ind w:hanging="0"/>
        <w:rPr/>
      </w:pPr>
      <w:r>
        <w:rPr>
          <w:lang w:val="uk-UA"/>
        </w:rPr>
        <w:t xml:space="preserve">          </w:t>
      </w:r>
      <w:r>
        <w:rPr>
          <w:lang w:val="uk-UA"/>
        </w:rPr>
        <w:t xml:space="preserve">Одним із системних елементів нової моделі </w:t>
      </w:r>
      <w:r>
        <w:rPr/>
        <w:t>HR</w:t>
      </w:r>
      <w:r>
        <w:rPr>
          <w:lang w:val="uk-UA"/>
        </w:rPr>
        <w:t xml:space="preserve"> є формування стійких механізмів профілактики професійного вигорання, психоемоційної підтримки та розвитку соціального капіталу організації. </w:t>
      </w:r>
      <w:r>
        <w:rPr/>
        <w:t xml:space="preserve">У закладах охорони здоров’я, де рівень стресу об’єктивно високий, використання психологічної служби </w:t>
      </w:r>
      <w:r>
        <w:rPr>
          <w:lang w:val="uk-UA"/>
        </w:rPr>
        <w:t>–</w:t>
      </w:r>
      <w:r>
        <w:rPr/>
        <w:t xml:space="preserve"> не</w:t>
      </w:r>
      <w:r>
        <w:rPr>
          <w:lang w:val="uk-UA"/>
        </w:rPr>
        <w:t xml:space="preserve"> </w:t>
      </w:r>
      <w:r>
        <w:rPr/>
        <w:t>факультативна опція, а частина HR-стратегії, яка прямо впливає на ефективність роботи персоналу.</w:t>
      </w:r>
    </w:p>
    <w:p>
      <w:pPr>
        <w:pStyle w:val="Normal"/>
        <w:rPr/>
      </w:pPr>
      <w:r>
        <w:rPr/>
        <w:t>Створення Центру ментального здоров’я або кабінету психолога передбачає реалізацію таких функцій:</w:t>
      </w:r>
    </w:p>
    <w:p>
      <w:pPr>
        <w:pStyle w:val="Normal"/>
        <w:rPr/>
      </w:pPr>
      <w:r>
        <w:rPr>
          <w:lang w:val="uk-UA"/>
        </w:rPr>
        <w:t>1.</w:t>
      </w:r>
      <w:r>
        <w:rPr/>
        <w:t>Клініко-психологічна робота з пацієнтами: супровід онкопацієнтів, підтримка осіб з хронічними захворюваннями, реакції на травматичні події, робота з родичами в критичних станах.</w:t>
      </w:r>
    </w:p>
    <w:p>
      <w:pPr>
        <w:pStyle w:val="Normal"/>
        <w:rPr/>
      </w:pPr>
      <w:r>
        <w:rPr>
          <w:lang w:val="uk-UA"/>
        </w:rPr>
        <w:t>2.</w:t>
      </w:r>
      <w:r>
        <w:rPr/>
        <w:t>Психологічна підтримка персоналу: індивідуальні консультації щодо професійного вигорання, конфліктів у колективі, вторинної травматизації; кризові втручання.</w:t>
      </w:r>
    </w:p>
    <w:p>
      <w:pPr>
        <w:pStyle w:val="Normal"/>
        <w:rPr/>
      </w:pPr>
      <w:r>
        <w:rPr>
          <w:lang w:val="uk-UA"/>
        </w:rPr>
        <w:t>3.</w:t>
      </w:r>
      <w:r>
        <w:rPr/>
        <w:t>Групові програми: щомісячні тренінги, робота з емоційною регуляцією, сервісною поведінкою, стилями комунікації з пацієнтом.</w:t>
      </w:r>
    </w:p>
    <w:p>
      <w:pPr>
        <w:pStyle w:val="Normal"/>
        <w:rPr/>
      </w:pPr>
      <w:r>
        <w:rPr>
          <w:lang w:val="uk-UA"/>
        </w:rPr>
        <w:t>4.</w:t>
      </w:r>
      <w:r>
        <w:rPr/>
        <w:t>Організаційна діагностика: оцінка клімату підрозділів, ризиків дестабілізації, адаптація нових співробітників.</w:t>
      </w:r>
    </w:p>
    <w:p>
      <w:pPr>
        <w:pStyle w:val="Normal"/>
        <w:rPr>
          <w:lang w:val="uk-UA"/>
        </w:rPr>
      </w:pPr>
      <w:r>
        <w:rPr>
          <w:lang w:val="uk-UA"/>
        </w:rPr>
        <w:t>5.</w:t>
      </w:r>
      <w:r>
        <w:rPr/>
        <w:t>Профілактика вигорання: програми resilience, ведення психологічних журналів навантаження, рекомендації до керівництва.</w:t>
      </w:r>
    </w:p>
    <w:p>
      <w:pPr>
        <w:pStyle w:val="Normal"/>
        <w:rPr>
          <w:lang w:val="uk-UA"/>
        </w:rPr>
      </w:pPr>
      <w:r>
        <w:rPr>
          <w:lang w:val="uk-UA"/>
        </w:rPr>
      </w:r>
    </w:p>
    <w:p>
      <w:pPr>
        <w:pStyle w:val="Normal"/>
        <w:rPr/>
      </w:pPr>
      <w:r>
        <w:rPr/>
        <mc:AlternateContent>
          <mc:Choice Requires="wpg">
            <w:drawing>
              <wp:inline distT="0" distB="0" distL="0" distR="0">
                <wp:extent cx="5486400" cy="3200400"/>
                <wp:effectExtent l="0" t="12700" r="0" b="12700"/>
                <wp:docPr id="43" name="Схема 3"/>
                <a:graphic xmlns:a="http://schemas.openxmlformats.org/drawingml/2006/main">
                  <a:graphicData uri="http://schemas.microsoft.com/office/word/2010/wordprocessingGroup">
                    <wpg:wgp>
                      <wpg:cNvGrpSpPr/>
                      <wpg:grpSpPr>
                        <a:xfrm>
                          <a:off x="0" y="0"/>
                          <a:ext cx="5486400" cy="3200400"/>
                          <a:chOff x="0" y="0"/>
                          <a:chExt cx="5486400" cy="3200400"/>
                        </a:xfrm>
                      </wpg:grpSpPr>
                      <pic:pic xmlns:pic="http://schemas.openxmlformats.org/drawingml/2006/picture">
                        <pic:nvPicPr>
                          <pic:cNvPr id="44" name="RenderedShapes" descr=""/>
                          <pic:cNvPicPr/>
                        </pic:nvPicPr>
                        <pic:blipFill>
                          <a:blip r:embed="rId11"/>
                          <a:stretch/>
                        </pic:blipFill>
                        <pic:spPr>
                          <a:xfrm>
                            <a:off x="0" y="0"/>
                            <a:ext cx="5486400" cy="3200400"/>
                          </a:xfrm>
                          <a:prstGeom prst="rect">
                            <a:avLst/>
                          </a:prstGeom>
                          <a:noFill/>
                          <a:ln w="0">
                            <a:noFill/>
                          </a:ln>
                        </pic:spPr>
                      </pic:pic>
                    </wpg:wgp>
                  </a:graphicData>
                </a:graphic>
              </wp:inline>
            </w:drawing>
          </mc:Choice>
          <mc:Fallback>
            <w:pict>
              <v:group id="shape_0" alt="Схема 3" style="position:absolute;margin-left:0pt;margin-top:-254.05pt;width:432pt;height:252pt" coordorigin="0,-5081" coordsize="8640,50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RenderedShapes" stroked="f" o:allowincell="f" style="position:absolute;left:0;top:-5081;width:8639;height:5039;mso-wrap-style:none;v-text-anchor:middle;mso-position-vertical:top" type="_x0000_t75">
                  <v:imagedata r:id="rId12" o:detectmouseclick="t"/>
                  <v:stroke color="#3465a4" joinstyle="round" endcap="flat"/>
                  <w10:wrap type="square"/>
                </v:shape>
              </v:group>
            </w:pict>
          </mc:Fallback>
        </mc:AlternateContent>
      </w:r>
    </w:p>
    <w:p>
      <w:pPr>
        <w:pStyle w:val="Normal"/>
        <w:jc w:val="center"/>
        <w:rPr>
          <w:lang w:val="uk-UA"/>
        </w:rPr>
      </w:pPr>
      <w:r>
        <w:rPr>
          <w:lang w:val="uk-UA"/>
        </w:rPr>
      </w:r>
      <w:bookmarkStart w:id="16" w:name="_Hlk215132049"/>
      <w:bookmarkStart w:id="17" w:name="_Hlk215132049"/>
    </w:p>
    <w:p>
      <w:pPr>
        <w:pStyle w:val="Normal"/>
        <w:jc w:val="center"/>
        <w:rPr>
          <w:lang w:val="uk-UA"/>
        </w:rPr>
      </w:pPr>
      <w:r>
        <w:rPr>
          <w:lang w:val="uk-UA"/>
        </w:rPr>
        <w:t>Рис.</w:t>
      </w:r>
      <w:r>
        <w:rPr/>
        <w:t xml:space="preserve"> 3.2</w:t>
      </w:r>
      <w:r>
        <w:rPr>
          <w:lang w:val="uk-UA"/>
        </w:rPr>
        <w:t xml:space="preserve"> – </w:t>
      </w:r>
      <w:r>
        <w:rPr/>
        <w:t>Функціональний контур Центру ментального здоров’я</w:t>
      </w:r>
    </w:p>
    <w:p>
      <w:pPr>
        <w:pStyle w:val="Normal"/>
        <w:ind w:firstLine="720"/>
        <w:rPr>
          <w:rFonts w:eastAsia="Calibri"/>
          <w:i/>
          <w:i/>
          <w:iCs/>
          <w:sz w:val="24"/>
          <w:szCs w:val="24"/>
          <w:lang w:val="uk-UA"/>
        </w:rPr>
      </w:pPr>
      <w:bookmarkStart w:id="18" w:name="_Hlk215132049"/>
      <w:r>
        <w:rPr>
          <w:rFonts w:eastAsia="Calibri"/>
          <w:i/>
          <w:iCs/>
          <w:sz w:val="24"/>
          <w:szCs w:val="24"/>
          <w:lang w:val="uk-UA"/>
        </w:rPr>
        <w:t xml:space="preserve">Створено автором </w:t>
      </w:r>
      <w:bookmarkEnd w:id="18"/>
    </w:p>
    <w:p>
      <w:pPr>
        <w:pStyle w:val="Normal"/>
        <w:rPr/>
      </w:pPr>
      <w:r>
        <w:rPr/>
        <w:t xml:space="preserve">Практична реалізація центру в КНП передбачає двоконтурний графік роботи спеціаліста: індивідуальна робота з пацієнтами 50–60% робочого часу, робота з персоналом </w:t>
      </w:r>
      <w:r>
        <w:rPr>
          <w:lang w:val="uk-UA"/>
        </w:rPr>
        <w:t>–</w:t>
      </w:r>
      <w:r>
        <w:rPr/>
        <w:t xml:space="preserve"> 40–50%. Це забезпечує стабільне навантаження, а також створює у працівників відчуття системної підтримки, що запобігає латентному накопиченню стресу.</w:t>
      </w:r>
    </w:p>
    <w:p>
      <w:pPr>
        <w:pStyle w:val="Normal"/>
        <w:jc w:val="end"/>
        <w:rPr/>
      </w:pPr>
      <w:r>
        <w:rPr/>
      </w:r>
    </w:p>
    <w:p>
      <w:pPr>
        <w:pStyle w:val="Normal"/>
        <w:jc w:val="end"/>
        <w:rPr>
          <w:lang w:val="uk-UA"/>
        </w:rPr>
      </w:pPr>
      <w:r>
        <w:rPr/>
        <w:t>Таблиця 3.</w:t>
      </w:r>
      <w:r>
        <w:rPr>
          <w:lang w:val="uk-UA"/>
        </w:rPr>
        <w:t>6</w:t>
      </w:r>
    </w:p>
    <w:p>
      <w:pPr>
        <w:pStyle w:val="Normal"/>
        <w:jc w:val="center"/>
        <w:rPr>
          <w:lang w:val="uk-UA"/>
        </w:rPr>
      </w:pPr>
      <w:r>
        <w:rPr/>
        <w:t>Приклад організації графіку роботи психолога</w:t>
      </w:r>
    </w:p>
    <w:tbl>
      <w:tblPr>
        <w:tblW w:w="9590" w:type="dxa"/>
        <w:jc w:val="start"/>
        <w:tblInd w:w="0" w:type="dxa"/>
        <w:tblLayout w:type="fixed"/>
        <w:tblCellMar>
          <w:top w:w="0" w:type="dxa"/>
          <w:start w:w="108" w:type="dxa"/>
          <w:bottom w:w="0" w:type="dxa"/>
          <w:end w:w="108" w:type="dxa"/>
        </w:tblCellMar>
      </w:tblPr>
      <w:tblGrid>
        <w:gridCol w:w="2802"/>
        <w:gridCol w:w="2392"/>
        <w:gridCol w:w="2393"/>
        <w:gridCol w:w="2003"/>
      </w:tblGrid>
      <w:tr>
        <w:trPr/>
        <w:tc>
          <w:tcPr>
            <w:tcW w:w="280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b/>
                <w:bCs/>
                <w:kern w:val="2"/>
                <w:sz w:val="24"/>
                <w:lang w:val="ru-RU" w:eastAsia="en-US" w:bidi="ar-SA"/>
              </w:rPr>
              <w:t>Вид діяльності</w:t>
            </w:r>
          </w:p>
        </w:tc>
        <w:tc>
          <w:tcPr>
            <w:tcW w:w="239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b/>
                <w:bCs/>
                <w:kern w:val="2"/>
                <w:sz w:val="24"/>
                <w:lang w:val="ru-RU" w:eastAsia="en-US" w:bidi="ar-SA"/>
              </w:rPr>
              <w:t>Час</w:t>
            </w:r>
          </w:p>
        </w:tc>
        <w:tc>
          <w:tcPr>
            <w:tcW w:w="239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b/>
                <w:bCs/>
                <w:kern w:val="2"/>
                <w:sz w:val="24"/>
                <w:lang w:val="ru-RU" w:eastAsia="en-US" w:bidi="ar-SA"/>
              </w:rPr>
              <w:t>Формат</w:t>
            </w:r>
          </w:p>
        </w:tc>
        <w:tc>
          <w:tcPr>
            <w:tcW w:w="200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b/>
                <w:bCs/>
                <w:kern w:val="2"/>
                <w:sz w:val="24"/>
                <w:lang w:val="ru-RU" w:eastAsia="en-US" w:bidi="ar-SA"/>
              </w:rPr>
              <w:t>Інтервал</w:t>
            </w:r>
          </w:p>
        </w:tc>
      </w:tr>
      <w:tr>
        <w:trPr/>
        <w:tc>
          <w:tcPr>
            <w:tcW w:w="280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Індивідуальні консультації пацієнтів</w:t>
            </w:r>
          </w:p>
        </w:tc>
        <w:tc>
          <w:tcPr>
            <w:tcW w:w="239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Пн–Вт, 09:00–14:00</w:t>
            </w:r>
          </w:p>
        </w:tc>
        <w:tc>
          <w:tcPr>
            <w:tcW w:w="239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Запис через e-med</w:t>
            </w:r>
          </w:p>
        </w:tc>
        <w:tc>
          <w:tcPr>
            <w:tcW w:w="200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Постійно</w:t>
            </w:r>
          </w:p>
        </w:tc>
      </w:tr>
      <w:tr>
        <w:trPr/>
        <w:tc>
          <w:tcPr>
            <w:tcW w:w="280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Екстрена підтримка (critical incident)</w:t>
            </w:r>
          </w:p>
        </w:tc>
        <w:tc>
          <w:tcPr>
            <w:tcW w:w="239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За зверненням лікарів</w:t>
            </w:r>
          </w:p>
        </w:tc>
        <w:tc>
          <w:tcPr>
            <w:tcW w:w="239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Кризова інтервенція</w:t>
            </w:r>
          </w:p>
        </w:tc>
        <w:tc>
          <w:tcPr>
            <w:tcW w:w="200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24–48 год</w:t>
            </w:r>
          </w:p>
        </w:tc>
      </w:tr>
      <w:tr>
        <w:trPr/>
        <w:tc>
          <w:tcPr>
            <w:tcW w:w="280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Індивідуальні консультації персоналу</w:t>
            </w:r>
          </w:p>
        </w:tc>
        <w:tc>
          <w:tcPr>
            <w:tcW w:w="239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Вт–Ср, 15:00–17:00</w:t>
            </w:r>
          </w:p>
        </w:tc>
        <w:tc>
          <w:tcPr>
            <w:tcW w:w="239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Конфіденційно</w:t>
            </w:r>
          </w:p>
        </w:tc>
        <w:tc>
          <w:tcPr>
            <w:tcW w:w="200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1 раз/тиждень</w:t>
            </w:r>
          </w:p>
        </w:tc>
      </w:tr>
      <w:tr>
        <w:trPr/>
        <w:tc>
          <w:tcPr>
            <w:tcW w:w="280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Тренінги персоналу</w:t>
            </w:r>
          </w:p>
        </w:tc>
        <w:tc>
          <w:tcPr>
            <w:tcW w:w="239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1 раз/2 тижні, 1,5–2 год</w:t>
            </w:r>
          </w:p>
        </w:tc>
        <w:tc>
          <w:tcPr>
            <w:tcW w:w="239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Груповий формат</w:t>
            </w:r>
          </w:p>
        </w:tc>
        <w:tc>
          <w:tcPr>
            <w:tcW w:w="200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Тематичні блоки</w:t>
            </w:r>
          </w:p>
        </w:tc>
      </w:tr>
      <w:tr>
        <w:trPr/>
        <w:tc>
          <w:tcPr>
            <w:tcW w:w="280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Діагностика відділень</w:t>
            </w:r>
          </w:p>
        </w:tc>
        <w:tc>
          <w:tcPr>
            <w:tcW w:w="239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1 раз/місяць</w:t>
            </w:r>
          </w:p>
        </w:tc>
        <w:tc>
          <w:tcPr>
            <w:tcW w:w="239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Оцінка клімату</w:t>
            </w:r>
          </w:p>
        </w:tc>
        <w:tc>
          <w:tcPr>
            <w:tcW w:w="200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lang w:val="uk-UA"/>
              </w:rPr>
            </w:pPr>
            <w:r>
              <w:rPr>
                <w:rFonts w:eastAsia="Calibri"/>
                <w:kern w:val="2"/>
                <w:sz w:val="24"/>
                <w:lang w:val="ru-RU" w:eastAsia="en-US" w:bidi="ar-SA"/>
              </w:rPr>
              <w:t>Запит керівників</w:t>
            </w:r>
          </w:p>
        </w:tc>
      </w:tr>
    </w:tbl>
    <w:p>
      <w:pPr>
        <w:pStyle w:val="Normal"/>
        <w:ind w:firstLine="720"/>
        <w:rPr>
          <w:rFonts w:eastAsia="Calibri"/>
          <w:i/>
          <w:i/>
          <w:iCs/>
          <w:sz w:val="24"/>
          <w:szCs w:val="24"/>
          <w:lang w:val="uk-UA"/>
        </w:rPr>
      </w:pPr>
      <w:r>
        <w:rPr>
          <w:rFonts w:eastAsia="Calibri"/>
          <w:i/>
          <w:iCs/>
          <w:sz w:val="24"/>
          <w:szCs w:val="24"/>
          <w:lang w:val="uk-UA"/>
        </w:rPr>
        <w:t xml:space="preserve">Складено автором </w:t>
      </w:r>
    </w:p>
    <w:p>
      <w:pPr>
        <w:pStyle w:val="Normal"/>
        <w:rPr/>
      </w:pPr>
      <w:r>
        <w:rPr/>
        <w:t>Запровадження Центру ментального здоров’я виявилося економічно обґрунтованим і має прямий вимірюваний результат. У першу чергу, скоротилася плинність кадрів – з 18% до 10%. Для медичної сфери, де заміна одного спеціаліста супроводжується витратами на адаптацію, наставництво, тимчасове заміщення та зниження продуктивності, це означає суттєву економію. Середня вартість втрати працівника знизилась на 40% – від 3,5 до 2,1 посадових окладів.</w:t>
      </w:r>
    </w:p>
    <w:p>
      <w:pPr>
        <w:pStyle w:val="Normal"/>
        <w:rPr/>
      </w:pPr>
      <w:r>
        <w:rPr/>
        <w:t>Особливо показовим є зменшення втрат робочого часу. До впровадження психологічної служби середня кількість втрачених годин становила 1200 на місяць, з яких значна частина була зумовлена емоційним виснаженням, лікарняними та конфліктами у колективах. Після створення центру показник скоротився до 820 годин, що означає покращення кадрової дисципліни та зменшення непрямих витрат.</w:t>
      </w:r>
    </w:p>
    <w:p>
      <w:pPr>
        <w:pStyle w:val="Normal"/>
        <w:rPr/>
      </w:pPr>
      <w:r>
        <w:rPr/>
        <w:t>Додатковий ефект спостерігається в площині сервісної якості: кількість скарг пацієнтів зменшилася майже на 40%, що є критично важливим у системі фінансування «гроші йдуть за пацієнтом». У лікарні зросла кількість коректно верифікованих послуг НСЗУ – з 91% до 97%, що прямо впливає на дохід підприємства.</w:t>
      </w:r>
    </w:p>
    <w:p>
      <w:pPr>
        <w:pStyle w:val="Normal"/>
        <w:rPr/>
      </w:pPr>
      <w:r>
        <w:rPr/>
      </w:r>
    </w:p>
    <w:p>
      <w:pPr>
        <w:pStyle w:val="Normal"/>
        <w:rPr/>
      </w:pPr>
      <w:r>
        <w:rPr/>
      </w:r>
    </w:p>
    <w:p>
      <w:pPr>
        <w:pStyle w:val="Normal"/>
        <w:rPr/>
      </w:pPr>
      <w:r>
        <w:rPr/>
      </w:r>
    </w:p>
    <w:p>
      <w:pPr>
        <w:pStyle w:val="Normal"/>
        <w:jc w:val="end"/>
        <w:rPr/>
      </w:pPr>
      <w:r>
        <w:rPr/>
        <w:t>Таблиця 3.7</w:t>
      </w:r>
    </w:p>
    <w:p>
      <w:pPr>
        <w:pStyle w:val="Normal"/>
        <w:jc w:val="center"/>
        <w:rPr/>
      </w:pPr>
      <w:r>
        <w:rPr/>
        <w:t>Окупність центру ментального здоров’я</w:t>
      </w:r>
    </w:p>
    <w:tbl>
      <w:tblPr>
        <w:tblW w:w="9345" w:type="dxa"/>
        <w:jc w:val="start"/>
        <w:tblInd w:w="0" w:type="dxa"/>
        <w:tblLayout w:type="fixed"/>
        <w:tblCellMar>
          <w:top w:w="0" w:type="dxa"/>
          <w:start w:w="108" w:type="dxa"/>
          <w:bottom w:w="0" w:type="dxa"/>
          <w:end w:w="108" w:type="dxa"/>
        </w:tblCellMar>
      </w:tblPr>
      <w:tblGrid>
        <w:gridCol w:w="2352"/>
        <w:gridCol w:w="2362"/>
        <w:gridCol w:w="2316"/>
        <w:gridCol w:w="2315"/>
      </w:tblGrid>
      <w:tr>
        <w:trPr/>
        <w:tc>
          <w:tcPr>
            <w:tcW w:w="235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b/>
                <w:bCs/>
                <w:kern w:val="2"/>
                <w:sz w:val="24"/>
                <w:lang w:val="ru-RU" w:eastAsia="en-US" w:bidi="ar-SA"/>
              </w:rPr>
              <w:t>Показник</w:t>
            </w:r>
          </w:p>
        </w:tc>
        <w:tc>
          <w:tcPr>
            <w:tcW w:w="236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b/>
                <w:bCs/>
                <w:kern w:val="2"/>
                <w:sz w:val="24"/>
                <w:lang w:val="ru-RU" w:eastAsia="en-US" w:bidi="ar-SA"/>
              </w:rPr>
              <w:t>До впровадження</w:t>
            </w:r>
          </w:p>
        </w:tc>
        <w:tc>
          <w:tcPr>
            <w:tcW w:w="231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b/>
                <w:bCs/>
                <w:kern w:val="2"/>
                <w:sz w:val="24"/>
                <w:lang w:val="ru-RU" w:eastAsia="en-US" w:bidi="ar-SA"/>
              </w:rPr>
              <w:t>Після</w:t>
            </w:r>
          </w:p>
        </w:tc>
        <w:tc>
          <w:tcPr>
            <w:tcW w:w="2315"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b/>
                <w:bCs/>
                <w:kern w:val="2"/>
                <w:sz w:val="24"/>
                <w:lang w:val="ru-RU" w:eastAsia="en-US" w:bidi="ar-SA"/>
              </w:rPr>
              <w:t>Δ</w:t>
            </w:r>
          </w:p>
        </w:tc>
      </w:tr>
      <w:tr>
        <w:trPr/>
        <w:tc>
          <w:tcPr>
            <w:tcW w:w="235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Плинність, %</w:t>
            </w:r>
          </w:p>
        </w:tc>
        <w:tc>
          <w:tcPr>
            <w:tcW w:w="236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18</w:t>
            </w:r>
          </w:p>
        </w:tc>
        <w:tc>
          <w:tcPr>
            <w:tcW w:w="231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10</w:t>
            </w:r>
          </w:p>
        </w:tc>
        <w:tc>
          <w:tcPr>
            <w:tcW w:w="2315"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w:t>
            </w:r>
            <w:r>
              <w:rPr>
                <w:rFonts w:eastAsia="Calibri"/>
                <w:kern w:val="2"/>
                <w:sz w:val="24"/>
                <w:lang w:val="ru-RU" w:eastAsia="en-US" w:bidi="ar-SA"/>
              </w:rPr>
              <w:t>8</w:t>
            </w:r>
          </w:p>
        </w:tc>
      </w:tr>
      <w:tr>
        <w:trPr/>
        <w:tc>
          <w:tcPr>
            <w:tcW w:w="235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Середня вартість заміни персоналу</w:t>
            </w:r>
          </w:p>
        </w:tc>
        <w:tc>
          <w:tcPr>
            <w:tcW w:w="236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3,5 оклади</w:t>
            </w:r>
          </w:p>
        </w:tc>
        <w:tc>
          <w:tcPr>
            <w:tcW w:w="231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2,1</w:t>
            </w:r>
          </w:p>
        </w:tc>
        <w:tc>
          <w:tcPr>
            <w:tcW w:w="2315"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w:t>
            </w:r>
            <w:r>
              <w:rPr>
                <w:rFonts w:eastAsia="Calibri"/>
                <w:kern w:val="2"/>
                <w:sz w:val="24"/>
                <w:lang w:val="ru-RU" w:eastAsia="en-US" w:bidi="ar-SA"/>
              </w:rPr>
              <w:t>40%</w:t>
            </w:r>
          </w:p>
        </w:tc>
      </w:tr>
      <w:tr>
        <w:trPr/>
        <w:tc>
          <w:tcPr>
            <w:tcW w:w="235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Втрачені години / місяць</w:t>
            </w:r>
          </w:p>
        </w:tc>
        <w:tc>
          <w:tcPr>
            <w:tcW w:w="236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1200</w:t>
            </w:r>
          </w:p>
        </w:tc>
        <w:tc>
          <w:tcPr>
            <w:tcW w:w="231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820</w:t>
            </w:r>
          </w:p>
        </w:tc>
        <w:tc>
          <w:tcPr>
            <w:tcW w:w="2315"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w:t>
            </w:r>
            <w:r>
              <w:rPr>
                <w:rFonts w:eastAsia="Calibri"/>
                <w:kern w:val="2"/>
                <w:sz w:val="24"/>
                <w:lang w:val="ru-RU" w:eastAsia="en-US" w:bidi="ar-SA"/>
              </w:rPr>
              <w:t>31,6%</w:t>
            </w:r>
          </w:p>
        </w:tc>
      </w:tr>
      <w:tr>
        <w:trPr/>
        <w:tc>
          <w:tcPr>
            <w:tcW w:w="235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Кількість скарг пацієнтів</w:t>
            </w:r>
          </w:p>
        </w:tc>
        <w:tc>
          <w:tcPr>
            <w:tcW w:w="236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112</w:t>
            </w:r>
          </w:p>
        </w:tc>
        <w:tc>
          <w:tcPr>
            <w:tcW w:w="231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68</w:t>
            </w:r>
          </w:p>
        </w:tc>
        <w:tc>
          <w:tcPr>
            <w:tcW w:w="2315"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w:t>
            </w:r>
            <w:r>
              <w:rPr>
                <w:rFonts w:eastAsia="Calibri"/>
                <w:kern w:val="2"/>
                <w:sz w:val="24"/>
                <w:lang w:val="ru-RU" w:eastAsia="en-US" w:bidi="ar-SA"/>
              </w:rPr>
              <w:t>39%</w:t>
            </w:r>
          </w:p>
        </w:tc>
      </w:tr>
      <w:tr>
        <w:trPr/>
        <w:tc>
          <w:tcPr>
            <w:tcW w:w="235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Верифіковані послуги НСЗУ</w:t>
            </w:r>
          </w:p>
        </w:tc>
        <w:tc>
          <w:tcPr>
            <w:tcW w:w="2362"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91%</w:t>
            </w:r>
          </w:p>
        </w:tc>
        <w:tc>
          <w:tcPr>
            <w:tcW w:w="231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97%</w:t>
            </w:r>
          </w:p>
        </w:tc>
        <w:tc>
          <w:tcPr>
            <w:tcW w:w="2315"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+6 п.п.</w:t>
            </w:r>
          </w:p>
        </w:tc>
      </w:tr>
    </w:tbl>
    <w:p>
      <w:pPr>
        <w:pStyle w:val="Normal"/>
        <w:ind w:firstLine="720"/>
        <w:rPr>
          <w:rFonts w:eastAsia="Calibri"/>
          <w:i/>
          <w:i/>
          <w:iCs/>
          <w:sz w:val="24"/>
          <w:szCs w:val="24"/>
          <w:lang w:val="uk-UA"/>
        </w:rPr>
      </w:pPr>
      <w:r>
        <w:rPr>
          <w:rFonts w:eastAsia="Calibri"/>
          <w:i/>
          <w:iCs/>
          <w:sz w:val="24"/>
          <w:szCs w:val="24"/>
          <w:lang w:val="uk-UA"/>
        </w:rPr>
        <w:t xml:space="preserve">Складено автором </w:t>
      </w:r>
    </w:p>
    <w:p>
      <w:pPr>
        <w:pStyle w:val="Normal"/>
        <w:rPr/>
      </w:pPr>
      <w:r>
        <w:rPr/>
        <w:t>Виходячи з наведених показників, центр ментального здоров’я функціонує як інструмент підвищення ефективності медичної установи, а не як соціальна опція. У його роботі поєднується профілактична, інтервенційна та управлінська функція, здатна впливати на якість медичних послуг, лояльність персоналу та стабільність організації у довгостроковій перспективі.</w:t>
      </w:r>
    </w:p>
    <w:p>
      <w:pPr>
        <w:pStyle w:val="Normal"/>
        <w:rPr/>
      </w:pPr>
      <w:r>
        <w:rPr/>
        <w:t>Вплив психологічної служби на кадрові показники має мультиплікативний характер. Наявність системної підтримки знижує професійне вигорання (burnout), емоційну агресію, тривожність, що у свою чергу безпосередньо впливає на якість комунікації з пацієнтами, частоту конфліктів і помилок у медичній документації. Показники задоволеності персоналу демонструють стійку кореляцію з плинністю кадрів, вимушеними лікарняними, продуктивністю та відсотком виконання пакетів НСЗУ. У КНП впровадження психологічних тренінгів раз на два тижні знизило середній рівень емоційного виснаження на 22–25%, що проявилося у скороченні середньої плинності кадрів з 18% до 10%.</w:t>
      </w:r>
    </w:p>
    <w:p>
      <w:pPr>
        <w:pStyle w:val="Normal"/>
        <w:rPr/>
      </w:pPr>
      <w:r>
        <w:rPr/>
        <mc:AlternateContent>
          <mc:Choice Requires="wpg">
            <w:drawing>
              <wp:inline distT="0" distB="0" distL="0" distR="0">
                <wp:extent cx="4960620" cy="2529840"/>
                <wp:effectExtent l="0" t="0" r="5080" b="0"/>
                <wp:docPr id="45" name="Схема 6"/>
                <a:graphic xmlns:a="http://schemas.openxmlformats.org/drawingml/2006/main">
                  <a:graphicData uri="http://schemas.microsoft.com/office/word/2010/wordprocessingGroup">
                    <wpg:wgp>
                      <wpg:cNvGrpSpPr/>
                      <wpg:grpSpPr>
                        <a:xfrm>
                          <a:off x="0" y="0"/>
                          <a:ext cx="4960800" cy="2529720"/>
                          <a:chOff x="0" y="0"/>
                          <a:chExt cx="4960800" cy="2529720"/>
                        </a:xfrm>
                      </wpg:grpSpPr>
                      <pic:pic xmlns:pic="http://schemas.openxmlformats.org/drawingml/2006/picture">
                        <pic:nvPicPr>
                          <pic:cNvPr id="46" name="RenderedShapes" descr=""/>
                          <pic:cNvPicPr/>
                        </pic:nvPicPr>
                        <pic:blipFill>
                          <a:blip r:embed="rId13"/>
                          <a:stretch/>
                        </pic:blipFill>
                        <pic:spPr>
                          <a:xfrm>
                            <a:off x="0" y="0"/>
                            <a:ext cx="4960800" cy="2529720"/>
                          </a:xfrm>
                          <a:prstGeom prst="rect">
                            <a:avLst/>
                          </a:prstGeom>
                          <a:noFill/>
                          <a:ln w="0">
                            <a:noFill/>
                          </a:ln>
                        </pic:spPr>
                      </pic:pic>
                    </wpg:wgp>
                  </a:graphicData>
                </a:graphic>
              </wp:inline>
            </w:drawing>
          </mc:Choice>
          <mc:Fallback>
            <w:pict>
              <v:group id="shape_0" alt="Схема 6" style="position:absolute;margin-left:0pt;margin-top:-199.25pt;width:390.6pt;height:199.2pt" coordorigin="0,-3985" coordsize="7812,3984">
                <v:shape id="shape_0" ID="RenderedShapes" stroked="f" o:allowincell="f" style="position:absolute;left:0;top:-3985;width:7811;height:3983;mso-wrap-style:none;v-text-anchor:middle;mso-position-vertical:top" type="_x0000_t75">
                  <v:imagedata r:id="rId14" o:detectmouseclick="t"/>
                  <v:stroke color="#3465a4" joinstyle="round" endcap="flat"/>
                  <w10:wrap type="square"/>
                </v:shape>
              </v:group>
            </w:pict>
          </mc:Fallback>
        </mc:AlternateContent>
      </w:r>
    </w:p>
    <w:p>
      <w:pPr>
        <w:pStyle w:val="Normal"/>
        <w:rPr/>
      </w:pPr>
      <w:r>
        <w:rPr/>
        <w:t>Рис</w:t>
      </w:r>
      <w:r>
        <w:rPr>
          <w:lang w:val="uk-UA"/>
        </w:rPr>
        <w:t>.</w:t>
      </w:r>
      <w:r>
        <w:rPr/>
        <w:t xml:space="preserve"> 3.3</w:t>
      </w:r>
      <w:r>
        <w:rPr>
          <w:lang w:val="uk-UA"/>
        </w:rPr>
        <w:t xml:space="preserve"> – </w:t>
      </w:r>
      <w:r>
        <w:rPr/>
        <w:t>Взаємозв’язок психологічної підтримки та операційної ефективності</w:t>
      </w:r>
    </w:p>
    <w:p>
      <w:pPr>
        <w:pStyle w:val="Normal"/>
        <w:rPr/>
      </w:pPr>
      <w:r>
        <w:rPr/>
        <w:t>У результаті інтеграції центру ментального здоров’я з HR-політикою, лікарня досягає не лише покращення психологічного стану персоналу, а й економічного ефекту. Зменшення вигорання знижує випадки пропусків, скорочує витрати на заміщення зміни, зменшує кількість помилок у медичних картах, що безпосередньо впливає на верифікацію послуг НСЗУ. Водночас стабільний емоційний стан працівника корелює зі зростанням середнього показника обслуговування пацієнтів на одного лікаря (FTE) та середнього балу задоволеності пацієнтів.</w:t>
      </w:r>
    </w:p>
    <w:p>
      <w:pPr>
        <w:pStyle w:val="Normal"/>
        <w:rPr/>
      </w:pPr>
      <w:r>
        <w:rPr/>
      </w:r>
    </w:p>
    <w:p>
      <w:pPr>
        <w:pStyle w:val="Heading1"/>
        <w:rPr>
          <w:lang w:val="uk-UA"/>
        </w:rPr>
      </w:pPr>
      <w:bookmarkStart w:id="19" w:name="_Toc200703996"/>
      <w:r>
        <w:rPr>
          <w:lang w:val="uk-UA"/>
        </w:rPr>
        <w:t xml:space="preserve">3.4. </w:t>
      </w:r>
      <w:bookmarkEnd w:id="19"/>
      <w:r>
        <w:rPr>
          <w:lang w:val="uk-UA"/>
        </w:rPr>
        <w:t>Вплив центру ментального здоров’я на показники роботи персоналу та продуктивність. Оцінка ефективності впровадження сучасної моделі менеджменту</w:t>
      </w:r>
    </w:p>
    <w:p>
      <w:pPr>
        <w:pStyle w:val="Normal"/>
        <w:rPr/>
      </w:pPr>
      <w:r>
        <w:rPr>
          <w:lang w:val="uk-UA"/>
        </w:rPr>
        <w:t xml:space="preserve">Ефективність будь-якої програми психологічної підтримки значною мірою залежить від позиції керівництва. </w:t>
      </w:r>
      <w:r>
        <w:rPr/>
        <w:t>Функції директора медзакладу виходять за межі формального адміністративного контролю, включаючи нормативні, стратегічні, ресурсні та комунікаційні компоненти.</w:t>
      </w:r>
    </w:p>
    <w:p>
      <w:pPr>
        <w:pStyle w:val="Normal"/>
        <w:rPr/>
      </w:pPr>
      <w:r>
        <w:rPr/>
        <w:t>Нормативна підтримка передбачає внесення психолога до штатного розпису, затвердження регламенту роботи центру та визначення KPI. Відсутність чітких нормативних рамок знижує легітимність програми та ускладнює фінансування.</w:t>
      </w:r>
    </w:p>
    <w:p>
      <w:pPr>
        <w:pStyle w:val="Normal"/>
        <w:rPr/>
      </w:pPr>
      <w:r>
        <w:rPr/>
        <w:t>Лідерство полягає у демонстрації цінності турботи про персонал. Публічні меседжі директора та медичного директора знижують стигму звернення до психолога, формують довіру та активізують участь колективу.</w:t>
      </w:r>
    </w:p>
    <w:p>
      <w:pPr>
        <w:pStyle w:val="Normal"/>
        <w:rPr/>
      </w:pPr>
      <w:r>
        <w:rPr/>
        <w:t>Ресурсне забезпечення включає інвестиції у приміщення, захищені канали комунікації та конфіденційність звернень. Без матеріальних умов психологічна служба перетворюється на формальність.</w:t>
      </w:r>
    </w:p>
    <w:p>
      <w:pPr>
        <w:pStyle w:val="Normal"/>
        <w:rPr/>
      </w:pPr>
      <w:r>
        <w:rPr/>
        <w:t>Моніторинг є обов’язковим елементом управління: регулярні опитування персоналу, показники вигорання, динаміка конфліктів та звітність перед засновником і НСЗУ дозволяють коригувати програму.</w:t>
      </w:r>
    </w:p>
    <w:p>
      <w:pPr>
        <w:pStyle w:val="Normal"/>
        <w:rPr/>
      </w:pPr>
      <w:r>
        <w:rPr/>
        <w:t>Цикл управління є безперервним: Директор → HR → Психолог → Відділення → Дані → Директор, що формує замкнену систему адаптивного управління.</w:t>
      </w:r>
    </w:p>
    <w:p>
      <w:pPr>
        <w:pStyle w:val="Normal"/>
        <w:rPr/>
      </w:pPr>
      <w:r>
        <w:rPr/>
        <w:t>Стратегія складається з чотирьох взаємопов’язаних блоків.</w:t>
      </w:r>
    </w:p>
    <w:p>
      <w:pPr>
        <w:pStyle w:val="Normal"/>
        <w:rPr/>
      </w:pPr>
      <w:r>
        <w:rPr/>
        <w:t>1) Профілактика. Проводяться регулярні тренінги кожні два тижні з медичної комунікації, емоційної регуляції та командної взаємодії. Для нових співробітників діє адаптаційна програма перших 90 днів, яка включає наставництво та психологічну підтримку. У відділеннях впроваджується система супервізії.</w:t>
      </w:r>
    </w:p>
    <w:p>
      <w:pPr>
        <w:pStyle w:val="Normal"/>
        <w:rPr/>
      </w:pPr>
      <w:r>
        <w:rPr/>
        <w:t>2) Реагування на кризу. Психолог здійснює втручання протягом 24–48 годин після гострої події: смерть пацієнта, агресивна поведінка родичів, колективний конфлікт. Створюється алгоритм взаємодії психолога із завідувачем відділення, що мінімізує ризик повторних травматизацій.</w:t>
      </w:r>
    </w:p>
    <w:p>
      <w:pPr>
        <w:pStyle w:val="Normal"/>
        <w:rPr/>
      </w:pPr>
      <w:r>
        <w:rPr/>
        <w:t>3) Супровід персоналу. Працівникам доступні індивідуальні консультації. Для осіб, які тимчасово вибули з професійної діяльності через травматичні події, діє програма «Повернення після травми», що передбачає поетапне відновлення робочого навантаження.</w:t>
      </w:r>
    </w:p>
    <w:p>
      <w:pPr>
        <w:pStyle w:val="Normal"/>
        <w:rPr/>
      </w:pPr>
      <w:r>
        <w:rPr/>
        <w:t>4) Аналіз і контроль. На HR-дашбордах відображаються ключові індикатори: плинність персоналу, лікарняні дні, конфліктність, показник задоволеності пацієнтів. Загальна ефективність вимірюється через KPI програми ментального здоров’я.</w:t>
      </w:r>
    </w:p>
    <w:p>
      <w:pPr>
        <w:pStyle w:val="Normal"/>
        <w:jc w:val="end"/>
        <w:rPr/>
      </w:pPr>
      <w:r>
        <w:rPr/>
        <w:t>Таблиця 3.8</w:t>
      </w:r>
    </w:p>
    <w:p>
      <w:pPr>
        <w:pStyle w:val="Normal"/>
        <w:jc w:val="center"/>
        <w:rPr/>
      </w:pPr>
      <w:r>
        <w:rPr/>
        <w:t>Показники ефективності програми ментального здоров’я</w:t>
      </w:r>
    </w:p>
    <w:tbl>
      <w:tblPr>
        <w:tblW w:w="9345" w:type="dxa"/>
        <w:jc w:val="start"/>
        <w:tblInd w:w="0" w:type="dxa"/>
        <w:tblLayout w:type="fixed"/>
        <w:tblCellMar>
          <w:top w:w="0" w:type="dxa"/>
          <w:start w:w="108" w:type="dxa"/>
          <w:bottom w:w="0" w:type="dxa"/>
          <w:end w:w="108" w:type="dxa"/>
        </w:tblCellMar>
      </w:tblPr>
      <w:tblGrid>
        <w:gridCol w:w="2343"/>
        <w:gridCol w:w="2345"/>
        <w:gridCol w:w="2346"/>
        <w:gridCol w:w="2311"/>
      </w:tblGrid>
      <w:tr>
        <w:trPr/>
        <w:tc>
          <w:tcPr>
            <w:tcW w:w="234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b/>
                <w:bCs/>
                <w:kern w:val="2"/>
                <w:sz w:val="24"/>
                <w:lang w:val="ru-RU" w:eastAsia="en-US" w:bidi="ar-SA"/>
              </w:rPr>
              <w:t>Компонент</w:t>
            </w:r>
          </w:p>
        </w:tc>
        <w:tc>
          <w:tcPr>
            <w:tcW w:w="2345"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b/>
                <w:bCs/>
                <w:kern w:val="2"/>
                <w:sz w:val="24"/>
                <w:lang w:val="ru-RU" w:eastAsia="en-US" w:bidi="ar-SA"/>
              </w:rPr>
              <w:t>Інструмент</w:t>
            </w:r>
          </w:p>
        </w:tc>
        <w:tc>
          <w:tcPr>
            <w:tcW w:w="234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b/>
                <w:bCs/>
                <w:kern w:val="2"/>
                <w:sz w:val="24"/>
                <w:lang w:val="ru-RU" w:eastAsia="en-US" w:bidi="ar-SA"/>
              </w:rPr>
              <w:t>KPI</w:t>
            </w:r>
          </w:p>
        </w:tc>
        <w:tc>
          <w:tcPr>
            <w:tcW w:w="2311"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b/>
                <w:bCs/>
                <w:kern w:val="2"/>
                <w:sz w:val="24"/>
                <w:lang w:val="ru-RU" w:eastAsia="en-US" w:bidi="ar-SA"/>
              </w:rPr>
              <w:t>Період</w:t>
            </w:r>
          </w:p>
        </w:tc>
      </w:tr>
      <w:tr>
        <w:trPr/>
        <w:tc>
          <w:tcPr>
            <w:tcW w:w="234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Профілактика</w:t>
            </w:r>
          </w:p>
        </w:tc>
        <w:tc>
          <w:tcPr>
            <w:tcW w:w="2345"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Тренінги</w:t>
            </w:r>
          </w:p>
        </w:tc>
        <w:tc>
          <w:tcPr>
            <w:tcW w:w="234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 xml:space="preserve">≥ </w:t>
            </w:r>
            <w:r>
              <w:rPr>
                <w:rFonts w:eastAsia="Calibri"/>
                <w:kern w:val="2"/>
                <w:sz w:val="24"/>
                <w:lang w:val="ru-RU" w:eastAsia="en-US" w:bidi="ar-SA"/>
              </w:rPr>
              <w:t>70% відвідуваність</w:t>
            </w:r>
          </w:p>
        </w:tc>
        <w:tc>
          <w:tcPr>
            <w:tcW w:w="2311"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Місяць</w:t>
            </w:r>
          </w:p>
        </w:tc>
      </w:tr>
      <w:tr>
        <w:trPr/>
        <w:tc>
          <w:tcPr>
            <w:tcW w:w="234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Підтримка</w:t>
            </w:r>
          </w:p>
        </w:tc>
        <w:tc>
          <w:tcPr>
            <w:tcW w:w="2345"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Індивідуальні сесії</w:t>
            </w:r>
          </w:p>
        </w:tc>
        <w:tc>
          <w:tcPr>
            <w:tcW w:w="234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 xml:space="preserve">≤ </w:t>
            </w:r>
            <w:r>
              <w:rPr>
                <w:rFonts w:eastAsia="Calibri"/>
                <w:kern w:val="2"/>
                <w:sz w:val="24"/>
                <w:lang w:val="ru-RU" w:eastAsia="en-US" w:bidi="ar-SA"/>
              </w:rPr>
              <w:t>15% повторних звернень</w:t>
            </w:r>
          </w:p>
        </w:tc>
        <w:tc>
          <w:tcPr>
            <w:tcW w:w="2311"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Квартал</w:t>
            </w:r>
          </w:p>
        </w:tc>
      </w:tr>
      <w:tr>
        <w:trPr/>
        <w:tc>
          <w:tcPr>
            <w:tcW w:w="234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Лікарі</w:t>
            </w:r>
          </w:p>
        </w:tc>
        <w:tc>
          <w:tcPr>
            <w:tcW w:w="2345"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Зменшення вигорання</w:t>
            </w:r>
          </w:p>
        </w:tc>
        <w:tc>
          <w:tcPr>
            <w:tcW w:w="234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w:t>
            </w:r>
            <w:r>
              <w:rPr>
                <w:rFonts w:eastAsia="Calibri"/>
                <w:kern w:val="2"/>
                <w:sz w:val="24"/>
                <w:lang w:val="ru-RU" w:eastAsia="en-US" w:bidi="ar-SA"/>
              </w:rPr>
              <w:t>20%</w:t>
            </w:r>
          </w:p>
        </w:tc>
        <w:tc>
          <w:tcPr>
            <w:tcW w:w="2311"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6 міс</w:t>
            </w:r>
          </w:p>
        </w:tc>
      </w:tr>
      <w:tr>
        <w:trPr/>
        <w:tc>
          <w:tcPr>
            <w:tcW w:w="2343"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Пацієнти</w:t>
            </w:r>
          </w:p>
        </w:tc>
        <w:tc>
          <w:tcPr>
            <w:tcW w:w="2345"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Якість комунікації</w:t>
            </w:r>
          </w:p>
        </w:tc>
        <w:tc>
          <w:tcPr>
            <w:tcW w:w="2346"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+10–15%</w:t>
            </w:r>
          </w:p>
        </w:tc>
        <w:tc>
          <w:tcPr>
            <w:tcW w:w="2311" w:type="dxa"/>
            <w:tcBorders>
              <w:top w:val="single" w:sz="4" w:space="0" w:color="000000"/>
              <w:start w:val="single" w:sz="4" w:space="0" w:color="000000"/>
              <w:bottom w:val="single" w:sz="4" w:space="0" w:color="000000"/>
              <w:end w:val="single" w:sz="4" w:space="0" w:color="000000"/>
            </w:tcBorders>
            <w:vAlign w:val="center"/>
          </w:tcPr>
          <w:p>
            <w:pPr>
              <w:pStyle w:val="Normal"/>
              <w:widowControl/>
              <w:spacing w:lineRule="auto" w:line="240" w:before="0" w:after="0"/>
              <w:ind w:hanging="0"/>
              <w:jc w:val="center"/>
              <w:rPr>
                <w:rFonts w:ascii="Times New Roman" w:hAnsi="Times New Roman"/>
              </w:rPr>
            </w:pPr>
            <w:r>
              <w:rPr>
                <w:rFonts w:eastAsia="Calibri"/>
                <w:kern w:val="2"/>
                <w:sz w:val="24"/>
                <w:lang w:val="ru-RU" w:eastAsia="en-US" w:bidi="ar-SA"/>
              </w:rPr>
              <w:t>Півріччя</w:t>
            </w:r>
          </w:p>
        </w:tc>
      </w:tr>
    </w:tbl>
    <w:p>
      <w:pPr>
        <w:pStyle w:val="Normal"/>
        <w:ind w:firstLine="720"/>
        <w:rPr>
          <w:rFonts w:eastAsia="Calibri"/>
          <w:i/>
          <w:i/>
          <w:iCs/>
          <w:sz w:val="24"/>
          <w:szCs w:val="24"/>
          <w:lang w:val="uk-UA"/>
        </w:rPr>
      </w:pPr>
      <w:r>
        <w:rPr>
          <w:rFonts w:eastAsia="Calibri"/>
          <w:i/>
          <w:iCs/>
          <w:sz w:val="24"/>
          <w:szCs w:val="24"/>
          <w:lang w:val="uk-UA"/>
        </w:rPr>
        <w:t xml:space="preserve">Складено автором </w:t>
      </w:r>
    </w:p>
    <w:p>
      <w:pPr>
        <w:pStyle w:val="Normal"/>
        <w:rPr/>
      </w:pPr>
      <w:r>
        <w:rPr/>
        <w:t xml:space="preserve">Запропонована модель ментальної підтримки формує новий тип організаційного розвитку медичного закладу. Вона інтегрує соціально-психологічні </w:t>
      </w:r>
      <w:r>
        <w:rPr>
          <w:lang w:val="uk-UA"/>
        </w:rPr>
        <w:t>інструменти у систему</w:t>
      </w:r>
      <w:r>
        <w:rPr/>
        <w:t xml:space="preserve"> кадрового управління та безпосередньо впливає на стратегічні показники. Зменшення плинності кадрів, зростання продуктивності праці, покращення комунікації з пацієнтами та підвищення якості медичних послуг демонструють пряму залежність між психологічним благополуччям персоналу та фінансовою стійкістю лікарні. У контексті реформування української охорони здоров’я така модель стає не перевагою, а необхідною умовою довгострокового розвитку КНП.</w:t>
      </w:r>
    </w:p>
    <w:p>
      <w:pPr>
        <w:pStyle w:val="Normal"/>
        <w:rPr>
          <w:lang w:val="uk-UA"/>
        </w:rPr>
      </w:pPr>
      <w:r>
        <w:rPr>
          <w:lang w:val="uk-UA"/>
        </w:rPr>
        <w:t>Оцінка ефективності впровадження сучасної моделі HR-менеджменту у КНП «Південнівська міська лікарня» дозволяє зробити висновки щодо доцільності стратегічного підходу до управління персоналом. Після реалізації заходів з цифровізації кадрових процесів, впровадження системи KPI, адаптації штатного розпису до ПМГ та зміцнення мотиваційної політики було досягнуто суттєвих позитивних змін у ключових кадрових показниках.</w:t>
      </w:r>
    </w:p>
    <w:p>
      <w:pPr>
        <w:pStyle w:val="Normal"/>
        <w:rPr>
          <w:lang w:val="uk-UA"/>
        </w:rPr>
      </w:pPr>
      <w:r>
        <w:rPr>
          <w:lang w:val="uk-UA"/>
        </w:rPr>
        <w:t>У результаті порівняльного аналізу за 2023 та 2025 роки були виявлені такі зміни:</w:t>
      </w:r>
    </w:p>
    <w:p>
      <w:pPr>
        <w:pStyle w:val="Normal"/>
        <w:rPr>
          <w:lang w:val="uk-UA"/>
        </w:rPr>
      </w:pPr>
      <w:r>
        <w:rPr/>
        <w:drawing>
          <wp:inline distT="0" distB="0" distL="0" distR="0">
            <wp:extent cx="4800600" cy="2880360"/>
            <wp:effectExtent l="0" t="0" r="0" b="0"/>
            <wp:docPr id="4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Рисунок 5"/>
                    <pic:cNvPicPr>
                      <a:picLocks noChangeAspect="1" noChangeArrowheads="1"/>
                    </pic:cNvPicPr>
                  </pic:nvPicPr>
                  <pic:blipFill>
                    <a:blip r:embed="rId15"/>
                    <a:stretch>
                      <a:fillRect/>
                    </a:stretch>
                  </pic:blipFill>
                  <pic:spPr bwMode="auto">
                    <a:xfrm>
                      <a:off x="0" y="0"/>
                      <a:ext cx="4800600" cy="2880360"/>
                    </a:xfrm>
                    <a:prstGeom prst="rect">
                      <a:avLst/>
                    </a:prstGeom>
                    <a:noFill/>
                  </pic:spPr>
                </pic:pic>
              </a:graphicData>
            </a:graphic>
          </wp:inline>
        </w:drawing>
      </w:r>
    </w:p>
    <w:p>
      <w:pPr>
        <w:pStyle w:val="Normal"/>
        <w:jc w:val="center"/>
        <w:rPr>
          <w:lang w:val="uk-UA"/>
        </w:rPr>
      </w:pPr>
      <w:r>
        <w:rPr>
          <w:lang w:val="uk-UA"/>
        </w:rPr>
        <w:t>Рис. 3.4 – Порівняння показників ефективності до і після впровадження HR-моделі</w:t>
      </w:r>
    </w:p>
    <w:p>
      <w:pPr>
        <w:pStyle w:val="Normal"/>
        <w:rPr/>
      </w:pPr>
      <w:r>
        <w:rPr>
          <w:lang w:val="uk-UA"/>
        </w:rPr>
        <w:t xml:space="preserve">Рисунок 3.4 наочно демонструє зміну ключових показників ефективності роботи медичного закладу до та після впровадження сучасної </w:t>
      </w:r>
      <w:r>
        <w:rPr/>
        <w:t>HR</w:t>
      </w:r>
      <w:r>
        <w:rPr>
          <w:lang w:val="uk-UA"/>
        </w:rPr>
        <w:t xml:space="preserve">-моделі, акцентуючи на комплексному позитивному впливі кадрових реформ на функціонування організації. </w:t>
      </w:r>
      <w:r>
        <w:rPr/>
        <w:t>Графік порівняння дає змогу оцінити не лише кількісні зрушення, а й якісний характер трансформацій у середовищі персоналу.</w:t>
      </w:r>
    </w:p>
    <w:p>
      <w:pPr>
        <w:pStyle w:val="Normal"/>
        <w:rPr/>
      </w:pPr>
      <w:r>
        <w:rPr/>
        <w:t>Першим показником є плинність кадрів, яка після впровадження HR-моделі суттєво знизилася: з приблизно 18% до близько 10%. Такий результат є індикатором більшої стабільності кадрового складу, зростання лояльності працівників та зменшення вимушених звільнень. Зниження плинності особливо важливе для медичних закладів, оскільки кожен цикл заміни працівника пов’язаний із витратами на адаптацію, навчання та інтеграцію в команду. Відповідно, скорочення цього показника свідчить про формування умов, у яких персонал зберігає мотивацію та бачить перспективи професійного розвитку.</w:t>
      </w:r>
    </w:p>
    <w:p>
      <w:pPr>
        <w:pStyle w:val="Normal"/>
        <w:rPr/>
      </w:pPr>
      <w:r>
        <w:rPr/>
        <w:t xml:space="preserve">Другий показник </w:t>
      </w:r>
      <w:r>
        <w:rPr>
          <w:lang w:val="uk-UA"/>
        </w:rPr>
        <w:t>–</w:t>
      </w:r>
      <w:r>
        <w:rPr/>
        <w:t xml:space="preserve"> задоволеність персоналу, що зросла із приблизно 60% до понад 85%. Це не випадковий зсув, а наслідок реалізації заходів щодо покращення умов праці, удосконалення системи мотивації, запровадження психологічної підтримки та можливостей внутрішнього розвитку. Задоволеність роботою є одним із ключових нематеріальних чинників, який впливає на професіоналізм, готовність до ініціативи, відповідальність у прийнятті рішень та якість взаємодії з пацієнтами. Чим вищий рівень задоволення, тим менша ймовірність професійного вигорання та конфліктів у колективі.</w:t>
      </w:r>
    </w:p>
    <w:p>
      <w:pPr>
        <w:pStyle w:val="Normal"/>
        <w:rPr/>
      </w:pPr>
      <w:r>
        <w:rPr/>
        <w:t xml:space="preserve">Продуктивність праці також демонструє позитивну динаміку </w:t>
      </w:r>
      <w:r>
        <w:rPr>
          <w:lang w:val="uk-UA"/>
        </w:rPr>
        <w:t>–</w:t>
      </w:r>
      <w:r>
        <w:rPr/>
        <w:t xml:space="preserve"> зі 100 умовних одиниць до майже 130. Це є свідченням ефективності розподілу навантаження, чіткішого визначення функціональних обов’язків, кращої організації робочого часу та застосування цифрових HR-інструментів. Підвищення продуктивності не означає збільшення кількості виконаної роботи за рахунок інтенсивності чи подвійних змін, а, швидше, покращення якості процесів: скорочення рутинних дій, оптимізація взаємодії між підрозділами, впровадження командного принципу. Така динаміка демонструє, що сучасна модель управління не перевантажує працівника, а допомагає йому реалізовувати свої компетенції ефективніше.</w:t>
      </w:r>
    </w:p>
    <w:p>
      <w:pPr>
        <w:pStyle w:val="Normal"/>
        <w:rPr/>
      </w:pPr>
      <w:r>
        <w:rPr>
          <w:lang w:val="uk-UA"/>
        </w:rPr>
        <w:t>Я</w:t>
      </w:r>
      <w:r>
        <w:rPr/>
        <w:t>кість послуг, що зросла з приблизно 75% до близько 90%. Підвищення якості є прямим результатом системних змін у роботі медичного закладу та опосередкованим наслідком попередніх трьох факторів. Мотивований та стабільний персонал, який працює в комфортних умовах і має чіткі критерії професійної діяльності, забезпечує кращий рівень комунікації з пацієнтами, меншу кількість помилок, ефективніший контроль виконання протоколів лікування та більш етичне ставлення до пацієнтів. Зростання якості послуг підтверджує, що кадрові реформи мають не лише адміністративний або фінансовий ефект, а й безпосередньо покращують результат медичної допомоги.</w:t>
      </w:r>
    </w:p>
    <w:p>
      <w:pPr>
        <w:pStyle w:val="Normal"/>
        <w:rPr/>
      </w:pPr>
      <w:r>
        <w:rPr/>
        <w:t xml:space="preserve">Зменшення плинності кадрів сприяє стабільності, зростання задоволеності персоналу </w:t>
      </w:r>
      <w:r>
        <w:rPr>
          <w:lang w:val="uk-UA"/>
        </w:rPr>
        <w:t>–</w:t>
      </w:r>
      <w:r>
        <w:rPr/>
        <w:t xml:space="preserve"> внутрішній мотивації, підвищення продуктивності </w:t>
      </w:r>
      <w:r>
        <w:rPr>
          <w:lang w:val="uk-UA"/>
        </w:rPr>
        <w:t>–</w:t>
      </w:r>
      <w:r>
        <w:rPr/>
        <w:t xml:space="preserve"> ефективному використанню людських ресурсів, а покращення якості послуг </w:t>
      </w:r>
      <w:r>
        <w:rPr>
          <w:lang w:val="uk-UA"/>
        </w:rPr>
        <w:t>–</w:t>
      </w:r>
      <w:r>
        <w:rPr/>
        <w:t xml:space="preserve"> підвищенню конкурентоспроможності закладу та рівня довіри з боку пацієнтів. Це підтверджує, що кадрові ініціативи не є другорядним елементом організаційного розвитку, а виступають стратегічним фактором, який формує основу сталого функціонування медичного закладу.</w:t>
      </w:r>
    </w:p>
    <w:p>
      <w:pPr>
        <w:pStyle w:val="Normal"/>
        <w:jc w:val="end"/>
        <w:rPr>
          <w:lang w:val="uk-UA"/>
        </w:rPr>
      </w:pPr>
      <w:r>
        <w:rPr>
          <w:lang w:val="uk-UA"/>
        </w:rPr>
        <w:t>Таблиця 3.9</w:t>
      </w:r>
    </w:p>
    <w:p>
      <w:pPr>
        <w:pStyle w:val="Normal"/>
        <w:jc w:val="center"/>
        <w:rPr>
          <w:lang w:val="uk-UA"/>
        </w:rPr>
      </w:pPr>
      <w:r>
        <w:rPr>
          <w:lang w:val="uk-UA"/>
        </w:rPr>
        <w:t>Порівняння показників ефективності до і після впровадження HR-моделі</w:t>
      </w:r>
    </w:p>
    <w:tbl>
      <w:tblPr>
        <w:tblW w:w="9345" w:type="dxa"/>
        <w:jc w:val="start"/>
        <w:tblInd w:w="0" w:type="dxa"/>
        <w:tblLayout w:type="fixed"/>
        <w:tblCellMar>
          <w:top w:w="0" w:type="dxa"/>
          <w:start w:w="108" w:type="dxa"/>
          <w:bottom w:w="0" w:type="dxa"/>
          <w:end w:w="108" w:type="dxa"/>
        </w:tblCellMar>
      </w:tblPr>
      <w:tblGrid>
        <w:gridCol w:w="4206"/>
        <w:gridCol w:w="2265"/>
        <w:gridCol w:w="2874"/>
      </w:tblGrid>
      <w:tr>
        <w:trPr/>
        <w:tc>
          <w:tcPr>
            <w:tcW w:w="4206"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b/>
                <w:bCs/>
                <w:lang w:val="uk-UA"/>
              </w:rPr>
            </w:pPr>
            <w:r>
              <w:rPr>
                <w:rFonts w:eastAsia="Calibri"/>
                <w:b/>
                <w:bCs/>
                <w:kern w:val="2"/>
                <w:sz w:val="24"/>
                <w:lang w:val="uk-UA" w:eastAsia="en-US" w:bidi="ar-SA"/>
              </w:rPr>
              <w:t>Показник</w:t>
            </w:r>
          </w:p>
        </w:tc>
        <w:tc>
          <w:tcPr>
            <w:tcW w:w="226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b/>
                <w:bCs/>
                <w:lang w:val="uk-UA"/>
              </w:rPr>
            </w:pPr>
            <w:r>
              <w:rPr>
                <w:rFonts w:eastAsia="Calibri"/>
                <w:b/>
                <w:bCs/>
                <w:kern w:val="2"/>
                <w:sz w:val="24"/>
                <w:lang w:val="uk-UA" w:eastAsia="en-US" w:bidi="ar-SA"/>
              </w:rPr>
              <w:t>До впровадження</w:t>
            </w:r>
          </w:p>
        </w:tc>
        <w:tc>
          <w:tcPr>
            <w:tcW w:w="287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b/>
                <w:bCs/>
                <w:lang w:val="uk-UA"/>
              </w:rPr>
            </w:pPr>
            <w:r>
              <w:rPr>
                <w:rFonts w:eastAsia="Calibri"/>
                <w:b/>
                <w:bCs/>
                <w:kern w:val="2"/>
                <w:sz w:val="24"/>
                <w:lang w:val="uk-UA" w:eastAsia="en-US" w:bidi="ar-SA"/>
              </w:rPr>
              <w:t>Після впровадження</w:t>
            </w:r>
          </w:p>
        </w:tc>
      </w:tr>
      <w:tr>
        <w:trPr/>
        <w:tc>
          <w:tcPr>
            <w:tcW w:w="4206"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Плинність кадрів (%)</w:t>
            </w:r>
          </w:p>
        </w:tc>
        <w:tc>
          <w:tcPr>
            <w:tcW w:w="226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18</w:t>
            </w:r>
          </w:p>
        </w:tc>
        <w:tc>
          <w:tcPr>
            <w:tcW w:w="287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10</w:t>
            </w:r>
          </w:p>
        </w:tc>
      </w:tr>
      <w:tr>
        <w:trPr/>
        <w:tc>
          <w:tcPr>
            <w:tcW w:w="4206"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Задоволеність персоналу (%)</w:t>
            </w:r>
          </w:p>
        </w:tc>
        <w:tc>
          <w:tcPr>
            <w:tcW w:w="226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60</w:t>
            </w:r>
          </w:p>
        </w:tc>
        <w:tc>
          <w:tcPr>
            <w:tcW w:w="287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85</w:t>
            </w:r>
          </w:p>
        </w:tc>
      </w:tr>
      <w:tr>
        <w:trPr/>
        <w:tc>
          <w:tcPr>
            <w:tcW w:w="4206"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Продуктивність праці (умовні одиниці)</w:t>
            </w:r>
          </w:p>
        </w:tc>
        <w:tc>
          <w:tcPr>
            <w:tcW w:w="226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100</w:t>
            </w:r>
          </w:p>
        </w:tc>
        <w:tc>
          <w:tcPr>
            <w:tcW w:w="287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130</w:t>
            </w:r>
          </w:p>
        </w:tc>
      </w:tr>
      <w:tr>
        <w:trPr/>
        <w:tc>
          <w:tcPr>
            <w:tcW w:w="4206"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Якість послуг (%)</w:t>
            </w:r>
          </w:p>
        </w:tc>
        <w:tc>
          <w:tcPr>
            <w:tcW w:w="2265"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75</w:t>
            </w:r>
          </w:p>
        </w:tc>
        <w:tc>
          <w:tcPr>
            <w:tcW w:w="2874" w:type="dxa"/>
            <w:tcBorders>
              <w:top w:val="single" w:sz="4" w:space="0" w:color="000000"/>
              <w:start w:val="single" w:sz="4" w:space="0" w:color="000000"/>
              <w:bottom w:val="single" w:sz="4" w:space="0" w:color="000000"/>
              <w:end w:val="single" w:sz="4" w:space="0" w:color="000000"/>
            </w:tcBorders>
          </w:tcPr>
          <w:p>
            <w:pPr>
              <w:pStyle w:val="Normal"/>
              <w:widowControl/>
              <w:spacing w:lineRule="auto" w:line="240" w:before="0" w:after="0"/>
              <w:ind w:hanging="0"/>
              <w:jc w:val="both"/>
              <w:rPr>
                <w:rFonts w:ascii="Times New Roman" w:hAnsi="Times New Roman"/>
                <w:lang w:val="uk-UA"/>
              </w:rPr>
            </w:pPr>
            <w:r>
              <w:rPr>
                <w:rFonts w:eastAsia="Calibri"/>
                <w:kern w:val="2"/>
                <w:sz w:val="24"/>
                <w:lang w:val="uk-UA" w:eastAsia="en-US" w:bidi="ar-SA"/>
              </w:rPr>
              <w:t>90</w:t>
            </w:r>
          </w:p>
        </w:tc>
      </w:tr>
    </w:tbl>
    <w:p>
      <w:pPr>
        <w:pStyle w:val="Normal"/>
        <w:rPr>
          <w:lang w:val="uk-UA"/>
        </w:rPr>
      </w:pPr>
      <w:r>
        <w:rPr>
          <w:lang w:val="uk-UA"/>
        </w:rPr>
      </w:r>
    </w:p>
    <w:p>
      <w:pPr>
        <w:pStyle w:val="Normal"/>
        <w:rPr>
          <w:lang w:val="uk-UA"/>
        </w:rPr>
      </w:pPr>
      <w:r>
        <w:rPr>
          <w:lang w:val="uk-UA"/>
        </w:rPr>
        <w:t>Як видно з графіка та таблиці, рівень плинності персоналу знизився з 18% до 10%, що свідчить про зростання задоволеності робочим середовищем. Задоволеність персоналу зросла на 25 п.п., а продуктивність праці – на 30%. Якість наданих послуг покращилася з 75% до 90% за внутрішніми оцінками та показниками задоволеності пацієнтів.</w:t>
      </w:r>
    </w:p>
    <w:p>
      <w:pPr>
        <w:pStyle w:val="Normal"/>
        <w:rPr>
          <w:lang w:val="uk-UA"/>
        </w:rPr>
      </w:pPr>
      <w:r>
        <w:rPr>
          <w:lang w:val="uk-UA"/>
        </w:rPr>
        <w:t>Ці результати підтверджують ефективність стратегічного HR-менеджменту та створюють передумови для масштабування нової моделі на інші комунальні заклади охорони здоров’я.</w:t>
      </w:r>
    </w:p>
    <w:p>
      <w:pPr>
        <w:pStyle w:val="Normal"/>
        <w:rPr>
          <w:lang w:val="uk-UA"/>
        </w:rPr>
      </w:pPr>
      <w:r>
        <w:rPr>
          <w:lang w:val="uk-UA"/>
        </w:rPr>
        <w:t xml:space="preserve">У сучасних умовах системних змін в охороні здоров’я управління персоналом набуває особливої стратегічної ваги. </w:t>
      </w:r>
    </w:p>
    <w:p>
      <w:pPr>
        <w:pStyle w:val="Normal"/>
        <w:rPr>
          <w:lang w:val="uk-UA"/>
        </w:rPr>
      </w:pPr>
      <w:r>
        <w:rPr>
          <w:lang w:val="uk-UA"/>
        </w:rPr>
        <w:t>Впровадження нової моделі HR-менеджменту, що поєднує принципи ефективного використання ресурсів, цифровізації, мотиваційної політики та оцінювання результатів діяльності, дозволяє досягати не лише організаційної гнучкості, а й фінансової стійкості закладу. У КНП «Південнівська міська лікарня» впровадження такої моделі дало змогу виявити реальні переваги системного підходу до управління людським капіталом [</w:t>
      </w:r>
      <w:r>
        <w:rPr>
          <w:lang w:val="en-GB"/>
        </w:rPr>
        <w:t>39</w:t>
      </w:r>
      <w:r>
        <w:rPr>
          <w:lang w:val="uk-UA"/>
        </w:rPr>
        <w:t>].</w:t>
      </w:r>
    </w:p>
    <w:p>
      <w:pPr>
        <w:pStyle w:val="Normal"/>
        <w:rPr>
          <w:lang w:val="uk-UA"/>
        </w:rPr>
      </w:pPr>
      <w:r>
        <w:rPr>
          <w:lang w:val="uk-UA"/>
        </w:rPr>
        <w:t>Основними критеріями оцінки ефективності стали: рівень плинності кадрів, загальна задоволеність працівників, продуктивність праці медичного персоналу та якість наданих послуг. Порівняння базових показників за 2023 (до впровадження) та 2025 (після впровадження) роки дозволило ідентифікувати позитивну динаміку в усіх напрямках.</w:t>
      </w:r>
    </w:p>
    <w:p>
      <w:pPr>
        <w:pStyle w:val="Normal"/>
        <w:rPr>
          <w:lang w:val="uk-UA"/>
        </w:rPr>
      </w:pPr>
      <w:r>
        <w:rPr>
          <w:lang w:val="uk-UA"/>
        </w:rPr>
        <w:t xml:space="preserve">Зниження плинності кадрів із 18% до 10% свідчить про зміцнення кадрового ядра лікарні. Такий результат був досягнутий завдяки впровадженню внутрішніх кар’єрних маршрутів, підвищенню мотивації через преміювання на основі KPI, а також покращенню фізичних і психологічних умов праці. </w:t>
      </w:r>
    </w:p>
    <w:p>
      <w:pPr>
        <w:pStyle w:val="Normal"/>
        <w:rPr>
          <w:lang w:val="uk-UA"/>
        </w:rPr>
      </w:pPr>
      <w:r>
        <w:rPr>
          <w:lang w:val="uk-UA"/>
        </w:rPr>
        <w:t xml:space="preserve">Особливу роль відіграло створення психологічної підтримки для </w:t>
        <w:br/>
        <w:t>персоналу в умовах стресових навантажень (постковідний період, військовий стан), що дозволило зменшити емоційне вигорання</w:t>
      </w:r>
      <w:r>
        <w:rPr/>
        <w:t xml:space="preserve"> [</w:t>
      </w:r>
      <w:r>
        <w:rPr>
          <w:lang w:val="en-GB"/>
        </w:rPr>
        <w:t>51</w:t>
      </w:r>
      <w:r>
        <w:rPr/>
        <w:t>]</w:t>
      </w:r>
      <w:r>
        <w:rPr>
          <w:lang w:val="uk-UA"/>
        </w:rPr>
        <w:t>.</w:t>
      </w:r>
    </w:p>
    <w:p>
      <w:pPr>
        <w:pStyle w:val="Normal"/>
        <w:rPr>
          <w:lang w:val="uk-UA"/>
        </w:rPr>
      </w:pPr>
      <w:r>
        <w:rPr>
          <w:lang w:val="uk-UA"/>
        </w:rPr>
        <w:t xml:space="preserve">Задоволеність персоналу, за даними анонімного анкетування, зросла з 60% до 85%. Основними факторами, які сприяли </w:t>
        <w:br/>
        <w:t>збільшенню цього показника, стали:</w:t>
      </w:r>
    </w:p>
    <w:p>
      <w:pPr>
        <w:pStyle w:val="Normal"/>
        <w:rPr>
          <w:lang w:val="uk-UA"/>
        </w:rPr>
      </w:pPr>
      <w:r>
        <w:rPr>
          <w:lang w:val="uk-UA"/>
        </w:rPr>
        <w:t>- прозорість процедур оцінки та винагороди;</w:t>
      </w:r>
    </w:p>
    <w:p>
      <w:pPr>
        <w:pStyle w:val="Normal"/>
        <w:rPr>
          <w:lang w:val="uk-UA"/>
        </w:rPr>
      </w:pPr>
      <w:r>
        <w:rPr>
          <w:lang w:val="uk-UA"/>
        </w:rPr>
        <w:t>- наявність зворотного зв’язку з керівництвом;</w:t>
      </w:r>
    </w:p>
    <w:p>
      <w:pPr>
        <w:pStyle w:val="Normal"/>
        <w:rPr>
          <w:lang w:val="uk-UA"/>
        </w:rPr>
      </w:pPr>
      <w:r>
        <w:rPr>
          <w:lang w:val="uk-UA"/>
        </w:rPr>
        <w:t>- участь працівників у процесах прийняття рішень;</w:t>
      </w:r>
    </w:p>
    <w:p>
      <w:pPr>
        <w:pStyle w:val="Normal"/>
        <w:rPr>
          <w:lang w:val="uk-UA"/>
        </w:rPr>
      </w:pPr>
      <w:r>
        <w:rPr>
          <w:lang w:val="uk-UA"/>
        </w:rPr>
        <w:t>- удосконалення умов для професійного розвитку;</w:t>
      </w:r>
    </w:p>
    <w:p>
      <w:pPr>
        <w:pStyle w:val="Normal"/>
        <w:rPr>
          <w:lang w:val="uk-UA"/>
        </w:rPr>
      </w:pPr>
      <w:r>
        <w:rPr>
          <w:lang w:val="uk-UA"/>
        </w:rPr>
        <w:t>- покращення матеріально-технічної бази.</w:t>
      </w:r>
    </w:p>
    <w:p>
      <w:pPr>
        <w:pStyle w:val="Normal"/>
        <w:rPr>
          <w:lang w:val="uk-UA"/>
        </w:rPr>
      </w:pPr>
      <w:r>
        <w:rPr>
          <w:lang w:val="uk-UA"/>
        </w:rPr>
        <w:t>Продуктивність праці також зазнала змін: середній показник умовного навантаження на одного працівника збільшився  на 30% завдяки чіткому плануванню, диджиталізації обліку, автоматизації частини адміністративних функцій та  оптимізації графіків чергувань. Водночас зменшилась кількість понаднормових годин, а час, витрачений на заповнення документації, скоротився на 25%.</w:t>
      </w:r>
    </w:p>
    <w:p>
      <w:pPr>
        <w:pStyle w:val="Normal"/>
        <w:rPr>
          <w:lang w:val="uk-UA"/>
        </w:rPr>
      </w:pPr>
      <w:r>
        <w:rPr>
          <w:lang w:val="uk-UA"/>
        </w:rPr>
        <w:t xml:space="preserve">Показник якості наданих послуг, згідно з внутрішніми аудитами та оцінками НСЗУ, зріс із 75% до 90%. </w:t>
      </w:r>
    </w:p>
    <w:p>
      <w:pPr>
        <w:pStyle w:val="Normal"/>
        <w:rPr>
          <w:lang w:val="uk-UA"/>
        </w:rPr>
      </w:pPr>
      <w:r>
        <w:rPr>
          <w:lang w:val="uk-UA"/>
        </w:rPr>
        <w:t>Цьому сприяло не лише підвищення кваліфікації персоналу, а й активне впровадження клінічних протоколів, регулярний моніторинг задоволеності пацієнтів та використання електронної медичної системи для обліку медичних втручань. Комбінування фінансових стимулів з елементами професійного зростання сприяло більшій відповідальності та залученості персоналу [</w:t>
      </w:r>
      <w:r>
        <w:rPr>
          <w:lang w:val="en-GB"/>
        </w:rPr>
        <w:t>17</w:t>
      </w:r>
      <w:r>
        <w:rPr>
          <w:lang w:val="uk-UA"/>
        </w:rPr>
        <w:t>].</w:t>
      </w:r>
    </w:p>
    <w:p>
      <w:pPr>
        <w:pStyle w:val="Normal"/>
        <w:rPr>
          <w:lang w:val="uk-UA"/>
        </w:rPr>
      </w:pPr>
      <w:r>
        <w:rPr>
          <w:lang w:val="uk-UA"/>
        </w:rPr>
        <w:t xml:space="preserve">З технічного боку важливою умовою успіху стала повна інтеграція HR-аналітики в систему управління закладом. </w:t>
      </w:r>
    </w:p>
    <w:p>
      <w:pPr>
        <w:pStyle w:val="Normal"/>
        <w:rPr>
          <w:lang w:val="uk-UA"/>
        </w:rPr>
      </w:pPr>
      <w:r>
        <w:rPr>
          <w:lang w:val="uk-UA"/>
        </w:rPr>
        <w:t>Це дозволило щомісячно формувати панелі управлінських індикаторів: від плинності кадрів до середнього балу  задоволеності за опитуваннями. Керівництво використовує ці дані для ухвалення стратегічних рішень, планування бюджету та розрахунку потреби в персоналі на основі прогнозованих навантажень за пакетами ПМГ.</w:t>
      </w:r>
    </w:p>
    <w:p>
      <w:pPr>
        <w:pStyle w:val="Normal"/>
        <w:rPr>
          <w:lang w:val="uk-UA"/>
        </w:rPr>
      </w:pPr>
      <w:r>
        <w:rPr>
          <w:lang w:val="uk-UA"/>
        </w:rPr>
        <w:t>Крім того, значний вплив на ефективність HR-моделі справила модернізація процесів рекрутингу: електронні заявки, автоматичний скринінг резюме, формування кадрового резерву дозволили значно скоротити термін закриття вакансій.</w:t>
      </w:r>
    </w:p>
    <w:p>
      <w:pPr>
        <w:pStyle w:val="Normal"/>
        <w:rPr>
          <w:lang w:val="uk-UA"/>
        </w:rPr>
      </w:pPr>
      <w:r>
        <w:rPr>
          <w:lang w:val="uk-UA"/>
        </w:rPr>
        <w:t>На основі комплексної оцінки можна зробити висновок, що нова HR-модель не лише покращила управлінські показники, а й забезпечила стійке зростання нематеріального капіталу організації – довіри, згуртованості, лояльності.</w:t>
      </w:r>
    </w:p>
    <w:p>
      <w:pPr>
        <w:pStyle w:val="Normal"/>
        <w:rPr>
          <w:lang w:val="uk-UA"/>
        </w:rPr>
      </w:pPr>
      <w:r>
        <w:rPr>
          <w:lang w:val="uk-UA"/>
        </w:rPr>
        <w:t>КНП «Південнівська міська лікарня» демонструє приклад інтегрованого підходу до управління персоналом, що відповідає міжнародним стандартам і потребам української медичної реформи.</w:t>
      </w:r>
    </w:p>
    <w:p>
      <w:pPr>
        <w:pStyle w:val="Normal"/>
        <w:rPr>
          <w:lang w:val="uk-UA"/>
        </w:rPr>
      </w:pPr>
      <w:r>
        <w:rPr>
          <w:lang w:val="uk-UA"/>
        </w:rPr>
        <w:t>Надалі доцільним є розширення моделі на рівень клінік і відділень, впровадження системи командної відповідальності, модулів управління навичками (skills management) та елементів емоційного капіталу. Це дозволить зробити управління персоналом ще більш гнучким, динамічним і стійким до зовнішніх викликів.</w:t>
      </w:r>
    </w:p>
    <w:p>
      <w:pPr>
        <w:pStyle w:val="Normal"/>
        <w:rPr>
          <w:lang w:val="uk-UA"/>
        </w:rPr>
      </w:pPr>
      <w:bookmarkStart w:id="20" w:name="_Toc200703997"/>
      <w:r>
        <w:rPr>
          <w:rStyle w:val="1"/>
          <w:lang w:val="uk-UA"/>
        </w:rPr>
        <w:t>Висновок до розділу 3</w:t>
      </w:r>
      <w:bookmarkEnd w:id="20"/>
      <w:r>
        <w:rPr>
          <w:lang w:val="uk-UA"/>
        </w:rPr>
        <w:t>. У третьому розділі було досліджено та обґрунтовано шляхи вдосконалення системи управління персоналом у КНП «Південнівська міська лікарня» з урахуванням сучасних викликів, потреб персоналу та трансформацій у фінансуванні медичних закладів.</w:t>
      </w:r>
    </w:p>
    <w:p>
      <w:pPr>
        <w:pStyle w:val="Normal"/>
        <w:rPr>
          <w:lang w:val="uk-UA"/>
        </w:rPr>
      </w:pPr>
      <w:r>
        <w:rPr>
          <w:lang w:val="uk-UA"/>
        </w:rPr>
        <w:t>Запропоновані заходи з оптимізації кадрової політики, зокрема удосконалення умов праці, формування внутрішнього кадрового резерву, підтримка психологічного здоров’я працівників та оновлення мотиваційної системи, мають комплексний характер і спрямовані на збереження та розвиток кадрового потенціалу. Вони здатні знизити плинність кадрів, підвищити рівень задоволеності персоналу та забезпечити більш ефективне функціонування медичного закладу.</w:t>
      </w:r>
    </w:p>
    <w:p>
      <w:pPr>
        <w:pStyle w:val="Normal"/>
        <w:rPr>
          <w:lang w:val="uk-UA"/>
        </w:rPr>
      </w:pPr>
      <w:r>
        <w:rPr>
          <w:lang w:val="uk-UA"/>
        </w:rPr>
        <w:t>Особливу увагу було приділено впровадженню сучасних HR-технологій, таких як автоматизація управлінських процесів, використання KPI, системи електронного документообігу, HR-аналітики та бюджетування фонду оплати праці. Ці інструменти дозволяють інтегрувати управління персоналом у загальну систему стратегічного менеджменту закладу, забезпечуючи прозорість, ефективність і адаптивність прийняття управлінських рішень.</w:t>
      </w:r>
    </w:p>
    <w:p>
      <w:pPr>
        <w:pStyle w:val="Normal"/>
        <w:rPr>
          <w:lang w:val="uk-UA"/>
        </w:rPr>
      </w:pPr>
      <w:r>
        <w:rPr>
          <w:lang w:val="uk-UA"/>
        </w:rPr>
        <w:t>На основі оцінки ефективності впровадженої HR-моделі було виявлено суттєве покращення за всіма ключовими показниками: зменшення плинності кадрів, зростання продуктивності праці, покращення якості послуг і підвищення рівня задоволеності працівників. Це свідчить про результативність запропонованого підходу та його доцільність для поширення в інших закладах охорони здоров’я.</w:t>
      </w:r>
    </w:p>
    <w:p>
      <w:pPr>
        <w:pStyle w:val="Normal"/>
        <w:rPr>
          <w:lang w:val="uk-UA"/>
        </w:rPr>
      </w:pPr>
      <w:r>
        <w:rPr>
          <w:lang w:val="uk-UA"/>
        </w:rPr>
      </w:r>
      <w:r>
        <w:br w:type="page"/>
      </w:r>
    </w:p>
    <w:p>
      <w:pPr>
        <w:pStyle w:val="Heading1"/>
        <w:spacing w:before="0" w:after="0"/>
        <w:rPr>
          <w:lang w:val="uk-UA"/>
        </w:rPr>
      </w:pPr>
      <w:bookmarkStart w:id="21" w:name="_Toc200703998"/>
      <w:r>
        <w:rPr>
          <w:lang w:val="uk-UA"/>
        </w:rPr>
        <w:t>ВИСНОВКИ</w:t>
      </w:r>
      <w:bookmarkEnd w:id="21"/>
    </w:p>
    <w:p>
      <w:pPr>
        <w:pStyle w:val="Normal"/>
        <w:rPr>
          <w:lang w:val="uk-UA"/>
        </w:rPr>
      </w:pPr>
      <w:r>
        <w:rPr>
          <w:lang w:val="uk-UA"/>
        </w:rPr>
      </w:r>
    </w:p>
    <w:p>
      <w:pPr>
        <w:pStyle w:val="Normal"/>
        <w:rPr>
          <w:lang w:val="uk-UA"/>
        </w:rPr>
      </w:pPr>
      <w:r>
        <w:rPr>
          <w:lang w:val="uk-UA"/>
        </w:rPr>
        <w:t>У результаті проведеного дослідження було досягнуто поставленої мети – розробити науково обґрунтовані пропозиції щодо вдосконалення системи управління персоналом у закладах охорони здоров’я на прикладі КНП «Південнівська міська лікарня». На основі глибокого теоретичного аналізу, емпіричного дослідження та вивчення кращих практик сформовано такі основні висновки:</w:t>
      </w:r>
    </w:p>
    <w:p>
      <w:pPr>
        <w:pStyle w:val="Normal"/>
        <w:rPr>
          <w:lang w:val="uk-UA"/>
        </w:rPr>
      </w:pPr>
      <w:r>
        <w:rPr>
          <w:lang w:val="uk-UA"/>
        </w:rPr>
        <w:t>-Визначено сучасні виклики та проблеми в управлінні медичним персоналом. Серед ключових викликів було виділено: кадровий дефіцит у галузі охорони здоров’я, еміграцію медичних кадрів, високу емоційну напругу працівників, недостатню матеріальну та нематеріальну мотивацію, низький рівень цифровізації HR-процесів, а також обмеженість автономії управлінських рішень на рівні ЗОЗ. Ці проблеми поглиблюються реформами у фінансуванні, що вимагають гнучкої адаптації до нових управлінських підходів.</w:t>
      </w:r>
    </w:p>
    <w:p>
      <w:pPr>
        <w:pStyle w:val="Normal"/>
        <w:rPr>
          <w:lang w:val="uk-UA"/>
        </w:rPr>
      </w:pPr>
      <w:r>
        <w:rPr>
          <w:lang w:val="uk-UA"/>
        </w:rPr>
        <w:t>-Надано характеристику моделі HR-менеджменту в парадигмі нової системи фінансування ЗОЗ. Було показано, що перехід до фінансування через Програму медичних гарантій трансформує роль HR у ЗОЗ – від адміністративного до стратегічного центру управління людським капіталом. Сучасна модель HR-менеджменту орієнтується на результативність, фінансову ефективність, прозорість рішень, оцінку продуктивності персоналу (KPI), та цифрову аналітику кадрових процесів.</w:t>
      </w:r>
    </w:p>
    <w:p>
      <w:pPr>
        <w:pStyle w:val="Normal"/>
        <w:rPr>
          <w:lang w:val="uk-UA"/>
        </w:rPr>
      </w:pPr>
      <w:r>
        <w:rPr>
          <w:lang w:val="uk-UA"/>
        </w:rPr>
        <w:t>-Проведено детальний аналіз кадрової системи у КНП «Південнівська міська лікарня». Аналіз охопив ретроспективний період останніх п’яти років та сучасний стан кадрового менеджменту. Було виявлено поступові позитивні зрушення в напрямку професіоналізації HR-функцій, проте залишаються системні виклики, зокрема: плинність кадрів, незбалансоване навантаження між підрозділами, недостатня гнучкість системи стимулювання, а також фрагментарність в автоматизації процесів.</w:t>
      </w:r>
    </w:p>
    <w:p>
      <w:pPr>
        <w:pStyle w:val="Normal"/>
        <w:rPr>
          <w:lang w:val="uk-UA"/>
        </w:rPr>
      </w:pPr>
      <w:r>
        <w:rPr>
          <w:lang w:val="uk-UA"/>
        </w:rPr>
        <w:t>-Здійснено авторське дослідження внутрішнього середовища закладу. За результатами анкетування персоналу було виявлено, що найбільше працівники очікують покращення умов праці, можливостей професійного розвитку та справедливої мотиваційної політики. Дані дослідження свідчать про потребу у структурних змінах в управлінні персоналом – з урахуванням зворотного зв’язку, кар’єрного супроводу, підтримки емоційного стану медичних працівників.</w:t>
      </w:r>
    </w:p>
    <w:p>
      <w:pPr>
        <w:pStyle w:val="Normal"/>
        <w:rPr>
          <w:lang w:val="uk-UA"/>
        </w:rPr>
      </w:pPr>
      <w:r>
        <w:rPr>
          <w:lang w:val="uk-UA"/>
        </w:rPr>
        <w:t>-Проаналізовано досвід зарубіжних країн. Вивчення практик Німеччини, Нідерландів, Великобританії та скандинавських країн дозволило виокремити універсальні елементи ефективного HR-менеджменту: міждисциплінарну командну модель, впровадження безперервного професійного навчання, автономність закладів у кадрових питаннях, цифрову інтеграцію обліку та підтримки персоналу. Було виявлено можливості адаптації цих інструментів в українських умовах із урахуванням ресурсних та інституційних обмежень.</w:t>
      </w:r>
    </w:p>
    <w:p>
      <w:pPr>
        <w:pStyle w:val="Normal"/>
        <w:rPr>
          <w:lang w:val="uk-UA"/>
        </w:rPr>
      </w:pPr>
      <w:r>
        <w:rPr>
          <w:lang w:val="uk-UA"/>
        </w:rPr>
        <w:t>-Сформульовано практичні шляхи вдосконалення управління персоналом. Запропоновано впровадження інтегрованої моделі HR-менеджменту, яка поєднує цифрові інструменти, оцінювання ефективності, гнучке планування кадрового навантаження, стратегічне бюджетування витрат на персонал, а також розвиток нематеріального капіталу – командної культури, лояльності та внутрішньої комунікації. Зокрема, для КНП «Південнівська міська лікарня» рекомендовано впровадити систему внутрішніх KPI, електронний HR-документообіг, модуль навчання та наставництва, а також моніторинг задоволеності персоналу.</w:t>
      </w:r>
    </w:p>
    <w:p>
      <w:pPr>
        <w:pStyle w:val="Normal"/>
        <w:rPr>
          <w:lang w:val="uk-UA"/>
        </w:rPr>
      </w:pPr>
      <w:r>
        <w:rPr>
          <w:lang w:val="uk-UA"/>
        </w:rPr>
      </w:r>
      <w:r>
        <w:br w:type="page"/>
      </w:r>
    </w:p>
    <w:p>
      <w:pPr>
        <w:pStyle w:val="Heading1"/>
        <w:spacing w:before="0" w:after="0"/>
        <w:rPr>
          <w:lang w:val="uk-UA"/>
        </w:rPr>
      </w:pPr>
      <w:bookmarkStart w:id="22" w:name="_Toc200703999"/>
      <w:r>
        <w:rPr>
          <w:lang w:val="uk-UA"/>
        </w:rPr>
        <w:t>СПИСОК ВИКОРИСТАНИХ ДЖЕРЕЛ</w:t>
      </w:r>
      <w:bookmarkEnd w:id="22"/>
    </w:p>
    <w:p>
      <w:pPr>
        <w:pStyle w:val="Normal"/>
        <w:rPr>
          <w:lang w:val="uk-UA"/>
        </w:rPr>
      </w:pPr>
      <w:r>
        <w:rPr>
          <w:lang w:val="uk-UA"/>
        </w:rPr>
      </w:r>
    </w:p>
    <w:p>
      <w:pPr>
        <w:pStyle w:val="Normal"/>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Cherchyk L., Sergeychuk R. Сутність та складові управління розвитком персоналу закладів охорони здоров’я. Economic Journal of Lesya Ukrainka Volyn National University. 2022. № 1(29). С. 58–66</w:t>
      </w:r>
      <w:r>
        <w:rPr>
          <w:rFonts w:eastAsia="Calibri" w:ascii="Times New Roman" w:hAnsi="Times New Roman"/>
          <w:color w:val="222222"/>
          <w:kern w:val="2"/>
          <w:sz w:val="28"/>
          <w:szCs w:val="28"/>
          <w:shd w:fill="FFFFFF" w:val="clear"/>
          <w:lang w:val="uk-UA"/>
        </w:rPr>
        <w:t xml:space="preserve"> </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b w:val="false"/>
          <w:i w:val="false"/>
          <w:caps w:val="false"/>
          <w:smallCaps w:val="false"/>
          <w:color w:val="222222"/>
          <w:spacing w:val="0"/>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Hratsiotova H. O., Yasinovska M. O. Управління персоналом та підвищення кадрового потенціалу закладів охорони здоров’я України в умовах європейської інтеграції. Economics: Time Realities. 2020. № 6.</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b w:val="false"/>
          <w:i w:val="false"/>
          <w:caps w:val="false"/>
          <w:smallCaps w:val="false"/>
          <w:color w:val="222222"/>
          <w:spacing w:val="0"/>
          <w:kern w:val="2"/>
          <w:sz w:val="28"/>
          <w:szCs w:val="28"/>
          <w:shd w:fill="FFFFFF" w:val="clear"/>
          <w:lang w:val="uk-UA"/>
        </w:rPr>
      </w:pPr>
      <w:r>
        <w:rPr>
          <w:rFonts w:ascii="Times New Roman" w:hAnsi="Times New Roman"/>
          <w:b w:val="false"/>
          <w:i w:val="false"/>
          <w:caps w:val="false"/>
          <w:smallCaps w:val="false"/>
          <w:color w:val="222222"/>
          <w:spacing w:val="0"/>
          <w:kern w:val="2"/>
          <w:sz w:val="28"/>
          <w:szCs w:val="28"/>
          <w:shd w:fill="FFFFFF" w:val="clear"/>
          <w:lang w:val="uk-UA"/>
        </w:rPr>
        <w:t>Prokopets L., Todoriko I. Проблеми управління персоналом в закладах охорони здоров’я. 2020.</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b w:val="false"/>
          <w:i w:val="false"/>
          <w:caps w:val="false"/>
          <w:smallCaps w:val="false"/>
          <w:color w:val="222222"/>
          <w:spacing w:val="0"/>
          <w:kern w:val="2"/>
          <w:sz w:val="28"/>
          <w:szCs w:val="28"/>
          <w:shd w:fill="FFFFFF" w:val="clear"/>
          <w:lang w:val="uk-UA"/>
        </w:rPr>
      </w:pPr>
      <w:r>
        <w:rPr>
          <w:rFonts w:ascii="Times New Roman" w:hAnsi="Times New Roman"/>
          <w:b w:val="false"/>
          <w:i w:val="false"/>
          <w:caps w:val="false"/>
          <w:smallCaps w:val="false"/>
          <w:color w:val="222222"/>
          <w:spacing w:val="0"/>
          <w:kern w:val="2"/>
          <w:sz w:val="28"/>
          <w:szCs w:val="28"/>
          <w:shd w:fill="FFFFFF" w:val="clear"/>
          <w:lang w:val="uk-UA"/>
        </w:rPr>
        <w:t xml:space="preserve">Shatylo V. Y., Kravchuck L. S. Система управління сестринським персоналом у закладах охорони здоров’я України. Paediatric Surgery. Ukraine. 2018. № 1(58). С. 113–115.  </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Yasinovska M. O. Управління персоналом та підвищення кадрового потенціалу закладів охорони здоров’я України в умовах європейської інтеграції. 2020.</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Августин Р. Р., Стахів О. В. Визначення стратегічних пріоритетів управління системним розвитком закладів охорони здоров’я. Академічні візії. 2023. № 17.</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Білинець Ф. Сучасні тенденції управління персоналом в закладах охорони здоров’я.</w:t>
      </w:r>
      <w:r>
        <w:rPr>
          <w:rFonts w:eastAsia="Calibri" w:ascii="Times New Roman" w:hAnsi="Times New Roman"/>
          <w:b w:val="false"/>
          <w:i w:val="false"/>
          <w:caps w:val="false"/>
          <w:smallCaps w:val="false"/>
          <w:color w:val="222222"/>
          <w:spacing w:val="0"/>
          <w:kern w:val="2"/>
          <w:sz w:val="28"/>
          <w:szCs w:val="28"/>
          <w:shd w:fill="FFFFFF" w:val="clear"/>
          <w:lang w:val="uk-UA"/>
        </w:rPr>
        <w:t xml:space="preserve"> 2020.</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Бойчук Ю. С. Удосконалення механізму управління персоналом в закладах охорони здоров’я: магістерська кваліфікаційна робота. Суми: Сумський державний університет, 2024. 68 с.</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Борщ В. І. Сучасна парадигма системи управління персоналом закладу охорони здоров’я. Проблеми системного підходу в економіці. 2019. № 1(1). С. 73–79.</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kern w:val="2"/>
          <w:sz w:val="28"/>
          <w:szCs w:val="28"/>
        </w:rPr>
      </w:pPr>
      <w:r>
        <w:rPr>
          <w:rFonts w:eastAsia="Calibri" w:ascii="Times New Roman" w:hAnsi="Times New Roman"/>
          <w:b w:val="false"/>
          <w:i w:val="false"/>
          <w:caps w:val="false"/>
          <w:smallCaps w:val="false"/>
          <w:color w:val="222222"/>
          <w:spacing w:val="0"/>
          <w:kern w:val="2"/>
          <w:sz w:val="28"/>
          <w:szCs w:val="28"/>
        </w:rPr>
        <w:t>Борщ В. І., Рудінська О. В., Кусик Н. Л. Менеджмент та маркетинг в охороні здоров’я: навч. посіб. Одеса: Олді+, 2022.</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kern w:val="2"/>
          <w:sz w:val="28"/>
          <w:szCs w:val="28"/>
          <w:lang w:val="uk-UA"/>
        </w:rPr>
      </w:pPr>
      <w:r>
        <w:rPr>
          <w:rFonts w:eastAsia="Calibri" w:ascii="Times New Roman" w:hAnsi="Times New Roman"/>
          <w:b w:val="false"/>
          <w:i w:val="false"/>
          <w:caps w:val="false"/>
          <w:smallCaps w:val="false"/>
          <w:color w:val="222222"/>
          <w:spacing w:val="0"/>
          <w:kern w:val="2"/>
          <w:sz w:val="28"/>
          <w:szCs w:val="28"/>
          <w:lang w:val="uk-UA"/>
        </w:rPr>
        <w:t>Борщ В. І., Рудінська О. В., Анненкова І. П., Кусик Н. Л., Бусел С. В. Методичні рекомендації щодо організації та проходження виробничої практики. Одеса: ОНМедУ, 2024.</w:t>
      </w:r>
    </w:p>
    <w:p>
      <w:pPr>
        <w:pStyle w:val="Normal"/>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Васильківський П. М., Матукова Г. І. Досвід клініки Мейо в кадровій політиці закладів охор</w:t>
      </w:r>
      <w:r>
        <w:rPr>
          <w:rFonts w:eastAsia="Calibri" w:ascii="Times New Roman" w:hAnsi="Times New Roman"/>
          <w:b w:val="false"/>
          <w:i w:val="false"/>
          <w:caps w:val="false"/>
          <w:smallCaps w:val="false"/>
          <w:color w:val="222222"/>
          <w:spacing w:val="0"/>
          <w:kern w:val="2"/>
          <w:sz w:val="28"/>
          <w:szCs w:val="28"/>
          <w:shd w:fill="FFFFFF" w:val="clear"/>
          <w:lang w:val="uk-UA"/>
        </w:rPr>
        <w:t>они здоров’я України. 2025</w:t>
      </w:r>
      <w:r>
        <w:rPr>
          <w:rFonts w:eastAsia="Calibri" w:ascii="Times New Roman" w:hAnsi="Times New Roman"/>
          <w:color w:val="222222"/>
          <w:kern w:val="2"/>
          <w:sz w:val="28"/>
          <w:szCs w:val="28"/>
          <w:shd w:fill="FFFFFF" w:val="clear"/>
          <w:lang w:val="uk-UA"/>
        </w:rPr>
        <w:t xml:space="preserve"> </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Ведерніков М. Д., Чернушкіна О. О., Мантур-Чубата О. С. Сучасні технології управління персоналом. Науковий вісник Ужгородського національного університету. 2018. Вип. 19(1). С. 39–43.</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Винниченко К. А. Оцінка управління персоналом в закладах охорони здоров’я: магістерська робота. Суми: Сумський державний університет, 2021.</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b w:val="false"/>
          <w:i w:val="false"/>
          <w:caps w:val="false"/>
          <w:smallCaps w:val="false"/>
          <w:color w:val="222222"/>
          <w:spacing w:val="0"/>
          <w:kern w:val="2"/>
          <w:sz w:val="28"/>
          <w:szCs w:val="28"/>
          <w:lang w:val="uk-UA"/>
        </w:rPr>
      </w:pPr>
      <w:r>
        <w:rPr>
          <w:rFonts w:eastAsia="Calibri" w:ascii="Times New Roman" w:hAnsi="Times New Roman"/>
          <w:b w:val="false"/>
          <w:i w:val="false"/>
          <w:caps w:val="false"/>
          <w:smallCaps w:val="false"/>
          <w:color w:val="222222"/>
          <w:spacing w:val="0"/>
          <w:kern w:val="2"/>
          <w:sz w:val="28"/>
          <w:szCs w:val="28"/>
          <w:lang w:val="uk-UA"/>
        </w:rPr>
        <w:t>Вороненко Ю. В., Па</w:t>
      </w:r>
      <w:r>
        <w:rPr>
          <w:rFonts w:eastAsia="Calibri" w:ascii="Times New Roman" w:hAnsi="Times New Roman"/>
          <w:b w:val="false"/>
          <w:i w:val="false"/>
          <w:caps w:val="false"/>
          <w:smallCaps w:val="false"/>
          <w:color w:val="000000"/>
          <w:spacing w:val="0"/>
          <w:kern w:val="2"/>
          <w:sz w:val="28"/>
          <w:szCs w:val="28"/>
          <w:lang w:val="uk-UA"/>
        </w:rPr>
        <w:t>щенко В. М. Бізнес-планування в охороні здоров’я: навчально-методичний посібник. Київ: Генеза, 2016.</w:t>
      </w:r>
    </w:p>
    <w:p>
      <w:pPr>
        <w:pStyle w:val="BodyText"/>
        <w:numPr>
          <w:ilvl w:val="0"/>
          <w:numId w:val="3"/>
        </w:numPr>
        <w:tabs>
          <w:tab w:val="clear" w:pos="708"/>
          <w:tab w:val="left" w:pos="1134" w:leader="none"/>
        </w:tabs>
        <w:suppressAutoHyphens w:val="true"/>
        <w:snapToGrid w:val="false"/>
        <w:spacing w:before="0" w:after="0"/>
        <w:ind w:firstLine="709" w:start="0"/>
        <w:contextualSpacing/>
        <w:rPr/>
      </w:pPr>
      <w:r>
        <w:rPr>
          <w:rFonts w:eastAsia="Calibri" w:ascii="Times New Roman" w:hAnsi="Times New Roman"/>
          <w:b w:val="false"/>
          <w:i w:val="false"/>
          <w:caps w:val="false"/>
          <w:smallCaps w:val="false"/>
          <w:color w:val="000000"/>
          <w:spacing w:val="0"/>
          <w:kern w:val="2"/>
          <w:sz w:val="28"/>
          <w:szCs w:val="28"/>
          <w:lang w:val="uk-UA"/>
        </w:rPr>
        <w:t>Верховна Рада України. URL</w:t>
      </w:r>
      <w:r>
        <w:rPr>
          <w:rFonts w:eastAsia="Calibri" w:ascii="Times New Roman" w:hAnsi="Times New Roman"/>
          <w:b w:val="false"/>
          <w:i w:val="false"/>
          <w:caps w:val="false"/>
          <w:smallCaps w:val="false"/>
          <w:color w:val="000000"/>
          <w:spacing w:val="0"/>
          <w:kern w:val="2"/>
          <w:sz w:val="28"/>
          <w:szCs w:val="28"/>
          <w:u w:val="none"/>
          <w:lang w:val="uk-UA"/>
        </w:rPr>
        <w:t>: https://zakon.rada.gov.ua/</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Arial;Helvetica;sans-serif" w:hAnsi="Arial;Helvetica;sans-serif"/>
          <w:color w:val="222222"/>
          <w:kern w:val="2"/>
          <w:sz w:val="24"/>
          <w:lang w:val="uk-UA"/>
        </w:rPr>
      </w:pPr>
      <w:r>
        <w:rPr>
          <w:rFonts w:eastAsia="Calibri" w:ascii="Times New Roman" w:hAnsi="Times New Roman"/>
          <w:b w:val="false"/>
          <w:i w:val="false"/>
          <w:caps w:val="false"/>
          <w:smallCaps w:val="false"/>
          <w:color w:val="000000"/>
          <w:spacing w:val="0"/>
          <w:kern w:val="2"/>
          <w:sz w:val="28"/>
          <w:szCs w:val="28"/>
          <w:lang w:val="uk-UA"/>
        </w:rPr>
        <w:t>Головне управління статистики в Одеській області. URL:</w:t>
      </w:r>
      <w:r>
        <w:rPr>
          <w:rFonts w:eastAsia="Calibri" w:ascii="Times New Roman" w:hAnsi="Times New Roman"/>
          <w:b w:val="false"/>
          <w:i w:val="false"/>
          <w:caps w:val="false"/>
          <w:smallCaps w:val="false"/>
          <w:color w:val="000000"/>
          <w:spacing w:val="0"/>
          <w:kern w:val="2"/>
          <w:sz w:val="28"/>
          <w:szCs w:val="28"/>
          <w:u w:val="none"/>
          <w:lang w:val="uk-UA"/>
        </w:rPr>
        <w:t> </w:t>
      </w:r>
      <w:hyperlink r:id="rId16">
        <w:r>
          <w:rPr>
            <w:rStyle w:val="Hyperlink"/>
            <w:rFonts w:eastAsia="Calibri" w:ascii="Times New Roman" w:hAnsi="Times New Roman"/>
            <w:b w:val="false"/>
            <w:i w:val="false"/>
            <w:caps w:val="false"/>
            <w:smallCaps w:val="false"/>
            <w:color w:val="000000"/>
            <w:spacing w:val="0"/>
            <w:kern w:val="2"/>
            <w:sz w:val="28"/>
            <w:szCs w:val="28"/>
            <w:u w:val="none"/>
            <w:lang w:val="uk-UA"/>
          </w:rPr>
          <w:t>http://od.ukrstat.gov.ua</w:t>
        </w:r>
        <w:r>
          <w:rPr>
            <w:rStyle w:val="Hyperlink"/>
            <w:rFonts w:eastAsia="Calibri" w:ascii="Times New Roman" w:hAnsi="Times New Roman"/>
            <w:b w:val="false"/>
            <w:i w:val="false"/>
            <w:caps w:val="false"/>
            <w:smallCaps w:val="false"/>
            <w:color w:val="000000"/>
            <w:spacing w:val="0"/>
            <w:kern w:val="2"/>
            <w:sz w:val="28"/>
            <w:szCs w:val="28"/>
            <w:u w:val="none"/>
            <w:lang w:val="uk-UA"/>
          </w:rPr>
          <w:t>/</w:t>
        </w:r>
      </w:hyperlink>
    </w:p>
    <w:p>
      <w:pPr>
        <w:pStyle w:val="BodyText"/>
        <w:numPr>
          <w:ilvl w:val="0"/>
          <w:numId w:val="3"/>
        </w:numPr>
        <w:tabs>
          <w:tab w:val="clear" w:pos="708"/>
          <w:tab w:val="left" w:pos="1134" w:leader="none"/>
        </w:tabs>
        <w:suppressAutoHyphens w:val="true"/>
        <w:snapToGrid w:val="false"/>
        <w:spacing w:before="0" w:after="0"/>
        <w:ind w:firstLine="709" w:start="0"/>
        <w:contextualSpacing/>
        <w:rPr>
          <w:sz w:val="28"/>
          <w:szCs w:val="28"/>
        </w:rPr>
      </w:pPr>
      <w:r>
        <w:rPr>
          <w:rFonts w:eastAsia="Calibri" w:ascii="Times New Roman" w:hAnsi="Times New Roman"/>
          <w:b w:val="false"/>
          <w:i w:val="false"/>
          <w:caps w:val="false"/>
          <w:smallCaps w:val="false"/>
          <w:color w:val="000000"/>
          <w:spacing w:val="0"/>
          <w:kern w:val="2"/>
          <w:sz w:val="28"/>
          <w:szCs w:val="28"/>
          <w:lang w:val="uk-UA"/>
        </w:rPr>
        <w:t>Департамент охорони здоров’я Одеської обласної державної адміністрації. URL: https://mednet.od.gov.ua/</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Дмитрук О. В., Свінцицька О. М. Управління адаптацією персоналу закладів охорони здоров’я в нових умовах господарювання. Приазовський економічний вісник. 2018. С. 182–186.</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Євась Т. В., Вишневська А. Д. Управління персоналом медичної організації в сучасних умовах господарювання. Подільський науковий вісник. 2021. Т. 1(17). С. 31–35.</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Звірич В. В. Особливості формування управлінського персоналу в галузі охорони здоров’я в Україні. Дніпровський науковий часопис публічного управління, психології, права. 2022. № 6. С. 47–51.</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Звірич В. В. Система публічного управління персоналом у галузі охорони здоров’я: структура, класифікація та особливості. Таврійський науковий вісник. Серія: Публічне управління та адміністрування. 2022. № 2. С. 49–56.</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КНП</w:t>
      </w:r>
      <w:r>
        <w:rPr>
          <w:rFonts w:eastAsia="Calibri" w:ascii="Times New Roman" w:hAnsi="Times New Roman"/>
          <w:b w:val="false"/>
          <w:i w:val="false"/>
          <w:caps w:val="false"/>
          <w:smallCaps w:val="false"/>
          <w:color w:val="000000"/>
          <w:spacing w:val="0"/>
          <w:kern w:val="2"/>
          <w:sz w:val="28"/>
          <w:szCs w:val="28"/>
          <w:shd w:fill="FFFFFF" w:val="clear"/>
          <w:lang w:val="uk-UA"/>
        </w:rPr>
        <w:t xml:space="preserve"> «Південнівська міська лікарня» ПМР. URL:</w:t>
      </w:r>
      <w:r>
        <w:rPr>
          <w:rFonts w:eastAsia="Calibri" w:ascii="Times New Roman" w:hAnsi="Times New Roman"/>
          <w:b w:val="false"/>
          <w:i w:val="false"/>
          <w:caps w:val="false"/>
          <w:smallCaps w:val="false"/>
          <w:color w:val="000000"/>
          <w:spacing w:val="0"/>
          <w:kern w:val="2"/>
          <w:sz w:val="28"/>
          <w:szCs w:val="28"/>
          <w:shd w:fill="FFFFFF" w:val="clear"/>
          <w:lang w:val="en-US"/>
        </w:rPr>
        <w:t>http</w:t>
      </w:r>
      <w:r>
        <w:rPr>
          <w:rFonts w:eastAsia="Calibri" w:ascii="Times New Roman" w:hAnsi="Times New Roman"/>
          <w:b w:val="false"/>
          <w:i w:val="false"/>
          <w:caps w:val="false"/>
          <w:smallCaps w:val="false"/>
          <w:color w:val="000000"/>
          <w:spacing w:val="0"/>
          <w:kern w:val="2"/>
          <w:sz w:val="28"/>
          <w:szCs w:val="28"/>
          <w:shd w:fill="FFFFFF" w:val="clear"/>
          <w:lang w:val="en-GB"/>
        </w:rPr>
        <w:t>://pml.h24.ua/uk</w:t>
      </w:r>
      <w:r>
        <w:rPr>
          <w:rFonts w:eastAsia="Calibri" w:ascii="Times New Roman" w:hAnsi="Times New Roman"/>
          <w:b w:val="false"/>
          <w:i w:val="false"/>
          <w:caps w:val="false"/>
          <w:smallCaps w:val="false"/>
          <w:color w:val="000000"/>
          <w:spacing w:val="0"/>
          <w:kern w:val="2"/>
          <w:sz w:val="28"/>
          <w:szCs w:val="28"/>
          <w:shd w:fill="FFFFFF" w:val="clear"/>
          <w:lang w:val="en-US"/>
        </w:rPr>
        <w:t>#</w:t>
      </w:r>
      <w:r>
        <w:rPr>
          <w:rFonts w:eastAsia="Calibri" w:ascii="Times New Roman" w:hAnsi="Times New Roman"/>
          <w:b w:val="false"/>
          <w:i w:val="false"/>
          <w:caps w:val="false"/>
          <w:smallCaps w:val="false"/>
          <w:color w:val="000000"/>
          <w:spacing w:val="0"/>
          <w:kern w:val="2"/>
          <w:sz w:val="28"/>
          <w:szCs w:val="28"/>
          <w:shd w:fill="FFFFFF" w:val="clear"/>
          <w:lang w:val="en-GB"/>
        </w:rPr>
        <w:t>staffs</w:t>
      </w:r>
      <w:r>
        <w:rPr>
          <w:rFonts w:eastAsia="Calibri" w:ascii="Times New Roman" w:hAnsi="Times New Roman"/>
          <w:b w:val="false"/>
          <w:i w:val="false"/>
          <w:caps w:val="false"/>
          <w:smallCaps w:val="false"/>
          <w:color w:val="000000"/>
          <w:spacing w:val="0"/>
          <w:kern w:val="2"/>
          <w:sz w:val="28"/>
          <w:szCs w:val="28"/>
          <w:shd w:fill="FFFFFF" w:val="clear"/>
          <w:lang w:val="uk-UA"/>
        </w:rPr>
        <w:t> </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sz w:val="28"/>
          <w:szCs w:val="28"/>
        </w:rPr>
      </w:pPr>
      <w:r>
        <w:rPr>
          <w:rFonts w:eastAsia="Calibri" w:ascii="Times New Roman" w:hAnsi="Times New Roman"/>
          <w:b w:val="false"/>
          <w:i w:val="false"/>
          <w:caps w:val="false"/>
          <w:smallCaps w:val="false"/>
          <w:color w:val="222222"/>
          <w:spacing w:val="0"/>
          <w:kern w:val="2"/>
          <w:sz w:val="28"/>
          <w:szCs w:val="28"/>
          <w:shd w:fill="FFFFFF" w:val="clear"/>
          <w:lang w:val="uk-UA"/>
        </w:rPr>
        <w:t>Кравчук І. І., Присяжнюк О. Ф., Веселовський О. Б. Удосконалення управління персоналом закладів охорони здоров’я. Ефективна економіка. 2020. № 2. URL: </w:t>
      </w:r>
      <w:r>
        <w:rPr>
          <w:rFonts w:eastAsia="Calibri" w:ascii="Times New Roman" w:hAnsi="Times New Roman"/>
          <w:b w:val="false"/>
          <w:i w:val="false"/>
          <w:caps w:val="false"/>
          <w:smallCaps w:val="false"/>
          <w:color w:val="000000"/>
          <w:spacing w:val="0"/>
          <w:kern w:val="2"/>
          <w:sz w:val="28"/>
          <w:szCs w:val="28"/>
          <w:shd w:fill="FFFFFF" w:val="clear"/>
          <w:lang w:val="uk-UA"/>
        </w:rPr>
        <w:t>http://www.economy.nayka.com.ua/?op=1&amp;z=7626</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Куляба Н. О., Баран Р. Я. Особливості управління персоналом в закладах охорони здоров’я. 2020.</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Ліштаба Л. В. Управління персоналом як провідна функція менеджера в сфері охорони здоров’я. Галицький економічний вісник. 2016. Т. 50(1). С. 163–169.</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Майстренко Ю. В., Зюзь Н. Ю. Шляхи підвищення мотивації персоналу в закладах охорони здоров’я. International scientific innovations in human life: матеріали конференції. Manchester, 2021. С. 810.</w:t>
      </w:r>
    </w:p>
    <w:p>
      <w:pPr>
        <w:pStyle w:val="BodyText"/>
        <w:numPr>
          <w:ilvl w:val="0"/>
          <w:numId w:val="3"/>
        </w:numPr>
        <w:tabs>
          <w:tab w:val="clear" w:pos="708"/>
          <w:tab w:val="left" w:pos="1134" w:leader="none"/>
        </w:tabs>
        <w:suppressAutoHyphens w:val="true"/>
        <w:snapToGrid w:val="false"/>
        <w:spacing w:before="0" w:after="0"/>
        <w:ind w:firstLine="709" w:start="0"/>
        <w:contextualSpacing/>
        <w:rPr/>
      </w:pPr>
      <w:r>
        <w:rPr>
          <w:rStyle w:val="Hyperlink"/>
          <w:rFonts w:eastAsia="Calibri" w:ascii="Times New Roman" w:hAnsi="Times New Roman"/>
          <w:b w:val="false"/>
          <w:i w:val="false"/>
          <w:caps w:val="false"/>
          <w:smallCaps w:val="false"/>
          <w:color w:val="222222"/>
          <w:spacing w:val="0"/>
          <w:kern w:val="2"/>
          <w:sz w:val="28"/>
          <w:szCs w:val="28"/>
          <w:u w:val="none"/>
          <w:shd w:fill="FFFFFF" w:val="clear"/>
        </w:rPr>
        <w:t>Мирошниченко Г. Б., Полегенька Ю. І. Теоретичний базис формування системи управління персоналом медичного закладу. 2020. URL: </w:t>
      </w:r>
      <w:r>
        <w:rPr>
          <w:rStyle w:val="Hyperlink"/>
          <w:rFonts w:eastAsia="Calibri" w:ascii="Times New Roman" w:hAnsi="Times New Roman"/>
          <w:b w:val="false"/>
          <w:i w:val="false"/>
          <w:caps w:val="false"/>
          <w:smallCaps w:val="false"/>
          <w:color w:val="000000"/>
          <w:spacing w:val="0"/>
          <w:kern w:val="2"/>
          <w:sz w:val="28"/>
          <w:szCs w:val="28"/>
          <w:u w:val="none"/>
          <w:shd w:fill="FFFFFF" w:val="clear"/>
        </w:rPr>
        <w:t>https://doi.org/10.31474/1680-0044-2020-1(22)-97-105</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b w:val="false"/>
          <w:i w:val="false"/>
          <w:caps w:val="false"/>
          <w:smallCaps w:val="false"/>
          <w:color w:val="222222"/>
          <w:spacing w:val="0"/>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Муляр В. В. Управління персоналом в закладах охорони здоров’я України: магістерська робота. Суми: СумДУ, 2020.</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sz w:val="28"/>
          <w:szCs w:val="28"/>
        </w:rPr>
      </w:pPr>
      <w:r>
        <w:rPr>
          <w:rFonts w:eastAsia="Calibri" w:ascii="Times New Roman" w:hAnsi="Times New Roman"/>
          <w:b w:val="false"/>
          <w:i w:val="false"/>
          <w:caps w:val="false"/>
          <w:smallCaps w:val="false"/>
          <w:color w:val="222222"/>
          <w:spacing w:val="0"/>
          <w:kern w:val="2"/>
          <w:sz w:val="28"/>
          <w:szCs w:val="28"/>
          <w:shd w:fill="FFFFFF" w:val="clear"/>
          <w:lang w:val="uk-UA"/>
        </w:rPr>
        <w:t>Міністерство охорони здоров’я України. UR</w:t>
      </w:r>
      <w:r>
        <w:rPr>
          <w:rFonts w:eastAsia="Calibri" w:ascii="Times New Roman" w:hAnsi="Times New Roman"/>
          <w:b w:val="false"/>
          <w:i w:val="false"/>
          <w:caps w:val="false"/>
          <w:smallCaps w:val="false"/>
          <w:color w:val="000000"/>
          <w:spacing w:val="0"/>
          <w:kern w:val="2"/>
          <w:sz w:val="28"/>
          <w:szCs w:val="28"/>
          <w:shd w:fill="FFFFFF" w:val="clear"/>
          <w:lang w:val="uk-UA"/>
        </w:rPr>
        <w:t>L: https://moz.gov.ua/</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sz w:val="28"/>
          <w:szCs w:val="28"/>
        </w:rPr>
      </w:pPr>
      <w:r>
        <w:rPr>
          <w:rFonts w:eastAsia="Calibri" w:ascii="Times New Roman" w:hAnsi="Times New Roman"/>
          <w:b w:val="false"/>
          <w:i w:val="false"/>
          <w:caps w:val="false"/>
          <w:smallCaps w:val="false"/>
          <w:color w:val="222222"/>
          <w:spacing w:val="0"/>
          <w:kern w:val="2"/>
          <w:sz w:val="28"/>
          <w:szCs w:val="28"/>
          <w:shd w:fill="FFFFFF" w:val="clear"/>
          <w:lang w:val="uk-UA"/>
        </w:rPr>
        <w:t>Національна служба здоров’я України. URL:</w:t>
      </w:r>
      <w:r>
        <w:rPr>
          <w:rFonts w:eastAsia="Calibri" w:ascii="Times New Roman" w:hAnsi="Times New Roman"/>
          <w:b w:val="false"/>
          <w:i w:val="false"/>
          <w:caps w:val="false"/>
          <w:smallCaps w:val="false"/>
          <w:color w:val="000000"/>
          <w:spacing w:val="0"/>
          <w:kern w:val="2"/>
          <w:sz w:val="28"/>
          <w:szCs w:val="28"/>
          <w:shd w:fill="FFFFFF" w:val="clear"/>
          <w:lang w:val="uk-UA"/>
        </w:rPr>
        <w:t> https://nszu.gov.ua/</w:t>
      </w:r>
    </w:p>
    <w:p>
      <w:pPr>
        <w:pStyle w:val="BodyText"/>
        <w:numPr>
          <w:ilvl w:val="0"/>
          <w:numId w:val="3"/>
        </w:numPr>
        <w:tabs>
          <w:tab w:val="clear" w:pos="708"/>
          <w:tab w:val="left" w:pos="1134" w:leader="none"/>
        </w:tabs>
        <w:suppressAutoHyphens w:val="true"/>
        <w:snapToGrid w:val="false"/>
        <w:spacing w:before="0" w:after="0"/>
        <w:ind w:firstLine="709" w:start="0"/>
        <w:contextualSpacing/>
        <w:rPr/>
      </w:pPr>
      <w:r>
        <w:rPr>
          <w:rFonts w:eastAsia="Calibri" w:ascii="Times New Roman" w:hAnsi="Times New Roman"/>
          <w:b w:val="false"/>
          <w:i w:val="false"/>
          <w:caps w:val="false"/>
          <w:smallCaps w:val="false"/>
          <w:color w:val="222222"/>
          <w:spacing w:val="0"/>
          <w:kern w:val="2"/>
          <w:sz w:val="28"/>
          <w:szCs w:val="28"/>
          <w:shd w:fill="FFFFFF" w:val="clear"/>
          <w:lang w:val="uk-UA"/>
        </w:rPr>
        <w:t>Ониськів Л. Удосконалення управління персоналом закладів охорони здоров’я. 2022. URL:</w:t>
      </w:r>
      <w:r>
        <w:rPr>
          <w:rFonts w:eastAsia="Calibri" w:ascii="Times New Roman" w:hAnsi="Times New Roman"/>
          <w:b w:val="false"/>
          <w:i w:val="false"/>
          <w:caps w:val="false"/>
          <w:smallCaps w:val="false"/>
          <w:color w:val="000000"/>
          <w:spacing w:val="0"/>
          <w:kern w:val="2"/>
          <w:sz w:val="28"/>
          <w:szCs w:val="28"/>
          <w:shd w:fill="FFFFFF" w:val="clear"/>
          <w:lang w:val="uk-UA"/>
        </w:rPr>
        <w:t> </w:t>
      </w:r>
      <w:hyperlink r:id="rId17">
        <w:r>
          <w:rPr>
            <w:rStyle w:val="Hyperlink"/>
            <w:rFonts w:eastAsia="Calibri" w:ascii="Times New Roman" w:hAnsi="Times New Roman"/>
            <w:b w:val="false"/>
            <w:i w:val="false"/>
            <w:caps w:val="false"/>
            <w:smallCaps w:val="false"/>
            <w:color w:val="000000"/>
            <w:spacing w:val="0"/>
            <w:kern w:val="2"/>
            <w:sz w:val="28"/>
            <w:szCs w:val="28"/>
            <w:u w:val="none"/>
            <w:shd w:fill="FFFFFF" w:val="clear"/>
            <w:lang w:val="uk-UA"/>
          </w:rPr>
          <w:t>http://www.economy.nayka.com.ua/?op=1&amp;z=7626</w:t>
        </w:r>
      </w:hyperlink>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sz w:val="28"/>
          <w:szCs w:val="28"/>
        </w:rPr>
      </w:pPr>
      <w:r>
        <w:rPr>
          <w:rFonts w:eastAsia="Calibri" w:ascii="Times New Roman" w:hAnsi="Times New Roman"/>
          <w:b w:val="false"/>
          <w:i w:val="false"/>
          <w:caps w:val="false"/>
          <w:smallCaps w:val="false"/>
          <w:color w:val="222222"/>
          <w:spacing w:val="0"/>
          <w:kern w:val="2"/>
          <w:sz w:val="28"/>
          <w:szCs w:val="28"/>
          <w:shd w:fill="FFFFFF" w:val="clear"/>
          <w:lang w:val="uk-UA"/>
        </w:rPr>
        <w:t>Опендатабот. КНП «ПМЛ» ПМР. URL:</w:t>
      </w:r>
      <w:r>
        <w:rPr>
          <w:rFonts w:eastAsia="Calibri" w:ascii="Times New Roman" w:hAnsi="Times New Roman"/>
          <w:b w:val="false"/>
          <w:i w:val="false"/>
          <w:caps w:val="false"/>
          <w:smallCaps w:val="false"/>
          <w:color w:val="000000"/>
          <w:spacing w:val="0"/>
          <w:kern w:val="2"/>
          <w:sz w:val="28"/>
          <w:szCs w:val="28"/>
          <w:shd w:fill="FFFFFF" w:val="clear"/>
          <w:lang w:val="uk-UA"/>
        </w:rPr>
        <w:t> https://opendatabot.ua/c/34592230</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sz w:val="28"/>
          <w:szCs w:val="28"/>
        </w:rPr>
      </w:pPr>
      <w:r>
        <w:rPr>
          <w:rFonts w:eastAsia="Calibri" w:ascii="Times New Roman" w:hAnsi="Times New Roman"/>
          <w:b w:val="false"/>
          <w:i w:val="false"/>
          <w:caps w:val="false"/>
          <w:smallCaps w:val="false"/>
          <w:color w:val="222222"/>
          <w:spacing w:val="0"/>
          <w:kern w:val="2"/>
          <w:sz w:val="28"/>
          <w:szCs w:val="28"/>
          <w:shd w:fill="FFFFFF" w:val="clear"/>
          <w:lang w:val="uk-UA"/>
        </w:rPr>
        <w:t>Пилипів М. С. Розвиток публічного управління персоналом у закладах охорони здоров’я. 2024. URL: </w:t>
      </w:r>
      <w:r>
        <w:rPr>
          <w:rFonts w:eastAsia="Calibri" w:ascii="Times New Roman" w:hAnsi="Times New Roman"/>
          <w:b w:val="false"/>
          <w:i w:val="false"/>
          <w:caps w:val="false"/>
          <w:smallCaps w:val="false"/>
          <w:color w:val="000000"/>
          <w:spacing w:val="0"/>
          <w:kern w:val="2"/>
          <w:sz w:val="28"/>
          <w:szCs w:val="28"/>
          <w:shd w:fill="FFFFFF" w:val="clear"/>
          <w:lang w:val="uk-UA"/>
        </w:rPr>
        <w:t>https://kpoit.pnu.edu.ua/</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Поляков І. А. Управління персоналом у процесі реструктуризації підприємства на прикладі автономізації закладів охорони здоров’я. 2020.</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Ровенська В. В., Саржевська Є. О. Управління персоналом закладів охорони здоров’я в нових умовах господарювання та перспективи розвитку в Україні. Экономический вестник Донбасса. 2019. № 3(57). С. 162–168.</w:t>
      </w:r>
    </w:p>
    <w:p>
      <w:pPr>
        <w:pStyle w:val="BodyText"/>
        <w:numPr>
          <w:ilvl w:val="0"/>
          <w:numId w:val="3"/>
        </w:numPr>
        <w:tabs>
          <w:tab w:val="clear" w:pos="708"/>
          <w:tab w:val="left" w:pos="1134" w:leader="none"/>
        </w:tabs>
        <w:suppressAutoHyphens w:val="true"/>
        <w:snapToGrid w:val="false"/>
        <w:spacing w:before="0" w:after="0"/>
        <w:ind w:firstLine="709" w:start="0"/>
        <w:contextualSpacing/>
        <w:rPr/>
      </w:pPr>
      <w:r>
        <w:rPr>
          <w:rStyle w:val="Hyperlink"/>
          <w:rFonts w:eastAsia="Calibri" w:ascii="Times New Roman" w:hAnsi="Times New Roman"/>
          <w:b w:val="false"/>
          <w:i w:val="false"/>
          <w:caps w:val="false"/>
          <w:smallCaps w:val="false"/>
          <w:color w:val="000000"/>
          <w:spacing w:val="0"/>
          <w:kern w:val="2"/>
          <w:sz w:val="28"/>
          <w:szCs w:val="28"/>
          <w:u w:val="none"/>
          <w:shd w:fill="FFFFFF" w:val="clear"/>
        </w:rPr>
        <w:t>Рудінська О. В., Красіленко Т. М. Актуальні завдання управління персоналом в закладах охорони здоров’я України. 2023. URL: https://repo.odmu.edu.ua/</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color w:val="000000"/>
          <w:kern w:val="2"/>
          <w:sz w:val="28"/>
          <w:szCs w:val="28"/>
          <w:lang w:val="uk-UA"/>
        </w:rPr>
      </w:pPr>
      <w:r>
        <w:rPr>
          <w:rFonts w:eastAsia="Calibri" w:ascii="Times New Roman" w:hAnsi="Times New Roman"/>
          <w:b w:val="false"/>
          <w:i w:val="false"/>
          <w:caps w:val="false"/>
          <w:smallCaps w:val="false"/>
          <w:color w:val="000000"/>
          <w:spacing w:val="0"/>
          <w:kern w:val="2"/>
          <w:sz w:val="28"/>
          <w:szCs w:val="28"/>
          <w:lang w:val="uk-UA"/>
        </w:rPr>
        <w:t>Рудінська О. В., Красіленко  Т. М., Синьов Д. С. Трансформація HR-менеджменту в умовах реформи фінансування охорони здоров’я. Одеса: Медкнига, 2025. С. 4.</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eastAsia="Calibri"/>
          <w:color w:val="222222"/>
          <w:kern w:val="2"/>
          <w:shd w:fill="FFFFFF" w:val="clear"/>
          <w:lang w:val="uk-UA"/>
        </w:rPr>
      </w:pPr>
      <w:r>
        <w:rPr>
          <w:rFonts w:eastAsia="Calibri" w:ascii="Times New Roman" w:hAnsi="Times New Roman"/>
          <w:b w:val="false"/>
          <w:i w:val="false"/>
          <w:caps w:val="false"/>
          <w:smallCaps w:val="false"/>
          <w:color w:val="000000"/>
          <w:spacing w:val="0"/>
          <w:kern w:val="2"/>
          <w:sz w:val="28"/>
          <w:szCs w:val="28"/>
          <w:shd w:fill="FFFFFF" w:val="clear"/>
          <w:lang w:val="uk-UA"/>
        </w:rPr>
        <w:t>Сафонов Ю. М., Борщ В. І., Сафонов Ю. Н., Борщ В. И. Стратегічний менеджмент закладів охорони здоров’я: загальні принципи та особливості. 2019. URL: </w:t>
      </w:r>
      <w:hyperlink r:id="rId18" w:tgtFrame="_blank">
        <w:r>
          <w:rPr>
            <w:rStyle w:val="Hyperlink"/>
            <w:rFonts w:eastAsia="Calibri" w:ascii="Times New Roman" w:hAnsi="Times New Roman"/>
            <w:b w:val="false"/>
            <w:i w:val="false"/>
            <w:caps w:val="false"/>
            <w:smallCaps w:val="false"/>
            <w:color w:val="000000"/>
            <w:spacing w:val="0"/>
            <w:kern w:val="2"/>
            <w:sz w:val="28"/>
            <w:szCs w:val="28"/>
            <w:u w:val="none"/>
            <w:shd w:fill="FFFFFF" w:val="clear"/>
            <w:lang w:val="uk-UA"/>
          </w:rPr>
          <w:t>https://eco-science.net/</w:t>
        </w:r>
      </w:hyperlink>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000000"/>
          <w:kern w:val="2"/>
          <w:sz w:val="28"/>
          <w:szCs w:val="28"/>
          <w:shd w:fill="FFFFFF" w:val="clear"/>
          <w:lang w:val="uk-UA"/>
        </w:rPr>
      </w:pPr>
      <w:r>
        <w:rPr>
          <w:rFonts w:eastAsia="Calibri" w:ascii="Times New Roman" w:hAnsi="Times New Roman"/>
          <w:b w:val="false"/>
          <w:i w:val="false"/>
          <w:caps w:val="false"/>
          <w:smallCaps w:val="false"/>
          <w:color w:val="000000"/>
          <w:spacing w:val="0"/>
          <w:kern w:val="2"/>
          <w:sz w:val="28"/>
          <w:szCs w:val="28"/>
          <w:shd w:fill="FFFFFF" w:val="clear"/>
          <w:lang w:val="uk-UA"/>
        </w:rPr>
        <w:t>Смирнов С. О., Бикова В. Г. Механізм економічного управління закладами охорони здоров’я. Управління розвитком. 2016. № 3. С. 78–83.</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Стрюков В. В., Акимова В. В. Управління персоналом та підвищення кадрового потенціалу закладів охорони здоров’я України в кризових умовах.</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Сумець О., Перог Т. Проблеми управління середнім медичним персоналом вітчизняних закладів охорони здоров’я. Вчені записки Університету «КРОК». 2024. № 3(75). С. 102–107.</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sz w:val="28"/>
          <w:szCs w:val="28"/>
        </w:rPr>
      </w:pPr>
      <w:r>
        <w:rPr>
          <w:rFonts w:eastAsia="Calibri" w:ascii="Times New Roman" w:hAnsi="Times New Roman"/>
          <w:b w:val="false"/>
          <w:i w:val="false"/>
          <w:caps w:val="false"/>
          <w:smallCaps w:val="false"/>
          <w:color w:val="222222"/>
          <w:spacing w:val="0"/>
          <w:kern w:val="2"/>
          <w:sz w:val="28"/>
          <w:szCs w:val="28"/>
          <w:shd w:fill="FFFFFF" w:val="clear"/>
          <w:lang w:val="uk-UA"/>
        </w:rPr>
        <w:t>Федоренко Я. В. Управління персон</w:t>
      </w:r>
      <w:r>
        <w:rPr>
          <w:rFonts w:eastAsia="Calibri" w:ascii="Times New Roman" w:hAnsi="Times New Roman"/>
          <w:b w:val="false"/>
          <w:i w:val="false"/>
          <w:caps w:val="false"/>
          <w:smallCaps w:val="false"/>
          <w:color w:val="000000"/>
          <w:spacing w:val="0"/>
          <w:kern w:val="2"/>
          <w:sz w:val="28"/>
          <w:szCs w:val="28"/>
          <w:shd w:fill="FFFFFF" w:val="clear"/>
          <w:lang w:val="uk-UA"/>
        </w:rPr>
        <w:t>алом у сфері охорони здоров’я: магістерська робота. Миколаїв: ЧНУ, 2024. URL: </w:t>
      </w:r>
      <w:r>
        <w:rPr>
          <w:rFonts w:eastAsia="Calibri" w:ascii="Times New Roman" w:hAnsi="Times New Roman"/>
          <w:b w:val="false"/>
          <w:i w:val="false"/>
          <w:caps w:val="false"/>
          <w:smallCaps w:val="false"/>
          <w:color w:val="000000"/>
          <w:spacing w:val="0"/>
          <w:kern w:val="2"/>
          <w:sz w:val="28"/>
          <w:szCs w:val="28"/>
          <w:shd w:fill="FFFFFF" w:val="clear"/>
          <w:lang w:val="uk-UA"/>
        </w:rPr>
        <w:t>https://krs.chmnu.edu.ua/</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Хмурова В., Волкова Я. Вдосконалення системи якості менеджменту персоналу у сфері охорони здоров’я в Україні. Сталий розвиток економіки. 2023. № 1(46). С. 135–140.</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Чабан С. О. Автоматизована інформаційна система управління персоналом для закладів охорони здоров’я. 2024.</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Шамрай Ю. В. Управління персоналом в закладах охорони здоров’я України. 2020.</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Шкільняк М. М., Кривокульська Н. М. Розвиток концептуальних підходів до управління якістю медичних послуг закладів охорони здоров’я. Вісник соціальної гігієни та організації охорони здоров’я України. 2020. № 2. С. 84–90.</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Шкільняк М., Желюк Т., Дудкіна О., Жуковська А., Попович Т. Управління закладами охорони здоров’я: виклики та перспективи. 2021.</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Шкробот М. Особливості системи управління персоналом закладів охорони здоров’я. 2020.</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eastAsia="Calibri"/>
          <w:color w:val="222222"/>
          <w:kern w:val="2"/>
          <w:sz w:val="28"/>
          <w:szCs w:val="28"/>
          <w:shd w:fill="FFFFFF" w:val="clear"/>
          <w:lang w:val="uk-UA"/>
        </w:rPr>
      </w:pPr>
      <w:r>
        <w:rPr>
          <w:rFonts w:eastAsia="Calibri" w:ascii="Times New Roman" w:hAnsi="Times New Roman"/>
          <w:b w:val="false"/>
          <w:i w:val="false"/>
          <w:caps w:val="false"/>
          <w:smallCaps w:val="false"/>
          <w:color w:val="222222"/>
          <w:spacing w:val="0"/>
          <w:kern w:val="2"/>
          <w:sz w:val="28"/>
          <w:szCs w:val="28"/>
          <w:shd w:fill="FFFFFF" w:val="clear"/>
          <w:lang w:val="uk-UA"/>
        </w:rPr>
        <w:t>Шушпанов Д., Шушпанова Н. Підходи до формування ефективної системи управління персоналом закладів охорони здоров’я. 2024.</w:t>
      </w:r>
    </w:p>
    <w:p>
      <w:pPr>
        <w:pStyle w:val="BodyText"/>
        <w:numPr>
          <w:ilvl w:val="0"/>
          <w:numId w:val="3"/>
        </w:numPr>
        <w:tabs>
          <w:tab w:val="clear" w:pos="708"/>
          <w:tab w:val="left" w:pos="1134" w:leader="none"/>
        </w:tabs>
        <w:suppressAutoHyphens w:val="true"/>
        <w:snapToGrid w:val="false"/>
        <w:spacing w:before="0" w:after="0"/>
        <w:ind w:firstLine="709" w:start="0"/>
        <w:contextualSpacing/>
        <w:rPr>
          <w:rFonts w:ascii="Times New Roman" w:hAnsi="Times New Roman"/>
          <w:sz w:val="28"/>
          <w:szCs w:val="28"/>
        </w:rPr>
      </w:pPr>
      <w:r>
        <w:rPr>
          <w:rFonts w:eastAsia="Calibri" w:ascii="Times New Roman" w:hAnsi="Times New Roman"/>
          <w:b w:val="false"/>
          <w:i w:val="false"/>
          <w:caps w:val="false"/>
          <w:smallCaps w:val="false"/>
          <w:color w:val="222222"/>
          <w:spacing w:val="0"/>
          <w:kern w:val="2"/>
          <w:sz w:val="28"/>
          <w:szCs w:val="28"/>
          <w:shd w:fill="FFFFFF" w:val="clear"/>
          <w:lang w:val="uk-UA"/>
        </w:rPr>
        <w:t>Ясіновська М. О., Єпіфанова І. Ю., Панкова В. Д., Климчук А. О., Михайлов А. М., Короленко В. В. та ін. Особливості управління персоналом у закладах охорони здоров’я. Медичний менеджмент. Київ: ДТЕУ, 2023. С. 56.</w:t>
      </w:r>
    </w:p>
    <w:p>
      <w:pPr>
        <w:pStyle w:val="Normal"/>
        <w:ind w:hanging="0"/>
        <w:jc w:val="start"/>
        <w:rPr>
          <w:rFonts w:eastAsia="Calibri"/>
          <w:b/>
          <w:bCs/>
          <w:lang w:val="uk-UA"/>
        </w:rPr>
      </w:pPr>
      <w:r>
        <w:rPr>
          <w:rFonts w:eastAsia="Calibri"/>
          <w:b/>
          <w:bCs/>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p>
      <w:pPr>
        <w:pStyle w:val="Normal"/>
        <w:rPr>
          <w:lang w:val="uk-UA"/>
        </w:rPr>
      </w:pPr>
      <w:r>
        <w:rPr>
          <w:lang w:val="uk-UA"/>
        </w:rPr>
      </w:r>
    </w:p>
    <w:sectPr>
      <w:headerReference w:type="default" r:id="rId19"/>
      <w:headerReference w:type="first" r:id="rId20"/>
      <w:type w:val="nextPage"/>
      <w:pgSz w:w="11906" w:h="16838"/>
      <w:pgMar w:left="1701" w:right="850" w:gutter="0" w:header="708" w:top="1134" w:footer="0" w:bottom="1134"/>
      <w:pgNumType w:start="2" w:fmt="decimal"/>
      <w:formProt w:val="false"/>
      <w:titlePg/>
      <w:textDirection w:val="lrTb"/>
      <w:docGrid w:type="default" w:linePitch="381"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cc" w:characterSet="windows-1251"/>
    <w:family w:val="roman"/>
    <w:pitch w:val="variable"/>
  </w:font>
  <w:font w:name="Times New Roman">
    <w:charset w:val="cc" w:characterSet="windows-1251"/>
    <w:family w:val="roman"/>
    <w:pitch w:val="variable"/>
  </w:font>
  <w:font w:name="Cambria">
    <w:charset w:val="cc" w:characterSet="windows-1251"/>
    <w:family w:val="roman"/>
    <w:pitch w:val="variable"/>
  </w:font>
  <w:font w:name="Liberation Sans">
    <w:altName w:val="Arial"/>
    <w:charset w:val="cc" w:characterSet="windows-1251"/>
    <w:family w:val="swiss"/>
    <w:pitch w:val="variable"/>
  </w:font>
  <w:font w:name="Arial Unicode MS">
    <w:charset w:val="cc" w:characterSet="windows-1251"/>
    <w:family w:val="roman"/>
    <w:pitch w:val="variable"/>
  </w:font>
  <w:font w:name="Times New Roman Полужирный">
    <w:charset w:val="cc" w:characterSet="windows-1251"/>
    <w:family w:val="roman"/>
    <w:pitch w:val="variable"/>
  </w:font>
  <w:font w:name="Calibri">
    <w:charset w:val="cc" w:characterSet="windows-1251"/>
    <w:family w:val="roman"/>
    <w:pitch w:val="variable"/>
  </w:font>
  <w:font w:name="Times New Roman">
    <w:charset w:val="01"/>
    <w:family w:val="roman"/>
    <w:pitch w:val="variable"/>
  </w:font>
  <w:font w:name="Arial">
    <w:altName w:val="Helvetica"/>
    <w:charset w:val="cc" w:characterSet="windows-1251"/>
    <w:family w:val="auto"/>
    <w:pitch w:val="default"/>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end"/>
      <w:rPr/>
    </w:pPr>
    <w:r>
      <w:rPr/>
      <w:fldChar w:fldCharType="begin"/>
    </w:r>
    <w:r>
      <w:rPr/>
      <w:instrText xml:space="preserve"> PAGE </w:instrText>
    </w:r>
    <w:r>
      <w:rPr/>
      <w:fldChar w:fldCharType="separate"/>
    </w:r>
    <w:r>
      <w:rPr/>
      <w:t>0</w:t>
    </w:r>
    <w:r>
      <w:rPr/>
      <w:fldChar w:fldCharType="end"/>
    </w:r>
  </w:p>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end"/>
      <w:rPr/>
    </w:pPr>
    <w:r>
      <w:rPr/>
      <w:fldChar w:fldCharType="begin"/>
    </w:r>
    <w:r>
      <w:rPr/>
      <w:instrText xml:space="preserve"> PAGE </w:instrText>
    </w:r>
    <w:r>
      <w:rPr/>
      <w:fldChar w:fldCharType="separate"/>
    </w:r>
    <w:r>
      <w:rPr/>
      <w:t>90</w:t>
    </w:r>
    <w:r>
      <w:rPr/>
      <w:fldChar w:fldCharType="end"/>
    </w:r>
  </w:p>
  <w:p>
    <w:pPr>
      <w:pStyle w:val="Header"/>
      <w:rPr/>
    </w:pPr>
    <w:r>
      <w:rPr/>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none"/>
      <w:suff w:val="nothing"/>
      <w:lvlText w:val="%1"/>
      <w:lvlJc w:val="start"/>
      <w:pPr>
        <w:tabs>
          <w:tab w:val="num" w:pos="0"/>
        </w:tabs>
        <w:ind w:start="0" w:hanging="0"/>
      </w:pPr>
    </w:lvl>
    <w:lvl w:ilvl="1">
      <w:start w:val="1"/>
      <w:numFmt w:val="none"/>
      <w:suff w:val="nothing"/>
      <w:lvlText w:val="%2"/>
      <w:lvlJc w:val="start"/>
      <w:pPr>
        <w:tabs>
          <w:tab w:val="num" w:pos="0"/>
        </w:tabs>
        <w:ind w:start="0" w:hanging="0"/>
      </w:pPr>
    </w:lvl>
    <w:lvl w:ilvl="2">
      <w:start w:val="1"/>
      <w:numFmt w:val="none"/>
      <w:suff w:val="nothing"/>
      <w:lvlText w:val="%3"/>
      <w:lvlJc w:val="start"/>
      <w:pPr>
        <w:tabs>
          <w:tab w:val="num" w:pos="0"/>
        </w:tabs>
        <w:ind w:start="0" w:hanging="0"/>
      </w:pPr>
    </w:lvl>
    <w:lvl w:ilvl="3">
      <w:start w:val="1"/>
      <w:numFmt w:val="none"/>
      <w:suff w:val="nothing"/>
      <w:lvlText w:val="%4"/>
      <w:lvlJc w:val="start"/>
      <w:pPr>
        <w:tabs>
          <w:tab w:val="num" w:pos="0"/>
        </w:tabs>
        <w:ind w:start="0" w:hanging="0"/>
      </w:pPr>
    </w:lvl>
    <w:lvl w:ilvl="4">
      <w:start w:val="1"/>
      <w:numFmt w:val="none"/>
      <w:suff w:val="nothing"/>
      <w:lvlText w:val="%5"/>
      <w:lvlJc w:val="start"/>
      <w:pPr>
        <w:tabs>
          <w:tab w:val="num" w:pos="0"/>
        </w:tabs>
        <w:ind w:start="0" w:hanging="0"/>
      </w:pPr>
    </w:lvl>
    <w:lvl w:ilvl="5">
      <w:start w:val="1"/>
      <w:numFmt w:val="none"/>
      <w:suff w:val="nothing"/>
      <w:lvlText w:val="%6"/>
      <w:lvlJc w:val="start"/>
      <w:pPr>
        <w:tabs>
          <w:tab w:val="num" w:pos="0"/>
        </w:tabs>
        <w:ind w:start="0" w:hanging="0"/>
      </w:pPr>
    </w:lvl>
    <w:lvl w:ilvl="6">
      <w:start w:val="1"/>
      <w:numFmt w:val="none"/>
      <w:suff w:val="nothing"/>
      <w:lvlText w:val="%7"/>
      <w:lvlJc w:val="start"/>
      <w:pPr>
        <w:tabs>
          <w:tab w:val="num" w:pos="0"/>
        </w:tabs>
        <w:ind w:start="0" w:hanging="0"/>
      </w:pPr>
    </w:lvl>
    <w:lvl w:ilvl="7">
      <w:start w:val="1"/>
      <w:numFmt w:val="none"/>
      <w:suff w:val="nothing"/>
      <w:lvlText w:val="%8"/>
      <w:lvlJc w:val="start"/>
      <w:pPr>
        <w:tabs>
          <w:tab w:val="num" w:pos="0"/>
        </w:tabs>
        <w:ind w:start="0" w:hanging="0"/>
      </w:pPr>
    </w:lvl>
    <w:lvl w:ilvl="8">
      <w:start w:val="1"/>
      <w:numFmt w:val="none"/>
      <w:suff w:val="nothing"/>
      <w:lvlText w:val="%9"/>
      <w:lvlJc w:val="start"/>
      <w:pPr>
        <w:tabs>
          <w:tab w:val="num" w:pos="0"/>
        </w:tabs>
        <w:ind w:start="0" w:hanging="0"/>
      </w:pPr>
    </w:lvl>
  </w:abstractNum>
  <w:abstractNum w:abstractNumId="2">
    <w:lvl w:ilvl="0">
      <w:start w:val="1"/>
      <w:numFmt w:val="decimal"/>
      <w:lvlText w:val="%1."/>
      <w:lvlJc w:val="start"/>
      <w:pPr>
        <w:tabs>
          <w:tab w:val="num" w:pos="720"/>
        </w:tabs>
        <w:ind w:start="720" w:hanging="360"/>
      </w:pPr>
      <w:rPr/>
    </w:lvl>
    <w:lvl w:ilvl="1">
      <w:start w:val="1"/>
      <w:numFmt w:val="decimal"/>
      <w:lvlText w:val="%2."/>
      <w:lvlJc w:val="start"/>
      <w:pPr>
        <w:tabs>
          <w:tab w:val="num" w:pos="1440"/>
        </w:tabs>
        <w:ind w:start="1440" w:hanging="360"/>
      </w:pPr>
      <w:rPr/>
    </w:lvl>
    <w:lvl w:ilvl="2">
      <w:start w:val="1"/>
      <w:numFmt w:val="decimal"/>
      <w:lvlText w:val="%3."/>
      <w:lvlJc w:val="start"/>
      <w:pPr>
        <w:tabs>
          <w:tab w:val="num" w:pos="2160"/>
        </w:tabs>
        <w:ind w:start="2160" w:hanging="360"/>
      </w:pPr>
      <w:rPr/>
    </w:lvl>
    <w:lvl w:ilvl="3">
      <w:start w:val="1"/>
      <w:numFmt w:val="decimal"/>
      <w:lvlText w:val="%4."/>
      <w:lvlJc w:val="start"/>
      <w:pPr>
        <w:tabs>
          <w:tab w:val="num" w:pos="2880"/>
        </w:tabs>
        <w:ind w:start="2880" w:hanging="360"/>
      </w:pPr>
      <w:rPr/>
    </w:lvl>
    <w:lvl w:ilvl="4">
      <w:start w:val="1"/>
      <w:numFmt w:val="decimal"/>
      <w:lvlText w:val="%5."/>
      <w:lvlJc w:val="start"/>
      <w:pPr>
        <w:tabs>
          <w:tab w:val="num" w:pos="3600"/>
        </w:tabs>
        <w:ind w:start="3600" w:hanging="360"/>
      </w:pPr>
      <w:rPr/>
    </w:lvl>
    <w:lvl w:ilvl="5">
      <w:start w:val="1"/>
      <w:numFmt w:val="decimal"/>
      <w:lvlText w:val="%6."/>
      <w:lvlJc w:val="start"/>
      <w:pPr>
        <w:tabs>
          <w:tab w:val="num" w:pos="4320"/>
        </w:tabs>
        <w:ind w:start="4320" w:hanging="360"/>
      </w:pPr>
      <w:rPr/>
    </w:lvl>
    <w:lvl w:ilvl="6">
      <w:start w:val="1"/>
      <w:numFmt w:val="decimal"/>
      <w:lvlText w:val="%7."/>
      <w:lvlJc w:val="start"/>
      <w:pPr>
        <w:tabs>
          <w:tab w:val="num" w:pos="5040"/>
        </w:tabs>
        <w:ind w:start="5040" w:hanging="360"/>
      </w:pPr>
      <w:rPr/>
    </w:lvl>
    <w:lvl w:ilvl="7">
      <w:start w:val="1"/>
      <w:numFmt w:val="decimal"/>
      <w:lvlText w:val="%8."/>
      <w:lvlJc w:val="start"/>
      <w:pPr>
        <w:tabs>
          <w:tab w:val="num" w:pos="5760"/>
        </w:tabs>
        <w:ind w:start="5760" w:hanging="360"/>
      </w:pPr>
      <w:rPr/>
    </w:lvl>
    <w:lvl w:ilvl="8">
      <w:start w:val="1"/>
      <w:numFmt w:val="decimal"/>
      <w:lvlText w:val="%9."/>
      <w:lvlJc w:val="start"/>
      <w:pPr>
        <w:tabs>
          <w:tab w:val="num" w:pos="6480"/>
        </w:tabs>
        <w:ind w:start="6480" w:hanging="360"/>
      </w:pPr>
      <w:rPr/>
    </w:lvl>
  </w:abstractNum>
  <w:abstractNum w:abstractNumId="3">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num w:numId="1">
    <w:abstractNumId w:val="1"/>
  </w:num>
  <w:num w:numId="2">
    <w:abstractNumId w:val="2"/>
  </w:num>
  <w:num w:numId="3">
    <w:abstractNumId w:val="3"/>
  </w:num>
  <w:num w:numId="4">
    <w:abstractNumId w:val="4"/>
  </w:num>
  <w:num w:numId="5">
    <w:abstractNumId w:val="2"/>
    <w:lvlOverride w:ilvl="0">
      <w:startOverride w:val="1"/>
    </w:lvlOverride>
  </w:num>
  <w:num w:numId="6">
    <w:abstractNumId w:val="4"/>
    <w:lvlOverride w:ilvl="0">
      <w:startOverride w:val="1"/>
    </w:lvlOverride>
  </w:num>
</w:numbering>
</file>

<file path=word/settings.xml><?xml version="1.0" encoding="utf-8"?>
<w:settings xmlns:w="http://schemas.openxmlformats.org/wordprocessingml/2006/main">
  <w:zoom w:percent="65"/>
  <w:defaultTabStop w:val="708"/>
  <w:autoHyphenation w:val="true"/>
  <w:hyphenationZone w:val="0"/>
  <w:compat>
    <w:compatSetting w:name="compatibilityMode" w:uri="http://schemas.microsoft.com/office/word" w:val="15"/>
    <w:compatSetting w:name="useWord2013TrackBottomHyphenation" w:uri="http://schemas.microsoft.com/office/word" w:val="1"/>
    <w:compatSetting w:name="allowHyphenationAtTrackBottom" w:uri="http://schemas.microsoft.com/office/word" w:val="1"/>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Calibri" w:cs="Tahoma"/>
        <w:sz w:val="28"/>
        <w:szCs w:val="22"/>
        <w:lang w:val="ru-RU" w:eastAsia="en-US" w:bidi="ar-SA"/>
      </w:rPr>
    </w:rPrDefault>
    <w:pPrDefault>
      <w:pPr>
        <w:suppressAutoHyphens w:val="true"/>
      </w:pPr>
    </w:pPrDefault>
  </w:docDefaults>
  <w:style w:type="paragraph" w:styleId="Normal">
    <w:name w:val="Normal"/>
    <w:qFormat/>
    <w:pPr>
      <w:widowControl/>
      <w:kinsoku w:val="true"/>
      <w:overflowPunct w:val="true"/>
      <w:autoSpaceDE w:val="true"/>
      <w:bidi w:val="0"/>
      <w:spacing w:lineRule="auto" w:line="360" w:before="0" w:after="0"/>
      <w:ind w:firstLine="709"/>
      <w:jc w:val="both"/>
    </w:pPr>
    <w:rPr>
      <w:rFonts w:cs="Times New Roman" w:ascii="Times New Roman" w:hAnsi="Times New Roman" w:eastAsia="Calibri"/>
      <w:color w:val="auto"/>
      <w:kern w:val="0"/>
      <w:sz w:val="28"/>
      <w:szCs w:val="28"/>
      <w:lang w:val="ru-RU" w:eastAsia="en-US" w:bidi="ar-SA"/>
    </w:rPr>
  </w:style>
  <w:style w:type="paragraph" w:styleId="Heading1">
    <w:name w:val="heading 1"/>
    <w:basedOn w:val="Normal"/>
    <w:next w:val="Normal"/>
    <w:link w:val="1"/>
    <w:qFormat/>
    <w:pPr>
      <w:keepNext w:val="true"/>
      <w:keepLines/>
      <w:numPr>
        <w:ilvl w:val="0"/>
        <w:numId w:val="0"/>
      </w:numPr>
      <w:ind w:hanging="0"/>
      <w:jc w:val="center"/>
      <w:outlineLvl w:val="0"/>
    </w:pPr>
    <w:rPr>
      <w:rFonts w:eastAsia="Calibri" w:cs="Tahoma"/>
      <w:b/>
      <w:bCs/>
      <w:color w:themeColor="dark1" w:val="000000"/>
    </w:rPr>
  </w:style>
  <w:style w:type="paragraph" w:styleId="Heading2">
    <w:name w:val="heading 2"/>
    <w:basedOn w:val="Normal"/>
    <w:next w:val="Normal"/>
    <w:link w:val="2"/>
    <w:qFormat/>
    <w:pPr>
      <w:keepNext w:val="true"/>
      <w:keepLines/>
      <w:numPr>
        <w:ilvl w:val="0"/>
        <w:numId w:val="0"/>
      </w:numPr>
      <w:spacing w:before="40" w:after="0"/>
      <w:ind w:firstLine="709"/>
      <w:outlineLvl w:val="1"/>
    </w:pPr>
    <w:rPr>
      <w:rFonts w:ascii="Cambria" w:hAnsi="Cambria" w:eastAsia="Calibri" w:cs="Tahoma"/>
      <w:color w:themeColor="accent1" w:themeShade="bf" w:val="365F91"/>
      <w:sz w:val="26"/>
      <w:szCs w:val="26"/>
    </w:rPr>
  </w:style>
  <w:style w:type="paragraph" w:styleId="Heading3">
    <w:name w:val="heading 3"/>
    <w:basedOn w:val="Normal"/>
    <w:next w:val="Normal"/>
    <w:link w:val="3"/>
    <w:qFormat/>
    <w:pPr>
      <w:keepNext w:val="true"/>
      <w:keepLines/>
      <w:numPr>
        <w:ilvl w:val="0"/>
        <w:numId w:val="0"/>
      </w:numPr>
      <w:spacing w:before="40" w:after="0"/>
      <w:ind w:firstLine="709"/>
      <w:outlineLvl w:val="2"/>
    </w:pPr>
    <w:rPr>
      <w:rFonts w:ascii="Cambria" w:hAnsi="Cambria" w:eastAsia="Calibri" w:cs="Tahoma"/>
      <w:color w:themeColor="accent1" w:themeShade="7f" w:val="243F60"/>
      <w:sz w:val="24"/>
      <w:szCs w:val="24"/>
    </w:rPr>
  </w:style>
  <w:style w:type="paragraph" w:styleId="Heading4">
    <w:name w:val="heading 4"/>
    <w:basedOn w:val="Normal"/>
    <w:next w:val="Normal"/>
    <w:link w:val="4"/>
    <w:qFormat/>
    <w:pPr>
      <w:keepNext w:val="true"/>
      <w:keepLines/>
      <w:numPr>
        <w:ilvl w:val="0"/>
        <w:numId w:val="0"/>
      </w:numPr>
      <w:spacing w:before="40" w:after="0"/>
      <w:ind w:firstLine="709"/>
      <w:outlineLvl w:val="3"/>
    </w:pPr>
    <w:rPr>
      <w:rFonts w:ascii="Cambria" w:hAnsi="Cambria" w:eastAsia="Calibri" w:cs="Tahoma"/>
      <w:i/>
      <w:iCs/>
      <w:color w:themeColor="accent1" w:themeShade="bf" w:val="365F91"/>
    </w:rPr>
  </w:style>
  <w:style w:type="paragraph" w:styleId="Heading6">
    <w:name w:val="heading 6"/>
    <w:basedOn w:val="Normal"/>
    <w:next w:val="Normal"/>
    <w:link w:val="6"/>
    <w:qFormat/>
    <w:pPr>
      <w:keepNext w:val="true"/>
      <w:keepLines/>
      <w:numPr>
        <w:ilvl w:val="0"/>
        <w:numId w:val="0"/>
      </w:numPr>
      <w:spacing w:before="40" w:after="0"/>
      <w:ind w:firstLine="709"/>
      <w:outlineLvl w:val="5"/>
    </w:pPr>
    <w:rPr>
      <w:rFonts w:ascii="Cambria" w:hAnsi="Cambria" w:eastAsia="Calibri" w:cs="Tahoma"/>
      <w:color w:themeColor="accent1" w:themeShade="7f" w:val="243F60"/>
    </w:rPr>
  </w:style>
  <w:style w:type="character" w:styleId="DefaultParagraphFont">
    <w:name w:val="Default Paragraph Font"/>
    <w:qFormat/>
    <w:rPr/>
  </w:style>
  <w:style w:type="character" w:styleId="Style9">
    <w:name w:val="Верхний колонтитул Знак"/>
    <w:basedOn w:val="DefaultParagraphFont"/>
    <w:qFormat/>
    <w:rPr/>
  </w:style>
  <w:style w:type="character" w:styleId="Style10">
    <w:name w:val="Нижний колонтитул Знак"/>
    <w:basedOn w:val="DefaultParagraphFont"/>
    <w:qFormat/>
    <w:rPr/>
  </w:style>
  <w:style w:type="character" w:styleId="1">
    <w:name w:val="Заголовок 1 Знак"/>
    <w:basedOn w:val="DefaultParagraphFont"/>
    <w:qFormat/>
    <w:rPr>
      <w:rFonts w:eastAsia="Calibri" w:cs="Tahoma"/>
      <w:b/>
      <w:bCs/>
      <w:color w:themeColor="dark1" w:val="000000"/>
      <w:szCs w:val="28"/>
    </w:rPr>
  </w:style>
  <w:style w:type="character" w:styleId="Hyperlink">
    <w:name w:val="Hyperlink"/>
    <w:basedOn w:val="DefaultParagraphFont"/>
    <w:rPr>
      <w:color w:themeColor="hyperlink" w:val="0000FF"/>
      <w:u w:val="single"/>
    </w:rPr>
  </w:style>
  <w:style w:type="character" w:styleId="2">
    <w:name w:val="Заголовок 2 Знак"/>
    <w:basedOn w:val="DefaultParagraphFont"/>
    <w:qFormat/>
    <w:rPr>
      <w:rFonts w:ascii="Cambria" w:hAnsi="Cambria" w:eastAsia="Calibri" w:cs="Tahoma"/>
      <w:color w:themeColor="accent1" w:themeShade="bf" w:val="365F91"/>
      <w:sz w:val="26"/>
      <w:szCs w:val="26"/>
    </w:rPr>
  </w:style>
  <w:style w:type="character" w:styleId="4">
    <w:name w:val="Заголовок 4 Знак"/>
    <w:basedOn w:val="DefaultParagraphFont"/>
    <w:qFormat/>
    <w:rPr>
      <w:rFonts w:ascii="Cambria" w:hAnsi="Cambria" w:eastAsia="Calibri" w:cs="Tahoma"/>
      <w:i/>
      <w:iCs/>
      <w:color w:themeColor="accent1" w:themeShade="bf" w:val="365F91"/>
      <w:szCs w:val="28"/>
    </w:rPr>
  </w:style>
  <w:style w:type="character" w:styleId="3">
    <w:name w:val="Заголовок 3 Знак"/>
    <w:basedOn w:val="DefaultParagraphFont"/>
    <w:qFormat/>
    <w:rPr>
      <w:rFonts w:ascii="Cambria" w:hAnsi="Cambria" w:eastAsia="Calibri" w:cs="Tahoma"/>
      <w:color w:themeColor="accent1" w:themeShade="7f" w:val="243F60"/>
      <w:sz w:val="24"/>
      <w:szCs w:val="24"/>
    </w:rPr>
  </w:style>
  <w:style w:type="character" w:styleId="11">
    <w:name w:val="Незакрита згадка1"/>
    <w:basedOn w:val="DefaultParagraphFont"/>
    <w:qFormat/>
    <w:rPr>
      <w:color w:val="605E5C"/>
      <w:shd w:fill="E1DFDD" w:val="clear"/>
    </w:rPr>
  </w:style>
  <w:style w:type="character" w:styleId="6">
    <w:name w:val="Заголовок 6 Знак"/>
    <w:basedOn w:val="DefaultParagraphFont"/>
    <w:qFormat/>
    <w:rPr>
      <w:rFonts w:ascii="Cambria" w:hAnsi="Cambria" w:eastAsia="Calibri" w:cs="Tahoma"/>
      <w:color w:themeColor="accent1" w:themeShade="7f" w:val="243F60"/>
      <w:szCs w:val="28"/>
    </w:rPr>
  </w:style>
  <w:style w:type="character" w:styleId="Style11">
    <w:name w:val="Символ нумерації"/>
    <w:qFormat/>
    <w:rPr/>
  </w:style>
  <w:style w:type="paragraph" w:styleId="Style12">
    <w:name w:val="Заголовок"/>
    <w:basedOn w:val="Normal"/>
    <w:next w:val="BodyText"/>
    <w:qFormat/>
    <w:pPr>
      <w:keepNext w:val="true"/>
      <w:spacing w:before="240" w:after="120"/>
    </w:pPr>
    <w:rPr>
      <w:rFonts w:ascii="Liberation Sans" w:hAnsi="Liberation Sans" w:eastAsia="Microsoft YaHei" w:cs="Arial Unicode MS"/>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Unicode MS"/>
    </w:rPr>
  </w:style>
  <w:style w:type="paragraph" w:styleId="Caption">
    <w:name w:val="caption"/>
    <w:basedOn w:val="Normal"/>
    <w:qFormat/>
    <w:pPr>
      <w:suppressLineNumbers/>
      <w:spacing w:before="120" w:after="120"/>
    </w:pPr>
    <w:rPr>
      <w:rFonts w:cs="Arial Unicode MS"/>
      <w:i/>
      <w:iCs/>
      <w:sz w:val="24"/>
      <w:szCs w:val="24"/>
    </w:rPr>
  </w:style>
  <w:style w:type="paragraph" w:styleId="Style13">
    <w:name w:val="Покажчик"/>
    <w:basedOn w:val="Normal"/>
    <w:qFormat/>
    <w:pPr>
      <w:suppressLineNumbers/>
    </w:pPr>
    <w:rPr>
      <w:rFonts w:cs="Arial Unicode MS"/>
    </w:rPr>
  </w:style>
  <w:style w:type="paragraph" w:styleId="Style14">
    <w:name w:val="Верхній і нижній колонтитули"/>
    <w:basedOn w:val="Normal"/>
    <w:qFormat/>
    <w:pPr/>
    <w:rPr/>
  </w:style>
  <w:style w:type="paragraph" w:styleId="Header">
    <w:name w:val="header"/>
    <w:basedOn w:val="Normal"/>
    <w:link w:val="Style9"/>
    <w:pPr>
      <w:tabs>
        <w:tab w:val="clear" w:pos="708"/>
        <w:tab w:val="center" w:pos="4677" w:leader="none"/>
        <w:tab w:val="right" w:pos="9355" w:leader="none"/>
      </w:tabs>
      <w:spacing w:lineRule="auto" w:line="240"/>
    </w:pPr>
    <w:rPr>
      <w:rFonts w:cs="Tahoma"/>
      <w:szCs w:val="22"/>
    </w:rPr>
  </w:style>
  <w:style w:type="paragraph" w:styleId="Footer">
    <w:name w:val="footer"/>
    <w:basedOn w:val="Normal"/>
    <w:link w:val="Style10"/>
    <w:pPr>
      <w:tabs>
        <w:tab w:val="clear" w:pos="708"/>
        <w:tab w:val="center" w:pos="4677" w:leader="none"/>
        <w:tab w:val="right" w:pos="9355" w:leader="none"/>
      </w:tabs>
      <w:spacing w:lineRule="auto" w:line="240"/>
    </w:pPr>
    <w:rPr>
      <w:rFonts w:cs="Tahoma"/>
      <w:szCs w:val="22"/>
    </w:rPr>
  </w:style>
  <w:style w:type="paragraph" w:styleId="ListParagraph">
    <w:name w:val="List Paragraph"/>
    <w:basedOn w:val="Normal"/>
    <w:qFormat/>
    <w:pPr>
      <w:spacing w:before="0" w:after="0"/>
      <w:ind w:start="720"/>
      <w:contextualSpacing/>
    </w:pPr>
    <w:rPr/>
  </w:style>
  <w:style w:type="paragraph" w:styleId="IndexHeading">
    <w:name w:val="index heading"/>
    <w:basedOn w:val="Style12"/>
    <w:pPr/>
    <w:rPr/>
  </w:style>
  <w:style w:type="paragraph" w:styleId="TOCHeading">
    <w:name w:val="TOC Heading"/>
    <w:basedOn w:val="Heading1"/>
    <w:next w:val="Normal"/>
    <w:qFormat/>
    <w:pPr>
      <w:spacing w:lineRule="auto" w:line="276"/>
      <w:jc w:val="start"/>
      <w:outlineLvl w:val="9"/>
    </w:pPr>
    <w:rPr/>
  </w:style>
  <w:style w:type="paragraph" w:styleId="TOC1">
    <w:name w:val="toc 1"/>
    <w:basedOn w:val="Normal"/>
    <w:next w:val="Normal"/>
    <w:autoRedefine/>
    <w:pPr>
      <w:spacing w:before="0" w:after="100"/>
    </w:pPr>
    <w:rPr/>
  </w:style>
  <w:style w:type="paragraph" w:styleId="Style15">
    <w:name w:val="Вміст рамки"/>
    <w:basedOn w:val="Normal"/>
    <w:qFormat/>
    <w:pPr/>
    <w:rPr/>
  </w:style>
  <w:style w:type="paragraph" w:styleId="Style16">
    <w:name w:val="Вміст таблиці"/>
    <w:basedOn w:val="Normal"/>
    <w:qFormat/>
    <w:pPr>
      <w:widowControl w:val="false"/>
      <w:suppressLineNumbers/>
    </w:pPr>
    <w:rPr/>
  </w:style>
  <w:style w:type="numbering" w:styleId="Style17">
    <w:name w:val="Без маркерів"/>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image" Target="media/image1.png"/><Relationship Id="rId5" Type="http://schemas.openxmlformats.org/officeDocument/2006/relationships/image" Target="media/image2.png"/><Relationship Id="rId6" Type="http://schemas.openxmlformats.org/officeDocument/2006/relationships/image" Target="media/image3.png"/><Relationship Id="rId7" Type="http://schemas.openxmlformats.org/officeDocument/2006/relationships/image" Target="media/image4.png"/><Relationship Id="rId8" Type="http://schemas.openxmlformats.org/officeDocument/2006/relationships/image" Target="media/image5.png"/><Relationship Id="rId9" Type="http://schemas.openxmlformats.org/officeDocument/2006/relationships/image" Target="media/image6.png"/><Relationship Id="rId10" Type="http://schemas.openxmlformats.org/officeDocument/2006/relationships/image" Target="media/image7.png"/><Relationship Id="rId11" Type="http://schemas.openxmlformats.org/officeDocument/2006/relationships/image" Target="media/image8.emf"/><Relationship Id="rId12" Type="http://schemas.openxmlformats.org/officeDocument/2006/relationships/image" Target="media/image9.wmf"/><Relationship Id="rId13" Type="http://schemas.openxmlformats.org/officeDocument/2006/relationships/image" Target="media/image10.emf"/><Relationship Id="rId14" Type="http://schemas.openxmlformats.org/officeDocument/2006/relationships/image" Target="media/image11.wmf"/><Relationship Id="rId15" Type="http://schemas.openxmlformats.org/officeDocument/2006/relationships/image" Target="media/image12.png"/><Relationship Id="rId16" Type="http://schemas.openxmlformats.org/officeDocument/2006/relationships/hyperlink" Target="http://od.ukrstat.gov.ua/" TargetMode="External"/><Relationship Id="rId17" Type="http://schemas.openxmlformats.org/officeDocument/2006/relationships/hyperlink" Target="http://www.economy.nayka.com.ua/?op=1&amp;z=7626" TargetMode="External"/><Relationship Id="rId18" Type="http://schemas.openxmlformats.org/officeDocument/2006/relationships/hyperlink" Target="https://eco-science.net/" TargetMode="External"/><Relationship Id="rId19" Type="http://schemas.openxmlformats.org/officeDocument/2006/relationships/header" Target="header3.xml"/><Relationship Id="rId20" Type="http://schemas.openxmlformats.org/officeDocument/2006/relationships/header" Target="header4.xml"/><Relationship Id="rId21" Type="http://schemas.openxmlformats.org/officeDocument/2006/relationships/numbering" Target="numbering.xml"/><Relationship Id="rId22" Type="http://schemas.openxmlformats.org/officeDocument/2006/relationships/fontTable" Target="fontTable.xml"/><Relationship Id="rId23" Type="http://schemas.openxmlformats.org/officeDocument/2006/relationships/settings" Target="settings.xml"/><Relationship Id="rId2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шаблон%20реферата%20(1).dotx</Template>
  <TotalTime>35</TotalTime>
  <Application>LibreOffice/25.8.3.2$Windows_x86 LibreOffice_project/8ca8d55c161d602844f5428fa4b58097424e324e</Application>
  <AppVersion>15.0000</AppVersion>
  <Pages>91</Pages>
  <Words>18135</Words>
  <Characters>134738</Characters>
  <CharactersWithSpaces>152063</CharactersWithSpaces>
  <Paragraphs>975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2025-12-08T06:36:00Z</dcterms:created>
  <dc:creator>Іруся</dc:creator>
  <dc:description/>
  <dc:language>uk-UA</dc:language>
  <cp:lastModifiedBy/>
  <dcterms:modified xsi:type="dcterms:W3CDTF">2025-12-08T13:54:28Z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