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charts/chart10.xml" ContentType="application/vnd.openxmlformats-officedocument.drawingml.chart+xml"/>
  <Override PartName="/word/theme/themeOverride10.xml" ContentType="application/vnd.openxmlformats-officedocument.themeOverride+xml"/>
  <Override PartName="/word/charts/chart11.xml" ContentType="application/vnd.openxmlformats-officedocument.drawingml.chart+xml"/>
  <Override PartName="/word/theme/themeOverride11.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BE084BE" w14:textId="77777777" w:rsidR="00052C0B" w:rsidRDefault="006E6CE8">
      <w:pPr>
        <w:jc w:val="center"/>
        <w:rPr>
          <w:rFonts w:ascii="Times New Roman" w:hAnsi="Times New Roman" w:cs="Times New Roman"/>
          <w:b/>
          <w:caps/>
          <w:color w:val="auto"/>
          <w:sz w:val="28"/>
          <w:szCs w:val="28"/>
        </w:rPr>
      </w:pPr>
      <w:r>
        <w:rPr>
          <w:rFonts w:ascii="Times New Roman" w:hAnsi="Times New Roman" w:cs="Times New Roman"/>
          <w:b/>
          <w:caps/>
          <w:color w:val="auto"/>
          <w:sz w:val="28"/>
          <w:szCs w:val="28"/>
        </w:rPr>
        <w:t xml:space="preserve">Міністерство ОХОРОНИ ЗДОРОВ’Я України  </w:t>
      </w:r>
    </w:p>
    <w:p w14:paraId="3BE084BF" w14:textId="77777777" w:rsidR="00052C0B" w:rsidRDefault="00052C0B">
      <w:pPr>
        <w:jc w:val="center"/>
        <w:rPr>
          <w:rFonts w:ascii="Times New Roman" w:hAnsi="Times New Roman" w:cs="Times New Roman"/>
          <w:b/>
          <w:color w:val="auto"/>
          <w:sz w:val="28"/>
          <w:szCs w:val="28"/>
        </w:rPr>
      </w:pPr>
    </w:p>
    <w:p w14:paraId="3BE084C0" w14:textId="77777777" w:rsidR="00052C0B" w:rsidRDefault="006E6CE8">
      <w:pPr>
        <w:jc w:val="center"/>
        <w:rPr>
          <w:rFonts w:ascii="Times New Roman" w:hAnsi="Times New Roman" w:cs="Times New Roman"/>
          <w:b/>
          <w:caps/>
          <w:color w:val="auto"/>
          <w:sz w:val="28"/>
          <w:szCs w:val="28"/>
        </w:rPr>
      </w:pPr>
      <w:r>
        <w:rPr>
          <w:rFonts w:ascii="Times New Roman" w:hAnsi="Times New Roman" w:cs="Times New Roman"/>
          <w:b/>
          <w:color w:val="auto"/>
          <w:sz w:val="28"/>
          <w:szCs w:val="28"/>
        </w:rPr>
        <w:t xml:space="preserve">ОДЕСЬКИЙ НАЦІОНАЛЬНИЙ МЕДИЧНИЙ </w:t>
      </w:r>
      <w:r>
        <w:rPr>
          <w:rFonts w:ascii="Times New Roman" w:hAnsi="Times New Roman" w:cs="Times New Roman"/>
          <w:b/>
          <w:caps/>
          <w:color w:val="auto"/>
          <w:sz w:val="28"/>
          <w:szCs w:val="28"/>
        </w:rPr>
        <w:t>УНІВЕРСИТЕТ</w:t>
      </w:r>
    </w:p>
    <w:p w14:paraId="3BE084C1" w14:textId="77777777" w:rsidR="00052C0B" w:rsidRDefault="00052C0B">
      <w:pPr>
        <w:spacing w:line="360" w:lineRule="auto"/>
        <w:jc w:val="center"/>
        <w:rPr>
          <w:rFonts w:ascii="Times New Roman" w:hAnsi="Times New Roman" w:cs="Times New Roman"/>
          <w:b/>
          <w:color w:val="auto"/>
          <w:sz w:val="28"/>
          <w:szCs w:val="28"/>
        </w:rPr>
      </w:pPr>
    </w:p>
    <w:p w14:paraId="3BE084C2" w14:textId="77777777" w:rsidR="00052C0B" w:rsidRDefault="006E6CE8">
      <w:pPr>
        <w:spacing w:line="360" w:lineRule="auto"/>
        <w:jc w:val="center"/>
        <w:rPr>
          <w:rFonts w:ascii="Times New Roman" w:hAnsi="Times New Roman" w:cs="Times New Roman"/>
          <w:b/>
          <w:color w:val="auto"/>
          <w:sz w:val="28"/>
          <w:szCs w:val="28"/>
        </w:rPr>
      </w:pPr>
      <w:r>
        <w:rPr>
          <w:rFonts w:ascii="Times New Roman" w:hAnsi="Times New Roman" w:cs="Times New Roman"/>
          <w:b/>
          <w:color w:val="auto"/>
          <w:sz w:val="28"/>
          <w:szCs w:val="28"/>
        </w:rPr>
        <w:t>Медико-фармацевтичний факультет</w:t>
      </w:r>
    </w:p>
    <w:p w14:paraId="3BE084C3" w14:textId="77777777" w:rsidR="00052C0B" w:rsidRDefault="006E6CE8">
      <w:pPr>
        <w:spacing w:line="360" w:lineRule="auto"/>
        <w:rPr>
          <w:rFonts w:ascii="Times New Roman" w:hAnsi="Times New Roman" w:cs="Times New Roman"/>
          <w:color w:val="auto"/>
          <w:sz w:val="28"/>
          <w:szCs w:val="28"/>
        </w:rPr>
      </w:pPr>
      <w:r>
        <w:rPr>
          <w:rFonts w:ascii="Times New Roman" w:hAnsi="Times New Roman" w:cs="Times New Roman"/>
          <w:color w:val="auto"/>
          <w:sz w:val="28"/>
          <w:szCs w:val="28"/>
        </w:rPr>
        <w:t xml:space="preserve"> </w:t>
      </w:r>
    </w:p>
    <w:p w14:paraId="3BE084C4" w14:textId="77777777" w:rsidR="00052C0B" w:rsidRDefault="006E6CE8">
      <w:pPr>
        <w:spacing w:line="276" w:lineRule="auto"/>
        <w:jc w:val="center"/>
        <w:rPr>
          <w:rFonts w:ascii="Times New Roman" w:hAnsi="Times New Roman" w:cs="Times New Roman"/>
          <w:color w:val="auto"/>
          <w:sz w:val="32"/>
          <w:szCs w:val="32"/>
        </w:rPr>
      </w:pPr>
      <w:r>
        <w:rPr>
          <w:rFonts w:ascii="Times New Roman" w:hAnsi="Times New Roman" w:cs="Times New Roman"/>
          <w:color w:val="auto"/>
          <w:sz w:val="32"/>
          <w:szCs w:val="32"/>
        </w:rPr>
        <w:t>МИХАЙЛОВА АНЕТА МИХАЙЛОВА</w:t>
      </w:r>
    </w:p>
    <w:p w14:paraId="3BE084C5" w14:textId="77777777" w:rsidR="00052C0B" w:rsidRDefault="00052C0B">
      <w:pPr>
        <w:spacing w:line="276" w:lineRule="auto"/>
        <w:jc w:val="center"/>
        <w:rPr>
          <w:rFonts w:ascii="Times New Roman" w:hAnsi="Times New Roman" w:cs="Times New Roman"/>
          <w:color w:val="auto"/>
          <w:sz w:val="32"/>
          <w:szCs w:val="32"/>
        </w:rPr>
      </w:pPr>
    </w:p>
    <w:p w14:paraId="3BE084C6" w14:textId="77777777" w:rsidR="00052C0B" w:rsidRDefault="006E6CE8">
      <w:pPr>
        <w:jc w:val="center"/>
        <w:rPr>
          <w:rFonts w:ascii="Times New Roman" w:hAnsi="Times New Roman" w:cs="Times New Roman"/>
          <w:b/>
          <w:color w:val="auto"/>
          <w:sz w:val="28"/>
          <w:szCs w:val="28"/>
        </w:rPr>
      </w:pPr>
      <w:r>
        <w:rPr>
          <w:rFonts w:ascii="Times New Roman" w:hAnsi="Times New Roman" w:cs="Times New Roman"/>
          <w:b/>
          <w:color w:val="auto"/>
          <w:sz w:val="28"/>
          <w:szCs w:val="28"/>
        </w:rPr>
        <w:t xml:space="preserve">ОРГАНІЗАЦІЙНО-ЕКОНОМІЧНІ МЕХАНІЗМИ УПРАВЛІННЯ ЗАКЛАДАМИ ОХОРОНИ ЗДОРОВ’Я НА ДЕРЖАВНОМУ РІВНІ </w:t>
      </w:r>
    </w:p>
    <w:p w14:paraId="3BE084C7" w14:textId="77777777" w:rsidR="00052C0B" w:rsidRDefault="006E6CE8">
      <w:pPr>
        <w:spacing w:line="276" w:lineRule="auto"/>
        <w:jc w:val="center"/>
        <w:rPr>
          <w:rFonts w:ascii="Times New Roman" w:hAnsi="Times New Roman" w:cs="Times New Roman"/>
          <w:b/>
          <w:color w:val="auto"/>
          <w:sz w:val="28"/>
          <w:szCs w:val="28"/>
        </w:rPr>
      </w:pPr>
      <w:r>
        <w:rPr>
          <w:rFonts w:ascii="Times New Roman" w:hAnsi="Times New Roman" w:cs="Times New Roman"/>
          <w:b/>
          <w:color w:val="auto"/>
          <w:sz w:val="28"/>
          <w:szCs w:val="28"/>
        </w:rPr>
        <w:t>Organizational and economic mechanisms of management of health care institutions at the state level</w:t>
      </w:r>
    </w:p>
    <w:p w14:paraId="3BE084C8" w14:textId="77777777" w:rsidR="00052C0B" w:rsidRDefault="00052C0B">
      <w:pPr>
        <w:spacing w:line="276" w:lineRule="auto"/>
        <w:jc w:val="center"/>
        <w:rPr>
          <w:rFonts w:ascii="Times New Roman" w:hAnsi="Times New Roman" w:cs="Times New Roman"/>
          <w:b/>
          <w:color w:val="auto"/>
          <w:sz w:val="32"/>
          <w:szCs w:val="32"/>
        </w:rPr>
      </w:pPr>
    </w:p>
    <w:p w14:paraId="3BE084C9" w14:textId="77777777" w:rsidR="00052C0B" w:rsidRDefault="006E6CE8">
      <w:pPr>
        <w:jc w:val="center"/>
        <w:rPr>
          <w:rFonts w:ascii="Times New Roman" w:hAnsi="Times New Roman" w:cs="Times New Roman"/>
          <w:color w:val="auto"/>
          <w:sz w:val="28"/>
          <w:szCs w:val="28"/>
        </w:rPr>
      </w:pPr>
      <w:r>
        <w:rPr>
          <w:rFonts w:ascii="Times New Roman" w:hAnsi="Times New Roman" w:cs="Times New Roman"/>
          <w:color w:val="auto"/>
          <w:sz w:val="28"/>
          <w:szCs w:val="28"/>
        </w:rPr>
        <w:t>Спеціальність 073 Менеджмент</w:t>
      </w:r>
    </w:p>
    <w:p w14:paraId="3BE084CA" w14:textId="77777777" w:rsidR="00052C0B" w:rsidRDefault="006E6CE8">
      <w:pPr>
        <w:jc w:val="center"/>
        <w:rPr>
          <w:rFonts w:ascii="Times New Roman" w:hAnsi="Times New Roman" w:cs="Times New Roman"/>
          <w:color w:val="auto"/>
          <w:sz w:val="28"/>
          <w:szCs w:val="28"/>
        </w:rPr>
      </w:pPr>
      <w:r>
        <w:rPr>
          <w:rFonts w:ascii="Times New Roman" w:hAnsi="Times New Roman" w:cs="Times New Roman"/>
          <w:color w:val="auto"/>
          <w:sz w:val="28"/>
          <w:szCs w:val="28"/>
        </w:rPr>
        <w:t>Галузь знань: 07 Управління та адміністрування</w:t>
      </w:r>
    </w:p>
    <w:p w14:paraId="3BE084CB" w14:textId="77777777" w:rsidR="00052C0B" w:rsidRDefault="00052C0B">
      <w:pPr>
        <w:jc w:val="center"/>
        <w:rPr>
          <w:rFonts w:ascii="Times New Roman" w:hAnsi="Times New Roman" w:cs="Times New Roman"/>
          <w:b/>
          <w:color w:val="auto"/>
          <w:sz w:val="28"/>
          <w:szCs w:val="28"/>
        </w:rPr>
      </w:pPr>
    </w:p>
    <w:p w14:paraId="3BE084CC" w14:textId="77777777" w:rsidR="00052C0B" w:rsidRDefault="006E6CE8">
      <w:pPr>
        <w:jc w:val="center"/>
        <w:rPr>
          <w:rFonts w:ascii="Times New Roman" w:hAnsi="Times New Roman" w:cs="Times New Roman"/>
          <w:b/>
          <w:color w:val="auto"/>
          <w:sz w:val="28"/>
          <w:szCs w:val="28"/>
        </w:rPr>
      </w:pPr>
      <w:r>
        <w:rPr>
          <w:rFonts w:ascii="Times New Roman" w:hAnsi="Times New Roman" w:cs="Times New Roman"/>
          <w:b/>
          <w:color w:val="auto"/>
          <w:sz w:val="28"/>
          <w:szCs w:val="28"/>
        </w:rPr>
        <w:t>Кваліфікаційна робота</w:t>
      </w:r>
    </w:p>
    <w:p w14:paraId="3BE084CD" w14:textId="77777777" w:rsidR="00052C0B" w:rsidRDefault="006E6CE8">
      <w:pPr>
        <w:jc w:val="center"/>
        <w:rPr>
          <w:rFonts w:ascii="Times New Roman" w:hAnsi="Times New Roman" w:cs="Times New Roman"/>
          <w:color w:val="auto"/>
          <w:sz w:val="28"/>
          <w:szCs w:val="28"/>
        </w:rPr>
      </w:pPr>
      <w:r>
        <w:rPr>
          <w:rFonts w:ascii="Times New Roman" w:hAnsi="Times New Roman" w:cs="Times New Roman"/>
          <w:color w:val="auto"/>
          <w:sz w:val="28"/>
          <w:szCs w:val="28"/>
        </w:rPr>
        <w:t>на здобуття ступеня вищої освіти «магістр»</w:t>
      </w:r>
    </w:p>
    <w:p w14:paraId="3BE084CE" w14:textId="77777777" w:rsidR="00052C0B" w:rsidRDefault="00052C0B">
      <w:pPr>
        <w:spacing w:line="276" w:lineRule="auto"/>
        <w:jc w:val="center"/>
        <w:rPr>
          <w:rFonts w:ascii="Times New Roman" w:hAnsi="Times New Roman" w:cs="Times New Roman"/>
          <w:b/>
          <w:color w:val="auto"/>
          <w:sz w:val="32"/>
          <w:szCs w:val="32"/>
        </w:rPr>
      </w:pPr>
    </w:p>
    <w:p w14:paraId="3BE084CF" w14:textId="77777777" w:rsidR="00052C0B" w:rsidRDefault="00052C0B">
      <w:pPr>
        <w:jc w:val="center"/>
        <w:rPr>
          <w:rFonts w:ascii="Times New Roman" w:hAnsi="Times New Roman" w:cs="Times New Roman"/>
          <w:b/>
          <w:color w:val="auto"/>
          <w:sz w:val="28"/>
          <w:szCs w:val="28"/>
        </w:rPr>
      </w:pPr>
    </w:p>
    <w:p w14:paraId="3BE084D0" w14:textId="77777777" w:rsidR="00052C0B" w:rsidRDefault="00052C0B">
      <w:pPr>
        <w:jc w:val="center"/>
        <w:rPr>
          <w:rFonts w:ascii="Times New Roman" w:hAnsi="Times New Roman" w:cs="Times New Roman"/>
          <w:b/>
          <w:color w:val="auto"/>
          <w:sz w:val="28"/>
          <w:szCs w:val="28"/>
        </w:rPr>
      </w:pPr>
    </w:p>
    <w:tbl>
      <w:tblPr>
        <w:tblW w:w="5000" w:type="pct"/>
        <w:tblLayout w:type="fixed"/>
        <w:tblCellMar>
          <w:left w:w="0" w:type="dxa"/>
          <w:right w:w="0" w:type="dxa"/>
        </w:tblCellMar>
        <w:tblLook w:val="04A0" w:firstRow="1" w:lastRow="0" w:firstColumn="1" w:lastColumn="0" w:noHBand="0" w:noVBand="1"/>
      </w:tblPr>
      <w:tblGrid>
        <w:gridCol w:w="4677"/>
        <w:gridCol w:w="4677"/>
      </w:tblGrid>
      <w:tr w:rsidR="00052C0B" w14:paraId="3BE084D8" w14:textId="77777777">
        <w:trPr>
          <w:trHeight w:val="1933"/>
        </w:trPr>
        <w:tc>
          <w:tcPr>
            <w:tcW w:w="4677" w:type="dxa"/>
            <w:shd w:val="clear" w:color="auto" w:fill="auto"/>
            <w:tcMar>
              <w:top w:w="0" w:type="dxa"/>
              <w:left w:w="108" w:type="dxa"/>
              <w:bottom w:w="0" w:type="dxa"/>
              <w:right w:w="108" w:type="dxa"/>
            </w:tcMar>
          </w:tcPr>
          <w:p w14:paraId="3BE084D1" w14:textId="77777777" w:rsidR="00052C0B" w:rsidRDefault="00052C0B">
            <w:pPr>
              <w:spacing w:line="360" w:lineRule="auto"/>
              <w:jc w:val="center"/>
              <w:rPr>
                <w:rFonts w:ascii="Times New Roman" w:hAnsi="Times New Roman" w:cs="Times New Roman"/>
                <w:color w:val="auto"/>
                <w:sz w:val="28"/>
                <w:szCs w:val="28"/>
              </w:rPr>
            </w:pPr>
          </w:p>
          <w:p w14:paraId="3BE084D2" w14:textId="77777777" w:rsidR="00052C0B" w:rsidRDefault="00052C0B">
            <w:pPr>
              <w:spacing w:line="360" w:lineRule="auto"/>
              <w:jc w:val="center"/>
              <w:rPr>
                <w:rFonts w:ascii="Times New Roman" w:hAnsi="Times New Roman" w:cs="Times New Roman"/>
                <w:color w:val="auto"/>
                <w:sz w:val="28"/>
                <w:szCs w:val="28"/>
              </w:rPr>
            </w:pPr>
          </w:p>
        </w:tc>
        <w:tc>
          <w:tcPr>
            <w:tcW w:w="4677" w:type="dxa"/>
            <w:shd w:val="clear" w:color="auto" w:fill="auto"/>
            <w:tcMar>
              <w:top w:w="0" w:type="dxa"/>
              <w:left w:w="108" w:type="dxa"/>
              <w:bottom w:w="0" w:type="dxa"/>
              <w:right w:w="108" w:type="dxa"/>
            </w:tcMar>
          </w:tcPr>
          <w:p w14:paraId="3BE084D3" w14:textId="77777777" w:rsidR="00052C0B" w:rsidRDefault="006E6CE8">
            <w:pPr>
              <w:rPr>
                <w:rFonts w:ascii="Times New Roman" w:hAnsi="Times New Roman" w:cs="Times New Roman"/>
                <w:b/>
                <w:color w:val="auto"/>
                <w:sz w:val="28"/>
                <w:szCs w:val="28"/>
              </w:rPr>
            </w:pPr>
            <w:r>
              <w:rPr>
                <w:rFonts w:ascii="Times New Roman" w:hAnsi="Times New Roman" w:cs="Times New Roman"/>
                <w:b/>
                <w:color w:val="auto"/>
                <w:sz w:val="28"/>
                <w:szCs w:val="28"/>
              </w:rPr>
              <w:t xml:space="preserve">Науковий керівник: </w:t>
            </w:r>
          </w:p>
          <w:p w14:paraId="3BE084D4" w14:textId="77777777" w:rsidR="00052C0B" w:rsidRDefault="006E6CE8">
            <w:pPr>
              <w:rPr>
                <w:rFonts w:ascii="Times New Roman" w:hAnsi="Times New Roman" w:cs="Times New Roman"/>
                <w:color w:val="auto"/>
                <w:sz w:val="28"/>
                <w:szCs w:val="28"/>
              </w:rPr>
            </w:pPr>
            <w:r>
              <w:rPr>
                <w:rFonts w:ascii="Times New Roman" w:hAnsi="Times New Roman" w:cs="Times New Roman"/>
                <w:color w:val="auto"/>
                <w:sz w:val="28"/>
                <w:szCs w:val="28"/>
              </w:rPr>
              <w:t>к.е.н., доцент Князькова В.Я.</w:t>
            </w:r>
          </w:p>
          <w:p w14:paraId="3BE084D5" w14:textId="77777777" w:rsidR="00052C0B" w:rsidRDefault="00052C0B">
            <w:pPr>
              <w:rPr>
                <w:rFonts w:ascii="Times New Roman" w:hAnsi="Times New Roman" w:cs="Times New Roman"/>
                <w:color w:val="auto"/>
                <w:sz w:val="28"/>
                <w:szCs w:val="28"/>
              </w:rPr>
            </w:pPr>
          </w:p>
          <w:p w14:paraId="3BE084D6" w14:textId="77777777" w:rsidR="00052C0B" w:rsidRDefault="006E6CE8">
            <w:pPr>
              <w:rPr>
                <w:rFonts w:ascii="Times New Roman" w:hAnsi="Times New Roman" w:cs="Times New Roman"/>
                <w:b/>
                <w:color w:val="auto"/>
                <w:sz w:val="28"/>
                <w:szCs w:val="28"/>
              </w:rPr>
            </w:pPr>
            <w:r>
              <w:rPr>
                <w:rFonts w:ascii="Times New Roman" w:hAnsi="Times New Roman" w:cs="Times New Roman"/>
                <w:b/>
                <w:color w:val="auto"/>
                <w:sz w:val="28"/>
                <w:szCs w:val="28"/>
              </w:rPr>
              <w:t>Рецензент:</w:t>
            </w:r>
          </w:p>
          <w:p w14:paraId="3BE084D7" w14:textId="77777777" w:rsidR="00052C0B" w:rsidRDefault="006E6CE8">
            <w:pPr>
              <w:spacing w:line="360" w:lineRule="auto"/>
              <w:rPr>
                <w:rFonts w:ascii="Times New Roman" w:hAnsi="Times New Roman" w:cs="Times New Roman"/>
                <w:color w:val="auto"/>
                <w:sz w:val="28"/>
                <w:szCs w:val="28"/>
              </w:rPr>
            </w:pPr>
            <w:r>
              <w:rPr>
                <w:rFonts w:ascii="Times New Roman" w:hAnsi="Times New Roman" w:cs="Times New Roman"/>
                <w:color w:val="auto"/>
                <w:sz w:val="28"/>
                <w:szCs w:val="28"/>
              </w:rPr>
              <w:t>к.екон.н., доцент Красностанова Н.Е.</w:t>
            </w:r>
          </w:p>
        </w:tc>
      </w:tr>
    </w:tbl>
    <w:p w14:paraId="3BE084D9" w14:textId="77777777" w:rsidR="00052C0B" w:rsidRDefault="00052C0B">
      <w:pPr>
        <w:tabs>
          <w:tab w:val="left" w:pos="0"/>
        </w:tabs>
        <w:spacing w:line="360" w:lineRule="auto"/>
        <w:rPr>
          <w:rFonts w:ascii="Times New Roman" w:hAnsi="Times New Roman" w:cs="Times New Roman"/>
          <w:color w:val="auto"/>
          <w:sz w:val="28"/>
          <w:szCs w:val="28"/>
        </w:rPr>
      </w:pPr>
    </w:p>
    <w:tbl>
      <w:tblPr>
        <w:tblStyle w:val="110"/>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3"/>
        <w:gridCol w:w="4815"/>
      </w:tblGrid>
      <w:tr w:rsidR="00052C0B" w14:paraId="3BE084E9" w14:textId="77777777">
        <w:tc>
          <w:tcPr>
            <w:tcW w:w="4683" w:type="dxa"/>
          </w:tcPr>
          <w:p w14:paraId="3BE084DA" w14:textId="77777777" w:rsidR="00052C0B" w:rsidRDefault="006E6CE8">
            <w:pPr>
              <w:rPr>
                <w:rFonts w:ascii="Times New Roman" w:eastAsia="Calibri" w:hAnsi="Times New Roman" w:cs="Times New Roman"/>
                <w:color w:val="auto"/>
                <w:sz w:val="28"/>
                <w:szCs w:val="28"/>
                <w:lang w:eastAsia="en-US" w:bidi="ar-SA"/>
              </w:rPr>
            </w:pPr>
            <w:r>
              <w:rPr>
                <w:rFonts w:ascii="Times New Roman" w:eastAsia="Calibri" w:hAnsi="Times New Roman" w:cs="Times New Roman"/>
                <w:color w:val="auto"/>
                <w:sz w:val="28"/>
                <w:szCs w:val="28"/>
                <w:lang w:eastAsia="en-US" w:bidi="ar-SA"/>
              </w:rPr>
              <w:t xml:space="preserve">Рекомендовано до захисту: </w:t>
            </w:r>
          </w:p>
          <w:p w14:paraId="3BE084DB" w14:textId="77777777" w:rsidR="00052C0B" w:rsidRDefault="00052C0B">
            <w:pPr>
              <w:rPr>
                <w:rFonts w:ascii="Times New Roman" w:eastAsia="Calibri" w:hAnsi="Times New Roman" w:cs="Times New Roman"/>
                <w:color w:val="auto"/>
                <w:sz w:val="28"/>
                <w:szCs w:val="28"/>
                <w:lang w:eastAsia="en-US" w:bidi="ar-SA"/>
              </w:rPr>
            </w:pPr>
          </w:p>
          <w:p w14:paraId="3BE084DC" w14:textId="77777777" w:rsidR="00052C0B" w:rsidRDefault="006E6CE8">
            <w:pPr>
              <w:rPr>
                <w:rFonts w:ascii="Times New Roman" w:eastAsia="Calibri" w:hAnsi="Times New Roman" w:cs="Times New Roman"/>
                <w:color w:val="auto"/>
                <w:sz w:val="28"/>
                <w:szCs w:val="28"/>
                <w:lang w:eastAsia="en-US" w:bidi="ar-SA"/>
              </w:rPr>
            </w:pPr>
            <w:r>
              <w:rPr>
                <w:rFonts w:ascii="Times New Roman" w:eastAsia="Calibri" w:hAnsi="Times New Roman" w:cs="Times New Roman"/>
                <w:color w:val="auto"/>
                <w:sz w:val="28"/>
                <w:szCs w:val="28"/>
                <w:lang w:eastAsia="en-US" w:bidi="ar-SA"/>
              </w:rPr>
              <w:t xml:space="preserve">Протокол засідання кафедри </w:t>
            </w:r>
          </w:p>
          <w:p w14:paraId="3BE084DD" w14:textId="77777777" w:rsidR="00052C0B" w:rsidRDefault="00052C0B">
            <w:pPr>
              <w:tabs>
                <w:tab w:val="left" w:pos="0"/>
              </w:tabs>
              <w:spacing w:line="360" w:lineRule="auto"/>
              <w:rPr>
                <w:rFonts w:ascii="Times New Roman" w:eastAsia="Calibri" w:hAnsi="Times New Roman" w:cs="Times New Roman"/>
                <w:color w:val="auto"/>
                <w:sz w:val="28"/>
                <w:szCs w:val="28"/>
                <w:lang w:eastAsia="en-US" w:bidi="ar-SA"/>
              </w:rPr>
            </w:pPr>
          </w:p>
          <w:p w14:paraId="3BE084DE" w14:textId="77777777" w:rsidR="00052C0B" w:rsidRDefault="006E6CE8">
            <w:pPr>
              <w:tabs>
                <w:tab w:val="left" w:pos="0"/>
              </w:tabs>
              <w:spacing w:line="360" w:lineRule="auto"/>
              <w:rPr>
                <w:rFonts w:ascii="Times New Roman" w:eastAsia="Calibri" w:hAnsi="Times New Roman" w:cs="Times New Roman"/>
                <w:color w:val="auto"/>
                <w:sz w:val="28"/>
                <w:szCs w:val="28"/>
                <w:lang w:eastAsia="en-US" w:bidi="ar-SA"/>
              </w:rPr>
            </w:pPr>
            <w:r>
              <w:rPr>
                <w:rFonts w:ascii="Times New Roman" w:eastAsia="Calibri" w:hAnsi="Times New Roman" w:cs="Times New Roman"/>
                <w:color w:val="auto"/>
                <w:sz w:val="28"/>
                <w:szCs w:val="28"/>
                <w:lang w:eastAsia="en-US" w:bidi="ar-SA"/>
              </w:rPr>
              <w:t>№ __ від «___» _______ 2025 р.</w:t>
            </w:r>
          </w:p>
          <w:p w14:paraId="3BE084DF" w14:textId="77777777" w:rsidR="00052C0B" w:rsidRDefault="00052C0B">
            <w:pPr>
              <w:tabs>
                <w:tab w:val="left" w:pos="0"/>
              </w:tabs>
              <w:spacing w:line="360" w:lineRule="auto"/>
              <w:rPr>
                <w:rFonts w:ascii="Times New Roman" w:eastAsia="Calibri" w:hAnsi="Times New Roman" w:cs="Times New Roman"/>
                <w:color w:val="auto"/>
                <w:sz w:val="28"/>
                <w:szCs w:val="28"/>
                <w:lang w:eastAsia="en-US" w:bidi="ar-SA"/>
              </w:rPr>
            </w:pPr>
          </w:p>
          <w:p w14:paraId="3BE084E0" w14:textId="77777777" w:rsidR="00052C0B" w:rsidRDefault="006E6CE8">
            <w:pPr>
              <w:rPr>
                <w:rFonts w:ascii="Times New Roman" w:eastAsia="Calibri" w:hAnsi="Times New Roman" w:cs="Times New Roman"/>
                <w:color w:val="auto"/>
                <w:sz w:val="28"/>
                <w:szCs w:val="28"/>
                <w:lang w:eastAsia="en-US" w:bidi="ar-SA"/>
              </w:rPr>
            </w:pPr>
            <w:r>
              <w:rPr>
                <w:rFonts w:ascii="Times New Roman" w:eastAsia="Calibri" w:hAnsi="Times New Roman" w:cs="Times New Roman"/>
                <w:color w:val="auto"/>
                <w:sz w:val="28"/>
                <w:szCs w:val="28"/>
                <w:lang w:eastAsia="en-US" w:bidi="ar-SA"/>
              </w:rPr>
              <w:t xml:space="preserve">Гарант ОПП </w:t>
            </w:r>
            <w:r>
              <w:rPr>
                <w:rFonts w:ascii="Times New Roman" w:eastAsia="TimesNewRomanPSMT" w:hAnsi="Times New Roman" w:cs="Times New Roman"/>
                <w:color w:val="auto"/>
                <w:sz w:val="28"/>
                <w:szCs w:val="28"/>
                <w:lang w:eastAsia="en-US" w:bidi="ar-SA"/>
              </w:rPr>
              <w:t xml:space="preserve">______ </w:t>
            </w:r>
            <w:r>
              <w:rPr>
                <w:rFonts w:ascii="Times New Roman" w:eastAsia="Calibri" w:hAnsi="Times New Roman" w:cs="Times New Roman"/>
                <w:color w:val="auto"/>
                <w:sz w:val="28"/>
                <w:szCs w:val="28"/>
                <w:lang w:eastAsia="en-US" w:bidi="ar-SA"/>
              </w:rPr>
              <w:t>Вікторія БОРЩ</w:t>
            </w:r>
          </w:p>
          <w:p w14:paraId="3BE084E1" w14:textId="77777777" w:rsidR="00052C0B" w:rsidRDefault="00052C0B">
            <w:pPr>
              <w:rPr>
                <w:rFonts w:ascii="Times New Roman" w:hAnsi="Times New Roman" w:cs="Times New Roman"/>
                <w:color w:val="auto"/>
                <w:sz w:val="28"/>
                <w:szCs w:val="28"/>
              </w:rPr>
            </w:pPr>
          </w:p>
        </w:tc>
        <w:tc>
          <w:tcPr>
            <w:tcW w:w="4815" w:type="dxa"/>
          </w:tcPr>
          <w:p w14:paraId="3BE084E2" w14:textId="77777777" w:rsidR="00052C0B" w:rsidRDefault="006E6CE8">
            <w:pPr>
              <w:rPr>
                <w:rFonts w:ascii="Times New Roman" w:eastAsia="Calibri" w:hAnsi="Times New Roman" w:cs="Times New Roman"/>
                <w:color w:val="auto"/>
                <w:sz w:val="28"/>
                <w:szCs w:val="28"/>
                <w:lang w:eastAsia="en-US" w:bidi="ar-SA"/>
              </w:rPr>
            </w:pPr>
            <w:r>
              <w:rPr>
                <w:rFonts w:ascii="Times New Roman" w:eastAsia="Calibri" w:hAnsi="Times New Roman" w:cs="Times New Roman"/>
                <w:color w:val="auto"/>
                <w:sz w:val="28"/>
                <w:szCs w:val="28"/>
                <w:lang w:eastAsia="en-US" w:bidi="ar-SA"/>
              </w:rPr>
              <w:t>Захищено на засіданні ЕК № ___</w:t>
            </w:r>
          </w:p>
          <w:p w14:paraId="3BE084E3" w14:textId="77777777" w:rsidR="00052C0B" w:rsidRDefault="00052C0B">
            <w:pPr>
              <w:rPr>
                <w:rFonts w:ascii="Times New Roman" w:eastAsia="Calibri" w:hAnsi="Times New Roman" w:cs="Times New Roman"/>
                <w:color w:val="auto"/>
                <w:sz w:val="28"/>
                <w:szCs w:val="28"/>
                <w:lang w:eastAsia="en-US" w:bidi="ar-SA"/>
              </w:rPr>
            </w:pPr>
          </w:p>
          <w:p w14:paraId="3BE084E4" w14:textId="77777777" w:rsidR="00052C0B" w:rsidRDefault="006E6CE8">
            <w:pPr>
              <w:rPr>
                <w:rFonts w:ascii="Times New Roman" w:eastAsia="Calibri" w:hAnsi="Times New Roman" w:cs="Times New Roman"/>
                <w:color w:val="auto"/>
                <w:sz w:val="28"/>
                <w:szCs w:val="28"/>
                <w:lang w:eastAsia="en-US" w:bidi="ar-SA"/>
              </w:rPr>
            </w:pPr>
            <w:r>
              <w:rPr>
                <w:rFonts w:ascii="Times New Roman" w:eastAsia="Calibri" w:hAnsi="Times New Roman" w:cs="Times New Roman"/>
                <w:color w:val="auto"/>
                <w:sz w:val="28"/>
                <w:szCs w:val="28"/>
                <w:lang w:eastAsia="en-US" w:bidi="ar-SA"/>
              </w:rPr>
              <w:t>Протокол № __ від «__» ___</w:t>
            </w:r>
            <w:r>
              <w:rPr>
                <w:rFonts w:ascii="Times New Roman" w:eastAsia="TimesNewRomanPSMT" w:hAnsi="Times New Roman" w:cs="Times New Roman"/>
                <w:color w:val="auto"/>
                <w:sz w:val="28"/>
                <w:szCs w:val="28"/>
                <w:lang w:eastAsia="en-US" w:bidi="ar-SA"/>
              </w:rPr>
              <w:t xml:space="preserve">_ 2025 </w:t>
            </w:r>
            <w:r>
              <w:rPr>
                <w:rFonts w:ascii="Times New Roman" w:eastAsia="Calibri" w:hAnsi="Times New Roman" w:cs="Times New Roman"/>
                <w:color w:val="auto"/>
                <w:sz w:val="28"/>
                <w:szCs w:val="28"/>
                <w:lang w:eastAsia="en-US" w:bidi="ar-SA"/>
              </w:rPr>
              <w:t>р.</w:t>
            </w:r>
          </w:p>
          <w:p w14:paraId="3BE084E5" w14:textId="77777777" w:rsidR="00052C0B" w:rsidRDefault="00052C0B">
            <w:pPr>
              <w:tabs>
                <w:tab w:val="left" w:pos="0"/>
              </w:tabs>
              <w:spacing w:line="360" w:lineRule="auto"/>
              <w:rPr>
                <w:rFonts w:ascii="Times New Roman" w:hAnsi="Times New Roman" w:cs="Times New Roman"/>
                <w:color w:val="auto"/>
                <w:sz w:val="28"/>
                <w:szCs w:val="28"/>
              </w:rPr>
            </w:pPr>
          </w:p>
          <w:p w14:paraId="3BE084E6" w14:textId="77777777" w:rsidR="00052C0B" w:rsidRDefault="006E6CE8">
            <w:pPr>
              <w:tabs>
                <w:tab w:val="left" w:pos="0"/>
              </w:tabs>
              <w:spacing w:line="360" w:lineRule="auto"/>
              <w:rPr>
                <w:rFonts w:ascii="Times New Roman" w:hAnsi="Times New Roman" w:cs="Times New Roman"/>
                <w:color w:val="auto"/>
                <w:sz w:val="28"/>
                <w:szCs w:val="28"/>
              </w:rPr>
            </w:pPr>
            <w:r>
              <w:rPr>
                <w:rFonts w:ascii="Times New Roman" w:hAnsi="Times New Roman" w:cs="Times New Roman"/>
                <w:color w:val="auto"/>
                <w:sz w:val="28"/>
                <w:szCs w:val="28"/>
              </w:rPr>
              <w:t xml:space="preserve">Оцінка </w:t>
            </w:r>
          </w:p>
          <w:p w14:paraId="3BE084E7" w14:textId="77777777" w:rsidR="00052C0B" w:rsidRDefault="006E6CE8">
            <w:pPr>
              <w:tabs>
                <w:tab w:val="left" w:pos="0"/>
              </w:tabs>
              <w:spacing w:line="360" w:lineRule="auto"/>
              <w:rPr>
                <w:rFonts w:ascii="Times New Roman" w:hAnsi="Times New Roman" w:cs="Times New Roman"/>
                <w:color w:val="auto"/>
                <w:sz w:val="28"/>
                <w:szCs w:val="28"/>
              </w:rPr>
            </w:pPr>
            <w:r>
              <w:rPr>
                <w:rFonts w:ascii="Times New Roman" w:hAnsi="Times New Roman" w:cs="Times New Roman"/>
                <w:color w:val="auto"/>
                <w:sz w:val="28"/>
                <w:szCs w:val="28"/>
              </w:rPr>
              <w:t>_________ / __________ / _________</w:t>
            </w:r>
          </w:p>
          <w:p w14:paraId="3BE084E8" w14:textId="77777777" w:rsidR="00052C0B" w:rsidRDefault="006E6CE8">
            <w:pPr>
              <w:rPr>
                <w:rFonts w:ascii="Times New Roman" w:hAnsi="Times New Roman" w:cs="Times New Roman"/>
                <w:color w:val="auto"/>
                <w:sz w:val="28"/>
                <w:szCs w:val="28"/>
              </w:rPr>
            </w:pPr>
            <w:r>
              <w:rPr>
                <w:rFonts w:ascii="Times New Roman" w:eastAsia="Calibri" w:hAnsi="Times New Roman" w:cs="Times New Roman"/>
                <w:color w:val="auto"/>
                <w:sz w:val="28"/>
                <w:szCs w:val="28"/>
                <w:lang w:eastAsia="en-US" w:bidi="ar-SA"/>
              </w:rPr>
              <w:t>Голова ЕК</w:t>
            </w:r>
            <w:r>
              <w:rPr>
                <w:rFonts w:ascii="Times New Roman" w:eastAsia="TimesNewRomanPSMT" w:hAnsi="Times New Roman" w:cs="Times New Roman"/>
                <w:color w:val="auto"/>
                <w:sz w:val="28"/>
                <w:szCs w:val="28"/>
                <w:lang w:eastAsia="en-US" w:bidi="ar-SA"/>
              </w:rPr>
              <w:t>_______Олена САДЧЕНКО</w:t>
            </w:r>
          </w:p>
        </w:tc>
      </w:tr>
    </w:tbl>
    <w:p w14:paraId="3BE084EA" w14:textId="77777777" w:rsidR="00052C0B" w:rsidRDefault="00052C0B">
      <w:pPr>
        <w:tabs>
          <w:tab w:val="left" w:pos="0"/>
        </w:tabs>
        <w:spacing w:line="360" w:lineRule="auto"/>
        <w:rPr>
          <w:rFonts w:ascii="Times New Roman" w:hAnsi="Times New Roman" w:cs="Times New Roman"/>
          <w:color w:val="auto"/>
          <w:sz w:val="28"/>
          <w:szCs w:val="28"/>
        </w:rPr>
      </w:pPr>
    </w:p>
    <w:p w14:paraId="3BE084EB" w14:textId="77777777" w:rsidR="00052C0B" w:rsidRDefault="00052C0B">
      <w:pPr>
        <w:tabs>
          <w:tab w:val="left" w:pos="0"/>
        </w:tabs>
        <w:spacing w:line="360" w:lineRule="auto"/>
        <w:jc w:val="center"/>
        <w:rPr>
          <w:rFonts w:ascii="Times New Roman" w:hAnsi="Times New Roman" w:cs="Times New Roman"/>
          <w:b/>
          <w:color w:val="auto"/>
          <w:sz w:val="28"/>
          <w:szCs w:val="28"/>
        </w:rPr>
      </w:pPr>
    </w:p>
    <w:p w14:paraId="3BE084EC" w14:textId="77777777" w:rsidR="00052C0B" w:rsidRDefault="006E6CE8">
      <w:pPr>
        <w:tabs>
          <w:tab w:val="left" w:pos="0"/>
        </w:tabs>
        <w:spacing w:line="360" w:lineRule="auto"/>
        <w:jc w:val="center"/>
        <w:rPr>
          <w:rFonts w:ascii="Times New Roman" w:hAnsi="Times New Roman" w:cs="Times New Roman"/>
          <w:sz w:val="28"/>
          <w:szCs w:val="28"/>
        </w:rPr>
      </w:pPr>
      <w:r>
        <w:rPr>
          <w:rFonts w:ascii="Times New Roman" w:hAnsi="Times New Roman" w:cs="Times New Roman"/>
          <w:b/>
          <w:color w:val="auto"/>
          <w:sz w:val="28"/>
          <w:szCs w:val="28"/>
        </w:rPr>
        <w:t>Одеса 2025</w:t>
      </w:r>
    </w:p>
    <w:p w14:paraId="3BE084ED" w14:textId="3A95621D" w:rsidR="00052C0B" w:rsidRDefault="006E6CE8" w:rsidP="00826708">
      <w:pPr>
        <w:widowControl/>
        <w:jc w:val="center"/>
        <w:rPr>
          <w:rFonts w:ascii="Times New Roman Полужирный" w:eastAsia="Calibri" w:hAnsi="Times New Roman Полужирный" w:cs="Times New Roman"/>
          <w:b/>
          <w:bCs/>
          <w:caps/>
          <w:color w:val="auto"/>
          <w:sz w:val="28"/>
          <w:szCs w:val="28"/>
          <w:lang w:eastAsia="en-US" w:bidi="ar-SA"/>
        </w:rPr>
      </w:pPr>
      <w:r>
        <w:rPr>
          <w:rFonts w:ascii="Times New Roman Полужирный" w:eastAsia="Calibri" w:hAnsi="Times New Roman Полужирный" w:cs="Times New Roman"/>
          <w:b/>
          <w:bCs/>
          <w:caps/>
          <w:color w:val="auto"/>
          <w:sz w:val="28"/>
          <w:szCs w:val="28"/>
          <w:lang w:eastAsia="en-US" w:bidi="ar-SA"/>
        </w:rPr>
        <w:lastRenderedPageBreak/>
        <w:t xml:space="preserve">Анотація </w:t>
      </w:r>
    </w:p>
    <w:p w14:paraId="3BE084EE" w14:textId="77777777" w:rsidR="00052C0B" w:rsidRDefault="00052C0B" w:rsidP="00826708">
      <w:pPr>
        <w:widowControl/>
        <w:jc w:val="both"/>
        <w:rPr>
          <w:rFonts w:ascii="Times New Roman" w:eastAsia="Calibri" w:hAnsi="Times New Roman" w:cs="Times New Roman"/>
          <w:color w:val="auto"/>
          <w:sz w:val="28"/>
          <w:szCs w:val="28"/>
          <w:lang w:eastAsia="en-US" w:bidi="ar-SA"/>
        </w:rPr>
      </w:pPr>
    </w:p>
    <w:p w14:paraId="3BE084EF" w14:textId="65F26FC2" w:rsidR="00052C0B" w:rsidRDefault="006E6CE8" w:rsidP="00826708">
      <w:pPr>
        <w:widowControl/>
        <w:spacing w:line="276" w:lineRule="auto"/>
        <w:ind w:firstLine="708"/>
        <w:jc w:val="both"/>
        <w:rPr>
          <w:rFonts w:ascii="Times New Roman" w:eastAsia="Calibri" w:hAnsi="Times New Roman" w:cs="Times New Roman"/>
          <w:color w:val="auto"/>
          <w:sz w:val="28"/>
          <w:szCs w:val="28"/>
          <w:lang w:eastAsia="en-US" w:bidi="ar-SA"/>
        </w:rPr>
      </w:pPr>
      <w:r>
        <w:rPr>
          <w:rFonts w:ascii="Times New Roman" w:eastAsia="Calibri" w:hAnsi="Times New Roman" w:cs="Times New Roman"/>
          <w:color w:val="auto"/>
          <w:sz w:val="28"/>
          <w:szCs w:val="28"/>
          <w:lang w:eastAsia="en-US" w:bidi="ar-SA"/>
        </w:rPr>
        <w:t xml:space="preserve">Михайлова А.М. </w:t>
      </w:r>
      <w:r>
        <w:rPr>
          <w:rFonts w:ascii="Times New Roman" w:eastAsia="Microsoft YaHei" w:hAnsi="Times New Roman" w:cs="Times New Roman"/>
          <w:color w:val="auto"/>
          <w:sz w:val="28"/>
          <w:szCs w:val="28"/>
        </w:rPr>
        <w:t>Організаційно-економічні механізми управління закладами охорони здоров’я на державному рівні</w:t>
      </w:r>
      <w:r>
        <w:rPr>
          <w:rFonts w:ascii="Times New Roman" w:eastAsia="TimesNewRomanPSMT" w:hAnsi="Times New Roman" w:cs="Times New Roman"/>
          <w:color w:val="auto"/>
          <w:sz w:val="28"/>
          <w:szCs w:val="28"/>
          <w:lang w:eastAsia="en-US" w:bidi="ar-SA"/>
        </w:rPr>
        <w:t xml:space="preserve">: </w:t>
      </w:r>
      <w:r>
        <w:rPr>
          <w:rFonts w:ascii="Times New Roman" w:eastAsia="Calibri" w:hAnsi="Times New Roman" w:cs="Times New Roman"/>
          <w:color w:val="auto"/>
          <w:sz w:val="28"/>
          <w:szCs w:val="28"/>
          <w:lang w:eastAsia="en-US" w:bidi="ar-SA"/>
        </w:rPr>
        <w:t>кваліфікаційна робота на здобуття освітнього ступеня «магістр»: спец. 073 «Менеджмент» / Одеський національний медичний університет. Кафедра менеджменту охорони здоров’я та психології. Науковий кері</w:t>
      </w:r>
      <w:r w:rsidR="00826708">
        <w:rPr>
          <w:rFonts w:ascii="Times New Roman" w:eastAsia="Calibri" w:hAnsi="Times New Roman" w:cs="Times New Roman"/>
          <w:color w:val="auto"/>
          <w:sz w:val="28"/>
          <w:szCs w:val="28"/>
          <w:lang w:eastAsia="en-US" w:bidi="ar-SA"/>
        </w:rPr>
        <w:t>вник: Князькова В.Я., к. е. н.</w:t>
      </w:r>
      <w:r>
        <w:rPr>
          <w:rFonts w:ascii="Times New Roman" w:eastAsia="Calibri" w:hAnsi="Times New Roman" w:cs="Times New Roman"/>
          <w:color w:val="auto"/>
          <w:sz w:val="28"/>
          <w:szCs w:val="28"/>
          <w:lang w:eastAsia="en-US" w:bidi="ar-SA"/>
        </w:rPr>
        <w:t xml:space="preserve"> Одеса, 2025. 95 с.</w:t>
      </w:r>
    </w:p>
    <w:p w14:paraId="3BE084F0" w14:textId="08571975" w:rsidR="00052C0B" w:rsidRDefault="006E6CE8" w:rsidP="00826708">
      <w:pPr>
        <w:widowControl/>
        <w:spacing w:line="276" w:lineRule="auto"/>
        <w:ind w:firstLine="708"/>
        <w:jc w:val="both"/>
        <w:rPr>
          <w:rFonts w:ascii="Times New Roman" w:eastAsia="Calibri" w:hAnsi="Times New Roman" w:cs="Times New Roman"/>
          <w:color w:val="auto"/>
          <w:sz w:val="28"/>
          <w:szCs w:val="28"/>
          <w:lang w:eastAsia="en-US" w:bidi="ar-SA"/>
        </w:rPr>
      </w:pPr>
      <w:r>
        <w:rPr>
          <w:rFonts w:ascii="Times New Roman" w:eastAsia="Calibri" w:hAnsi="Times New Roman" w:cs="Times New Roman"/>
          <w:color w:val="auto"/>
          <w:sz w:val="28"/>
          <w:szCs w:val="28"/>
          <w:lang w:eastAsia="en-US" w:bidi="ar-SA"/>
        </w:rPr>
        <w:t xml:space="preserve">Анотація. У магістерській кваліфікаційній роботі досліджуються теоретичні та практичні аспекти застосування організаційно-економічних механізмів управління закладами охорони здоров’я на державному рівні. Розглянуто базові принципи та структурні моделі функціонування систем охорони здоров’я. Розкрита сутність, підсистеми та інструменти організаційно-економічного управління медичними закладами. Дослідження впливу організаційно-економічних механізмів державного управління на діяльність медичних закладів міста Одеси проведено за допомогою аналізу та оцінки діяльності Департаменту охорони здоров’я Одеської міської ради в контексті реалізації державної політики та забезпеченні ефективності бюджетних програм у сфері охорони здоров’я. Здійснено дослідження організаційно-економічних інструментів забезпечення діяльності комунальних закладів охорони здоров’я територіальної громади        м. Одеси. Проведено аналіз та здійснено оцінку фінансового стану та ефективності організаційно-економічних механізмів КНП «Міська клінічна лікарня № 11» ОМР. Інноваційні підходи до вдосконалення організаційно-економічних механізмів державного регулювання сфери охорони здоров’я в умовах сучасних трансформацій окреслено через визначення ключових проблем і чинників, що обмежують ефективність наявних організаційно-економічних механізмів, </w:t>
      </w:r>
      <w:r w:rsidR="00826708">
        <w:rPr>
          <w:rFonts w:ascii="Times New Roman" w:eastAsia="Calibri" w:hAnsi="Times New Roman" w:cs="Times New Roman"/>
          <w:color w:val="auto"/>
          <w:sz w:val="28"/>
          <w:szCs w:val="28"/>
          <w:lang w:eastAsia="en-US" w:bidi="ar-SA"/>
        </w:rPr>
        <w:t>за</w:t>
      </w:r>
      <w:r>
        <w:rPr>
          <w:rFonts w:ascii="Times New Roman" w:eastAsia="Calibri" w:hAnsi="Times New Roman" w:cs="Times New Roman"/>
          <w:color w:val="auto"/>
          <w:sz w:val="28"/>
          <w:szCs w:val="28"/>
          <w:lang w:eastAsia="en-US" w:bidi="ar-SA"/>
        </w:rPr>
        <w:t>пропоновано шляхи їх подолання та впровадження нових підходів до застосування організаційно-економічних механізмів закладами охорони здоров’я в умовах ринкових перетворень. Підкреслено значення цифрової трансформації системи охорони здоров’я України для вдосконалення</w:t>
      </w:r>
      <w:r>
        <w:t xml:space="preserve"> </w:t>
      </w:r>
      <w:r>
        <w:rPr>
          <w:rFonts w:ascii="Times New Roman" w:eastAsia="Calibri" w:hAnsi="Times New Roman" w:cs="Times New Roman"/>
          <w:color w:val="auto"/>
          <w:sz w:val="28"/>
          <w:szCs w:val="28"/>
          <w:lang w:eastAsia="en-US" w:bidi="ar-SA"/>
        </w:rPr>
        <w:t>організаційно-економічних механізмів державного регулювання медичної галузі в умовах сучасних трансформацій та визначено її організаційно-управлінські аспекти та стратегічні орієнтири.</w:t>
      </w:r>
    </w:p>
    <w:p w14:paraId="3BE084F1" w14:textId="77777777" w:rsidR="00052C0B" w:rsidRDefault="006E6CE8" w:rsidP="00826708">
      <w:pPr>
        <w:widowControl/>
        <w:spacing w:line="276" w:lineRule="auto"/>
        <w:ind w:firstLine="708"/>
        <w:jc w:val="both"/>
        <w:rPr>
          <w:rFonts w:ascii="Times New Roman" w:eastAsia="Calibri" w:hAnsi="Times New Roman" w:cs="Times New Roman"/>
          <w:color w:val="auto"/>
          <w:sz w:val="28"/>
          <w:szCs w:val="28"/>
          <w:lang w:eastAsia="en-US" w:bidi="ar-SA"/>
        </w:rPr>
      </w:pPr>
      <w:r w:rsidRPr="00826708">
        <w:rPr>
          <w:rFonts w:ascii="Times New Roman" w:eastAsia="Calibri" w:hAnsi="Times New Roman" w:cs="Times New Roman"/>
          <w:b/>
          <w:color w:val="auto"/>
          <w:sz w:val="28"/>
          <w:szCs w:val="28"/>
          <w:lang w:eastAsia="en-US" w:bidi="ar-SA"/>
        </w:rPr>
        <w:t>Ключові слова:</w:t>
      </w:r>
      <w:r>
        <w:rPr>
          <w:rFonts w:ascii="Times New Roman" w:eastAsia="Calibri" w:hAnsi="Times New Roman" w:cs="Times New Roman"/>
          <w:color w:val="auto"/>
          <w:sz w:val="28"/>
          <w:szCs w:val="28"/>
          <w:lang w:eastAsia="en-US" w:bidi="ar-SA"/>
        </w:rPr>
        <w:t xml:space="preserve"> заклади охорони здоров’я, організаційно-економічні механізми, державне управління, джерела фінансування, кадрове забезпечення, Департамент охорони здоров’я Одеської міської ради, Комунальне некомерційне підприємство «Міська клінічна лікарня № 11» Одеської міської ради</w:t>
      </w:r>
      <w:r>
        <w:rPr>
          <w:rFonts w:ascii="Times New Roman" w:eastAsia="Microsoft YaHei" w:hAnsi="Times New Roman" w:cs="Times New Roman"/>
          <w:color w:val="auto"/>
          <w:sz w:val="28"/>
          <w:szCs w:val="28"/>
          <w:shd w:val="clear" w:color="auto" w:fill="FFFFFF"/>
        </w:rPr>
        <w:t xml:space="preserve">, </w:t>
      </w:r>
      <w:r>
        <w:rPr>
          <w:rFonts w:ascii="Times New Roman" w:eastAsia="Calibri" w:hAnsi="Times New Roman" w:cs="Times New Roman"/>
          <w:color w:val="auto"/>
          <w:sz w:val="28"/>
          <w:szCs w:val="28"/>
          <w:lang w:eastAsia="en-US" w:bidi="ar-SA"/>
        </w:rPr>
        <w:t>цифровізація охорони здоров’я.</w:t>
      </w:r>
    </w:p>
    <w:p w14:paraId="3BE084F2" w14:textId="77777777" w:rsidR="00052C0B" w:rsidRDefault="00052C0B">
      <w:pPr>
        <w:widowControl/>
        <w:spacing w:line="360" w:lineRule="auto"/>
        <w:ind w:firstLine="708"/>
        <w:jc w:val="both"/>
        <w:rPr>
          <w:rFonts w:ascii="TimesNewRoman" w:eastAsia="Calibri" w:hAnsi="TimesNewRoman" w:cs="TimesNewRoman"/>
          <w:color w:val="auto"/>
          <w:sz w:val="23"/>
          <w:szCs w:val="23"/>
          <w:lang w:eastAsia="en-US" w:bidi="ar-SA"/>
        </w:rPr>
      </w:pPr>
    </w:p>
    <w:p w14:paraId="3BE084F3" w14:textId="77777777" w:rsidR="00052C0B" w:rsidRDefault="00052C0B">
      <w:pPr>
        <w:widowControl/>
        <w:spacing w:line="360" w:lineRule="auto"/>
        <w:ind w:firstLine="708"/>
        <w:jc w:val="both"/>
        <w:rPr>
          <w:rFonts w:ascii="TimesNewRoman" w:eastAsia="Calibri" w:hAnsi="TimesNewRoman" w:cs="TimesNewRoman"/>
          <w:color w:val="auto"/>
          <w:sz w:val="23"/>
          <w:szCs w:val="23"/>
          <w:lang w:eastAsia="en-US" w:bidi="ar-SA"/>
        </w:rPr>
      </w:pPr>
    </w:p>
    <w:p w14:paraId="3BE084F4" w14:textId="77777777" w:rsidR="00052C0B" w:rsidRDefault="00052C0B">
      <w:pPr>
        <w:widowControl/>
        <w:spacing w:line="360" w:lineRule="auto"/>
        <w:ind w:firstLine="708"/>
        <w:jc w:val="both"/>
        <w:rPr>
          <w:rFonts w:ascii="TimesNewRoman" w:eastAsia="Calibri" w:hAnsi="TimesNewRoman" w:cs="TimesNewRoman"/>
          <w:color w:val="auto"/>
          <w:sz w:val="23"/>
          <w:szCs w:val="23"/>
          <w:lang w:eastAsia="en-US" w:bidi="ar-SA"/>
        </w:rPr>
      </w:pPr>
    </w:p>
    <w:p w14:paraId="3BE084F5" w14:textId="77777777" w:rsidR="00052C0B" w:rsidRDefault="00052C0B">
      <w:pPr>
        <w:widowControl/>
        <w:spacing w:line="360" w:lineRule="auto"/>
        <w:ind w:firstLine="708"/>
        <w:jc w:val="both"/>
        <w:rPr>
          <w:rFonts w:ascii="TimesNewRoman" w:eastAsia="Calibri" w:hAnsi="TimesNewRoman" w:cs="TimesNewRoman"/>
          <w:color w:val="auto"/>
          <w:sz w:val="23"/>
          <w:szCs w:val="23"/>
          <w:lang w:eastAsia="en-US" w:bidi="ar-SA"/>
        </w:rPr>
      </w:pPr>
    </w:p>
    <w:p w14:paraId="3BE084F6" w14:textId="77777777" w:rsidR="00052C0B" w:rsidRDefault="00052C0B">
      <w:pPr>
        <w:widowControl/>
        <w:spacing w:line="360" w:lineRule="auto"/>
        <w:ind w:firstLine="708"/>
        <w:jc w:val="both"/>
        <w:rPr>
          <w:rFonts w:ascii="TimesNewRoman" w:eastAsia="Calibri" w:hAnsi="TimesNewRoman" w:cs="TimesNewRoman"/>
          <w:color w:val="auto"/>
          <w:sz w:val="23"/>
          <w:szCs w:val="23"/>
          <w:lang w:eastAsia="en-US" w:bidi="ar-SA"/>
        </w:rPr>
      </w:pPr>
    </w:p>
    <w:p w14:paraId="3BE084F7" w14:textId="77777777" w:rsidR="00052C0B" w:rsidRDefault="00052C0B">
      <w:pPr>
        <w:widowControl/>
        <w:spacing w:line="360" w:lineRule="auto"/>
        <w:ind w:firstLine="708"/>
        <w:jc w:val="both"/>
        <w:rPr>
          <w:rFonts w:ascii="TimesNewRoman" w:eastAsia="Calibri" w:hAnsi="TimesNewRoman" w:cs="TimesNewRoman"/>
          <w:color w:val="auto"/>
          <w:sz w:val="23"/>
          <w:szCs w:val="23"/>
          <w:lang w:eastAsia="en-US" w:bidi="ar-SA"/>
        </w:rPr>
      </w:pPr>
    </w:p>
    <w:p w14:paraId="3BE084F8" w14:textId="77777777" w:rsidR="00052C0B" w:rsidRDefault="00052C0B">
      <w:pPr>
        <w:widowControl/>
        <w:spacing w:line="360" w:lineRule="auto"/>
        <w:ind w:firstLine="708"/>
        <w:jc w:val="both"/>
        <w:rPr>
          <w:rFonts w:ascii="TimesNewRoman" w:eastAsia="Calibri" w:hAnsi="TimesNewRoman" w:cs="TimesNewRoman"/>
          <w:color w:val="auto"/>
          <w:sz w:val="23"/>
          <w:szCs w:val="23"/>
          <w:lang w:eastAsia="en-US" w:bidi="ar-SA"/>
        </w:rPr>
      </w:pPr>
    </w:p>
    <w:p w14:paraId="3BE084F9" w14:textId="77777777" w:rsidR="00052C0B" w:rsidRDefault="00052C0B">
      <w:pPr>
        <w:widowControl/>
        <w:spacing w:line="360" w:lineRule="auto"/>
        <w:ind w:firstLine="708"/>
        <w:jc w:val="both"/>
        <w:rPr>
          <w:rFonts w:ascii="TimesNewRoman" w:eastAsia="Calibri" w:hAnsi="TimesNewRoman" w:cs="TimesNewRoman"/>
          <w:color w:val="auto"/>
          <w:sz w:val="23"/>
          <w:szCs w:val="23"/>
          <w:lang w:eastAsia="en-US" w:bidi="ar-SA"/>
        </w:rPr>
      </w:pPr>
    </w:p>
    <w:p w14:paraId="3BE084FA" w14:textId="77777777" w:rsidR="00052C0B" w:rsidRDefault="00052C0B">
      <w:pPr>
        <w:widowControl/>
        <w:spacing w:line="360" w:lineRule="auto"/>
        <w:ind w:firstLine="708"/>
        <w:jc w:val="both"/>
        <w:rPr>
          <w:rFonts w:ascii="TimesNewRoman" w:eastAsia="Calibri" w:hAnsi="TimesNewRoman" w:cs="TimesNewRoman"/>
          <w:color w:val="auto"/>
          <w:sz w:val="23"/>
          <w:szCs w:val="23"/>
          <w:lang w:eastAsia="en-US" w:bidi="ar-SA"/>
        </w:rPr>
      </w:pPr>
    </w:p>
    <w:p w14:paraId="3BE084FB" w14:textId="77777777" w:rsidR="00052C0B" w:rsidRDefault="00052C0B">
      <w:pPr>
        <w:widowControl/>
        <w:spacing w:line="360" w:lineRule="auto"/>
        <w:ind w:firstLine="708"/>
        <w:jc w:val="both"/>
        <w:rPr>
          <w:rFonts w:ascii="TimesNewRoman" w:eastAsia="Calibri" w:hAnsi="TimesNewRoman" w:cs="TimesNewRoman"/>
          <w:color w:val="auto"/>
          <w:sz w:val="23"/>
          <w:szCs w:val="23"/>
          <w:lang w:eastAsia="en-US" w:bidi="ar-SA"/>
        </w:rPr>
      </w:pPr>
    </w:p>
    <w:p w14:paraId="3BE084FC" w14:textId="77777777" w:rsidR="00052C0B" w:rsidRDefault="00052C0B">
      <w:pPr>
        <w:widowControl/>
        <w:spacing w:line="360" w:lineRule="auto"/>
        <w:ind w:firstLine="708"/>
        <w:jc w:val="both"/>
        <w:rPr>
          <w:rFonts w:ascii="TimesNewRoman" w:eastAsia="Calibri" w:hAnsi="TimesNewRoman" w:cs="TimesNewRoman"/>
          <w:color w:val="auto"/>
          <w:sz w:val="23"/>
          <w:szCs w:val="23"/>
          <w:lang w:eastAsia="en-US" w:bidi="ar-SA"/>
        </w:rPr>
      </w:pPr>
    </w:p>
    <w:p w14:paraId="3BE084FD" w14:textId="77777777" w:rsidR="00052C0B" w:rsidRDefault="00052C0B">
      <w:pPr>
        <w:widowControl/>
        <w:spacing w:line="360" w:lineRule="auto"/>
        <w:ind w:firstLine="708"/>
        <w:jc w:val="both"/>
        <w:rPr>
          <w:rFonts w:ascii="TimesNewRoman" w:eastAsia="Calibri" w:hAnsi="TimesNewRoman" w:cs="TimesNewRoman"/>
          <w:color w:val="auto"/>
          <w:sz w:val="23"/>
          <w:szCs w:val="23"/>
          <w:lang w:eastAsia="en-US" w:bidi="ar-SA"/>
        </w:rPr>
      </w:pPr>
    </w:p>
    <w:p w14:paraId="3BE084FE" w14:textId="77777777" w:rsidR="00052C0B" w:rsidRDefault="00052C0B">
      <w:pPr>
        <w:widowControl/>
        <w:spacing w:line="360" w:lineRule="auto"/>
        <w:ind w:firstLine="708"/>
        <w:jc w:val="both"/>
        <w:rPr>
          <w:rFonts w:ascii="TimesNewRoman" w:eastAsia="Calibri" w:hAnsi="TimesNewRoman" w:cs="TimesNewRoman"/>
          <w:color w:val="auto"/>
          <w:sz w:val="23"/>
          <w:szCs w:val="23"/>
          <w:lang w:eastAsia="en-US" w:bidi="ar-SA"/>
        </w:rPr>
      </w:pPr>
    </w:p>
    <w:p w14:paraId="3BE084FF" w14:textId="77777777" w:rsidR="00052C0B" w:rsidRDefault="00052C0B">
      <w:pPr>
        <w:widowControl/>
        <w:spacing w:line="360" w:lineRule="auto"/>
        <w:ind w:firstLine="708"/>
        <w:jc w:val="both"/>
        <w:rPr>
          <w:rFonts w:ascii="TimesNewRoman" w:eastAsia="Calibri" w:hAnsi="TimesNewRoman" w:cs="TimesNewRoman"/>
          <w:color w:val="auto"/>
          <w:sz w:val="23"/>
          <w:szCs w:val="23"/>
          <w:lang w:eastAsia="en-US" w:bidi="ar-SA"/>
        </w:rPr>
      </w:pPr>
    </w:p>
    <w:p w14:paraId="3BE08500" w14:textId="77777777" w:rsidR="00052C0B" w:rsidRDefault="00052C0B">
      <w:pPr>
        <w:widowControl/>
        <w:spacing w:line="360" w:lineRule="auto"/>
        <w:ind w:firstLine="708"/>
        <w:jc w:val="both"/>
        <w:rPr>
          <w:rFonts w:ascii="TimesNewRoman" w:eastAsia="Calibri" w:hAnsi="TimesNewRoman" w:cs="TimesNewRoman"/>
          <w:color w:val="auto"/>
          <w:sz w:val="23"/>
          <w:szCs w:val="23"/>
          <w:lang w:eastAsia="en-US" w:bidi="ar-SA"/>
        </w:rPr>
      </w:pPr>
    </w:p>
    <w:p w14:paraId="3BE08501" w14:textId="77777777" w:rsidR="00052C0B" w:rsidRDefault="00052C0B">
      <w:pPr>
        <w:widowControl/>
        <w:spacing w:line="360" w:lineRule="auto"/>
        <w:ind w:firstLine="708"/>
        <w:jc w:val="both"/>
        <w:rPr>
          <w:rFonts w:ascii="TimesNewRoman" w:eastAsia="Calibri" w:hAnsi="TimesNewRoman" w:cs="TimesNewRoman"/>
          <w:color w:val="auto"/>
          <w:sz w:val="23"/>
          <w:szCs w:val="23"/>
          <w:lang w:eastAsia="en-US" w:bidi="ar-SA"/>
        </w:rPr>
      </w:pPr>
    </w:p>
    <w:p w14:paraId="3BE08502" w14:textId="77777777" w:rsidR="00052C0B" w:rsidRDefault="00052C0B">
      <w:pPr>
        <w:widowControl/>
        <w:spacing w:line="360" w:lineRule="auto"/>
        <w:ind w:firstLine="708"/>
        <w:jc w:val="both"/>
        <w:rPr>
          <w:rFonts w:ascii="TimesNewRoman" w:eastAsia="Calibri" w:hAnsi="TimesNewRoman" w:cs="TimesNewRoman"/>
          <w:color w:val="auto"/>
          <w:sz w:val="23"/>
          <w:szCs w:val="23"/>
          <w:lang w:eastAsia="en-US" w:bidi="ar-SA"/>
        </w:rPr>
      </w:pPr>
    </w:p>
    <w:p w14:paraId="3BE08503" w14:textId="77777777" w:rsidR="00052C0B" w:rsidRDefault="00052C0B">
      <w:pPr>
        <w:widowControl/>
        <w:spacing w:line="360" w:lineRule="auto"/>
        <w:ind w:firstLine="708"/>
        <w:jc w:val="both"/>
        <w:rPr>
          <w:rFonts w:ascii="TimesNewRoman" w:eastAsia="Calibri" w:hAnsi="TimesNewRoman" w:cs="TimesNewRoman"/>
          <w:color w:val="auto"/>
          <w:sz w:val="23"/>
          <w:szCs w:val="23"/>
          <w:lang w:eastAsia="en-US" w:bidi="ar-SA"/>
        </w:rPr>
      </w:pPr>
    </w:p>
    <w:p w14:paraId="3BE08504" w14:textId="77777777" w:rsidR="00052C0B" w:rsidRDefault="00052C0B">
      <w:pPr>
        <w:widowControl/>
        <w:spacing w:line="360" w:lineRule="auto"/>
        <w:ind w:firstLine="708"/>
        <w:jc w:val="both"/>
        <w:rPr>
          <w:rFonts w:ascii="TimesNewRoman" w:eastAsia="Calibri" w:hAnsi="TimesNewRoman" w:cs="TimesNewRoman"/>
          <w:color w:val="auto"/>
          <w:sz w:val="23"/>
          <w:szCs w:val="23"/>
          <w:lang w:eastAsia="en-US" w:bidi="ar-SA"/>
        </w:rPr>
      </w:pPr>
    </w:p>
    <w:p w14:paraId="3BE08505" w14:textId="77777777" w:rsidR="00052C0B" w:rsidRDefault="00052C0B">
      <w:pPr>
        <w:widowControl/>
        <w:spacing w:line="360" w:lineRule="auto"/>
        <w:ind w:firstLine="708"/>
        <w:jc w:val="both"/>
        <w:rPr>
          <w:rFonts w:ascii="TimesNewRoman" w:eastAsia="Calibri" w:hAnsi="TimesNewRoman" w:cs="TimesNewRoman"/>
          <w:color w:val="auto"/>
          <w:sz w:val="23"/>
          <w:szCs w:val="23"/>
          <w:lang w:eastAsia="en-US" w:bidi="ar-SA"/>
        </w:rPr>
      </w:pPr>
    </w:p>
    <w:p w14:paraId="3BE08506" w14:textId="77777777" w:rsidR="00052C0B" w:rsidRDefault="00052C0B">
      <w:pPr>
        <w:widowControl/>
        <w:spacing w:line="360" w:lineRule="auto"/>
        <w:ind w:firstLine="708"/>
        <w:jc w:val="both"/>
        <w:rPr>
          <w:rFonts w:ascii="TimesNewRoman" w:eastAsia="Calibri" w:hAnsi="TimesNewRoman" w:cs="TimesNewRoman"/>
          <w:color w:val="auto"/>
          <w:sz w:val="23"/>
          <w:szCs w:val="23"/>
          <w:lang w:eastAsia="en-US" w:bidi="ar-SA"/>
        </w:rPr>
      </w:pPr>
    </w:p>
    <w:p w14:paraId="3BE08507" w14:textId="77777777" w:rsidR="00052C0B" w:rsidRDefault="00052C0B">
      <w:pPr>
        <w:widowControl/>
        <w:spacing w:line="360" w:lineRule="auto"/>
        <w:ind w:firstLine="708"/>
        <w:jc w:val="both"/>
        <w:rPr>
          <w:rFonts w:ascii="TimesNewRoman" w:eastAsia="Calibri" w:hAnsi="TimesNewRoman" w:cs="TimesNewRoman"/>
          <w:color w:val="auto"/>
          <w:sz w:val="23"/>
          <w:szCs w:val="23"/>
          <w:lang w:eastAsia="en-US" w:bidi="ar-SA"/>
        </w:rPr>
      </w:pPr>
    </w:p>
    <w:p w14:paraId="3BE08508" w14:textId="278B9453" w:rsidR="00052C0B" w:rsidRDefault="00052C0B">
      <w:pPr>
        <w:widowControl/>
        <w:spacing w:line="360" w:lineRule="auto"/>
        <w:ind w:firstLine="708"/>
        <w:jc w:val="both"/>
        <w:rPr>
          <w:rFonts w:ascii="TimesNewRoman" w:eastAsia="Calibri" w:hAnsi="TimesNewRoman" w:cs="TimesNewRoman"/>
          <w:color w:val="auto"/>
          <w:sz w:val="23"/>
          <w:szCs w:val="23"/>
          <w:lang w:eastAsia="en-US" w:bidi="ar-SA"/>
        </w:rPr>
      </w:pPr>
    </w:p>
    <w:p w14:paraId="30C60693" w14:textId="1345470C" w:rsidR="00826708" w:rsidRDefault="00826708">
      <w:pPr>
        <w:widowControl/>
        <w:spacing w:line="360" w:lineRule="auto"/>
        <w:ind w:firstLine="708"/>
        <w:jc w:val="both"/>
        <w:rPr>
          <w:rFonts w:ascii="TimesNewRoman" w:eastAsia="Calibri" w:hAnsi="TimesNewRoman" w:cs="TimesNewRoman"/>
          <w:color w:val="auto"/>
          <w:sz w:val="23"/>
          <w:szCs w:val="23"/>
          <w:lang w:eastAsia="en-US" w:bidi="ar-SA"/>
        </w:rPr>
      </w:pPr>
    </w:p>
    <w:p w14:paraId="63C34F8E" w14:textId="0F69B131" w:rsidR="00826708" w:rsidRDefault="00826708">
      <w:pPr>
        <w:widowControl/>
        <w:spacing w:line="360" w:lineRule="auto"/>
        <w:ind w:firstLine="708"/>
        <w:jc w:val="both"/>
        <w:rPr>
          <w:rFonts w:ascii="TimesNewRoman" w:eastAsia="Calibri" w:hAnsi="TimesNewRoman" w:cs="TimesNewRoman"/>
          <w:color w:val="auto"/>
          <w:sz w:val="23"/>
          <w:szCs w:val="23"/>
          <w:lang w:eastAsia="en-US" w:bidi="ar-SA"/>
        </w:rPr>
      </w:pPr>
    </w:p>
    <w:p w14:paraId="64BF63D0" w14:textId="6E2C3921" w:rsidR="00826708" w:rsidRDefault="00826708">
      <w:pPr>
        <w:widowControl/>
        <w:spacing w:line="360" w:lineRule="auto"/>
        <w:ind w:firstLine="708"/>
        <w:jc w:val="both"/>
        <w:rPr>
          <w:rFonts w:ascii="TimesNewRoman" w:eastAsia="Calibri" w:hAnsi="TimesNewRoman" w:cs="TimesNewRoman"/>
          <w:color w:val="auto"/>
          <w:sz w:val="23"/>
          <w:szCs w:val="23"/>
          <w:lang w:eastAsia="en-US" w:bidi="ar-SA"/>
        </w:rPr>
      </w:pPr>
    </w:p>
    <w:p w14:paraId="3198A16C" w14:textId="0A4BA131" w:rsidR="00826708" w:rsidRDefault="00826708">
      <w:pPr>
        <w:widowControl/>
        <w:spacing w:line="360" w:lineRule="auto"/>
        <w:ind w:firstLine="708"/>
        <w:jc w:val="both"/>
        <w:rPr>
          <w:rFonts w:ascii="TimesNewRoman" w:eastAsia="Calibri" w:hAnsi="TimesNewRoman" w:cs="TimesNewRoman"/>
          <w:color w:val="auto"/>
          <w:sz w:val="23"/>
          <w:szCs w:val="23"/>
          <w:lang w:eastAsia="en-US" w:bidi="ar-SA"/>
        </w:rPr>
      </w:pPr>
    </w:p>
    <w:p w14:paraId="12739B50" w14:textId="55A7A744" w:rsidR="00826708" w:rsidRDefault="00826708">
      <w:pPr>
        <w:widowControl/>
        <w:spacing w:line="360" w:lineRule="auto"/>
        <w:ind w:firstLine="708"/>
        <w:jc w:val="both"/>
        <w:rPr>
          <w:rFonts w:ascii="TimesNewRoman" w:eastAsia="Calibri" w:hAnsi="TimesNewRoman" w:cs="TimesNewRoman"/>
          <w:color w:val="auto"/>
          <w:sz w:val="23"/>
          <w:szCs w:val="23"/>
          <w:lang w:eastAsia="en-US" w:bidi="ar-SA"/>
        </w:rPr>
      </w:pPr>
    </w:p>
    <w:p w14:paraId="1BC8C0DC" w14:textId="1CE57F9D" w:rsidR="00826708" w:rsidRDefault="00826708">
      <w:pPr>
        <w:widowControl/>
        <w:spacing w:line="360" w:lineRule="auto"/>
        <w:ind w:firstLine="708"/>
        <w:jc w:val="both"/>
        <w:rPr>
          <w:rFonts w:ascii="TimesNewRoman" w:eastAsia="Calibri" w:hAnsi="TimesNewRoman" w:cs="TimesNewRoman"/>
          <w:color w:val="auto"/>
          <w:sz w:val="23"/>
          <w:szCs w:val="23"/>
          <w:lang w:eastAsia="en-US" w:bidi="ar-SA"/>
        </w:rPr>
      </w:pPr>
    </w:p>
    <w:p w14:paraId="2B5D7125" w14:textId="4C1BE8A2" w:rsidR="00826708" w:rsidRDefault="00826708">
      <w:pPr>
        <w:widowControl/>
        <w:spacing w:line="360" w:lineRule="auto"/>
        <w:ind w:firstLine="708"/>
        <w:jc w:val="both"/>
        <w:rPr>
          <w:rFonts w:ascii="TimesNewRoman" w:eastAsia="Calibri" w:hAnsi="TimesNewRoman" w:cs="TimesNewRoman"/>
          <w:color w:val="auto"/>
          <w:sz w:val="23"/>
          <w:szCs w:val="23"/>
          <w:lang w:eastAsia="en-US" w:bidi="ar-SA"/>
        </w:rPr>
      </w:pPr>
    </w:p>
    <w:p w14:paraId="65B859B4" w14:textId="3087A248" w:rsidR="00826708" w:rsidRDefault="00826708">
      <w:pPr>
        <w:widowControl/>
        <w:spacing w:line="360" w:lineRule="auto"/>
        <w:ind w:firstLine="708"/>
        <w:jc w:val="both"/>
        <w:rPr>
          <w:rFonts w:ascii="TimesNewRoman" w:eastAsia="Calibri" w:hAnsi="TimesNewRoman" w:cs="TimesNewRoman"/>
          <w:color w:val="auto"/>
          <w:sz w:val="23"/>
          <w:szCs w:val="23"/>
          <w:lang w:eastAsia="en-US" w:bidi="ar-SA"/>
        </w:rPr>
      </w:pPr>
    </w:p>
    <w:p w14:paraId="5E6981E4" w14:textId="21F76D68" w:rsidR="00826708" w:rsidRDefault="00826708">
      <w:pPr>
        <w:widowControl/>
        <w:spacing w:line="360" w:lineRule="auto"/>
        <w:ind w:firstLine="708"/>
        <w:jc w:val="both"/>
        <w:rPr>
          <w:rFonts w:ascii="TimesNewRoman" w:eastAsia="Calibri" w:hAnsi="TimesNewRoman" w:cs="TimesNewRoman"/>
          <w:color w:val="auto"/>
          <w:sz w:val="23"/>
          <w:szCs w:val="23"/>
          <w:lang w:eastAsia="en-US" w:bidi="ar-SA"/>
        </w:rPr>
      </w:pPr>
    </w:p>
    <w:p w14:paraId="2C2CFAD6" w14:textId="22A75D79" w:rsidR="00826708" w:rsidRDefault="00826708">
      <w:pPr>
        <w:widowControl/>
        <w:spacing w:line="360" w:lineRule="auto"/>
        <w:ind w:firstLine="708"/>
        <w:jc w:val="both"/>
        <w:rPr>
          <w:rFonts w:ascii="TimesNewRoman" w:eastAsia="Calibri" w:hAnsi="TimesNewRoman" w:cs="TimesNewRoman"/>
          <w:color w:val="auto"/>
          <w:sz w:val="23"/>
          <w:szCs w:val="23"/>
          <w:lang w:eastAsia="en-US" w:bidi="ar-SA"/>
        </w:rPr>
      </w:pPr>
    </w:p>
    <w:p w14:paraId="09B9A495" w14:textId="4A2041B2" w:rsidR="00826708" w:rsidRDefault="00826708">
      <w:pPr>
        <w:widowControl/>
        <w:spacing w:line="360" w:lineRule="auto"/>
        <w:ind w:firstLine="708"/>
        <w:jc w:val="both"/>
        <w:rPr>
          <w:rFonts w:ascii="TimesNewRoman" w:eastAsia="Calibri" w:hAnsi="TimesNewRoman" w:cs="TimesNewRoman"/>
          <w:color w:val="auto"/>
          <w:sz w:val="23"/>
          <w:szCs w:val="23"/>
          <w:lang w:eastAsia="en-US" w:bidi="ar-SA"/>
        </w:rPr>
      </w:pPr>
    </w:p>
    <w:p w14:paraId="5285339D" w14:textId="24B0FB19" w:rsidR="00826708" w:rsidRDefault="00826708">
      <w:pPr>
        <w:widowControl/>
        <w:spacing w:line="360" w:lineRule="auto"/>
        <w:ind w:firstLine="708"/>
        <w:jc w:val="both"/>
        <w:rPr>
          <w:rFonts w:ascii="TimesNewRoman" w:eastAsia="Calibri" w:hAnsi="TimesNewRoman" w:cs="TimesNewRoman"/>
          <w:color w:val="auto"/>
          <w:sz w:val="23"/>
          <w:szCs w:val="23"/>
          <w:lang w:eastAsia="en-US" w:bidi="ar-SA"/>
        </w:rPr>
      </w:pPr>
    </w:p>
    <w:p w14:paraId="349DC1B4" w14:textId="77777777" w:rsidR="00826708" w:rsidRDefault="00826708">
      <w:pPr>
        <w:widowControl/>
        <w:spacing w:line="360" w:lineRule="auto"/>
        <w:ind w:firstLine="708"/>
        <w:jc w:val="both"/>
        <w:rPr>
          <w:rFonts w:ascii="TimesNewRoman" w:eastAsia="Calibri" w:hAnsi="TimesNewRoman" w:cs="TimesNewRoman"/>
          <w:color w:val="auto"/>
          <w:sz w:val="23"/>
          <w:szCs w:val="23"/>
          <w:lang w:eastAsia="en-US" w:bidi="ar-SA"/>
        </w:rPr>
      </w:pPr>
    </w:p>
    <w:p w14:paraId="3BE08509" w14:textId="77777777" w:rsidR="00052C0B" w:rsidRDefault="00052C0B">
      <w:pPr>
        <w:widowControl/>
        <w:spacing w:line="360" w:lineRule="auto"/>
        <w:ind w:firstLine="708"/>
        <w:jc w:val="both"/>
        <w:rPr>
          <w:rFonts w:ascii="TimesNewRoman" w:eastAsia="Calibri" w:hAnsi="TimesNewRoman" w:cs="TimesNewRoman"/>
          <w:color w:val="auto"/>
          <w:sz w:val="23"/>
          <w:szCs w:val="23"/>
          <w:lang w:eastAsia="en-US" w:bidi="ar-SA"/>
        </w:rPr>
      </w:pPr>
    </w:p>
    <w:p w14:paraId="3BE0850A" w14:textId="77777777" w:rsidR="00052C0B" w:rsidRDefault="006E6CE8">
      <w:pPr>
        <w:spacing w:line="360" w:lineRule="auto"/>
        <w:jc w:val="center"/>
        <w:rPr>
          <w:rFonts w:ascii="Times New Roman" w:eastAsia="Microsoft YaHei" w:hAnsi="Times New Roman" w:cs="Times New Roman"/>
          <w:b/>
          <w:color w:val="auto"/>
          <w:sz w:val="28"/>
          <w:szCs w:val="28"/>
        </w:rPr>
      </w:pPr>
      <w:r>
        <w:rPr>
          <w:rFonts w:ascii="Times New Roman" w:eastAsia="Microsoft YaHei" w:hAnsi="Times New Roman" w:cs="Times New Roman"/>
          <w:b/>
          <w:color w:val="auto"/>
          <w:sz w:val="28"/>
          <w:szCs w:val="28"/>
        </w:rPr>
        <w:lastRenderedPageBreak/>
        <w:t>ЗМІСТ</w:t>
      </w:r>
    </w:p>
    <w:tbl>
      <w:tblPr>
        <w:tblStyle w:val="15"/>
        <w:tblW w:w="5304" w:type="pct"/>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69"/>
        <w:gridCol w:w="554"/>
      </w:tblGrid>
      <w:tr w:rsidR="00052C0B" w14:paraId="3BE0850D" w14:textId="77777777">
        <w:tc>
          <w:tcPr>
            <w:tcW w:w="4721" w:type="pct"/>
          </w:tcPr>
          <w:p w14:paraId="3BE0850B" w14:textId="77777777" w:rsidR="00052C0B" w:rsidRDefault="006E6CE8">
            <w:pPr>
              <w:rPr>
                <w:rFonts w:ascii="Times New Roman" w:eastAsia="Microsoft YaHei" w:hAnsi="Times New Roman" w:cs="Microsoft YaHei"/>
                <w:b/>
                <w:color w:val="auto"/>
                <w:sz w:val="28"/>
                <w:szCs w:val="28"/>
                <w:lang w:eastAsia="en-US"/>
              </w:rPr>
            </w:pPr>
            <w:r>
              <w:rPr>
                <w:rFonts w:ascii="Times New Roman" w:eastAsia="Microsoft YaHei" w:hAnsi="Times New Roman" w:cs="Times New Roman"/>
                <w:b/>
                <w:color w:val="auto"/>
                <w:sz w:val="28"/>
                <w:szCs w:val="28"/>
                <w:lang w:eastAsia="en-US"/>
              </w:rPr>
              <w:t xml:space="preserve">ВСТУП </w:t>
            </w:r>
            <w:r>
              <w:rPr>
                <w:rFonts w:ascii="Times New Roman" w:eastAsia="Microsoft YaHei" w:hAnsi="Times New Roman" w:cs="Times New Roman"/>
                <w:color w:val="auto"/>
                <w:sz w:val="28"/>
                <w:szCs w:val="28"/>
                <w:lang w:eastAsia="en-US"/>
              </w:rPr>
              <w:t>………………………………………………………………….</w:t>
            </w:r>
          </w:p>
        </w:tc>
        <w:tc>
          <w:tcPr>
            <w:tcW w:w="279" w:type="pct"/>
          </w:tcPr>
          <w:p w14:paraId="3BE0850C" w14:textId="77777777" w:rsidR="00052C0B" w:rsidRDefault="006E6CE8">
            <w:pPr>
              <w:jc w:val="center"/>
              <w:rPr>
                <w:rFonts w:ascii="Times New Roman" w:eastAsia="Microsoft YaHei" w:hAnsi="Times New Roman" w:cs="Times New Roman"/>
                <w:bCs/>
                <w:color w:val="auto"/>
                <w:sz w:val="28"/>
                <w:szCs w:val="28"/>
                <w:lang w:eastAsia="en-US"/>
              </w:rPr>
            </w:pPr>
            <w:r>
              <w:rPr>
                <w:rFonts w:ascii="Times New Roman" w:eastAsia="Microsoft YaHei" w:hAnsi="Times New Roman" w:cs="Times New Roman"/>
                <w:b/>
                <w:bCs/>
                <w:color w:val="auto"/>
                <w:sz w:val="28"/>
                <w:szCs w:val="28"/>
                <w:lang w:eastAsia="en-US"/>
              </w:rPr>
              <w:t>5</w:t>
            </w:r>
          </w:p>
        </w:tc>
      </w:tr>
      <w:tr w:rsidR="00052C0B" w14:paraId="3BE08513" w14:textId="77777777">
        <w:tc>
          <w:tcPr>
            <w:tcW w:w="4721" w:type="pct"/>
          </w:tcPr>
          <w:p w14:paraId="3BE0850E" w14:textId="77777777" w:rsidR="00052C0B" w:rsidRDefault="00052C0B">
            <w:pPr>
              <w:rPr>
                <w:rFonts w:ascii="Times New Roman" w:eastAsia="Microsoft YaHei" w:hAnsi="Times New Roman" w:cs="Microsoft YaHei"/>
                <w:b/>
                <w:caps/>
                <w:color w:val="auto"/>
                <w:sz w:val="28"/>
                <w:szCs w:val="28"/>
              </w:rPr>
            </w:pPr>
          </w:p>
          <w:p w14:paraId="3BE0850F" w14:textId="77777777" w:rsidR="00052C0B" w:rsidRDefault="006E6CE8">
            <w:pPr>
              <w:rPr>
                <w:rFonts w:ascii="Times New Roman" w:eastAsia="Microsoft YaHei" w:hAnsi="Times New Roman" w:cs="Times New Roman"/>
                <w:b/>
                <w:caps/>
                <w:color w:val="auto"/>
                <w:sz w:val="28"/>
                <w:szCs w:val="28"/>
                <w:lang w:eastAsia="en-US"/>
              </w:rPr>
            </w:pPr>
            <w:r>
              <w:rPr>
                <w:rFonts w:ascii="Times New Roman" w:eastAsia="Microsoft YaHei" w:hAnsi="Times New Roman" w:cs="Times New Roman"/>
                <w:b/>
                <w:caps/>
                <w:color w:val="auto"/>
                <w:sz w:val="28"/>
                <w:szCs w:val="28"/>
                <w:lang w:eastAsia="en-US"/>
              </w:rPr>
              <w:t>РОЗДІЛ 1. КОНЦЕПТУАЛЬНІ ОСНОВИ ФУНКЦІОНУВАННЯ СИСТЕМ ОХОРОНИ ЗДОРОВ’Я ТА ОРГАНІЗАЦІЙНО-ЕКОНОМІЧНИХ МЕХАНІЗМІВ ЇХ ДЕРЖАВНОГО РЕГУЛЮВАННЯ………………………………………………………………..</w:t>
            </w:r>
          </w:p>
        </w:tc>
        <w:tc>
          <w:tcPr>
            <w:tcW w:w="279" w:type="pct"/>
          </w:tcPr>
          <w:p w14:paraId="3BE08510" w14:textId="77777777" w:rsidR="00052C0B" w:rsidRDefault="00052C0B">
            <w:pPr>
              <w:jc w:val="center"/>
              <w:rPr>
                <w:rFonts w:ascii="Times New Roman" w:eastAsia="Microsoft YaHei" w:hAnsi="Times New Roman" w:cs="Microsoft YaHei"/>
                <w:b/>
                <w:bCs/>
                <w:color w:val="auto"/>
                <w:sz w:val="28"/>
                <w:szCs w:val="28"/>
              </w:rPr>
            </w:pPr>
          </w:p>
          <w:p w14:paraId="3BE08511" w14:textId="77777777" w:rsidR="00052C0B" w:rsidRDefault="00052C0B">
            <w:pPr>
              <w:jc w:val="center"/>
              <w:rPr>
                <w:rFonts w:ascii="Times New Roman" w:eastAsia="Microsoft YaHei" w:hAnsi="Times New Roman" w:cs="Times New Roman"/>
                <w:bCs/>
                <w:color w:val="auto"/>
                <w:sz w:val="28"/>
                <w:szCs w:val="28"/>
                <w:lang w:eastAsia="en-US"/>
              </w:rPr>
            </w:pPr>
          </w:p>
          <w:p w14:paraId="3BE08512" w14:textId="77777777" w:rsidR="00052C0B" w:rsidRDefault="006E6CE8">
            <w:pPr>
              <w:jc w:val="center"/>
              <w:rPr>
                <w:rFonts w:ascii="Times New Roman" w:eastAsia="Microsoft YaHei" w:hAnsi="Times New Roman" w:cs="Times New Roman"/>
                <w:bCs/>
                <w:color w:val="auto"/>
                <w:sz w:val="28"/>
                <w:szCs w:val="28"/>
                <w:lang w:eastAsia="en-US"/>
              </w:rPr>
            </w:pPr>
            <w:r>
              <w:rPr>
                <w:rFonts w:ascii="Times New Roman" w:eastAsia="Microsoft YaHei" w:hAnsi="Times New Roman" w:cs="Times New Roman"/>
                <w:b/>
                <w:bCs/>
                <w:color w:val="auto"/>
                <w:sz w:val="28"/>
                <w:szCs w:val="28"/>
                <w:lang w:eastAsia="en-US"/>
              </w:rPr>
              <w:t>10</w:t>
            </w:r>
          </w:p>
        </w:tc>
      </w:tr>
      <w:tr w:rsidR="00052C0B" w14:paraId="3BE08517" w14:textId="77777777">
        <w:tc>
          <w:tcPr>
            <w:tcW w:w="4721" w:type="pct"/>
          </w:tcPr>
          <w:p w14:paraId="3BE08514" w14:textId="77777777" w:rsidR="00052C0B" w:rsidRDefault="006E6CE8">
            <w:pPr>
              <w:numPr>
                <w:ilvl w:val="1"/>
                <w:numId w:val="12"/>
              </w:numPr>
              <w:ind w:left="0" w:firstLine="0"/>
              <w:contextualSpacing/>
              <w:rPr>
                <w:rFonts w:ascii="Times New Roman" w:eastAsia="Microsoft YaHei" w:hAnsi="Times New Roman" w:cs="Times New Roman"/>
                <w:color w:val="auto"/>
                <w:sz w:val="28"/>
                <w:szCs w:val="28"/>
              </w:rPr>
            </w:pPr>
            <w:r>
              <w:rPr>
                <w:rFonts w:ascii="Times New Roman" w:hAnsi="Times New Roman" w:cs="Times New Roman"/>
                <w:sz w:val="28"/>
                <w:szCs w:val="28"/>
              </w:rPr>
              <w:t xml:space="preserve">Базові </w:t>
            </w:r>
            <w:r>
              <w:rPr>
                <w:rFonts w:ascii="Times New Roman" w:eastAsia="Malgun Gothic Semilight" w:hAnsi="Times New Roman" w:cs="Times New Roman"/>
                <w:sz w:val="28"/>
                <w:szCs w:val="28"/>
              </w:rPr>
              <w:t>принципи</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та</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структурн</w:t>
            </w:r>
            <w:r>
              <w:rPr>
                <w:rFonts w:ascii="Times New Roman" w:hAnsi="Times New Roman" w:cs="Times New Roman"/>
                <w:sz w:val="28"/>
                <w:szCs w:val="28"/>
              </w:rPr>
              <w:t xml:space="preserve">і </w:t>
            </w:r>
            <w:r>
              <w:rPr>
                <w:rFonts w:ascii="Times New Roman" w:eastAsia="Malgun Gothic Semilight" w:hAnsi="Times New Roman" w:cs="Times New Roman"/>
                <w:sz w:val="28"/>
                <w:szCs w:val="28"/>
              </w:rPr>
              <w:t>модел</w:t>
            </w:r>
            <w:r>
              <w:rPr>
                <w:rFonts w:ascii="Times New Roman" w:hAnsi="Times New Roman" w:cs="Times New Roman"/>
                <w:sz w:val="28"/>
                <w:szCs w:val="28"/>
              </w:rPr>
              <w:t xml:space="preserve">і </w:t>
            </w:r>
            <w:r>
              <w:rPr>
                <w:rFonts w:ascii="Times New Roman" w:eastAsia="Malgun Gothic Semilight" w:hAnsi="Times New Roman" w:cs="Times New Roman"/>
                <w:sz w:val="28"/>
                <w:szCs w:val="28"/>
              </w:rPr>
              <w:t>функц</w:t>
            </w:r>
            <w:r>
              <w:rPr>
                <w:rFonts w:ascii="Times New Roman" w:hAnsi="Times New Roman" w:cs="Times New Roman"/>
                <w:sz w:val="28"/>
                <w:szCs w:val="28"/>
              </w:rPr>
              <w:t>і</w:t>
            </w:r>
            <w:r>
              <w:rPr>
                <w:rFonts w:ascii="Times New Roman" w:eastAsia="Malgun Gothic Semilight" w:hAnsi="Times New Roman" w:cs="Times New Roman"/>
                <w:sz w:val="28"/>
                <w:szCs w:val="28"/>
              </w:rPr>
              <w:t>онування</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систем</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охорони</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здоров’я………………………………………………………………....</w:t>
            </w:r>
          </w:p>
        </w:tc>
        <w:tc>
          <w:tcPr>
            <w:tcW w:w="279" w:type="pct"/>
          </w:tcPr>
          <w:p w14:paraId="3BE08515" w14:textId="77777777" w:rsidR="00052C0B" w:rsidRDefault="00052C0B">
            <w:pPr>
              <w:jc w:val="center"/>
              <w:rPr>
                <w:rFonts w:ascii="Times New Roman" w:eastAsia="Microsoft YaHei" w:hAnsi="Times New Roman" w:cs="Microsoft YaHei"/>
                <w:bCs/>
                <w:color w:val="auto"/>
                <w:sz w:val="28"/>
                <w:szCs w:val="28"/>
              </w:rPr>
            </w:pPr>
          </w:p>
          <w:p w14:paraId="3BE08516" w14:textId="77777777" w:rsidR="00052C0B" w:rsidRDefault="006E6CE8">
            <w:pPr>
              <w:jc w:val="center"/>
              <w:rPr>
                <w:rFonts w:ascii="Times New Roman" w:eastAsia="Microsoft YaHei" w:hAnsi="Times New Roman" w:cs="Times New Roman"/>
                <w:bCs/>
                <w:color w:val="auto"/>
                <w:sz w:val="28"/>
                <w:szCs w:val="28"/>
                <w:lang w:eastAsia="en-US"/>
              </w:rPr>
            </w:pPr>
            <w:r>
              <w:rPr>
                <w:rFonts w:ascii="Times New Roman" w:eastAsia="Microsoft YaHei" w:hAnsi="Times New Roman" w:cs="Times New Roman"/>
                <w:b/>
                <w:bCs/>
                <w:color w:val="auto"/>
                <w:sz w:val="28"/>
                <w:szCs w:val="28"/>
                <w:lang w:eastAsia="en-US"/>
              </w:rPr>
              <w:t>10</w:t>
            </w:r>
          </w:p>
        </w:tc>
      </w:tr>
      <w:tr w:rsidR="00052C0B" w14:paraId="3BE0851B" w14:textId="77777777">
        <w:tc>
          <w:tcPr>
            <w:tcW w:w="4721" w:type="pct"/>
          </w:tcPr>
          <w:p w14:paraId="3BE08518" w14:textId="77777777" w:rsidR="00052C0B" w:rsidRDefault="006E6CE8">
            <w:pPr>
              <w:numPr>
                <w:ilvl w:val="1"/>
                <w:numId w:val="12"/>
              </w:numPr>
              <w:ind w:left="0" w:firstLine="0"/>
              <w:contextualSpacing/>
              <w:rPr>
                <w:rFonts w:ascii="Times New Roman" w:eastAsia="Microsoft YaHei" w:hAnsi="Times New Roman" w:cs="Times New Roman"/>
                <w:color w:val="auto"/>
                <w:sz w:val="28"/>
                <w:szCs w:val="28"/>
              </w:rPr>
            </w:pPr>
            <w:r>
              <w:rPr>
                <w:rFonts w:ascii="Times New Roman" w:hAnsi="Times New Roman" w:cs="Times New Roman"/>
                <w:sz w:val="28"/>
                <w:szCs w:val="28"/>
              </w:rPr>
              <w:t>Сутні</w:t>
            </w:r>
            <w:r>
              <w:rPr>
                <w:rFonts w:ascii="Times New Roman" w:eastAsia="Malgun Gothic Semilight" w:hAnsi="Times New Roman" w:cs="Times New Roman"/>
                <w:sz w:val="28"/>
                <w:szCs w:val="28"/>
              </w:rPr>
              <w:t>сть</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п</w:t>
            </w:r>
            <w:r>
              <w:rPr>
                <w:rFonts w:ascii="Times New Roman" w:hAnsi="Times New Roman" w:cs="Times New Roman"/>
                <w:sz w:val="28"/>
                <w:szCs w:val="28"/>
              </w:rPr>
              <w:t>і</w:t>
            </w:r>
            <w:r>
              <w:rPr>
                <w:rFonts w:ascii="Times New Roman" w:eastAsia="Malgun Gothic Semilight" w:hAnsi="Times New Roman" w:cs="Times New Roman"/>
                <w:sz w:val="28"/>
                <w:szCs w:val="28"/>
              </w:rPr>
              <w:t>дсистеми</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та</w:t>
            </w:r>
            <w:r>
              <w:rPr>
                <w:rFonts w:ascii="Times New Roman" w:hAnsi="Times New Roman" w:cs="Times New Roman"/>
                <w:sz w:val="28"/>
                <w:szCs w:val="28"/>
              </w:rPr>
              <w:t xml:space="preserve"> і</w:t>
            </w:r>
            <w:r>
              <w:rPr>
                <w:rFonts w:ascii="Times New Roman" w:eastAsia="Malgun Gothic Semilight" w:hAnsi="Times New Roman" w:cs="Times New Roman"/>
                <w:sz w:val="28"/>
                <w:szCs w:val="28"/>
              </w:rPr>
              <w:t>нструменти</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орган</w:t>
            </w:r>
            <w:r>
              <w:rPr>
                <w:rFonts w:ascii="Times New Roman" w:hAnsi="Times New Roman" w:cs="Times New Roman"/>
                <w:sz w:val="28"/>
                <w:szCs w:val="28"/>
              </w:rPr>
              <w:t>і</w:t>
            </w:r>
            <w:r>
              <w:rPr>
                <w:rFonts w:ascii="Times New Roman" w:eastAsia="Malgun Gothic Semilight" w:hAnsi="Times New Roman" w:cs="Times New Roman"/>
                <w:sz w:val="28"/>
                <w:szCs w:val="28"/>
              </w:rPr>
              <w:t>зац</w:t>
            </w:r>
            <w:r>
              <w:rPr>
                <w:rFonts w:ascii="Times New Roman" w:hAnsi="Times New Roman" w:cs="Times New Roman"/>
                <w:sz w:val="28"/>
                <w:szCs w:val="28"/>
              </w:rPr>
              <w:t>і</w:t>
            </w:r>
            <w:r>
              <w:rPr>
                <w:rFonts w:ascii="Times New Roman" w:eastAsia="Malgun Gothic Semilight" w:hAnsi="Times New Roman" w:cs="Times New Roman"/>
                <w:sz w:val="28"/>
                <w:szCs w:val="28"/>
              </w:rPr>
              <w:t>йн</w:t>
            </w:r>
            <w:r>
              <w:rPr>
                <w:rFonts w:ascii="Times New Roman" w:hAnsi="Times New Roman" w:cs="Times New Roman"/>
                <w:sz w:val="28"/>
                <w:szCs w:val="28"/>
              </w:rPr>
              <w:t>о-економі</w:t>
            </w:r>
            <w:r>
              <w:rPr>
                <w:rFonts w:ascii="Times New Roman" w:eastAsia="Malgun Gothic Semilight" w:hAnsi="Times New Roman" w:cs="Times New Roman"/>
                <w:sz w:val="28"/>
                <w:szCs w:val="28"/>
              </w:rPr>
              <w:t>чного</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управл</w:t>
            </w:r>
            <w:r>
              <w:rPr>
                <w:rFonts w:ascii="Times New Roman" w:hAnsi="Times New Roman" w:cs="Times New Roman"/>
                <w:sz w:val="28"/>
                <w:szCs w:val="28"/>
              </w:rPr>
              <w:t>і</w:t>
            </w:r>
            <w:r>
              <w:rPr>
                <w:rFonts w:ascii="Times New Roman" w:eastAsia="Malgun Gothic Semilight" w:hAnsi="Times New Roman" w:cs="Times New Roman"/>
                <w:sz w:val="28"/>
                <w:szCs w:val="28"/>
              </w:rPr>
              <w:t>ння</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медичними</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закладами………………………………………………</w:t>
            </w:r>
          </w:p>
        </w:tc>
        <w:tc>
          <w:tcPr>
            <w:tcW w:w="279" w:type="pct"/>
          </w:tcPr>
          <w:p w14:paraId="3BE08519" w14:textId="77777777" w:rsidR="00052C0B" w:rsidRDefault="00052C0B">
            <w:pPr>
              <w:jc w:val="center"/>
              <w:rPr>
                <w:rFonts w:ascii="Times New Roman" w:eastAsia="Microsoft YaHei" w:hAnsi="Times New Roman" w:cs="Microsoft YaHei"/>
                <w:bCs/>
                <w:color w:val="auto"/>
                <w:sz w:val="28"/>
                <w:szCs w:val="28"/>
              </w:rPr>
            </w:pPr>
          </w:p>
          <w:p w14:paraId="3BE0851A" w14:textId="77777777" w:rsidR="00052C0B" w:rsidRDefault="006E6CE8">
            <w:pPr>
              <w:jc w:val="center"/>
              <w:rPr>
                <w:rFonts w:ascii="Times New Roman" w:eastAsia="Microsoft YaHei" w:hAnsi="Times New Roman" w:cs="Times New Roman"/>
                <w:bCs/>
                <w:color w:val="auto"/>
                <w:sz w:val="28"/>
                <w:szCs w:val="28"/>
                <w:lang w:eastAsia="en-US"/>
              </w:rPr>
            </w:pPr>
            <w:r>
              <w:rPr>
                <w:rFonts w:ascii="Times New Roman" w:eastAsia="Microsoft YaHei" w:hAnsi="Times New Roman" w:cs="Times New Roman"/>
                <w:b/>
                <w:bCs/>
                <w:color w:val="auto"/>
                <w:sz w:val="28"/>
                <w:szCs w:val="28"/>
                <w:lang w:eastAsia="en-US"/>
              </w:rPr>
              <w:t>20</w:t>
            </w:r>
          </w:p>
        </w:tc>
      </w:tr>
      <w:tr w:rsidR="00052C0B" w14:paraId="3BE0851F" w14:textId="77777777">
        <w:tc>
          <w:tcPr>
            <w:tcW w:w="4721" w:type="pct"/>
          </w:tcPr>
          <w:p w14:paraId="3BE0851C" w14:textId="77777777" w:rsidR="00052C0B" w:rsidRDefault="006E6CE8">
            <w:pPr>
              <w:numPr>
                <w:ilvl w:val="1"/>
                <w:numId w:val="12"/>
              </w:numPr>
              <w:ind w:left="0" w:firstLine="0"/>
              <w:contextualSpacing/>
              <w:rPr>
                <w:rFonts w:ascii="Times New Roman" w:eastAsia="Microsoft YaHei" w:hAnsi="Times New Roman" w:cs="Times New Roman"/>
                <w:color w:val="auto"/>
                <w:sz w:val="28"/>
                <w:szCs w:val="28"/>
              </w:rPr>
            </w:pPr>
            <w:r>
              <w:rPr>
                <w:rFonts w:ascii="Times New Roman" w:hAnsi="Times New Roman" w:cs="Times New Roman"/>
                <w:sz w:val="28"/>
                <w:szCs w:val="28"/>
              </w:rPr>
              <w:t>Органі</w:t>
            </w:r>
            <w:r>
              <w:rPr>
                <w:rFonts w:ascii="Times New Roman" w:eastAsia="Malgun Gothic Semilight" w:hAnsi="Times New Roman" w:cs="Times New Roman"/>
                <w:sz w:val="28"/>
                <w:szCs w:val="28"/>
              </w:rPr>
              <w:t>зац</w:t>
            </w:r>
            <w:r>
              <w:rPr>
                <w:rFonts w:ascii="Times New Roman" w:hAnsi="Times New Roman" w:cs="Times New Roman"/>
                <w:sz w:val="28"/>
                <w:szCs w:val="28"/>
              </w:rPr>
              <w:t>і</w:t>
            </w:r>
            <w:r>
              <w:rPr>
                <w:rFonts w:ascii="Times New Roman" w:eastAsia="Malgun Gothic Semilight" w:hAnsi="Times New Roman" w:cs="Times New Roman"/>
                <w:sz w:val="28"/>
                <w:szCs w:val="28"/>
              </w:rPr>
              <w:t>йно</w:t>
            </w:r>
            <w:r>
              <w:rPr>
                <w:rFonts w:ascii="Times New Roman" w:hAnsi="Times New Roman" w:cs="Times New Roman"/>
                <w:sz w:val="28"/>
                <w:szCs w:val="28"/>
              </w:rPr>
              <w:t>-</w:t>
            </w:r>
            <w:r>
              <w:rPr>
                <w:rFonts w:ascii="Times New Roman" w:eastAsia="Malgun Gothic Semilight" w:hAnsi="Times New Roman" w:cs="Times New Roman"/>
                <w:sz w:val="28"/>
                <w:szCs w:val="28"/>
              </w:rPr>
              <w:t>економ</w:t>
            </w:r>
            <w:r>
              <w:rPr>
                <w:rFonts w:ascii="Times New Roman" w:hAnsi="Times New Roman" w:cs="Times New Roman"/>
                <w:sz w:val="28"/>
                <w:szCs w:val="28"/>
              </w:rPr>
              <w:t>і</w:t>
            </w:r>
            <w:r>
              <w:rPr>
                <w:rFonts w:ascii="Times New Roman" w:eastAsia="Malgun Gothic Semilight" w:hAnsi="Times New Roman" w:cs="Times New Roman"/>
                <w:sz w:val="28"/>
                <w:szCs w:val="28"/>
              </w:rPr>
              <w:t>чн</w:t>
            </w:r>
            <w:r>
              <w:rPr>
                <w:rFonts w:ascii="Times New Roman" w:hAnsi="Times New Roman" w:cs="Times New Roman"/>
                <w:sz w:val="28"/>
                <w:szCs w:val="28"/>
              </w:rPr>
              <w:t xml:space="preserve">і </w:t>
            </w:r>
            <w:r>
              <w:rPr>
                <w:rFonts w:ascii="Times New Roman" w:eastAsia="Malgun Gothic Semilight" w:hAnsi="Times New Roman" w:cs="Times New Roman"/>
                <w:sz w:val="28"/>
                <w:szCs w:val="28"/>
              </w:rPr>
              <w:t>механ</w:t>
            </w:r>
            <w:r>
              <w:rPr>
                <w:rFonts w:ascii="Times New Roman" w:hAnsi="Times New Roman" w:cs="Times New Roman"/>
                <w:sz w:val="28"/>
                <w:szCs w:val="28"/>
              </w:rPr>
              <w:t>і</w:t>
            </w:r>
            <w:r>
              <w:rPr>
                <w:rFonts w:ascii="Times New Roman" w:eastAsia="Malgun Gothic Semilight" w:hAnsi="Times New Roman" w:cs="Times New Roman"/>
                <w:sz w:val="28"/>
                <w:szCs w:val="28"/>
              </w:rPr>
              <w:t>зми</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як</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ключов</w:t>
            </w:r>
            <w:r>
              <w:rPr>
                <w:rFonts w:ascii="Times New Roman" w:hAnsi="Times New Roman" w:cs="Times New Roman"/>
                <w:sz w:val="28"/>
                <w:szCs w:val="28"/>
              </w:rPr>
              <w:t>і і</w:t>
            </w:r>
            <w:r>
              <w:rPr>
                <w:rFonts w:ascii="Times New Roman" w:eastAsia="Malgun Gothic Semilight" w:hAnsi="Times New Roman" w:cs="Times New Roman"/>
                <w:sz w:val="28"/>
                <w:szCs w:val="28"/>
              </w:rPr>
              <w:t>нструменти</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державного</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впливу</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на</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функц</w:t>
            </w:r>
            <w:r>
              <w:rPr>
                <w:rFonts w:ascii="Times New Roman" w:hAnsi="Times New Roman" w:cs="Times New Roman"/>
                <w:sz w:val="28"/>
                <w:szCs w:val="28"/>
              </w:rPr>
              <w:t>і</w:t>
            </w:r>
            <w:r>
              <w:rPr>
                <w:rFonts w:ascii="Times New Roman" w:eastAsia="Malgun Gothic Semilight" w:hAnsi="Times New Roman" w:cs="Times New Roman"/>
                <w:sz w:val="28"/>
                <w:szCs w:val="28"/>
              </w:rPr>
              <w:t>онування</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медично</w:t>
            </w:r>
            <w:r>
              <w:rPr>
                <w:rFonts w:ascii="Times New Roman" w:hAnsi="Times New Roman" w:cs="Times New Roman"/>
                <w:sz w:val="28"/>
                <w:szCs w:val="28"/>
              </w:rPr>
              <w:t xml:space="preserve">ї </w:t>
            </w:r>
            <w:r>
              <w:rPr>
                <w:rFonts w:ascii="Times New Roman" w:eastAsia="Malgun Gothic Semilight" w:hAnsi="Times New Roman" w:cs="Times New Roman"/>
                <w:sz w:val="28"/>
                <w:szCs w:val="28"/>
              </w:rPr>
              <w:t>системи……………………</w:t>
            </w:r>
          </w:p>
        </w:tc>
        <w:tc>
          <w:tcPr>
            <w:tcW w:w="279" w:type="pct"/>
          </w:tcPr>
          <w:p w14:paraId="3BE0851D" w14:textId="77777777" w:rsidR="00052C0B" w:rsidRDefault="00052C0B">
            <w:pPr>
              <w:jc w:val="center"/>
              <w:rPr>
                <w:rFonts w:ascii="Times New Roman" w:eastAsia="Microsoft YaHei" w:hAnsi="Times New Roman" w:cs="Microsoft YaHei"/>
                <w:bCs/>
                <w:color w:val="auto"/>
                <w:sz w:val="28"/>
                <w:szCs w:val="28"/>
              </w:rPr>
            </w:pPr>
          </w:p>
          <w:p w14:paraId="3BE0851E" w14:textId="77777777" w:rsidR="00052C0B" w:rsidRDefault="006E6CE8">
            <w:pPr>
              <w:jc w:val="center"/>
              <w:rPr>
                <w:rFonts w:ascii="Times New Roman" w:eastAsia="Microsoft YaHei" w:hAnsi="Times New Roman" w:cs="Times New Roman"/>
                <w:bCs/>
                <w:color w:val="auto"/>
                <w:sz w:val="28"/>
                <w:szCs w:val="28"/>
                <w:lang w:eastAsia="en-US"/>
              </w:rPr>
            </w:pPr>
            <w:r>
              <w:rPr>
                <w:rFonts w:ascii="Times New Roman" w:eastAsia="Microsoft YaHei" w:hAnsi="Times New Roman" w:cs="Times New Roman"/>
                <w:b/>
                <w:bCs/>
                <w:color w:val="auto"/>
                <w:sz w:val="28"/>
                <w:szCs w:val="28"/>
                <w:lang w:eastAsia="en-US"/>
              </w:rPr>
              <w:t>24</w:t>
            </w:r>
          </w:p>
        </w:tc>
      </w:tr>
      <w:tr w:rsidR="00052C0B" w14:paraId="3BE08522" w14:textId="77777777">
        <w:tc>
          <w:tcPr>
            <w:tcW w:w="4721" w:type="pct"/>
          </w:tcPr>
          <w:p w14:paraId="3BE08520" w14:textId="77777777" w:rsidR="00052C0B" w:rsidRDefault="006E6CE8">
            <w:pPr>
              <w:rPr>
                <w:rFonts w:ascii="Times New Roman" w:eastAsia="Microsoft YaHei" w:hAnsi="Times New Roman" w:cs="Microsoft YaHei"/>
                <w:color w:val="auto"/>
                <w:sz w:val="28"/>
                <w:szCs w:val="28"/>
              </w:rPr>
            </w:pPr>
            <w:r>
              <w:rPr>
                <w:rFonts w:ascii="Times New Roman" w:eastAsia="Microsoft YaHei" w:hAnsi="Times New Roman" w:cs="Times New Roman"/>
                <w:color w:val="auto"/>
                <w:sz w:val="28"/>
                <w:szCs w:val="28"/>
                <w:lang w:eastAsia="en-US"/>
              </w:rPr>
              <w:t>Висновок до розділу 1 ………..………………………………………………….</w:t>
            </w:r>
          </w:p>
        </w:tc>
        <w:tc>
          <w:tcPr>
            <w:tcW w:w="279" w:type="pct"/>
          </w:tcPr>
          <w:p w14:paraId="3BE08521" w14:textId="77777777" w:rsidR="00052C0B" w:rsidRDefault="006E6CE8">
            <w:pPr>
              <w:jc w:val="center"/>
              <w:rPr>
                <w:rFonts w:ascii="Times New Roman" w:eastAsia="Microsoft YaHei" w:hAnsi="Times New Roman" w:cs="Microsoft YaHei"/>
                <w:bCs/>
                <w:color w:val="auto"/>
                <w:sz w:val="28"/>
                <w:szCs w:val="28"/>
              </w:rPr>
            </w:pPr>
            <w:r>
              <w:rPr>
                <w:rFonts w:ascii="Times New Roman" w:eastAsia="Microsoft YaHei" w:hAnsi="Times New Roman" w:cs="Times New Roman"/>
                <w:b/>
                <w:bCs/>
                <w:color w:val="auto"/>
                <w:sz w:val="28"/>
                <w:szCs w:val="28"/>
                <w:lang w:eastAsia="en-US"/>
              </w:rPr>
              <w:t>34</w:t>
            </w:r>
          </w:p>
        </w:tc>
      </w:tr>
      <w:tr w:rsidR="00052C0B" w14:paraId="3BE08529" w14:textId="77777777">
        <w:tc>
          <w:tcPr>
            <w:tcW w:w="4721" w:type="pct"/>
          </w:tcPr>
          <w:p w14:paraId="3BE08523" w14:textId="77777777" w:rsidR="00052C0B" w:rsidRDefault="00052C0B">
            <w:pPr>
              <w:rPr>
                <w:rFonts w:ascii="Times New Roman" w:eastAsia="Microsoft YaHei" w:hAnsi="Times New Roman" w:cs="Microsoft YaHei"/>
                <w:b/>
                <w:caps/>
                <w:color w:val="auto"/>
                <w:sz w:val="28"/>
                <w:szCs w:val="28"/>
              </w:rPr>
            </w:pPr>
          </w:p>
          <w:p w14:paraId="3BE08524" w14:textId="77777777" w:rsidR="00052C0B" w:rsidRDefault="006E6CE8">
            <w:pPr>
              <w:rPr>
                <w:rFonts w:ascii="Times New Roman" w:eastAsia="Microsoft YaHei" w:hAnsi="Times New Roman" w:cs="Times New Roman"/>
                <w:b/>
                <w:caps/>
                <w:color w:val="auto"/>
                <w:sz w:val="28"/>
                <w:szCs w:val="28"/>
                <w:lang w:eastAsia="en-US"/>
              </w:rPr>
            </w:pPr>
            <w:r>
              <w:rPr>
                <w:rFonts w:ascii="Times New Roman" w:eastAsia="Microsoft YaHei" w:hAnsi="Times New Roman" w:cs="Times New Roman"/>
                <w:b/>
                <w:caps/>
                <w:color w:val="auto"/>
                <w:sz w:val="28"/>
                <w:szCs w:val="28"/>
                <w:lang w:eastAsia="en-US"/>
              </w:rPr>
              <w:t>РОЗДІЛ 2. ДОСЛІДЖЕННЯ ВПЛИВУ ОРГАНІЗАЦІЙНО-ЕКОНОМІЧНИХ МЕХАНІЗМІВ ДЕРЖАВНОГО УПРАВЛІННЯ НА ДІЯЛЬНІСТЬ МЕДИЧНИХ ЗАКЛАДІВ МІСТА ОДЕСИ ……………….</w:t>
            </w:r>
          </w:p>
        </w:tc>
        <w:tc>
          <w:tcPr>
            <w:tcW w:w="279" w:type="pct"/>
          </w:tcPr>
          <w:p w14:paraId="3BE08525" w14:textId="77777777" w:rsidR="00052C0B" w:rsidRDefault="00052C0B">
            <w:pPr>
              <w:jc w:val="center"/>
              <w:rPr>
                <w:rFonts w:ascii="Times New Roman" w:eastAsia="Microsoft YaHei" w:hAnsi="Times New Roman" w:cs="Microsoft YaHei"/>
                <w:b/>
                <w:bCs/>
                <w:color w:val="auto"/>
                <w:sz w:val="28"/>
                <w:szCs w:val="28"/>
              </w:rPr>
            </w:pPr>
          </w:p>
          <w:p w14:paraId="3BE08526" w14:textId="77777777" w:rsidR="00052C0B" w:rsidRDefault="00052C0B">
            <w:pPr>
              <w:jc w:val="center"/>
              <w:rPr>
                <w:rFonts w:ascii="Times New Roman" w:eastAsia="Microsoft YaHei" w:hAnsi="Times New Roman" w:cs="Times New Roman"/>
                <w:bCs/>
                <w:color w:val="auto"/>
                <w:sz w:val="28"/>
                <w:szCs w:val="28"/>
                <w:lang w:eastAsia="en-US"/>
              </w:rPr>
            </w:pPr>
          </w:p>
          <w:p w14:paraId="3BE08527" w14:textId="77777777" w:rsidR="00052C0B" w:rsidRDefault="00052C0B">
            <w:pPr>
              <w:jc w:val="center"/>
              <w:rPr>
                <w:rFonts w:ascii="Times New Roman" w:eastAsia="Microsoft YaHei" w:hAnsi="Times New Roman" w:cs="Times New Roman"/>
                <w:bCs/>
                <w:color w:val="auto"/>
                <w:sz w:val="28"/>
                <w:szCs w:val="28"/>
                <w:lang w:eastAsia="en-US"/>
              </w:rPr>
            </w:pPr>
          </w:p>
          <w:p w14:paraId="3BE08528" w14:textId="77777777" w:rsidR="00052C0B" w:rsidRDefault="006E6CE8">
            <w:pPr>
              <w:jc w:val="center"/>
              <w:rPr>
                <w:rFonts w:ascii="Times New Roman" w:eastAsia="Microsoft YaHei" w:hAnsi="Times New Roman" w:cs="Times New Roman"/>
                <w:bCs/>
                <w:color w:val="auto"/>
                <w:sz w:val="28"/>
                <w:szCs w:val="28"/>
                <w:lang w:eastAsia="en-US"/>
              </w:rPr>
            </w:pPr>
            <w:r>
              <w:rPr>
                <w:rFonts w:ascii="Times New Roman" w:eastAsia="Microsoft YaHei" w:hAnsi="Times New Roman" w:cs="Times New Roman"/>
                <w:b/>
                <w:bCs/>
                <w:color w:val="auto"/>
                <w:sz w:val="28"/>
                <w:szCs w:val="28"/>
                <w:lang w:eastAsia="en-US"/>
              </w:rPr>
              <w:t>38</w:t>
            </w:r>
          </w:p>
        </w:tc>
      </w:tr>
      <w:tr w:rsidR="00052C0B" w14:paraId="3BE0852D" w14:textId="77777777">
        <w:tc>
          <w:tcPr>
            <w:tcW w:w="4721" w:type="pct"/>
          </w:tcPr>
          <w:p w14:paraId="3BE0852A" w14:textId="77777777" w:rsidR="00052C0B" w:rsidRDefault="006E6CE8">
            <w:pPr>
              <w:numPr>
                <w:ilvl w:val="1"/>
                <w:numId w:val="13"/>
              </w:numPr>
              <w:ind w:left="0" w:firstLine="0"/>
              <w:contextualSpacing/>
              <w:rPr>
                <w:rFonts w:ascii="Times New Roman" w:eastAsia="Microsoft YaHei" w:hAnsi="Times New Roman" w:cs="Times New Roman"/>
                <w:color w:val="auto"/>
                <w:sz w:val="28"/>
                <w:szCs w:val="28"/>
              </w:rPr>
            </w:pPr>
            <w:r>
              <w:rPr>
                <w:rFonts w:ascii="Times New Roman" w:hAnsi="Times New Roman" w:cs="Times New Roman"/>
                <w:sz w:val="28"/>
                <w:szCs w:val="28"/>
              </w:rPr>
              <w:t xml:space="preserve">Роль Департаменту охорони здоров’я Одеської </w:t>
            </w:r>
            <w:r>
              <w:rPr>
                <w:rFonts w:ascii="Times New Roman" w:eastAsia="Malgun Gothic Semilight" w:hAnsi="Times New Roman" w:cs="Times New Roman"/>
                <w:sz w:val="28"/>
                <w:szCs w:val="28"/>
              </w:rPr>
              <w:t>м</w:t>
            </w:r>
            <w:r>
              <w:rPr>
                <w:rFonts w:ascii="Times New Roman" w:hAnsi="Times New Roman" w:cs="Times New Roman"/>
                <w:sz w:val="28"/>
                <w:szCs w:val="28"/>
              </w:rPr>
              <w:t>і</w:t>
            </w:r>
            <w:r>
              <w:rPr>
                <w:rFonts w:ascii="Times New Roman" w:eastAsia="Malgun Gothic Semilight" w:hAnsi="Times New Roman" w:cs="Times New Roman"/>
                <w:sz w:val="28"/>
                <w:szCs w:val="28"/>
              </w:rPr>
              <w:t>сько</w:t>
            </w:r>
            <w:r>
              <w:rPr>
                <w:rFonts w:ascii="Times New Roman" w:hAnsi="Times New Roman" w:cs="Times New Roman"/>
                <w:sz w:val="28"/>
                <w:szCs w:val="28"/>
              </w:rPr>
              <w:t xml:space="preserve">ї </w:t>
            </w:r>
            <w:r>
              <w:rPr>
                <w:rFonts w:ascii="Times New Roman" w:eastAsia="Malgun Gothic Semilight" w:hAnsi="Times New Roman" w:cs="Times New Roman"/>
                <w:sz w:val="28"/>
                <w:szCs w:val="28"/>
              </w:rPr>
              <w:t>ради</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в</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реал</w:t>
            </w:r>
            <w:r>
              <w:rPr>
                <w:rFonts w:ascii="Times New Roman" w:hAnsi="Times New Roman" w:cs="Times New Roman"/>
                <w:sz w:val="28"/>
                <w:szCs w:val="28"/>
              </w:rPr>
              <w:t>і</w:t>
            </w:r>
            <w:r>
              <w:rPr>
                <w:rFonts w:ascii="Times New Roman" w:eastAsia="Malgun Gothic Semilight" w:hAnsi="Times New Roman" w:cs="Times New Roman"/>
                <w:sz w:val="28"/>
                <w:szCs w:val="28"/>
              </w:rPr>
              <w:t>зац</w:t>
            </w:r>
            <w:r>
              <w:rPr>
                <w:rFonts w:ascii="Times New Roman" w:hAnsi="Times New Roman" w:cs="Times New Roman"/>
                <w:sz w:val="28"/>
                <w:szCs w:val="28"/>
              </w:rPr>
              <w:t xml:space="preserve">ії </w:t>
            </w:r>
            <w:r>
              <w:rPr>
                <w:rFonts w:ascii="Times New Roman" w:eastAsia="Malgun Gothic Semilight" w:hAnsi="Times New Roman" w:cs="Times New Roman"/>
                <w:sz w:val="28"/>
                <w:szCs w:val="28"/>
              </w:rPr>
              <w:t>державно</w:t>
            </w:r>
            <w:r>
              <w:rPr>
                <w:rFonts w:ascii="Times New Roman" w:hAnsi="Times New Roman" w:cs="Times New Roman"/>
                <w:sz w:val="28"/>
                <w:szCs w:val="28"/>
              </w:rPr>
              <w:t xml:space="preserve">ї </w:t>
            </w:r>
            <w:r>
              <w:rPr>
                <w:rFonts w:ascii="Times New Roman" w:eastAsia="Malgun Gothic Semilight" w:hAnsi="Times New Roman" w:cs="Times New Roman"/>
                <w:sz w:val="28"/>
                <w:szCs w:val="28"/>
              </w:rPr>
              <w:t>пол</w:t>
            </w:r>
            <w:r>
              <w:rPr>
                <w:rFonts w:ascii="Times New Roman" w:hAnsi="Times New Roman" w:cs="Times New Roman"/>
                <w:sz w:val="28"/>
                <w:szCs w:val="28"/>
              </w:rPr>
              <w:t>і</w:t>
            </w:r>
            <w:r>
              <w:rPr>
                <w:rFonts w:ascii="Times New Roman" w:eastAsia="Malgun Gothic Semilight" w:hAnsi="Times New Roman" w:cs="Times New Roman"/>
                <w:sz w:val="28"/>
                <w:szCs w:val="28"/>
              </w:rPr>
              <w:t>тики</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та</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забезпеченн</w:t>
            </w:r>
            <w:r>
              <w:rPr>
                <w:rFonts w:ascii="Times New Roman" w:hAnsi="Times New Roman" w:cs="Times New Roman"/>
                <w:sz w:val="28"/>
                <w:szCs w:val="28"/>
              </w:rPr>
              <w:t xml:space="preserve">і </w:t>
            </w:r>
            <w:r>
              <w:rPr>
                <w:rFonts w:ascii="Times New Roman" w:eastAsia="Malgun Gothic Semilight" w:hAnsi="Times New Roman" w:cs="Times New Roman"/>
                <w:sz w:val="28"/>
                <w:szCs w:val="28"/>
              </w:rPr>
              <w:t>ефективност</w:t>
            </w:r>
            <w:r>
              <w:rPr>
                <w:rFonts w:ascii="Times New Roman" w:hAnsi="Times New Roman" w:cs="Times New Roman"/>
                <w:sz w:val="28"/>
                <w:szCs w:val="28"/>
              </w:rPr>
              <w:t xml:space="preserve">і </w:t>
            </w:r>
            <w:r>
              <w:rPr>
                <w:rFonts w:ascii="Times New Roman" w:eastAsia="Malgun Gothic Semilight" w:hAnsi="Times New Roman" w:cs="Times New Roman"/>
                <w:sz w:val="28"/>
                <w:szCs w:val="28"/>
              </w:rPr>
              <w:t>бюджетних</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програм</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у</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сфер</w:t>
            </w:r>
            <w:r>
              <w:rPr>
                <w:rFonts w:ascii="Times New Roman" w:hAnsi="Times New Roman" w:cs="Times New Roman"/>
                <w:sz w:val="28"/>
                <w:szCs w:val="28"/>
              </w:rPr>
              <w:t xml:space="preserve">і </w:t>
            </w:r>
            <w:r>
              <w:rPr>
                <w:rFonts w:ascii="Times New Roman" w:eastAsia="Malgun Gothic Semilight" w:hAnsi="Times New Roman" w:cs="Times New Roman"/>
                <w:sz w:val="28"/>
                <w:szCs w:val="28"/>
              </w:rPr>
              <w:t>охорони</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здоров’я………………………………………………</w:t>
            </w:r>
          </w:p>
        </w:tc>
        <w:tc>
          <w:tcPr>
            <w:tcW w:w="279" w:type="pct"/>
          </w:tcPr>
          <w:p w14:paraId="3BE0852B" w14:textId="77777777" w:rsidR="00052C0B" w:rsidRDefault="00052C0B">
            <w:pPr>
              <w:jc w:val="center"/>
              <w:rPr>
                <w:rFonts w:ascii="Times New Roman" w:eastAsia="Microsoft YaHei" w:hAnsi="Times New Roman" w:cs="Microsoft YaHei"/>
                <w:bCs/>
                <w:color w:val="auto"/>
                <w:sz w:val="28"/>
                <w:szCs w:val="28"/>
              </w:rPr>
            </w:pPr>
          </w:p>
          <w:p w14:paraId="3BE0852C" w14:textId="77777777" w:rsidR="00052C0B" w:rsidRDefault="006E6CE8">
            <w:pPr>
              <w:jc w:val="center"/>
              <w:rPr>
                <w:rFonts w:ascii="Times New Roman" w:eastAsia="Microsoft YaHei" w:hAnsi="Times New Roman" w:cs="Times New Roman"/>
                <w:bCs/>
                <w:color w:val="auto"/>
                <w:sz w:val="28"/>
                <w:szCs w:val="28"/>
                <w:lang w:eastAsia="en-US"/>
              </w:rPr>
            </w:pPr>
            <w:r>
              <w:rPr>
                <w:rFonts w:ascii="Times New Roman" w:eastAsia="Microsoft YaHei" w:hAnsi="Times New Roman" w:cs="Times New Roman"/>
                <w:b/>
                <w:bCs/>
                <w:color w:val="auto"/>
                <w:sz w:val="28"/>
                <w:szCs w:val="28"/>
                <w:lang w:eastAsia="en-US"/>
              </w:rPr>
              <w:t>38</w:t>
            </w:r>
          </w:p>
        </w:tc>
      </w:tr>
      <w:tr w:rsidR="00052C0B" w14:paraId="3BE08531" w14:textId="77777777">
        <w:tc>
          <w:tcPr>
            <w:tcW w:w="4721" w:type="pct"/>
          </w:tcPr>
          <w:p w14:paraId="3BE0852E" w14:textId="77777777" w:rsidR="00052C0B" w:rsidRDefault="006E6CE8">
            <w:pPr>
              <w:numPr>
                <w:ilvl w:val="1"/>
                <w:numId w:val="13"/>
              </w:numPr>
              <w:ind w:left="0" w:firstLine="0"/>
              <w:contextualSpacing/>
              <w:rPr>
                <w:rFonts w:ascii="Times New Roman" w:eastAsia="Microsoft YaHei" w:hAnsi="Times New Roman" w:cs="Times New Roman"/>
                <w:color w:val="auto"/>
                <w:sz w:val="28"/>
                <w:szCs w:val="28"/>
              </w:rPr>
            </w:pPr>
            <w:r>
              <w:rPr>
                <w:rFonts w:ascii="Times New Roman" w:hAnsi="Times New Roman" w:cs="Times New Roman"/>
                <w:sz w:val="28"/>
                <w:szCs w:val="28"/>
              </w:rPr>
              <w:t>Дослі</w:t>
            </w:r>
            <w:r>
              <w:rPr>
                <w:rFonts w:ascii="Times New Roman" w:eastAsia="Malgun Gothic Semilight" w:hAnsi="Times New Roman" w:cs="Times New Roman"/>
                <w:sz w:val="28"/>
                <w:szCs w:val="28"/>
              </w:rPr>
              <w:t>дження</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орган</w:t>
            </w:r>
            <w:r>
              <w:rPr>
                <w:rFonts w:ascii="Times New Roman" w:hAnsi="Times New Roman" w:cs="Times New Roman"/>
                <w:sz w:val="28"/>
                <w:szCs w:val="28"/>
              </w:rPr>
              <w:t>і</w:t>
            </w:r>
            <w:r>
              <w:rPr>
                <w:rFonts w:ascii="Times New Roman" w:eastAsia="Malgun Gothic Semilight" w:hAnsi="Times New Roman" w:cs="Times New Roman"/>
                <w:sz w:val="28"/>
                <w:szCs w:val="28"/>
              </w:rPr>
              <w:t>зац</w:t>
            </w:r>
            <w:r>
              <w:rPr>
                <w:rFonts w:ascii="Times New Roman" w:hAnsi="Times New Roman" w:cs="Times New Roman"/>
                <w:sz w:val="28"/>
                <w:szCs w:val="28"/>
              </w:rPr>
              <w:t>і</w:t>
            </w:r>
            <w:r>
              <w:rPr>
                <w:rFonts w:ascii="Times New Roman" w:eastAsia="Malgun Gothic Semilight" w:hAnsi="Times New Roman" w:cs="Times New Roman"/>
                <w:sz w:val="28"/>
                <w:szCs w:val="28"/>
              </w:rPr>
              <w:t>йно</w:t>
            </w:r>
            <w:r>
              <w:rPr>
                <w:rFonts w:ascii="Times New Roman" w:hAnsi="Times New Roman" w:cs="Times New Roman"/>
                <w:sz w:val="28"/>
                <w:szCs w:val="28"/>
              </w:rPr>
              <w:t>-</w:t>
            </w:r>
            <w:r>
              <w:rPr>
                <w:rFonts w:ascii="Times New Roman" w:eastAsia="Malgun Gothic Semilight" w:hAnsi="Times New Roman" w:cs="Times New Roman"/>
                <w:sz w:val="28"/>
                <w:szCs w:val="28"/>
              </w:rPr>
              <w:t>економ</w:t>
            </w:r>
            <w:r>
              <w:rPr>
                <w:rFonts w:ascii="Times New Roman" w:hAnsi="Times New Roman" w:cs="Times New Roman"/>
                <w:sz w:val="28"/>
                <w:szCs w:val="28"/>
              </w:rPr>
              <w:t>і</w:t>
            </w:r>
            <w:r>
              <w:rPr>
                <w:rFonts w:ascii="Times New Roman" w:eastAsia="Malgun Gothic Semilight" w:hAnsi="Times New Roman" w:cs="Times New Roman"/>
                <w:sz w:val="28"/>
                <w:szCs w:val="28"/>
              </w:rPr>
              <w:t>чних</w:t>
            </w:r>
            <w:r>
              <w:rPr>
                <w:rFonts w:ascii="Times New Roman" w:hAnsi="Times New Roman" w:cs="Times New Roman"/>
                <w:sz w:val="28"/>
                <w:szCs w:val="28"/>
              </w:rPr>
              <w:t xml:space="preserve"> і</w:t>
            </w:r>
            <w:r>
              <w:rPr>
                <w:rFonts w:ascii="Times New Roman" w:eastAsia="Malgun Gothic Semilight" w:hAnsi="Times New Roman" w:cs="Times New Roman"/>
                <w:sz w:val="28"/>
                <w:szCs w:val="28"/>
              </w:rPr>
              <w:t>нструмент</w:t>
            </w:r>
            <w:r>
              <w:rPr>
                <w:rFonts w:ascii="Times New Roman" w:hAnsi="Times New Roman" w:cs="Times New Roman"/>
                <w:sz w:val="28"/>
                <w:szCs w:val="28"/>
              </w:rPr>
              <w:t>і</w:t>
            </w:r>
            <w:r>
              <w:rPr>
                <w:rFonts w:ascii="Times New Roman" w:eastAsia="Malgun Gothic Semilight" w:hAnsi="Times New Roman" w:cs="Times New Roman"/>
                <w:sz w:val="28"/>
                <w:szCs w:val="28"/>
              </w:rPr>
              <w:t>в</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забезпечення</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д</w:t>
            </w:r>
            <w:r>
              <w:rPr>
                <w:rFonts w:ascii="Times New Roman" w:hAnsi="Times New Roman" w:cs="Times New Roman"/>
                <w:sz w:val="28"/>
                <w:szCs w:val="28"/>
              </w:rPr>
              <w:t>і</w:t>
            </w:r>
            <w:r>
              <w:rPr>
                <w:rFonts w:ascii="Times New Roman" w:eastAsia="Malgun Gothic Semilight" w:hAnsi="Times New Roman" w:cs="Times New Roman"/>
                <w:sz w:val="28"/>
                <w:szCs w:val="28"/>
              </w:rPr>
              <w:t>яльност</w:t>
            </w:r>
            <w:r>
              <w:rPr>
                <w:rFonts w:ascii="Times New Roman" w:hAnsi="Times New Roman" w:cs="Times New Roman"/>
                <w:sz w:val="28"/>
                <w:szCs w:val="28"/>
              </w:rPr>
              <w:t xml:space="preserve">і </w:t>
            </w:r>
            <w:r>
              <w:rPr>
                <w:rFonts w:ascii="Times New Roman" w:eastAsia="Malgun Gothic Semilight" w:hAnsi="Times New Roman" w:cs="Times New Roman"/>
                <w:sz w:val="28"/>
                <w:szCs w:val="28"/>
              </w:rPr>
              <w:t>комунальни</w:t>
            </w:r>
            <w:r>
              <w:rPr>
                <w:rFonts w:ascii="Times New Roman" w:hAnsi="Times New Roman" w:cs="Times New Roman"/>
                <w:sz w:val="28"/>
                <w:szCs w:val="28"/>
              </w:rPr>
              <w:t>х закладі</w:t>
            </w:r>
            <w:r>
              <w:rPr>
                <w:rFonts w:ascii="Times New Roman" w:eastAsia="Malgun Gothic Semilight" w:hAnsi="Times New Roman" w:cs="Times New Roman"/>
                <w:sz w:val="28"/>
                <w:szCs w:val="28"/>
              </w:rPr>
              <w:t>в</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охорони</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здоров’я</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територ</w:t>
            </w:r>
            <w:r>
              <w:rPr>
                <w:rFonts w:ascii="Times New Roman" w:hAnsi="Times New Roman" w:cs="Times New Roman"/>
                <w:sz w:val="28"/>
                <w:szCs w:val="28"/>
              </w:rPr>
              <w:t>і</w:t>
            </w:r>
            <w:r>
              <w:rPr>
                <w:rFonts w:ascii="Times New Roman" w:eastAsia="Malgun Gothic Semilight" w:hAnsi="Times New Roman" w:cs="Times New Roman"/>
                <w:sz w:val="28"/>
                <w:szCs w:val="28"/>
              </w:rPr>
              <w:t>ально</w:t>
            </w:r>
            <w:r>
              <w:rPr>
                <w:rFonts w:ascii="Times New Roman" w:hAnsi="Times New Roman" w:cs="Times New Roman"/>
                <w:sz w:val="28"/>
                <w:szCs w:val="28"/>
              </w:rPr>
              <w:t xml:space="preserve">ї </w:t>
            </w:r>
            <w:r>
              <w:rPr>
                <w:rFonts w:ascii="Times New Roman" w:eastAsia="Malgun Gothic Semilight" w:hAnsi="Times New Roman" w:cs="Times New Roman"/>
                <w:sz w:val="28"/>
                <w:szCs w:val="28"/>
              </w:rPr>
              <w:t>громади</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м</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Одеси…………………………………………………………………………</w:t>
            </w:r>
            <w:r>
              <w:rPr>
                <w:rFonts w:ascii="Times New Roman" w:hAnsi="Times New Roman" w:cs="Times New Roman"/>
                <w:sz w:val="28"/>
                <w:szCs w:val="28"/>
              </w:rPr>
              <w:t xml:space="preserve"> </w:t>
            </w:r>
          </w:p>
        </w:tc>
        <w:tc>
          <w:tcPr>
            <w:tcW w:w="279" w:type="pct"/>
          </w:tcPr>
          <w:p w14:paraId="3BE0852F" w14:textId="77777777" w:rsidR="00052C0B" w:rsidRDefault="00052C0B">
            <w:pPr>
              <w:jc w:val="center"/>
              <w:rPr>
                <w:rFonts w:ascii="Times New Roman" w:eastAsia="Microsoft YaHei" w:hAnsi="Times New Roman" w:cs="Microsoft YaHei"/>
                <w:bCs/>
                <w:color w:val="auto"/>
                <w:sz w:val="28"/>
                <w:szCs w:val="28"/>
              </w:rPr>
            </w:pPr>
          </w:p>
          <w:p w14:paraId="3BE08530" w14:textId="77777777" w:rsidR="00052C0B" w:rsidRDefault="006E6CE8">
            <w:pPr>
              <w:jc w:val="center"/>
              <w:rPr>
                <w:rFonts w:ascii="Times New Roman" w:eastAsia="Microsoft YaHei" w:hAnsi="Times New Roman" w:cs="Times New Roman"/>
                <w:bCs/>
                <w:color w:val="auto"/>
                <w:sz w:val="28"/>
                <w:szCs w:val="28"/>
                <w:lang w:eastAsia="en-US"/>
              </w:rPr>
            </w:pPr>
            <w:r>
              <w:rPr>
                <w:rFonts w:ascii="Times New Roman" w:eastAsia="Microsoft YaHei" w:hAnsi="Times New Roman" w:cs="Times New Roman"/>
                <w:b/>
                <w:bCs/>
                <w:color w:val="auto"/>
                <w:sz w:val="28"/>
                <w:szCs w:val="28"/>
                <w:lang w:eastAsia="en-US"/>
              </w:rPr>
              <w:t>42</w:t>
            </w:r>
          </w:p>
        </w:tc>
      </w:tr>
      <w:tr w:rsidR="00052C0B" w14:paraId="3BE08535" w14:textId="77777777">
        <w:tc>
          <w:tcPr>
            <w:tcW w:w="4721" w:type="pct"/>
          </w:tcPr>
          <w:p w14:paraId="3BE08532" w14:textId="77777777" w:rsidR="00052C0B" w:rsidRDefault="006E6CE8">
            <w:pPr>
              <w:numPr>
                <w:ilvl w:val="1"/>
                <w:numId w:val="13"/>
              </w:numPr>
              <w:ind w:left="0" w:firstLine="0"/>
              <w:contextualSpacing/>
              <w:rPr>
                <w:rFonts w:ascii="Times New Roman" w:eastAsia="Microsoft YaHei" w:hAnsi="Times New Roman" w:cs="Times New Roman"/>
                <w:color w:val="auto"/>
                <w:sz w:val="28"/>
                <w:szCs w:val="28"/>
              </w:rPr>
            </w:pPr>
            <w:r>
              <w:rPr>
                <w:rFonts w:ascii="Times New Roman" w:hAnsi="Times New Roman" w:cs="Times New Roman"/>
                <w:sz w:val="28"/>
                <w:szCs w:val="28"/>
              </w:rPr>
              <w:t>Аналі</w:t>
            </w:r>
            <w:r>
              <w:rPr>
                <w:rFonts w:ascii="Times New Roman" w:eastAsia="Malgun Gothic Semilight" w:hAnsi="Times New Roman" w:cs="Times New Roman"/>
                <w:sz w:val="28"/>
                <w:szCs w:val="28"/>
              </w:rPr>
              <w:t>з</w:t>
            </w:r>
            <w:r>
              <w:rPr>
                <w:rFonts w:ascii="Times New Roman" w:hAnsi="Times New Roman" w:cs="Times New Roman"/>
                <w:sz w:val="28"/>
                <w:szCs w:val="28"/>
              </w:rPr>
              <w:t xml:space="preserve"> і </w:t>
            </w:r>
            <w:r>
              <w:rPr>
                <w:rFonts w:ascii="Times New Roman" w:eastAsia="Malgun Gothic Semilight" w:hAnsi="Times New Roman" w:cs="Times New Roman"/>
                <w:sz w:val="28"/>
                <w:szCs w:val="28"/>
              </w:rPr>
              <w:t>оц</w:t>
            </w:r>
            <w:r>
              <w:rPr>
                <w:rFonts w:ascii="Times New Roman" w:hAnsi="Times New Roman" w:cs="Times New Roman"/>
                <w:sz w:val="28"/>
                <w:szCs w:val="28"/>
              </w:rPr>
              <w:t>і</w:t>
            </w:r>
            <w:r>
              <w:rPr>
                <w:rFonts w:ascii="Times New Roman" w:eastAsia="Malgun Gothic Semilight" w:hAnsi="Times New Roman" w:cs="Times New Roman"/>
                <w:sz w:val="28"/>
                <w:szCs w:val="28"/>
              </w:rPr>
              <w:t>нка</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ф</w:t>
            </w:r>
            <w:r>
              <w:rPr>
                <w:rFonts w:ascii="Times New Roman" w:hAnsi="Times New Roman" w:cs="Times New Roman"/>
                <w:sz w:val="28"/>
                <w:szCs w:val="28"/>
              </w:rPr>
              <w:t>і</w:t>
            </w:r>
            <w:r>
              <w:rPr>
                <w:rFonts w:ascii="Times New Roman" w:eastAsia="Malgun Gothic Semilight" w:hAnsi="Times New Roman" w:cs="Times New Roman"/>
                <w:sz w:val="28"/>
                <w:szCs w:val="28"/>
              </w:rPr>
              <w:t>нансового</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стану</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та</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ефективност</w:t>
            </w:r>
            <w:r>
              <w:rPr>
                <w:rFonts w:ascii="Times New Roman" w:hAnsi="Times New Roman" w:cs="Times New Roman"/>
                <w:sz w:val="28"/>
                <w:szCs w:val="28"/>
              </w:rPr>
              <w:t xml:space="preserve">і </w:t>
            </w:r>
            <w:r>
              <w:rPr>
                <w:rFonts w:ascii="Times New Roman" w:eastAsia="Malgun Gothic Semilight" w:hAnsi="Times New Roman" w:cs="Times New Roman"/>
                <w:sz w:val="28"/>
                <w:szCs w:val="28"/>
              </w:rPr>
              <w:t>орган</w:t>
            </w:r>
            <w:r>
              <w:rPr>
                <w:rFonts w:ascii="Times New Roman" w:hAnsi="Times New Roman" w:cs="Times New Roman"/>
                <w:sz w:val="28"/>
                <w:szCs w:val="28"/>
              </w:rPr>
              <w:t>і</w:t>
            </w:r>
            <w:r>
              <w:rPr>
                <w:rFonts w:ascii="Times New Roman" w:eastAsia="Malgun Gothic Semilight" w:hAnsi="Times New Roman" w:cs="Times New Roman"/>
                <w:sz w:val="28"/>
                <w:szCs w:val="28"/>
              </w:rPr>
              <w:t>зац</w:t>
            </w:r>
            <w:r>
              <w:rPr>
                <w:rFonts w:ascii="Times New Roman" w:hAnsi="Times New Roman" w:cs="Times New Roman"/>
                <w:sz w:val="28"/>
                <w:szCs w:val="28"/>
              </w:rPr>
              <w:t>і</w:t>
            </w:r>
            <w:r>
              <w:rPr>
                <w:rFonts w:ascii="Times New Roman" w:eastAsia="Malgun Gothic Semilight" w:hAnsi="Times New Roman" w:cs="Times New Roman"/>
                <w:sz w:val="28"/>
                <w:szCs w:val="28"/>
              </w:rPr>
              <w:t>йно</w:t>
            </w:r>
            <w:r>
              <w:rPr>
                <w:rFonts w:ascii="Times New Roman" w:hAnsi="Times New Roman" w:cs="Times New Roman"/>
                <w:sz w:val="28"/>
                <w:szCs w:val="28"/>
              </w:rPr>
              <w:t>-</w:t>
            </w:r>
            <w:r>
              <w:rPr>
                <w:rFonts w:ascii="Times New Roman" w:eastAsia="Malgun Gothic Semilight" w:hAnsi="Times New Roman" w:cs="Times New Roman"/>
                <w:sz w:val="28"/>
                <w:szCs w:val="28"/>
              </w:rPr>
              <w:t>економ</w:t>
            </w:r>
            <w:r>
              <w:rPr>
                <w:rFonts w:ascii="Times New Roman" w:hAnsi="Times New Roman" w:cs="Times New Roman"/>
                <w:sz w:val="28"/>
                <w:szCs w:val="28"/>
              </w:rPr>
              <w:t>і</w:t>
            </w:r>
            <w:r>
              <w:rPr>
                <w:rFonts w:ascii="Times New Roman" w:eastAsia="Malgun Gothic Semilight" w:hAnsi="Times New Roman" w:cs="Times New Roman"/>
                <w:sz w:val="28"/>
                <w:szCs w:val="28"/>
              </w:rPr>
              <w:t>чних</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механ</w:t>
            </w:r>
            <w:r>
              <w:rPr>
                <w:rFonts w:ascii="Times New Roman" w:hAnsi="Times New Roman" w:cs="Times New Roman"/>
                <w:sz w:val="28"/>
                <w:szCs w:val="28"/>
              </w:rPr>
              <w:t>і</w:t>
            </w:r>
            <w:r>
              <w:rPr>
                <w:rFonts w:ascii="Times New Roman" w:eastAsia="Malgun Gothic Semilight" w:hAnsi="Times New Roman" w:cs="Times New Roman"/>
                <w:sz w:val="28"/>
                <w:szCs w:val="28"/>
              </w:rPr>
              <w:t>зм</w:t>
            </w:r>
            <w:r>
              <w:rPr>
                <w:rFonts w:ascii="Times New Roman" w:hAnsi="Times New Roman" w:cs="Times New Roman"/>
                <w:sz w:val="28"/>
                <w:szCs w:val="28"/>
              </w:rPr>
              <w:t>і</w:t>
            </w:r>
            <w:r>
              <w:rPr>
                <w:rFonts w:ascii="Times New Roman" w:eastAsia="Malgun Gothic Semilight" w:hAnsi="Times New Roman" w:cs="Times New Roman"/>
                <w:sz w:val="28"/>
                <w:szCs w:val="28"/>
              </w:rPr>
              <w:t>в</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КНП</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«М</w:t>
            </w:r>
            <w:r>
              <w:rPr>
                <w:rFonts w:ascii="Times New Roman" w:hAnsi="Times New Roman" w:cs="Times New Roman"/>
                <w:sz w:val="28"/>
                <w:szCs w:val="28"/>
              </w:rPr>
              <w:t>і</w:t>
            </w:r>
            <w:r>
              <w:rPr>
                <w:rFonts w:ascii="Times New Roman" w:eastAsia="Malgun Gothic Semilight" w:hAnsi="Times New Roman" w:cs="Times New Roman"/>
                <w:sz w:val="28"/>
                <w:szCs w:val="28"/>
              </w:rPr>
              <w:t>ська</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кл</w:t>
            </w:r>
            <w:r>
              <w:rPr>
                <w:rFonts w:ascii="Times New Roman" w:hAnsi="Times New Roman" w:cs="Times New Roman"/>
                <w:sz w:val="28"/>
                <w:szCs w:val="28"/>
              </w:rPr>
              <w:t>і</w:t>
            </w:r>
            <w:r>
              <w:rPr>
                <w:rFonts w:ascii="Times New Roman" w:eastAsia="Malgun Gothic Semilight" w:hAnsi="Times New Roman" w:cs="Times New Roman"/>
                <w:sz w:val="28"/>
                <w:szCs w:val="28"/>
              </w:rPr>
              <w:t>н</w:t>
            </w:r>
            <w:r>
              <w:rPr>
                <w:rFonts w:ascii="Times New Roman" w:hAnsi="Times New Roman" w:cs="Times New Roman"/>
                <w:sz w:val="28"/>
                <w:szCs w:val="28"/>
              </w:rPr>
              <w:t>і</w:t>
            </w:r>
            <w:r>
              <w:rPr>
                <w:rFonts w:ascii="Times New Roman" w:eastAsia="Malgun Gothic Semilight" w:hAnsi="Times New Roman" w:cs="Times New Roman"/>
                <w:sz w:val="28"/>
                <w:szCs w:val="28"/>
              </w:rPr>
              <w:t>чна</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л</w:t>
            </w:r>
            <w:r>
              <w:rPr>
                <w:rFonts w:ascii="Times New Roman" w:hAnsi="Times New Roman" w:cs="Times New Roman"/>
                <w:sz w:val="28"/>
                <w:szCs w:val="28"/>
              </w:rPr>
              <w:t>і</w:t>
            </w:r>
            <w:r>
              <w:rPr>
                <w:rFonts w:ascii="Times New Roman" w:eastAsia="Malgun Gothic Semilight" w:hAnsi="Times New Roman" w:cs="Times New Roman"/>
                <w:sz w:val="28"/>
                <w:szCs w:val="28"/>
              </w:rPr>
              <w:t>карня</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w:t>
            </w:r>
            <w:r>
              <w:rPr>
                <w:rFonts w:ascii="Times New Roman" w:hAnsi="Times New Roman" w:cs="Times New Roman"/>
                <w:sz w:val="28"/>
                <w:szCs w:val="28"/>
              </w:rPr>
              <w:t xml:space="preserve"> 11</w:t>
            </w:r>
            <w:r>
              <w:rPr>
                <w:rFonts w:ascii="Times New Roman" w:eastAsia="Malgun Gothic Semilight" w:hAnsi="Times New Roman" w:cs="Times New Roman"/>
                <w:sz w:val="28"/>
                <w:szCs w:val="28"/>
              </w:rPr>
              <w:t>»</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ОМР………</w:t>
            </w:r>
          </w:p>
        </w:tc>
        <w:tc>
          <w:tcPr>
            <w:tcW w:w="279" w:type="pct"/>
          </w:tcPr>
          <w:p w14:paraId="3BE08533" w14:textId="77777777" w:rsidR="00052C0B" w:rsidRDefault="00052C0B">
            <w:pPr>
              <w:jc w:val="center"/>
              <w:rPr>
                <w:rFonts w:ascii="Times New Roman" w:eastAsia="Microsoft YaHei" w:hAnsi="Times New Roman" w:cs="Microsoft YaHei"/>
                <w:bCs/>
                <w:color w:val="auto"/>
                <w:sz w:val="28"/>
                <w:szCs w:val="28"/>
              </w:rPr>
            </w:pPr>
          </w:p>
          <w:p w14:paraId="3BE08534" w14:textId="77777777" w:rsidR="00052C0B" w:rsidRDefault="006E6CE8">
            <w:pPr>
              <w:jc w:val="center"/>
              <w:rPr>
                <w:rFonts w:ascii="Times New Roman" w:eastAsia="Microsoft YaHei" w:hAnsi="Times New Roman" w:cs="Times New Roman"/>
                <w:bCs/>
                <w:color w:val="auto"/>
                <w:sz w:val="28"/>
                <w:szCs w:val="28"/>
                <w:lang w:eastAsia="en-US"/>
              </w:rPr>
            </w:pPr>
            <w:r>
              <w:rPr>
                <w:rFonts w:ascii="Times New Roman" w:eastAsia="Microsoft YaHei" w:hAnsi="Times New Roman" w:cs="Times New Roman"/>
                <w:b/>
                <w:bCs/>
                <w:color w:val="auto"/>
                <w:sz w:val="28"/>
                <w:szCs w:val="28"/>
                <w:lang w:eastAsia="en-US"/>
              </w:rPr>
              <w:t>53</w:t>
            </w:r>
          </w:p>
        </w:tc>
      </w:tr>
      <w:tr w:rsidR="00052C0B" w14:paraId="3BE08538" w14:textId="77777777">
        <w:tc>
          <w:tcPr>
            <w:tcW w:w="4721" w:type="pct"/>
          </w:tcPr>
          <w:p w14:paraId="3BE08536" w14:textId="77777777" w:rsidR="00052C0B" w:rsidRDefault="006E6CE8">
            <w:pPr>
              <w:rPr>
                <w:rFonts w:ascii="Times New Roman" w:eastAsia="Microsoft YaHei" w:hAnsi="Times New Roman" w:cs="Microsoft YaHei"/>
                <w:color w:val="auto"/>
                <w:sz w:val="28"/>
                <w:szCs w:val="28"/>
              </w:rPr>
            </w:pPr>
            <w:r>
              <w:rPr>
                <w:rFonts w:ascii="Times New Roman" w:eastAsia="Microsoft YaHei" w:hAnsi="Times New Roman" w:cs="Times New Roman"/>
                <w:color w:val="auto"/>
                <w:sz w:val="28"/>
                <w:szCs w:val="28"/>
                <w:lang w:eastAsia="en-US"/>
              </w:rPr>
              <w:t>Висновок до розділу 2 ………………………………………………………….</w:t>
            </w:r>
          </w:p>
        </w:tc>
        <w:tc>
          <w:tcPr>
            <w:tcW w:w="279" w:type="pct"/>
          </w:tcPr>
          <w:p w14:paraId="3BE08537" w14:textId="77777777" w:rsidR="00052C0B" w:rsidRDefault="006E6CE8">
            <w:pPr>
              <w:jc w:val="center"/>
              <w:rPr>
                <w:rFonts w:ascii="Times New Roman" w:eastAsia="Microsoft YaHei" w:hAnsi="Times New Roman" w:cs="Microsoft YaHei"/>
                <w:bCs/>
                <w:color w:val="auto"/>
                <w:sz w:val="28"/>
                <w:szCs w:val="28"/>
              </w:rPr>
            </w:pPr>
            <w:r>
              <w:rPr>
                <w:rFonts w:ascii="Times New Roman" w:eastAsia="Microsoft YaHei" w:hAnsi="Times New Roman" w:cs="Times New Roman"/>
                <w:b/>
                <w:bCs/>
                <w:color w:val="auto"/>
                <w:sz w:val="28"/>
                <w:szCs w:val="28"/>
                <w:lang w:eastAsia="en-US"/>
              </w:rPr>
              <w:t>56</w:t>
            </w:r>
          </w:p>
        </w:tc>
      </w:tr>
      <w:tr w:rsidR="00052C0B" w14:paraId="3BE0853E" w14:textId="77777777">
        <w:trPr>
          <w:trHeight w:val="1010"/>
        </w:trPr>
        <w:tc>
          <w:tcPr>
            <w:tcW w:w="4721" w:type="pct"/>
          </w:tcPr>
          <w:p w14:paraId="3BE08539" w14:textId="77777777" w:rsidR="00052C0B" w:rsidRDefault="00052C0B">
            <w:pPr>
              <w:rPr>
                <w:rFonts w:ascii="Times New Roman" w:eastAsia="Microsoft YaHei" w:hAnsi="Times New Roman" w:cs="Microsoft YaHei"/>
                <w:b/>
                <w:caps/>
                <w:color w:val="auto"/>
                <w:sz w:val="28"/>
                <w:szCs w:val="28"/>
              </w:rPr>
            </w:pPr>
          </w:p>
          <w:p w14:paraId="3BE0853A" w14:textId="77777777" w:rsidR="00052C0B" w:rsidRDefault="006E6CE8">
            <w:pPr>
              <w:rPr>
                <w:rFonts w:ascii="Times New Roman" w:eastAsia="Microsoft YaHei" w:hAnsi="Times New Roman" w:cs="Times New Roman"/>
                <w:b/>
                <w:caps/>
                <w:color w:val="auto"/>
                <w:sz w:val="28"/>
                <w:szCs w:val="28"/>
                <w:lang w:eastAsia="en-US"/>
              </w:rPr>
            </w:pPr>
            <w:r>
              <w:rPr>
                <w:rFonts w:ascii="Times New Roman" w:eastAsia="Microsoft YaHei" w:hAnsi="Times New Roman" w:cs="Times New Roman"/>
                <w:b/>
                <w:caps/>
                <w:color w:val="auto"/>
                <w:sz w:val="28"/>
                <w:szCs w:val="28"/>
                <w:lang w:eastAsia="en-US"/>
              </w:rPr>
              <w:t>РОЗДІЛ 3. ІННОВАЦІЙНІ ПІДХОДИ ДО ВДОСКОНАЛЕННЯ ОРГАНІЗАЦІЙНО-ЕКОНОМІЧНИХ МЕХАНІЗМІВ ДЕРЖАВНОГО РЕГУЛЮВАННЯ СФЕРИ ОХОРОНИ ЗДОРОВ’Я В УМОВАХ СУЧАСНИХ ТРАНСФОРМАЦІЙ ….……………………………………...</w:t>
            </w:r>
          </w:p>
        </w:tc>
        <w:tc>
          <w:tcPr>
            <w:tcW w:w="279" w:type="pct"/>
          </w:tcPr>
          <w:p w14:paraId="3BE0853B" w14:textId="77777777" w:rsidR="00052C0B" w:rsidRDefault="00052C0B">
            <w:pPr>
              <w:jc w:val="center"/>
              <w:rPr>
                <w:rFonts w:ascii="Times New Roman" w:eastAsia="Microsoft YaHei" w:hAnsi="Times New Roman" w:cs="Microsoft YaHei"/>
                <w:b/>
                <w:bCs/>
                <w:color w:val="auto"/>
                <w:sz w:val="28"/>
                <w:szCs w:val="28"/>
              </w:rPr>
            </w:pPr>
          </w:p>
          <w:p w14:paraId="3BE0853C" w14:textId="77777777" w:rsidR="00052C0B" w:rsidRDefault="00052C0B">
            <w:pPr>
              <w:jc w:val="center"/>
              <w:rPr>
                <w:rFonts w:ascii="Times New Roman" w:eastAsia="Microsoft YaHei" w:hAnsi="Times New Roman" w:cs="Times New Roman"/>
                <w:bCs/>
                <w:color w:val="auto"/>
                <w:sz w:val="28"/>
                <w:szCs w:val="28"/>
                <w:lang w:eastAsia="en-US"/>
              </w:rPr>
            </w:pPr>
          </w:p>
          <w:p w14:paraId="3BE0853D" w14:textId="77777777" w:rsidR="00052C0B" w:rsidRDefault="006E6CE8">
            <w:pPr>
              <w:jc w:val="center"/>
              <w:rPr>
                <w:rFonts w:ascii="Times New Roman" w:eastAsia="Microsoft YaHei" w:hAnsi="Times New Roman" w:cs="Times New Roman"/>
                <w:bCs/>
                <w:color w:val="auto"/>
                <w:sz w:val="28"/>
                <w:szCs w:val="28"/>
                <w:lang w:eastAsia="en-US"/>
              </w:rPr>
            </w:pPr>
            <w:r>
              <w:rPr>
                <w:rFonts w:ascii="Times New Roman" w:eastAsia="Microsoft YaHei" w:hAnsi="Times New Roman" w:cs="Times New Roman"/>
                <w:b/>
                <w:bCs/>
                <w:color w:val="auto"/>
                <w:sz w:val="28"/>
                <w:szCs w:val="28"/>
                <w:lang w:eastAsia="en-US"/>
              </w:rPr>
              <w:t>60</w:t>
            </w:r>
          </w:p>
        </w:tc>
      </w:tr>
      <w:tr w:rsidR="00052C0B" w14:paraId="3BE08542" w14:textId="77777777">
        <w:tc>
          <w:tcPr>
            <w:tcW w:w="4721" w:type="pct"/>
          </w:tcPr>
          <w:p w14:paraId="3BE0853F" w14:textId="77777777" w:rsidR="00052C0B" w:rsidRDefault="006E6CE8">
            <w:pPr>
              <w:numPr>
                <w:ilvl w:val="1"/>
                <w:numId w:val="14"/>
              </w:numPr>
              <w:ind w:left="38" w:hanging="4"/>
              <w:contextualSpacing/>
              <w:rPr>
                <w:rFonts w:ascii="Times New Roman" w:eastAsia="Microsoft YaHei" w:hAnsi="Times New Roman" w:cs="Times New Roman"/>
                <w:sz w:val="28"/>
                <w:szCs w:val="28"/>
              </w:rPr>
            </w:pPr>
            <w:r>
              <w:rPr>
                <w:rFonts w:ascii="Times New Roman" w:hAnsi="Times New Roman" w:cs="Times New Roman"/>
                <w:sz w:val="28"/>
                <w:szCs w:val="28"/>
              </w:rPr>
              <w:t xml:space="preserve"> Ключові </w:t>
            </w:r>
            <w:r>
              <w:rPr>
                <w:rFonts w:ascii="Times New Roman" w:eastAsia="Malgun Gothic Semilight" w:hAnsi="Times New Roman" w:cs="Times New Roman"/>
                <w:sz w:val="28"/>
                <w:szCs w:val="28"/>
              </w:rPr>
              <w:t>проблеми</w:t>
            </w:r>
            <w:r>
              <w:rPr>
                <w:rFonts w:ascii="Times New Roman" w:hAnsi="Times New Roman" w:cs="Times New Roman"/>
                <w:sz w:val="28"/>
                <w:szCs w:val="28"/>
              </w:rPr>
              <w:t xml:space="preserve"> і </w:t>
            </w:r>
            <w:r>
              <w:rPr>
                <w:rFonts w:ascii="Times New Roman" w:eastAsia="Malgun Gothic Semilight" w:hAnsi="Times New Roman" w:cs="Times New Roman"/>
                <w:sz w:val="28"/>
                <w:szCs w:val="28"/>
              </w:rPr>
              <w:t>чинники</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що</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обмежують</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ефективн</w:t>
            </w:r>
            <w:r>
              <w:rPr>
                <w:rFonts w:ascii="Times New Roman" w:hAnsi="Times New Roman" w:cs="Times New Roman"/>
                <w:sz w:val="28"/>
                <w:szCs w:val="28"/>
              </w:rPr>
              <w:t>і</w:t>
            </w:r>
            <w:r>
              <w:rPr>
                <w:rFonts w:ascii="Times New Roman" w:eastAsia="Malgun Gothic Semilight" w:hAnsi="Times New Roman" w:cs="Times New Roman"/>
                <w:sz w:val="28"/>
                <w:szCs w:val="28"/>
              </w:rPr>
              <w:t>сть</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наявних</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орган</w:t>
            </w:r>
            <w:r>
              <w:rPr>
                <w:rFonts w:ascii="Times New Roman" w:hAnsi="Times New Roman" w:cs="Times New Roman"/>
                <w:sz w:val="28"/>
                <w:szCs w:val="28"/>
              </w:rPr>
              <w:t>і</w:t>
            </w:r>
            <w:r>
              <w:rPr>
                <w:rFonts w:ascii="Times New Roman" w:eastAsia="Malgun Gothic Semilight" w:hAnsi="Times New Roman" w:cs="Times New Roman"/>
                <w:sz w:val="28"/>
                <w:szCs w:val="28"/>
              </w:rPr>
              <w:t>зац</w:t>
            </w:r>
            <w:r>
              <w:rPr>
                <w:rFonts w:ascii="Times New Roman" w:hAnsi="Times New Roman" w:cs="Times New Roman"/>
                <w:sz w:val="28"/>
                <w:szCs w:val="28"/>
              </w:rPr>
              <w:t>і</w:t>
            </w:r>
            <w:r>
              <w:rPr>
                <w:rFonts w:ascii="Times New Roman" w:eastAsia="Malgun Gothic Semilight" w:hAnsi="Times New Roman" w:cs="Times New Roman"/>
                <w:sz w:val="28"/>
                <w:szCs w:val="28"/>
              </w:rPr>
              <w:t>йно</w:t>
            </w:r>
            <w:r>
              <w:rPr>
                <w:rFonts w:ascii="Times New Roman" w:hAnsi="Times New Roman" w:cs="Times New Roman"/>
                <w:sz w:val="28"/>
                <w:szCs w:val="28"/>
              </w:rPr>
              <w:t>-</w:t>
            </w:r>
            <w:r>
              <w:rPr>
                <w:rFonts w:ascii="Times New Roman" w:eastAsia="Malgun Gothic Semilight" w:hAnsi="Times New Roman" w:cs="Times New Roman"/>
                <w:sz w:val="28"/>
                <w:szCs w:val="28"/>
              </w:rPr>
              <w:t>економ</w:t>
            </w:r>
            <w:r>
              <w:rPr>
                <w:rFonts w:ascii="Times New Roman" w:hAnsi="Times New Roman" w:cs="Times New Roman"/>
                <w:sz w:val="28"/>
                <w:szCs w:val="28"/>
              </w:rPr>
              <w:t>і</w:t>
            </w:r>
            <w:r>
              <w:rPr>
                <w:rFonts w:ascii="Times New Roman" w:eastAsia="Malgun Gothic Semilight" w:hAnsi="Times New Roman" w:cs="Times New Roman"/>
                <w:sz w:val="28"/>
                <w:szCs w:val="28"/>
              </w:rPr>
              <w:t>чних</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механ</w:t>
            </w:r>
            <w:r>
              <w:rPr>
                <w:rFonts w:ascii="Times New Roman" w:hAnsi="Times New Roman" w:cs="Times New Roman"/>
                <w:sz w:val="28"/>
                <w:szCs w:val="28"/>
              </w:rPr>
              <w:t>і</w:t>
            </w:r>
            <w:r>
              <w:rPr>
                <w:rFonts w:ascii="Times New Roman" w:eastAsia="Malgun Gothic Semilight" w:hAnsi="Times New Roman" w:cs="Times New Roman"/>
                <w:sz w:val="28"/>
                <w:szCs w:val="28"/>
              </w:rPr>
              <w:t>зм</w:t>
            </w:r>
            <w:r>
              <w:rPr>
                <w:rFonts w:ascii="Times New Roman" w:hAnsi="Times New Roman" w:cs="Times New Roman"/>
                <w:sz w:val="28"/>
                <w:szCs w:val="28"/>
              </w:rPr>
              <w:t>і</w:t>
            </w:r>
            <w:r>
              <w:rPr>
                <w:rFonts w:ascii="Times New Roman" w:eastAsia="Malgun Gothic Semilight" w:hAnsi="Times New Roman" w:cs="Times New Roman"/>
                <w:sz w:val="28"/>
                <w:szCs w:val="28"/>
              </w:rPr>
              <w:t>в</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та</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шляхи</w:t>
            </w:r>
            <w:r>
              <w:rPr>
                <w:rFonts w:ascii="Times New Roman" w:hAnsi="Times New Roman" w:cs="Times New Roman"/>
                <w:sz w:val="28"/>
                <w:szCs w:val="28"/>
              </w:rPr>
              <w:t xml:space="preserve"> ї</w:t>
            </w:r>
            <w:r>
              <w:rPr>
                <w:rFonts w:ascii="Times New Roman" w:eastAsia="Malgun Gothic Semilight" w:hAnsi="Times New Roman" w:cs="Times New Roman"/>
                <w:sz w:val="28"/>
                <w:szCs w:val="28"/>
              </w:rPr>
              <w:t>х</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подолання……………</w:t>
            </w:r>
          </w:p>
        </w:tc>
        <w:tc>
          <w:tcPr>
            <w:tcW w:w="279" w:type="pct"/>
          </w:tcPr>
          <w:p w14:paraId="3BE08540" w14:textId="77777777" w:rsidR="00052C0B" w:rsidRDefault="00052C0B">
            <w:pPr>
              <w:jc w:val="center"/>
              <w:rPr>
                <w:rFonts w:ascii="Times New Roman" w:eastAsia="Microsoft YaHei" w:hAnsi="Times New Roman" w:cs="Microsoft YaHei"/>
                <w:bCs/>
                <w:color w:val="auto"/>
                <w:sz w:val="28"/>
                <w:szCs w:val="28"/>
              </w:rPr>
            </w:pPr>
          </w:p>
          <w:p w14:paraId="3BE08541" w14:textId="77777777" w:rsidR="00052C0B" w:rsidRDefault="006E6CE8">
            <w:pPr>
              <w:jc w:val="center"/>
              <w:rPr>
                <w:rFonts w:ascii="Times New Roman" w:eastAsia="Microsoft YaHei" w:hAnsi="Times New Roman" w:cs="Times New Roman"/>
                <w:bCs/>
                <w:color w:val="auto"/>
                <w:sz w:val="28"/>
                <w:szCs w:val="28"/>
                <w:lang w:eastAsia="en-US"/>
              </w:rPr>
            </w:pPr>
            <w:r>
              <w:rPr>
                <w:rFonts w:ascii="Times New Roman" w:eastAsia="Microsoft YaHei" w:hAnsi="Times New Roman" w:cs="Times New Roman"/>
                <w:b/>
                <w:bCs/>
                <w:color w:val="auto"/>
                <w:sz w:val="28"/>
                <w:szCs w:val="28"/>
                <w:lang w:eastAsia="en-US"/>
              </w:rPr>
              <w:t>60</w:t>
            </w:r>
          </w:p>
        </w:tc>
      </w:tr>
      <w:tr w:rsidR="00052C0B" w14:paraId="3BE08546" w14:textId="77777777">
        <w:tc>
          <w:tcPr>
            <w:tcW w:w="4721" w:type="pct"/>
          </w:tcPr>
          <w:p w14:paraId="3BE08543" w14:textId="3163B0C6" w:rsidR="00052C0B" w:rsidRDefault="006E6CE8" w:rsidP="006E6CE8">
            <w:pPr>
              <w:ind w:left="38" w:hanging="4"/>
              <w:contextualSpacing/>
              <w:rPr>
                <w:rFonts w:ascii="Times New Roman" w:eastAsia="Microsoft YaHei" w:hAnsi="Times New Roman" w:cs="Times New Roman"/>
                <w:color w:val="auto"/>
                <w:sz w:val="28"/>
                <w:szCs w:val="28"/>
              </w:rPr>
            </w:pPr>
            <w:r>
              <w:rPr>
                <w:rFonts w:ascii="Times New Roman" w:hAnsi="Times New Roman" w:cs="Times New Roman"/>
                <w:sz w:val="28"/>
                <w:szCs w:val="28"/>
              </w:rPr>
              <w:t>3.2. Впровадження нових пі</w:t>
            </w:r>
            <w:r>
              <w:rPr>
                <w:rFonts w:ascii="Times New Roman" w:eastAsia="Malgun Gothic Semilight" w:hAnsi="Times New Roman" w:cs="Times New Roman"/>
                <w:sz w:val="28"/>
                <w:szCs w:val="28"/>
              </w:rPr>
              <w:t>дход</w:t>
            </w:r>
            <w:r>
              <w:rPr>
                <w:rFonts w:ascii="Times New Roman" w:hAnsi="Times New Roman" w:cs="Times New Roman"/>
                <w:sz w:val="28"/>
                <w:szCs w:val="28"/>
              </w:rPr>
              <w:t>і</w:t>
            </w:r>
            <w:r>
              <w:rPr>
                <w:rFonts w:ascii="Times New Roman" w:eastAsia="Malgun Gothic Semilight" w:hAnsi="Times New Roman" w:cs="Times New Roman"/>
                <w:sz w:val="28"/>
                <w:szCs w:val="28"/>
              </w:rPr>
              <w:t>в</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до</w:t>
            </w:r>
            <w:r>
              <w:rPr>
                <w:rFonts w:ascii="Times New Roman" w:hAnsi="Times New Roman" w:cs="Times New Roman"/>
                <w:sz w:val="28"/>
                <w:szCs w:val="28"/>
              </w:rPr>
              <w:t xml:space="preserve"> управління органі</w:t>
            </w:r>
            <w:r>
              <w:rPr>
                <w:rFonts w:ascii="Times New Roman" w:eastAsia="Malgun Gothic Semilight" w:hAnsi="Times New Roman" w:cs="Times New Roman"/>
                <w:sz w:val="28"/>
                <w:szCs w:val="28"/>
              </w:rPr>
              <w:t>зац</w:t>
            </w:r>
            <w:r>
              <w:rPr>
                <w:rFonts w:ascii="Times New Roman" w:hAnsi="Times New Roman" w:cs="Times New Roman"/>
                <w:sz w:val="28"/>
                <w:szCs w:val="28"/>
              </w:rPr>
              <w:t>і</w:t>
            </w:r>
            <w:r>
              <w:rPr>
                <w:rFonts w:ascii="Times New Roman" w:eastAsia="Malgun Gothic Semilight" w:hAnsi="Times New Roman" w:cs="Times New Roman"/>
                <w:sz w:val="28"/>
                <w:szCs w:val="28"/>
              </w:rPr>
              <w:t>йно</w:t>
            </w:r>
            <w:r>
              <w:rPr>
                <w:rFonts w:ascii="Times New Roman" w:hAnsi="Times New Roman" w:cs="Times New Roman"/>
                <w:sz w:val="28"/>
                <w:szCs w:val="28"/>
              </w:rPr>
              <w:t>-</w:t>
            </w:r>
            <w:r>
              <w:rPr>
                <w:rFonts w:ascii="Times New Roman" w:eastAsia="Malgun Gothic Semilight" w:hAnsi="Times New Roman" w:cs="Times New Roman"/>
                <w:sz w:val="28"/>
                <w:szCs w:val="28"/>
              </w:rPr>
              <w:t>економ</w:t>
            </w:r>
            <w:r>
              <w:rPr>
                <w:rFonts w:ascii="Times New Roman" w:hAnsi="Times New Roman" w:cs="Times New Roman"/>
                <w:sz w:val="28"/>
                <w:szCs w:val="28"/>
              </w:rPr>
              <w:t>і</w:t>
            </w:r>
            <w:r>
              <w:rPr>
                <w:rFonts w:ascii="Times New Roman" w:eastAsia="Malgun Gothic Semilight" w:hAnsi="Times New Roman" w:cs="Times New Roman"/>
                <w:sz w:val="28"/>
                <w:szCs w:val="28"/>
              </w:rPr>
              <w:t>чними</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механ</w:t>
            </w:r>
            <w:r>
              <w:rPr>
                <w:rFonts w:ascii="Times New Roman" w:hAnsi="Times New Roman" w:cs="Times New Roman"/>
                <w:sz w:val="28"/>
                <w:szCs w:val="28"/>
              </w:rPr>
              <w:t>і</w:t>
            </w:r>
            <w:r>
              <w:rPr>
                <w:rFonts w:ascii="Times New Roman" w:eastAsia="Malgun Gothic Semilight" w:hAnsi="Times New Roman" w:cs="Times New Roman"/>
                <w:sz w:val="28"/>
                <w:szCs w:val="28"/>
              </w:rPr>
              <w:t>зм</w:t>
            </w:r>
            <w:r>
              <w:rPr>
                <w:rFonts w:ascii="Times New Roman" w:hAnsi="Times New Roman" w:cs="Times New Roman"/>
                <w:sz w:val="28"/>
                <w:szCs w:val="28"/>
              </w:rPr>
              <w:t xml:space="preserve">ами в </w:t>
            </w:r>
            <w:r>
              <w:rPr>
                <w:rFonts w:ascii="Times New Roman" w:eastAsia="Malgun Gothic Semilight" w:hAnsi="Times New Roman" w:cs="Times New Roman"/>
                <w:sz w:val="28"/>
                <w:szCs w:val="28"/>
              </w:rPr>
              <w:t>закладах</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охорони</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здоров’я</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в</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умовах</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ринкових</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перетворень…………………………………………………………</w:t>
            </w:r>
          </w:p>
        </w:tc>
        <w:tc>
          <w:tcPr>
            <w:tcW w:w="279" w:type="pct"/>
          </w:tcPr>
          <w:p w14:paraId="3BE08544" w14:textId="77777777" w:rsidR="00052C0B" w:rsidRDefault="00052C0B">
            <w:pPr>
              <w:jc w:val="center"/>
              <w:rPr>
                <w:rFonts w:ascii="Times New Roman" w:eastAsia="Microsoft YaHei" w:hAnsi="Times New Roman" w:cs="Microsoft YaHei"/>
                <w:bCs/>
                <w:color w:val="auto"/>
                <w:sz w:val="28"/>
                <w:szCs w:val="28"/>
              </w:rPr>
            </w:pPr>
          </w:p>
          <w:p w14:paraId="3BE08545" w14:textId="77777777" w:rsidR="00052C0B" w:rsidRDefault="006E6CE8">
            <w:pPr>
              <w:jc w:val="center"/>
              <w:rPr>
                <w:rFonts w:ascii="Times New Roman" w:eastAsia="Microsoft YaHei" w:hAnsi="Times New Roman" w:cs="Times New Roman"/>
                <w:bCs/>
                <w:color w:val="auto"/>
                <w:sz w:val="28"/>
                <w:szCs w:val="28"/>
                <w:lang w:eastAsia="en-US"/>
              </w:rPr>
            </w:pPr>
            <w:r>
              <w:rPr>
                <w:rFonts w:ascii="Times New Roman" w:eastAsia="Microsoft YaHei" w:hAnsi="Times New Roman" w:cs="Times New Roman"/>
                <w:b/>
                <w:bCs/>
                <w:color w:val="auto"/>
                <w:sz w:val="28"/>
                <w:szCs w:val="28"/>
                <w:lang w:eastAsia="en-US"/>
              </w:rPr>
              <w:t>64</w:t>
            </w:r>
          </w:p>
        </w:tc>
      </w:tr>
      <w:tr w:rsidR="00052C0B" w14:paraId="3BE0854A" w14:textId="77777777">
        <w:trPr>
          <w:trHeight w:val="258"/>
        </w:trPr>
        <w:tc>
          <w:tcPr>
            <w:tcW w:w="4721" w:type="pct"/>
          </w:tcPr>
          <w:p w14:paraId="3BE08547" w14:textId="77777777" w:rsidR="00052C0B" w:rsidRDefault="006E6CE8">
            <w:pPr>
              <w:ind w:left="38" w:hanging="4"/>
              <w:contextualSpacing/>
              <w:rPr>
                <w:rFonts w:ascii="Times New Roman" w:eastAsia="Microsoft YaHei" w:hAnsi="Times New Roman" w:cs="Times New Roman"/>
                <w:color w:val="auto"/>
                <w:sz w:val="28"/>
                <w:szCs w:val="28"/>
              </w:rPr>
            </w:pPr>
            <w:r>
              <w:rPr>
                <w:rFonts w:ascii="Times New Roman" w:hAnsi="Times New Roman" w:cs="Times New Roman"/>
                <w:sz w:val="28"/>
                <w:szCs w:val="28"/>
              </w:rPr>
              <w:t>3.3. Цифрова трансформаці</w:t>
            </w:r>
            <w:r>
              <w:rPr>
                <w:rFonts w:ascii="Times New Roman" w:eastAsia="Malgun Gothic Semilight" w:hAnsi="Times New Roman" w:cs="Times New Roman"/>
                <w:sz w:val="28"/>
                <w:szCs w:val="28"/>
              </w:rPr>
              <w:t>я</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системи</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охорони</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здоров’я</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Укра</w:t>
            </w:r>
            <w:r>
              <w:rPr>
                <w:rFonts w:ascii="Times New Roman" w:hAnsi="Times New Roman" w:cs="Times New Roman"/>
                <w:sz w:val="28"/>
                <w:szCs w:val="28"/>
              </w:rPr>
              <w:t>ї</w:t>
            </w:r>
            <w:r>
              <w:rPr>
                <w:rFonts w:ascii="Times New Roman" w:eastAsia="Malgun Gothic Semilight" w:hAnsi="Times New Roman" w:cs="Times New Roman"/>
                <w:sz w:val="28"/>
                <w:szCs w:val="28"/>
              </w:rPr>
              <w:t>ни</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орган</w:t>
            </w:r>
            <w:r>
              <w:rPr>
                <w:rFonts w:ascii="Times New Roman" w:hAnsi="Times New Roman" w:cs="Times New Roman"/>
                <w:sz w:val="28"/>
                <w:szCs w:val="28"/>
              </w:rPr>
              <w:t>і</w:t>
            </w:r>
            <w:r>
              <w:rPr>
                <w:rFonts w:ascii="Times New Roman" w:eastAsia="Malgun Gothic Semilight" w:hAnsi="Times New Roman" w:cs="Times New Roman"/>
                <w:sz w:val="28"/>
                <w:szCs w:val="28"/>
              </w:rPr>
              <w:t>зац</w:t>
            </w:r>
            <w:r>
              <w:rPr>
                <w:rFonts w:ascii="Times New Roman" w:hAnsi="Times New Roman" w:cs="Times New Roman"/>
                <w:sz w:val="28"/>
                <w:szCs w:val="28"/>
              </w:rPr>
              <w:t>і</w:t>
            </w:r>
            <w:r>
              <w:rPr>
                <w:rFonts w:ascii="Times New Roman" w:eastAsia="Malgun Gothic Semilight" w:hAnsi="Times New Roman" w:cs="Times New Roman"/>
                <w:sz w:val="28"/>
                <w:szCs w:val="28"/>
              </w:rPr>
              <w:t>йно</w:t>
            </w:r>
            <w:r>
              <w:rPr>
                <w:rFonts w:ascii="Times New Roman" w:hAnsi="Times New Roman" w:cs="Times New Roman"/>
                <w:sz w:val="28"/>
                <w:szCs w:val="28"/>
              </w:rPr>
              <w:t>-</w:t>
            </w:r>
            <w:r>
              <w:rPr>
                <w:rFonts w:ascii="Times New Roman" w:eastAsia="Malgun Gothic Semilight" w:hAnsi="Times New Roman" w:cs="Times New Roman"/>
                <w:sz w:val="28"/>
                <w:szCs w:val="28"/>
              </w:rPr>
              <w:t>управл</w:t>
            </w:r>
            <w:r>
              <w:rPr>
                <w:rFonts w:ascii="Times New Roman" w:hAnsi="Times New Roman" w:cs="Times New Roman"/>
                <w:sz w:val="28"/>
                <w:szCs w:val="28"/>
              </w:rPr>
              <w:t>і</w:t>
            </w:r>
            <w:r>
              <w:rPr>
                <w:rFonts w:ascii="Times New Roman" w:eastAsia="Malgun Gothic Semilight" w:hAnsi="Times New Roman" w:cs="Times New Roman"/>
                <w:sz w:val="28"/>
                <w:szCs w:val="28"/>
              </w:rPr>
              <w:t>нськ</w:t>
            </w:r>
            <w:r>
              <w:rPr>
                <w:rFonts w:ascii="Times New Roman" w:hAnsi="Times New Roman" w:cs="Times New Roman"/>
                <w:sz w:val="28"/>
                <w:szCs w:val="28"/>
              </w:rPr>
              <w:t xml:space="preserve">і </w:t>
            </w:r>
            <w:r>
              <w:rPr>
                <w:rFonts w:ascii="Times New Roman" w:eastAsia="Malgun Gothic Semilight" w:hAnsi="Times New Roman" w:cs="Times New Roman"/>
                <w:sz w:val="28"/>
                <w:szCs w:val="28"/>
              </w:rPr>
              <w:t>аспекти</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та</w:t>
            </w:r>
            <w:r>
              <w:rPr>
                <w:rFonts w:ascii="Times New Roman" w:hAnsi="Times New Roman" w:cs="Times New Roman"/>
                <w:sz w:val="28"/>
                <w:szCs w:val="28"/>
              </w:rPr>
              <w:t xml:space="preserve"> </w:t>
            </w:r>
            <w:r>
              <w:rPr>
                <w:rFonts w:ascii="Times New Roman" w:eastAsia="Malgun Gothic Semilight" w:hAnsi="Times New Roman" w:cs="Times New Roman"/>
                <w:sz w:val="28"/>
                <w:szCs w:val="28"/>
              </w:rPr>
              <w:t>стратег</w:t>
            </w:r>
            <w:r>
              <w:rPr>
                <w:rFonts w:ascii="Times New Roman" w:hAnsi="Times New Roman" w:cs="Times New Roman"/>
                <w:sz w:val="28"/>
                <w:szCs w:val="28"/>
              </w:rPr>
              <w:t>і</w:t>
            </w:r>
            <w:r>
              <w:rPr>
                <w:rFonts w:ascii="Times New Roman" w:eastAsia="Malgun Gothic Semilight" w:hAnsi="Times New Roman" w:cs="Times New Roman"/>
                <w:sz w:val="28"/>
                <w:szCs w:val="28"/>
              </w:rPr>
              <w:t>чн</w:t>
            </w:r>
            <w:r>
              <w:rPr>
                <w:rFonts w:ascii="Times New Roman" w:hAnsi="Times New Roman" w:cs="Times New Roman"/>
                <w:sz w:val="28"/>
                <w:szCs w:val="28"/>
              </w:rPr>
              <w:t xml:space="preserve">і </w:t>
            </w:r>
            <w:r>
              <w:rPr>
                <w:rFonts w:ascii="Times New Roman" w:eastAsia="Malgun Gothic Semilight" w:hAnsi="Times New Roman" w:cs="Times New Roman"/>
                <w:sz w:val="28"/>
                <w:szCs w:val="28"/>
              </w:rPr>
              <w:t>ор</w:t>
            </w:r>
            <w:r>
              <w:rPr>
                <w:rFonts w:ascii="Times New Roman" w:hAnsi="Times New Roman" w:cs="Times New Roman"/>
                <w:sz w:val="28"/>
                <w:szCs w:val="28"/>
              </w:rPr>
              <w:t>іє</w:t>
            </w:r>
            <w:r>
              <w:rPr>
                <w:rFonts w:ascii="Times New Roman" w:eastAsia="Malgun Gothic Semilight" w:hAnsi="Times New Roman" w:cs="Times New Roman"/>
                <w:sz w:val="28"/>
                <w:szCs w:val="28"/>
              </w:rPr>
              <w:t>нтири………………..</w:t>
            </w:r>
          </w:p>
        </w:tc>
        <w:tc>
          <w:tcPr>
            <w:tcW w:w="279" w:type="pct"/>
          </w:tcPr>
          <w:p w14:paraId="3BE08548" w14:textId="77777777" w:rsidR="00052C0B" w:rsidRDefault="00052C0B">
            <w:pPr>
              <w:jc w:val="center"/>
              <w:rPr>
                <w:rFonts w:ascii="Times New Roman" w:eastAsia="Microsoft YaHei" w:hAnsi="Times New Roman" w:cs="Microsoft YaHei"/>
                <w:bCs/>
                <w:color w:val="auto"/>
                <w:sz w:val="28"/>
                <w:szCs w:val="28"/>
              </w:rPr>
            </w:pPr>
          </w:p>
          <w:p w14:paraId="3BE08549" w14:textId="77777777" w:rsidR="00052C0B" w:rsidRDefault="006E6CE8">
            <w:pPr>
              <w:jc w:val="center"/>
              <w:rPr>
                <w:rFonts w:ascii="Times New Roman" w:eastAsia="Microsoft YaHei" w:hAnsi="Times New Roman" w:cs="Times New Roman"/>
                <w:bCs/>
                <w:color w:val="auto"/>
                <w:sz w:val="28"/>
                <w:szCs w:val="28"/>
                <w:lang w:eastAsia="en-US"/>
              </w:rPr>
            </w:pPr>
            <w:r>
              <w:rPr>
                <w:rFonts w:ascii="Times New Roman" w:eastAsia="Microsoft YaHei" w:hAnsi="Times New Roman" w:cs="Times New Roman"/>
                <w:b/>
                <w:bCs/>
                <w:color w:val="auto"/>
                <w:sz w:val="28"/>
                <w:szCs w:val="28"/>
                <w:lang w:eastAsia="en-US"/>
              </w:rPr>
              <w:t>70</w:t>
            </w:r>
          </w:p>
        </w:tc>
      </w:tr>
      <w:tr w:rsidR="00052C0B" w14:paraId="3BE0854E" w14:textId="77777777">
        <w:tc>
          <w:tcPr>
            <w:tcW w:w="4721" w:type="pct"/>
          </w:tcPr>
          <w:p w14:paraId="3BE0854B" w14:textId="77777777" w:rsidR="00052C0B" w:rsidRDefault="006E6CE8">
            <w:pPr>
              <w:rPr>
                <w:rFonts w:ascii="Times New Roman" w:eastAsia="Microsoft YaHei" w:hAnsi="Times New Roman" w:cs="Microsoft YaHei"/>
                <w:color w:val="auto"/>
                <w:sz w:val="28"/>
                <w:szCs w:val="28"/>
              </w:rPr>
            </w:pPr>
            <w:r>
              <w:rPr>
                <w:rFonts w:ascii="Times New Roman" w:eastAsia="Microsoft YaHei" w:hAnsi="Times New Roman" w:cs="Times New Roman"/>
                <w:color w:val="auto"/>
                <w:sz w:val="28"/>
                <w:szCs w:val="28"/>
                <w:lang w:eastAsia="en-US"/>
              </w:rPr>
              <w:t>Висновок до розділу 3 ………………………………………………….............</w:t>
            </w:r>
          </w:p>
        </w:tc>
        <w:tc>
          <w:tcPr>
            <w:tcW w:w="279" w:type="pct"/>
          </w:tcPr>
          <w:p w14:paraId="3BE0854C" w14:textId="77777777" w:rsidR="00052C0B" w:rsidRDefault="006E6CE8">
            <w:pPr>
              <w:jc w:val="center"/>
              <w:rPr>
                <w:rFonts w:ascii="Times New Roman" w:eastAsia="Microsoft YaHei" w:hAnsi="Times New Roman" w:cs="Times New Roman"/>
                <w:b/>
                <w:bCs/>
                <w:color w:val="auto"/>
                <w:sz w:val="28"/>
                <w:szCs w:val="28"/>
                <w:lang w:eastAsia="en-US"/>
              </w:rPr>
            </w:pPr>
            <w:r>
              <w:rPr>
                <w:rFonts w:ascii="Times New Roman" w:eastAsia="Microsoft YaHei" w:hAnsi="Times New Roman" w:cs="Times New Roman"/>
                <w:b/>
                <w:bCs/>
                <w:color w:val="auto"/>
                <w:sz w:val="28"/>
                <w:szCs w:val="28"/>
                <w:lang w:eastAsia="en-US"/>
              </w:rPr>
              <w:t>75</w:t>
            </w:r>
          </w:p>
          <w:p w14:paraId="3BE0854D" w14:textId="77777777" w:rsidR="00052C0B" w:rsidRDefault="00052C0B">
            <w:pPr>
              <w:jc w:val="center"/>
              <w:rPr>
                <w:rFonts w:ascii="Times New Roman" w:eastAsia="Microsoft YaHei" w:hAnsi="Times New Roman" w:cs="Microsoft YaHei"/>
                <w:bCs/>
                <w:color w:val="auto"/>
                <w:sz w:val="28"/>
                <w:szCs w:val="28"/>
              </w:rPr>
            </w:pPr>
          </w:p>
        </w:tc>
      </w:tr>
      <w:tr w:rsidR="00052C0B" w14:paraId="3BE08551" w14:textId="77777777">
        <w:tc>
          <w:tcPr>
            <w:tcW w:w="4721" w:type="pct"/>
          </w:tcPr>
          <w:p w14:paraId="3BE0854F" w14:textId="77777777" w:rsidR="00052C0B" w:rsidRDefault="006E6CE8">
            <w:pPr>
              <w:rPr>
                <w:rFonts w:ascii="Times New Roman" w:eastAsia="Microsoft YaHei" w:hAnsi="Times New Roman" w:cs="Microsoft YaHei"/>
                <w:b/>
                <w:color w:val="auto"/>
                <w:sz w:val="28"/>
                <w:szCs w:val="28"/>
              </w:rPr>
            </w:pPr>
            <w:r>
              <w:rPr>
                <w:rFonts w:ascii="Times New Roman" w:eastAsia="Microsoft YaHei" w:hAnsi="Times New Roman" w:cs="Times New Roman"/>
                <w:b/>
                <w:color w:val="auto"/>
                <w:sz w:val="28"/>
                <w:szCs w:val="28"/>
                <w:lang w:eastAsia="en-US"/>
              </w:rPr>
              <w:t>ВИСНОВКИ ……………………………………………………………………</w:t>
            </w:r>
          </w:p>
        </w:tc>
        <w:tc>
          <w:tcPr>
            <w:tcW w:w="279" w:type="pct"/>
          </w:tcPr>
          <w:p w14:paraId="3BE08550" w14:textId="77777777" w:rsidR="00052C0B" w:rsidRDefault="006E6CE8">
            <w:pPr>
              <w:jc w:val="center"/>
              <w:rPr>
                <w:rFonts w:ascii="Times New Roman" w:eastAsia="Microsoft YaHei" w:hAnsi="Times New Roman" w:cs="Microsoft YaHei"/>
                <w:b/>
                <w:bCs/>
                <w:color w:val="auto"/>
                <w:sz w:val="28"/>
                <w:szCs w:val="28"/>
              </w:rPr>
            </w:pPr>
            <w:r>
              <w:rPr>
                <w:rFonts w:ascii="Times New Roman" w:eastAsia="Microsoft YaHei" w:hAnsi="Times New Roman" w:cs="Times New Roman"/>
                <w:b/>
                <w:bCs/>
                <w:color w:val="auto"/>
                <w:sz w:val="28"/>
                <w:szCs w:val="28"/>
                <w:lang w:eastAsia="en-US"/>
              </w:rPr>
              <w:t>77</w:t>
            </w:r>
          </w:p>
        </w:tc>
      </w:tr>
      <w:tr w:rsidR="00052C0B" w14:paraId="3BE08554" w14:textId="77777777">
        <w:tc>
          <w:tcPr>
            <w:tcW w:w="4721" w:type="pct"/>
          </w:tcPr>
          <w:p w14:paraId="3BE08552" w14:textId="77777777" w:rsidR="00052C0B" w:rsidRDefault="006E6CE8">
            <w:pPr>
              <w:rPr>
                <w:rFonts w:ascii="Times New Roman" w:eastAsia="Microsoft YaHei" w:hAnsi="Times New Roman" w:cs="Microsoft YaHei"/>
                <w:b/>
                <w:color w:val="auto"/>
                <w:sz w:val="28"/>
                <w:szCs w:val="28"/>
              </w:rPr>
            </w:pPr>
            <w:r>
              <w:rPr>
                <w:rFonts w:ascii="Times New Roman" w:eastAsia="Microsoft YaHei" w:hAnsi="Times New Roman" w:cs="Times New Roman"/>
                <w:b/>
                <w:color w:val="auto"/>
                <w:sz w:val="28"/>
                <w:szCs w:val="28"/>
                <w:lang w:eastAsia="en-US"/>
              </w:rPr>
              <w:t>ПЕРЕЛІК ВИКОРИСТАНИХ ДЖЕРЕЛ …………………………………...</w:t>
            </w:r>
          </w:p>
        </w:tc>
        <w:tc>
          <w:tcPr>
            <w:tcW w:w="279" w:type="pct"/>
          </w:tcPr>
          <w:p w14:paraId="3BE08553" w14:textId="77777777" w:rsidR="00052C0B" w:rsidRDefault="006E6CE8">
            <w:pPr>
              <w:jc w:val="center"/>
              <w:rPr>
                <w:rFonts w:ascii="Times New Roman" w:eastAsia="Microsoft YaHei" w:hAnsi="Times New Roman" w:cs="Microsoft YaHei"/>
                <w:b/>
                <w:bCs/>
                <w:color w:val="auto"/>
                <w:sz w:val="28"/>
                <w:szCs w:val="28"/>
              </w:rPr>
            </w:pPr>
            <w:r>
              <w:rPr>
                <w:rFonts w:ascii="Times New Roman" w:eastAsia="Microsoft YaHei" w:hAnsi="Times New Roman" w:cs="Times New Roman"/>
                <w:b/>
                <w:bCs/>
                <w:color w:val="auto"/>
                <w:sz w:val="28"/>
                <w:szCs w:val="28"/>
                <w:lang w:eastAsia="en-US"/>
              </w:rPr>
              <w:t>86</w:t>
            </w:r>
          </w:p>
        </w:tc>
      </w:tr>
    </w:tbl>
    <w:p w14:paraId="3BE08555" w14:textId="77777777" w:rsidR="00052C0B" w:rsidRDefault="00052C0B">
      <w:pPr>
        <w:spacing w:line="360" w:lineRule="auto"/>
        <w:jc w:val="center"/>
        <w:rPr>
          <w:rFonts w:ascii="Times New Roman" w:eastAsia="Microsoft YaHei" w:hAnsi="Times New Roman" w:cs="Times New Roman"/>
          <w:b/>
          <w:color w:val="auto"/>
          <w:sz w:val="28"/>
          <w:szCs w:val="28"/>
        </w:rPr>
      </w:pPr>
    </w:p>
    <w:p w14:paraId="3BE08556" w14:textId="77777777" w:rsidR="00052C0B" w:rsidRDefault="006E6CE8">
      <w:pPr>
        <w:spacing w:line="360" w:lineRule="auto"/>
        <w:jc w:val="center"/>
        <w:rPr>
          <w:rFonts w:ascii="Times New Roman" w:eastAsia="Microsoft YaHei" w:hAnsi="Times New Roman" w:cs="Times New Roman"/>
          <w:b/>
          <w:color w:val="auto"/>
          <w:sz w:val="28"/>
          <w:szCs w:val="28"/>
        </w:rPr>
      </w:pPr>
      <w:r>
        <w:rPr>
          <w:rFonts w:ascii="Times New Roman" w:eastAsia="Microsoft YaHei" w:hAnsi="Times New Roman" w:cs="Times New Roman"/>
          <w:b/>
          <w:color w:val="auto"/>
          <w:sz w:val="28"/>
          <w:szCs w:val="28"/>
        </w:rPr>
        <w:lastRenderedPageBreak/>
        <w:t>ВСТУП</w:t>
      </w:r>
    </w:p>
    <w:p w14:paraId="3BE08557" w14:textId="77777777" w:rsidR="00052C0B" w:rsidRDefault="00052C0B">
      <w:pPr>
        <w:spacing w:line="360" w:lineRule="auto"/>
        <w:rPr>
          <w:rFonts w:ascii="Times New Roman" w:eastAsia="Microsoft YaHei" w:hAnsi="Times New Roman" w:cs="Times New Roman"/>
          <w:b/>
          <w:color w:val="auto"/>
          <w:sz w:val="28"/>
          <w:szCs w:val="28"/>
        </w:rPr>
      </w:pPr>
    </w:p>
    <w:p w14:paraId="3BE08558" w14:textId="77777777" w:rsidR="00052C0B" w:rsidRDefault="006E6CE8">
      <w:pPr>
        <w:spacing w:line="360" w:lineRule="auto"/>
        <w:ind w:firstLine="709"/>
        <w:jc w:val="both"/>
        <w:rPr>
          <w:rFonts w:ascii="Times New Roman" w:eastAsia="Microsoft YaHei" w:hAnsi="Times New Roman" w:cs="Times New Roman"/>
          <w:color w:val="auto"/>
          <w:sz w:val="28"/>
          <w:szCs w:val="28"/>
        </w:rPr>
      </w:pPr>
      <w:r>
        <w:rPr>
          <w:rFonts w:ascii="Times New Roman" w:eastAsia="Microsoft YaHei" w:hAnsi="Times New Roman" w:cs="Times New Roman"/>
          <w:i/>
          <w:color w:val="auto"/>
          <w:sz w:val="28"/>
          <w:szCs w:val="28"/>
        </w:rPr>
        <w:t>Актуальність теми.</w:t>
      </w:r>
      <w:r>
        <w:rPr>
          <w:rFonts w:ascii="Times New Roman" w:eastAsia="Microsoft YaHei" w:hAnsi="Times New Roman" w:cs="Times New Roman"/>
          <w:color w:val="auto"/>
          <w:sz w:val="28"/>
          <w:szCs w:val="28"/>
        </w:rPr>
        <w:t xml:space="preserve"> </w:t>
      </w:r>
    </w:p>
    <w:p w14:paraId="3BE08559" w14:textId="3A93E91C" w:rsidR="00052C0B" w:rsidRDefault="006E6CE8">
      <w:pPr>
        <w:spacing w:line="360" w:lineRule="auto"/>
        <w:ind w:firstLine="709"/>
        <w:jc w:val="both"/>
        <w:rPr>
          <w:rFonts w:ascii="Times New Roman" w:eastAsia="Microsoft YaHei" w:hAnsi="Times New Roman" w:cs="Times New Roman"/>
          <w:color w:val="auto"/>
          <w:sz w:val="28"/>
          <w:szCs w:val="28"/>
        </w:rPr>
      </w:pPr>
      <w:r>
        <w:rPr>
          <w:rFonts w:ascii="Times New Roman" w:eastAsia="Microsoft YaHei" w:hAnsi="Times New Roman" w:cs="Times New Roman"/>
          <w:color w:val="auto"/>
          <w:sz w:val="28"/>
          <w:szCs w:val="28"/>
        </w:rPr>
        <w:t>Система охорони здоров’я України перебуває в умовах масштабних трансформацій, що охоплюють зміну моделей фінансування, формування госпітальних округів, підвищення вимог до якості медичної допомоги та ефективності використання ресурсів. За цих умов особливої ваги набуває розроблення та впровадження дієвих організаційно-економічних механізмів управління на державному рівні, які здатні забезпечити стабільність, результативність і прозорість функціонування медичних закладів.</w:t>
      </w:r>
    </w:p>
    <w:p w14:paraId="5762A3AC" w14:textId="09ED8467" w:rsidR="00521E19" w:rsidRDefault="00521E19">
      <w:pPr>
        <w:spacing w:line="360" w:lineRule="auto"/>
        <w:ind w:firstLine="709"/>
        <w:jc w:val="both"/>
        <w:rPr>
          <w:rFonts w:ascii="Times New Roman" w:eastAsia="Microsoft YaHei" w:hAnsi="Times New Roman" w:cs="Times New Roman"/>
          <w:color w:val="auto"/>
          <w:sz w:val="28"/>
          <w:szCs w:val="28"/>
        </w:rPr>
      </w:pPr>
      <w:r w:rsidRPr="00521E19">
        <w:rPr>
          <w:rFonts w:ascii="Times New Roman" w:eastAsia="Microsoft YaHei" w:hAnsi="Times New Roman" w:cs="Times New Roman"/>
          <w:color w:val="auto"/>
          <w:sz w:val="28"/>
          <w:szCs w:val="28"/>
        </w:rPr>
        <w:t>Сучасні виклики, пов’язані з військовими діями, економічною нестабільністю та посиленням навантаження на медичну систему, додатково актуалізують потребу у вдосконаленні механізмів державного управління охороною здоров’я. Забезпечення стійкості та безперервності надання медичних послуг вимагає від держави чітко вибудуваних інструментів планування, моніторингу, контролю якості та фінансового забезпечення. Ефективне управління на національному рівні має формувати гнучкі моделі реагування на кризові ситуації, сприяти інтеграції інноваційних технологій, цифровізації процесів, розвитку кадрового потенціалу та підвищенню управлінської автономії закладів охорони здоров’я. Саме комплексний і системний підхід дозволяє забезпечити стабільне функціонування галузі та створити умови для її стратегічного розвитку.</w:t>
      </w:r>
    </w:p>
    <w:p w14:paraId="3BE0855A" w14:textId="77777777" w:rsidR="00052C0B" w:rsidRDefault="006E6CE8">
      <w:pPr>
        <w:spacing w:line="360" w:lineRule="auto"/>
        <w:ind w:firstLine="709"/>
        <w:jc w:val="both"/>
        <w:rPr>
          <w:rFonts w:ascii="Times New Roman" w:eastAsia="Microsoft YaHei" w:hAnsi="Times New Roman" w:cs="Times New Roman"/>
          <w:color w:val="auto"/>
          <w:sz w:val="28"/>
          <w:szCs w:val="28"/>
        </w:rPr>
      </w:pPr>
      <w:r>
        <w:rPr>
          <w:rFonts w:ascii="Times New Roman" w:eastAsia="Microsoft YaHei" w:hAnsi="Times New Roman" w:cs="Times New Roman"/>
          <w:color w:val="auto"/>
          <w:sz w:val="28"/>
          <w:szCs w:val="28"/>
        </w:rPr>
        <w:t xml:space="preserve">Актуальність теми зумовлена необхідністю підвищення ефективності системи охорони здоров’я шляхом оптимального поєднання адміністративних і економічних інструментів, запровадження мотиваційних механізмів, формування нових джерел фінансування та раціонального використання наявних ресурсів. У сучасних умовах державна політика має забезпечувати не лише регулятивну функцію, а й створювати умови для конкурентоспроможності закладів охорони здоров’я, розвитку їхнього потенціалу, орієнтації на потреби населення та підвищення якості медичних </w:t>
      </w:r>
      <w:r>
        <w:rPr>
          <w:rFonts w:ascii="Times New Roman" w:eastAsia="Microsoft YaHei" w:hAnsi="Times New Roman" w:cs="Times New Roman"/>
          <w:color w:val="auto"/>
          <w:sz w:val="28"/>
          <w:szCs w:val="28"/>
        </w:rPr>
        <w:lastRenderedPageBreak/>
        <w:t>послуг.</w:t>
      </w:r>
    </w:p>
    <w:p w14:paraId="3BE0855B" w14:textId="77777777" w:rsidR="00052C0B" w:rsidRDefault="006E6CE8">
      <w:pPr>
        <w:spacing w:line="360" w:lineRule="auto"/>
        <w:ind w:firstLine="709"/>
        <w:jc w:val="both"/>
        <w:rPr>
          <w:rFonts w:ascii="Times New Roman" w:eastAsia="Microsoft YaHei" w:hAnsi="Times New Roman" w:cs="Times New Roman"/>
          <w:color w:val="auto"/>
          <w:sz w:val="28"/>
          <w:szCs w:val="28"/>
        </w:rPr>
      </w:pPr>
      <w:r>
        <w:rPr>
          <w:rFonts w:ascii="Times New Roman" w:eastAsia="Microsoft YaHei" w:hAnsi="Times New Roman" w:cs="Times New Roman"/>
          <w:color w:val="auto"/>
          <w:sz w:val="28"/>
          <w:szCs w:val="28"/>
        </w:rPr>
        <w:t>Таким чином, дослідження організаційно-економічних механізмів управління медичними закладами на державному рівні є вкрай актуальним, оскільки саме від їхньої ефективності залежить успішність реформ, доступність та якість медичної допомоги, фінансова стійкість закладів і загальний розвиток системи охорони здоров’я.</w:t>
      </w:r>
    </w:p>
    <w:p w14:paraId="3BE0855C" w14:textId="77777777" w:rsidR="00052C0B" w:rsidRDefault="006E6CE8">
      <w:pPr>
        <w:spacing w:line="360" w:lineRule="auto"/>
        <w:ind w:firstLine="709"/>
        <w:jc w:val="both"/>
        <w:rPr>
          <w:rFonts w:ascii="Times New Roman" w:eastAsia="Microsoft YaHei" w:hAnsi="Times New Roman" w:cs="Times New Roman"/>
          <w:color w:val="auto"/>
          <w:sz w:val="28"/>
          <w:szCs w:val="28"/>
        </w:rPr>
      </w:pPr>
      <w:r>
        <w:rPr>
          <w:rFonts w:ascii="Times New Roman" w:eastAsia="Microsoft YaHei" w:hAnsi="Times New Roman" w:cs="Times New Roman"/>
          <w:i/>
          <w:color w:val="auto"/>
          <w:sz w:val="28"/>
          <w:szCs w:val="28"/>
        </w:rPr>
        <w:t>Мета і завдання дослідження</w:t>
      </w:r>
      <w:r>
        <w:rPr>
          <w:rFonts w:ascii="Times New Roman" w:eastAsia="Microsoft YaHei" w:hAnsi="Times New Roman" w:cs="Times New Roman"/>
          <w:color w:val="auto"/>
          <w:sz w:val="28"/>
          <w:szCs w:val="28"/>
        </w:rPr>
        <w:t xml:space="preserve">. </w:t>
      </w:r>
    </w:p>
    <w:p w14:paraId="3BE0855D" w14:textId="77777777" w:rsidR="00052C0B" w:rsidRDefault="006E6CE8">
      <w:pPr>
        <w:spacing w:line="360" w:lineRule="auto"/>
        <w:ind w:firstLine="708"/>
        <w:jc w:val="both"/>
        <w:rPr>
          <w:rFonts w:ascii="Times New Roman" w:eastAsia="Microsoft YaHei" w:hAnsi="Times New Roman" w:cs="Times New Roman"/>
          <w:color w:val="auto"/>
          <w:sz w:val="28"/>
          <w:szCs w:val="28"/>
        </w:rPr>
      </w:pPr>
      <w:r>
        <w:rPr>
          <w:rFonts w:ascii="Times New Roman" w:eastAsia="Microsoft YaHei" w:hAnsi="Times New Roman" w:cs="Times New Roman"/>
          <w:i/>
          <w:color w:val="auto"/>
          <w:sz w:val="28"/>
          <w:szCs w:val="28"/>
        </w:rPr>
        <w:t xml:space="preserve">Метою дослідження </w:t>
      </w:r>
      <w:r>
        <w:rPr>
          <w:rFonts w:ascii="Times New Roman" w:eastAsia="Microsoft YaHei" w:hAnsi="Times New Roman" w:cs="Times New Roman"/>
          <w:color w:val="auto"/>
          <w:sz w:val="28"/>
          <w:szCs w:val="28"/>
        </w:rPr>
        <w:t>є дослідження особливостей організаційно-економічних механізмів управління закладами охорони здоров’я на державному рівні та пошук шляхів їх вдосконалення.</w:t>
      </w:r>
    </w:p>
    <w:p w14:paraId="3BE0855E" w14:textId="77777777" w:rsidR="00052C0B" w:rsidRDefault="006E6CE8">
      <w:pPr>
        <w:spacing w:line="360" w:lineRule="auto"/>
        <w:ind w:firstLine="709"/>
        <w:jc w:val="both"/>
        <w:rPr>
          <w:rFonts w:ascii="Times New Roman" w:eastAsia="Microsoft YaHei" w:hAnsi="Times New Roman" w:cs="Times New Roman"/>
          <w:bCs/>
          <w:i/>
          <w:color w:val="auto"/>
          <w:sz w:val="28"/>
          <w:szCs w:val="28"/>
        </w:rPr>
      </w:pPr>
      <w:r>
        <w:rPr>
          <w:rFonts w:ascii="Times New Roman" w:eastAsia="Microsoft YaHei" w:hAnsi="Times New Roman" w:cs="Times New Roman"/>
          <w:bCs/>
          <w:color w:val="auto"/>
          <w:sz w:val="28"/>
          <w:szCs w:val="28"/>
        </w:rPr>
        <w:t>Виходячи з поставленої мети, окреслено наступні</w:t>
      </w:r>
      <w:r>
        <w:rPr>
          <w:rFonts w:ascii="Times New Roman" w:eastAsia="Microsoft YaHei" w:hAnsi="Times New Roman" w:cs="Times New Roman"/>
          <w:bCs/>
          <w:i/>
          <w:color w:val="auto"/>
          <w:sz w:val="28"/>
          <w:szCs w:val="28"/>
        </w:rPr>
        <w:t xml:space="preserve"> завдання дослідження:</w:t>
      </w:r>
    </w:p>
    <w:p w14:paraId="3BE0855F" w14:textId="77777777" w:rsidR="00052C0B" w:rsidRDefault="006E6CE8">
      <w:pPr>
        <w:spacing w:line="360" w:lineRule="auto"/>
        <w:ind w:firstLine="709"/>
        <w:jc w:val="both"/>
        <w:rPr>
          <w:rFonts w:ascii="Times New Roman" w:eastAsia="Microsoft YaHei" w:hAnsi="Times New Roman" w:cs="Times New Roman"/>
          <w:bCs/>
          <w:color w:val="auto"/>
          <w:sz w:val="28"/>
          <w:szCs w:val="28"/>
        </w:rPr>
      </w:pPr>
      <w:r>
        <w:rPr>
          <w:rFonts w:ascii="Times New Roman" w:eastAsia="Microsoft YaHei" w:hAnsi="Times New Roman" w:cs="Times New Roman"/>
          <w:bCs/>
          <w:color w:val="auto"/>
          <w:sz w:val="28"/>
          <w:szCs w:val="28"/>
        </w:rPr>
        <w:t>- визначити базові принципи та розглянути структурні моделі функціонування систем охорони здоров’я;</w:t>
      </w:r>
    </w:p>
    <w:p w14:paraId="3BE08560" w14:textId="77777777" w:rsidR="00052C0B" w:rsidRDefault="006E6CE8">
      <w:pPr>
        <w:spacing w:line="360" w:lineRule="auto"/>
        <w:ind w:firstLine="709"/>
        <w:jc w:val="both"/>
        <w:rPr>
          <w:rFonts w:ascii="Times New Roman" w:eastAsia="Microsoft YaHei" w:hAnsi="Times New Roman" w:cs="Times New Roman"/>
          <w:bCs/>
          <w:color w:val="auto"/>
          <w:sz w:val="28"/>
          <w:szCs w:val="28"/>
        </w:rPr>
      </w:pPr>
      <w:r>
        <w:rPr>
          <w:rFonts w:ascii="Times New Roman" w:eastAsia="Microsoft YaHei" w:hAnsi="Times New Roman" w:cs="Times New Roman"/>
          <w:bCs/>
          <w:color w:val="auto"/>
          <w:sz w:val="28"/>
          <w:szCs w:val="28"/>
        </w:rPr>
        <w:t>- розкрити сутність, розглянути підсистеми та інструменти організаційно-економічного управління медичними закладами;</w:t>
      </w:r>
    </w:p>
    <w:p w14:paraId="3BE08561" w14:textId="77777777" w:rsidR="00052C0B" w:rsidRDefault="006E6CE8">
      <w:pPr>
        <w:spacing w:line="360" w:lineRule="auto"/>
        <w:ind w:firstLine="709"/>
        <w:jc w:val="both"/>
        <w:rPr>
          <w:rFonts w:ascii="Times New Roman" w:eastAsia="Microsoft YaHei" w:hAnsi="Times New Roman" w:cs="Times New Roman"/>
          <w:bCs/>
          <w:color w:val="auto"/>
          <w:sz w:val="28"/>
          <w:szCs w:val="28"/>
        </w:rPr>
      </w:pPr>
      <w:r>
        <w:rPr>
          <w:rFonts w:ascii="Times New Roman" w:eastAsia="Microsoft YaHei" w:hAnsi="Times New Roman" w:cs="Times New Roman"/>
          <w:bCs/>
          <w:color w:val="auto"/>
          <w:sz w:val="28"/>
          <w:szCs w:val="28"/>
        </w:rPr>
        <w:t>- дослідити організаційно-економічні механізми як ключові інструменти державного впливу на функціонування медичної системи;</w:t>
      </w:r>
    </w:p>
    <w:p w14:paraId="3BE08562" w14:textId="77777777" w:rsidR="00052C0B" w:rsidRDefault="006E6CE8">
      <w:pPr>
        <w:spacing w:line="360" w:lineRule="auto"/>
        <w:ind w:firstLine="709"/>
        <w:jc w:val="both"/>
        <w:rPr>
          <w:rFonts w:ascii="Times New Roman" w:eastAsia="Microsoft YaHei" w:hAnsi="Times New Roman" w:cs="Times New Roman"/>
          <w:bCs/>
          <w:color w:val="auto"/>
          <w:sz w:val="28"/>
          <w:szCs w:val="28"/>
        </w:rPr>
      </w:pPr>
      <w:r>
        <w:rPr>
          <w:rFonts w:ascii="Times New Roman" w:eastAsia="Microsoft YaHei" w:hAnsi="Times New Roman" w:cs="Times New Roman"/>
          <w:bCs/>
          <w:color w:val="auto"/>
          <w:sz w:val="28"/>
          <w:szCs w:val="28"/>
        </w:rPr>
        <w:t>- визначити роль Департаменту охорони здоров’я Одеської міської ради в реалізації державної політики та забезпеченні ефективності бюджетних програм у сфері охорони здоров’я;</w:t>
      </w:r>
    </w:p>
    <w:p w14:paraId="3BE08563" w14:textId="77777777" w:rsidR="00052C0B" w:rsidRDefault="006E6CE8">
      <w:pPr>
        <w:spacing w:line="360" w:lineRule="auto"/>
        <w:ind w:firstLine="709"/>
        <w:jc w:val="both"/>
        <w:rPr>
          <w:rFonts w:ascii="Times New Roman" w:eastAsia="Microsoft YaHei" w:hAnsi="Times New Roman" w:cs="Times New Roman"/>
          <w:bCs/>
          <w:color w:val="auto"/>
          <w:sz w:val="28"/>
          <w:szCs w:val="28"/>
        </w:rPr>
      </w:pPr>
      <w:r>
        <w:rPr>
          <w:rFonts w:ascii="Times New Roman" w:eastAsia="Microsoft YaHei" w:hAnsi="Times New Roman" w:cs="Times New Roman"/>
          <w:bCs/>
          <w:color w:val="auto"/>
          <w:sz w:val="28"/>
          <w:szCs w:val="28"/>
        </w:rPr>
        <w:t xml:space="preserve">- провести дослідження організаційно-економічних інструментів забезпечення діяльності комунальних закладів охорони здоров’я територіальної громади м. Одеси; </w:t>
      </w:r>
    </w:p>
    <w:p w14:paraId="3BE08564" w14:textId="77777777" w:rsidR="00052C0B" w:rsidRDefault="006E6CE8">
      <w:pPr>
        <w:spacing w:line="360" w:lineRule="auto"/>
        <w:ind w:firstLine="709"/>
        <w:jc w:val="both"/>
        <w:rPr>
          <w:rFonts w:ascii="Times New Roman" w:eastAsia="Microsoft YaHei" w:hAnsi="Times New Roman" w:cs="Times New Roman"/>
          <w:bCs/>
          <w:color w:val="auto"/>
          <w:sz w:val="28"/>
          <w:szCs w:val="28"/>
        </w:rPr>
      </w:pPr>
      <w:r>
        <w:rPr>
          <w:rFonts w:ascii="Times New Roman" w:eastAsia="Microsoft YaHei" w:hAnsi="Times New Roman" w:cs="Times New Roman"/>
          <w:bCs/>
          <w:color w:val="auto"/>
          <w:sz w:val="28"/>
          <w:szCs w:val="28"/>
        </w:rPr>
        <w:t xml:space="preserve"> - здійснити аналіз і оцінку фінансового стану та ефективності організаційно-економічних механізмів КНП «Міська клінічна лікарня № 11» ОМР;</w:t>
      </w:r>
    </w:p>
    <w:p w14:paraId="3BE08565" w14:textId="3A35F648" w:rsidR="00052C0B" w:rsidRDefault="006E6CE8">
      <w:pPr>
        <w:spacing w:line="360" w:lineRule="auto"/>
        <w:ind w:firstLine="709"/>
        <w:jc w:val="both"/>
        <w:rPr>
          <w:rFonts w:ascii="Times New Roman" w:eastAsia="Microsoft YaHei" w:hAnsi="Times New Roman" w:cs="Times New Roman"/>
          <w:bCs/>
          <w:color w:val="auto"/>
          <w:sz w:val="28"/>
          <w:szCs w:val="28"/>
        </w:rPr>
      </w:pPr>
      <w:r>
        <w:rPr>
          <w:rFonts w:ascii="Times New Roman" w:eastAsia="Microsoft YaHei" w:hAnsi="Times New Roman" w:cs="Times New Roman"/>
          <w:bCs/>
          <w:color w:val="auto"/>
          <w:sz w:val="28"/>
          <w:szCs w:val="28"/>
        </w:rPr>
        <w:t>- визначити ключові проблеми і чинники, що обмежують ефективність наявних організаційно-економічних механізмів, та здійснити пошук шляхів їх подолання</w:t>
      </w:r>
      <w:r w:rsidR="00826708">
        <w:rPr>
          <w:rFonts w:ascii="Times New Roman" w:eastAsia="Microsoft YaHei" w:hAnsi="Times New Roman" w:cs="Times New Roman"/>
          <w:bCs/>
          <w:color w:val="auto"/>
          <w:sz w:val="28"/>
          <w:szCs w:val="28"/>
        </w:rPr>
        <w:t>;</w:t>
      </w:r>
    </w:p>
    <w:p w14:paraId="3BE08566" w14:textId="0EE3F364" w:rsidR="00052C0B" w:rsidRDefault="006E6CE8">
      <w:pPr>
        <w:spacing w:line="360" w:lineRule="auto"/>
        <w:ind w:firstLine="709"/>
        <w:jc w:val="both"/>
        <w:rPr>
          <w:rFonts w:ascii="Times New Roman" w:eastAsia="Microsoft YaHei" w:hAnsi="Times New Roman" w:cs="Times New Roman"/>
          <w:bCs/>
          <w:color w:val="auto"/>
          <w:sz w:val="28"/>
          <w:szCs w:val="28"/>
        </w:rPr>
      </w:pPr>
      <w:r>
        <w:rPr>
          <w:rFonts w:ascii="Times New Roman" w:eastAsia="Microsoft YaHei" w:hAnsi="Times New Roman" w:cs="Times New Roman"/>
          <w:bCs/>
          <w:color w:val="auto"/>
          <w:sz w:val="28"/>
          <w:szCs w:val="28"/>
        </w:rPr>
        <w:lastRenderedPageBreak/>
        <w:t xml:space="preserve">- проаналізувати впровадження нових підходів до </w:t>
      </w:r>
      <w:r w:rsidR="00826708">
        <w:rPr>
          <w:rFonts w:ascii="Times New Roman" w:eastAsia="Microsoft YaHei" w:hAnsi="Times New Roman" w:cs="Times New Roman"/>
          <w:bCs/>
          <w:color w:val="auto"/>
          <w:sz w:val="28"/>
          <w:szCs w:val="28"/>
        </w:rPr>
        <w:t xml:space="preserve">управління </w:t>
      </w:r>
      <w:r>
        <w:rPr>
          <w:rFonts w:ascii="Times New Roman" w:eastAsia="Microsoft YaHei" w:hAnsi="Times New Roman" w:cs="Times New Roman"/>
          <w:bCs/>
          <w:color w:val="auto"/>
          <w:sz w:val="28"/>
          <w:szCs w:val="28"/>
        </w:rPr>
        <w:t>організаційно-економічни</w:t>
      </w:r>
      <w:r w:rsidR="00826708">
        <w:rPr>
          <w:rFonts w:ascii="Times New Roman" w:eastAsia="Microsoft YaHei" w:hAnsi="Times New Roman" w:cs="Times New Roman"/>
          <w:bCs/>
          <w:color w:val="auto"/>
          <w:sz w:val="28"/>
          <w:szCs w:val="28"/>
        </w:rPr>
        <w:t>ми механізмами</w:t>
      </w:r>
      <w:r>
        <w:rPr>
          <w:rFonts w:ascii="Times New Roman" w:eastAsia="Microsoft YaHei" w:hAnsi="Times New Roman" w:cs="Times New Roman"/>
          <w:bCs/>
          <w:color w:val="auto"/>
          <w:sz w:val="28"/>
          <w:szCs w:val="28"/>
        </w:rPr>
        <w:t xml:space="preserve"> </w:t>
      </w:r>
      <w:r w:rsidR="00826708">
        <w:rPr>
          <w:rFonts w:ascii="Times New Roman" w:eastAsia="Microsoft YaHei" w:hAnsi="Times New Roman" w:cs="Times New Roman"/>
          <w:bCs/>
          <w:color w:val="auto"/>
          <w:sz w:val="28"/>
          <w:szCs w:val="28"/>
        </w:rPr>
        <w:t xml:space="preserve">в </w:t>
      </w:r>
      <w:r>
        <w:rPr>
          <w:rFonts w:ascii="Times New Roman" w:eastAsia="Microsoft YaHei" w:hAnsi="Times New Roman" w:cs="Times New Roman"/>
          <w:bCs/>
          <w:color w:val="auto"/>
          <w:sz w:val="28"/>
          <w:szCs w:val="28"/>
        </w:rPr>
        <w:t>заклада</w:t>
      </w:r>
      <w:r w:rsidR="00826708">
        <w:rPr>
          <w:rFonts w:ascii="Times New Roman" w:eastAsia="Microsoft YaHei" w:hAnsi="Times New Roman" w:cs="Times New Roman"/>
          <w:bCs/>
          <w:color w:val="auto"/>
          <w:sz w:val="28"/>
          <w:szCs w:val="28"/>
        </w:rPr>
        <w:t>х</w:t>
      </w:r>
      <w:r>
        <w:rPr>
          <w:rFonts w:ascii="Times New Roman" w:eastAsia="Microsoft YaHei" w:hAnsi="Times New Roman" w:cs="Times New Roman"/>
          <w:bCs/>
          <w:color w:val="auto"/>
          <w:sz w:val="28"/>
          <w:szCs w:val="28"/>
        </w:rPr>
        <w:t xml:space="preserve"> охорони здоров’я в умовах ринкових перетворень;</w:t>
      </w:r>
    </w:p>
    <w:p w14:paraId="3BE08567" w14:textId="77777777" w:rsidR="00052C0B" w:rsidRDefault="006E6CE8">
      <w:pPr>
        <w:spacing w:line="360" w:lineRule="auto"/>
        <w:ind w:firstLine="709"/>
        <w:jc w:val="both"/>
        <w:rPr>
          <w:rFonts w:ascii="Times New Roman" w:eastAsia="Microsoft YaHei" w:hAnsi="Times New Roman" w:cs="Times New Roman"/>
          <w:bCs/>
          <w:color w:val="auto"/>
          <w:sz w:val="28"/>
          <w:szCs w:val="28"/>
        </w:rPr>
      </w:pPr>
      <w:r>
        <w:rPr>
          <w:rFonts w:ascii="Times New Roman" w:eastAsia="Microsoft YaHei" w:hAnsi="Times New Roman" w:cs="Times New Roman"/>
          <w:bCs/>
          <w:color w:val="auto"/>
          <w:sz w:val="28"/>
          <w:szCs w:val="28"/>
        </w:rPr>
        <w:t xml:space="preserve">- розглянути організаційно-управлінські аспекти та визначити стратегічні орієнтири цифрової трансформації системи охорони здоров’я України. </w:t>
      </w:r>
    </w:p>
    <w:p w14:paraId="3BE08568" w14:textId="224A0F69" w:rsidR="00052C0B" w:rsidRDefault="006E6CE8">
      <w:pPr>
        <w:spacing w:line="360" w:lineRule="auto"/>
        <w:ind w:firstLine="709"/>
        <w:jc w:val="both"/>
        <w:rPr>
          <w:rFonts w:ascii="Times New Roman" w:eastAsia="Microsoft YaHei" w:hAnsi="Times New Roman" w:cs="Times New Roman"/>
          <w:color w:val="auto"/>
          <w:sz w:val="28"/>
          <w:szCs w:val="28"/>
        </w:rPr>
      </w:pPr>
      <w:r>
        <w:rPr>
          <w:rFonts w:ascii="Times New Roman" w:eastAsia="Microsoft YaHei" w:hAnsi="Times New Roman" w:cs="Times New Roman"/>
          <w:i/>
          <w:color w:val="auto"/>
          <w:sz w:val="28"/>
          <w:szCs w:val="28"/>
        </w:rPr>
        <w:t xml:space="preserve">Об’єкт дослідження </w:t>
      </w:r>
      <w:r w:rsidR="002274E9">
        <w:rPr>
          <w:rFonts w:ascii="Times New Roman" w:eastAsia="Microsoft YaHei" w:hAnsi="Times New Roman" w:cs="Times New Roman"/>
          <w:color w:val="auto"/>
          <w:sz w:val="28"/>
          <w:szCs w:val="28"/>
        </w:rPr>
        <w:t>-</w:t>
      </w:r>
      <w:r>
        <w:rPr>
          <w:rFonts w:ascii="Times New Roman" w:eastAsia="Microsoft YaHei" w:hAnsi="Times New Roman" w:cs="Times New Roman"/>
          <w:color w:val="auto"/>
          <w:sz w:val="28"/>
          <w:szCs w:val="28"/>
        </w:rPr>
        <w:t xml:space="preserve"> </w:t>
      </w:r>
      <w:r w:rsidR="002274E9">
        <w:rPr>
          <w:rFonts w:ascii="Times New Roman" w:eastAsia="Microsoft YaHei" w:hAnsi="Times New Roman" w:cs="Times New Roman"/>
          <w:color w:val="auto"/>
          <w:sz w:val="28"/>
          <w:szCs w:val="28"/>
        </w:rPr>
        <w:t>с</w:t>
      </w:r>
      <w:r w:rsidR="002274E9" w:rsidRPr="002274E9">
        <w:rPr>
          <w:rFonts w:ascii="Times New Roman" w:eastAsia="Microsoft YaHei" w:hAnsi="Times New Roman" w:cs="Times New Roman"/>
          <w:color w:val="auto"/>
          <w:sz w:val="28"/>
          <w:szCs w:val="28"/>
        </w:rPr>
        <w:t>истема управління закладами охорони здоров’я на державному рівні</w:t>
      </w:r>
      <w:r>
        <w:rPr>
          <w:rFonts w:ascii="Times New Roman" w:eastAsia="Microsoft YaHei" w:hAnsi="Times New Roman" w:cs="Times New Roman"/>
          <w:color w:val="auto"/>
          <w:sz w:val="28"/>
          <w:szCs w:val="28"/>
        </w:rPr>
        <w:t xml:space="preserve">в </w:t>
      </w:r>
      <w:r>
        <w:rPr>
          <w:rFonts w:ascii="Times New Roman" w:eastAsia="Helvetica" w:hAnsi="Times New Roman" w:cs="Times New Roman"/>
          <w:color w:val="auto"/>
          <w:sz w:val="28"/>
          <w:szCs w:val="28"/>
        </w:rPr>
        <w:t>умовах трансформації</w:t>
      </w:r>
      <w:r>
        <w:rPr>
          <w:rFonts w:ascii="Times New Roman" w:eastAsia="Microsoft YaHei" w:hAnsi="Times New Roman" w:cs="Times New Roman"/>
          <w:color w:val="auto"/>
          <w:sz w:val="28"/>
          <w:szCs w:val="28"/>
        </w:rPr>
        <w:t>.</w:t>
      </w:r>
    </w:p>
    <w:p w14:paraId="3BE08569" w14:textId="1D339F4C" w:rsidR="00052C0B" w:rsidRDefault="006E6CE8">
      <w:pPr>
        <w:spacing w:line="360" w:lineRule="auto"/>
        <w:ind w:firstLine="709"/>
        <w:jc w:val="both"/>
        <w:rPr>
          <w:rFonts w:ascii="Microsoft YaHei" w:eastAsia="Microsoft YaHei" w:hAnsi="Microsoft YaHei" w:cs="Microsoft YaHei"/>
          <w:bCs/>
        </w:rPr>
      </w:pPr>
      <w:r>
        <w:rPr>
          <w:rFonts w:ascii="Times New Roman" w:eastAsia="Microsoft YaHei" w:hAnsi="Times New Roman" w:cs="Times New Roman"/>
          <w:i/>
          <w:color w:val="auto"/>
          <w:sz w:val="28"/>
          <w:szCs w:val="28"/>
        </w:rPr>
        <w:t>Предмет дослідження</w:t>
      </w:r>
      <w:r w:rsidR="002274E9">
        <w:rPr>
          <w:rFonts w:ascii="Times New Roman" w:eastAsia="Microsoft YaHei" w:hAnsi="Times New Roman" w:cs="Times New Roman"/>
          <w:color w:val="auto"/>
          <w:sz w:val="28"/>
          <w:szCs w:val="28"/>
        </w:rPr>
        <w:t xml:space="preserve"> - о</w:t>
      </w:r>
      <w:r w:rsidR="002274E9" w:rsidRPr="002274E9">
        <w:rPr>
          <w:rFonts w:ascii="Times New Roman" w:eastAsia="Microsoft YaHei" w:hAnsi="Times New Roman" w:cs="Times New Roman"/>
          <w:color w:val="auto"/>
          <w:sz w:val="28"/>
          <w:szCs w:val="28"/>
        </w:rPr>
        <w:t>рганізаційно-економічні механізми, інструменти та методи, що забезпечують ефективне державне управління закладами охорони здоров’я</w:t>
      </w:r>
      <w:r w:rsidR="002274E9">
        <w:rPr>
          <w:rFonts w:ascii="Times New Roman" w:eastAsia="Microsoft YaHei" w:hAnsi="Times New Roman" w:cs="Times New Roman"/>
          <w:color w:val="auto"/>
          <w:sz w:val="28"/>
          <w:szCs w:val="28"/>
        </w:rPr>
        <w:t xml:space="preserve"> </w:t>
      </w:r>
      <w:r>
        <w:rPr>
          <w:rFonts w:ascii="Times New Roman" w:eastAsia="Microsoft YaHei" w:hAnsi="Times New Roman" w:cs="Times New Roman"/>
          <w:color w:val="auto"/>
          <w:sz w:val="28"/>
          <w:szCs w:val="28"/>
        </w:rPr>
        <w:t>на прикладі Департаменту охорони здоров’я Одеської міської ради та Комунального некомерційного підприємства «Міська клінічна лікарня №11» Одеської міської ради.</w:t>
      </w:r>
    </w:p>
    <w:p w14:paraId="3BE0856A" w14:textId="77777777" w:rsidR="00052C0B" w:rsidRDefault="006E6CE8">
      <w:pPr>
        <w:spacing w:line="360" w:lineRule="auto"/>
        <w:ind w:firstLine="709"/>
        <w:jc w:val="both"/>
        <w:rPr>
          <w:rFonts w:ascii="Microsoft YaHei" w:eastAsia="Microsoft YaHei" w:hAnsi="Microsoft YaHei" w:cs="Microsoft YaHei"/>
          <w:i/>
        </w:rPr>
      </w:pPr>
      <w:r>
        <w:rPr>
          <w:rFonts w:ascii="Times New Roman" w:eastAsia="Microsoft YaHei" w:hAnsi="Times New Roman" w:cs="Times New Roman"/>
          <w:i/>
          <w:color w:val="auto"/>
          <w:sz w:val="28"/>
          <w:szCs w:val="28"/>
        </w:rPr>
        <w:t>Методи дослідження.</w:t>
      </w:r>
    </w:p>
    <w:p w14:paraId="3BE0856B" w14:textId="61D2E32A" w:rsidR="00052C0B" w:rsidRDefault="006E6CE8" w:rsidP="002274E9">
      <w:pPr>
        <w:shd w:val="clear" w:color="auto" w:fill="FFFFFF"/>
        <w:spacing w:line="360" w:lineRule="auto"/>
        <w:ind w:right="45" w:firstLine="709"/>
        <w:jc w:val="both"/>
        <w:rPr>
          <w:rFonts w:ascii="Times New Roman" w:eastAsia="Microsoft YaHei" w:hAnsi="Times New Roman" w:cs="Times New Roman"/>
          <w:bCs/>
          <w:color w:val="auto"/>
          <w:sz w:val="28"/>
          <w:szCs w:val="28"/>
        </w:rPr>
      </w:pPr>
      <w:r>
        <w:rPr>
          <w:rFonts w:ascii="Times New Roman" w:eastAsia="Microsoft YaHei" w:hAnsi="Times New Roman" w:cs="Times New Roman"/>
          <w:bCs/>
          <w:color w:val="auto"/>
          <w:sz w:val="28"/>
          <w:szCs w:val="28"/>
        </w:rPr>
        <w:t>Відповідно поставлених завдань у проведеному дослідженні було застосовано комплексну методику, що включає такі методи: аналіз і синтез (для вивчення складових організаційно-економічних механізмів та узагальнення їх впливу на систему охорони здоров’я), метод порівнянь (для зіставлення моделей управління у різних країнах), системний підхід (дає можливість розглядати управління охороною здоров’я як цілісну систему з взаємопов’язаними елементами), статистичні методи (аналіз показників фінансування, ефективності, якості медичних послуг, кадрового потенціалу тощо)</w:t>
      </w:r>
      <w:r w:rsidR="002274E9">
        <w:rPr>
          <w:rFonts w:ascii="Times New Roman" w:eastAsia="Microsoft YaHei" w:hAnsi="Times New Roman" w:cs="Times New Roman"/>
          <w:bCs/>
          <w:color w:val="auto"/>
          <w:sz w:val="28"/>
          <w:szCs w:val="28"/>
        </w:rPr>
        <w:t>; м</w:t>
      </w:r>
      <w:r w:rsidR="002274E9" w:rsidRPr="002274E9">
        <w:rPr>
          <w:rFonts w:ascii="Times New Roman" w:eastAsia="Microsoft YaHei" w:hAnsi="Times New Roman" w:cs="Times New Roman"/>
          <w:bCs/>
          <w:color w:val="auto"/>
          <w:sz w:val="28"/>
          <w:szCs w:val="28"/>
        </w:rPr>
        <w:t xml:space="preserve">етод структурно-функціонального аналізу </w:t>
      </w:r>
      <w:r w:rsidR="002274E9">
        <w:rPr>
          <w:rFonts w:ascii="Times New Roman" w:eastAsia="Microsoft YaHei" w:hAnsi="Times New Roman" w:cs="Times New Roman"/>
          <w:bCs/>
          <w:color w:val="auto"/>
          <w:sz w:val="28"/>
          <w:szCs w:val="28"/>
        </w:rPr>
        <w:t xml:space="preserve"> (</w:t>
      </w:r>
      <w:r w:rsidR="002274E9" w:rsidRPr="002274E9">
        <w:rPr>
          <w:rFonts w:ascii="Times New Roman" w:eastAsia="Microsoft YaHei" w:hAnsi="Times New Roman" w:cs="Times New Roman"/>
          <w:bCs/>
          <w:color w:val="auto"/>
          <w:sz w:val="28"/>
          <w:szCs w:val="28"/>
        </w:rPr>
        <w:t>для виявлення функцій, ролей та взаємозв’язків між елементами організаційно-економічного механізму</w:t>
      </w:r>
      <w:r w:rsidR="002274E9">
        <w:rPr>
          <w:rFonts w:ascii="Times New Roman" w:eastAsia="Microsoft YaHei" w:hAnsi="Times New Roman" w:cs="Times New Roman"/>
          <w:bCs/>
          <w:color w:val="auto"/>
          <w:sz w:val="28"/>
          <w:szCs w:val="28"/>
        </w:rPr>
        <w:t>), л</w:t>
      </w:r>
      <w:r w:rsidR="002274E9" w:rsidRPr="002274E9">
        <w:rPr>
          <w:rFonts w:ascii="Times New Roman" w:eastAsia="Microsoft YaHei" w:hAnsi="Times New Roman" w:cs="Times New Roman"/>
          <w:bCs/>
          <w:color w:val="auto"/>
          <w:sz w:val="28"/>
          <w:szCs w:val="28"/>
        </w:rPr>
        <w:t>огічне узагальнення</w:t>
      </w:r>
      <w:r w:rsidR="002274E9">
        <w:rPr>
          <w:rFonts w:ascii="Times New Roman" w:eastAsia="Microsoft YaHei" w:hAnsi="Times New Roman" w:cs="Times New Roman"/>
          <w:bCs/>
          <w:color w:val="auto"/>
          <w:sz w:val="28"/>
          <w:szCs w:val="28"/>
        </w:rPr>
        <w:t xml:space="preserve"> (</w:t>
      </w:r>
      <w:r w:rsidR="002274E9" w:rsidRPr="002274E9">
        <w:rPr>
          <w:rFonts w:ascii="Times New Roman" w:eastAsia="Microsoft YaHei" w:hAnsi="Times New Roman" w:cs="Times New Roman"/>
          <w:bCs/>
          <w:color w:val="auto"/>
          <w:sz w:val="28"/>
          <w:szCs w:val="28"/>
        </w:rPr>
        <w:t>для формування висновків і рекомендацій на основі проведеного дослідження</w:t>
      </w:r>
      <w:r w:rsidR="002274E9">
        <w:rPr>
          <w:rFonts w:ascii="Times New Roman" w:eastAsia="Microsoft YaHei" w:hAnsi="Times New Roman" w:cs="Times New Roman"/>
          <w:bCs/>
          <w:color w:val="auto"/>
          <w:sz w:val="28"/>
          <w:szCs w:val="28"/>
        </w:rPr>
        <w:t>)</w:t>
      </w:r>
      <w:r w:rsidR="002274E9" w:rsidRPr="002274E9">
        <w:rPr>
          <w:rFonts w:ascii="Times New Roman" w:eastAsia="Microsoft YaHei" w:hAnsi="Times New Roman" w:cs="Times New Roman"/>
          <w:bCs/>
          <w:color w:val="auto"/>
          <w:sz w:val="28"/>
          <w:szCs w:val="28"/>
        </w:rPr>
        <w:t>.</w:t>
      </w:r>
    </w:p>
    <w:p w14:paraId="3BE0856C" w14:textId="77777777" w:rsidR="00052C0B" w:rsidRDefault="006E6CE8">
      <w:pPr>
        <w:shd w:val="clear" w:color="auto" w:fill="FFFFFF"/>
        <w:spacing w:line="360" w:lineRule="auto"/>
        <w:ind w:right="45" w:firstLine="709"/>
        <w:jc w:val="both"/>
        <w:rPr>
          <w:rFonts w:ascii="Times New Roman" w:eastAsia="TimesNewRomanPSMT" w:hAnsi="Times New Roman" w:cs="Times New Roman"/>
          <w:i/>
          <w:color w:val="auto"/>
          <w:sz w:val="28"/>
          <w:szCs w:val="28"/>
        </w:rPr>
      </w:pPr>
      <w:r>
        <w:rPr>
          <w:rFonts w:ascii="Times New Roman" w:eastAsia="TimesNewRomanPSMT" w:hAnsi="Times New Roman" w:cs="Times New Roman"/>
          <w:i/>
          <w:color w:val="auto"/>
          <w:sz w:val="28"/>
          <w:szCs w:val="28"/>
        </w:rPr>
        <w:t>Інформаційна база.</w:t>
      </w:r>
    </w:p>
    <w:p w14:paraId="3BE0856D" w14:textId="1A3CB485" w:rsidR="00052C0B" w:rsidRDefault="006E6CE8">
      <w:pPr>
        <w:shd w:val="clear" w:color="auto" w:fill="FFFFFF"/>
        <w:spacing w:line="360" w:lineRule="auto"/>
        <w:ind w:right="45" w:firstLine="709"/>
        <w:jc w:val="both"/>
        <w:rPr>
          <w:rFonts w:ascii="Times New Roman" w:eastAsia="Microsoft YaHei" w:hAnsi="Times New Roman" w:cs="Times New Roman"/>
          <w:color w:val="auto"/>
          <w:sz w:val="28"/>
          <w:szCs w:val="28"/>
        </w:rPr>
      </w:pPr>
      <w:r>
        <w:rPr>
          <w:rFonts w:ascii="Times New Roman" w:eastAsia="TimesNewRomanPSMT" w:hAnsi="Times New Roman" w:cs="Times New Roman"/>
          <w:color w:val="auto"/>
          <w:sz w:val="28"/>
          <w:szCs w:val="28"/>
        </w:rPr>
        <w:t>До інформаційної бази кваліфікаційної роботи увійшли результати досліджень науковців України та інших країн</w:t>
      </w:r>
      <w:r w:rsidR="00521E19">
        <w:rPr>
          <w:rFonts w:ascii="Times New Roman" w:eastAsia="TimesNewRomanPSMT" w:hAnsi="Times New Roman" w:cs="Times New Roman"/>
          <w:color w:val="auto"/>
          <w:sz w:val="28"/>
          <w:szCs w:val="28"/>
        </w:rPr>
        <w:t>;</w:t>
      </w:r>
      <w:r>
        <w:rPr>
          <w:rFonts w:ascii="Times New Roman" w:eastAsia="TimesNewRomanPSMT" w:hAnsi="Times New Roman" w:cs="Times New Roman"/>
          <w:color w:val="auto"/>
          <w:sz w:val="28"/>
          <w:szCs w:val="28"/>
        </w:rPr>
        <w:t xml:space="preserve"> </w:t>
      </w:r>
      <w:r>
        <w:rPr>
          <w:rFonts w:ascii="Times New Roman" w:eastAsia="Microsoft YaHei" w:hAnsi="Times New Roman" w:cs="Times New Roman"/>
          <w:color w:val="auto"/>
          <w:sz w:val="28"/>
          <w:szCs w:val="28"/>
        </w:rPr>
        <w:t xml:space="preserve">нормативно-правові акти України, </w:t>
      </w:r>
      <w:r w:rsidR="00521E19" w:rsidRPr="00521E19">
        <w:rPr>
          <w:rFonts w:ascii="Times New Roman" w:eastAsia="Microsoft YaHei" w:hAnsi="Times New Roman" w:cs="Times New Roman"/>
          <w:color w:val="auto"/>
          <w:sz w:val="28"/>
          <w:szCs w:val="28"/>
        </w:rPr>
        <w:t>що регламентують функціонування системи охорони здоров’я</w:t>
      </w:r>
      <w:r w:rsidR="00521E19">
        <w:rPr>
          <w:rFonts w:ascii="Times New Roman" w:eastAsia="Microsoft YaHei" w:hAnsi="Times New Roman" w:cs="Times New Roman"/>
          <w:color w:val="auto"/>
          <w:sz w:val="28"/>
          <w:szCs w:val="28"/>
        </w:rPr>
        <w:t xml:space="preserve"> </w:t>
      </w:r>
      <w:r w:rsidR="00521E19">
        <w:rPr>
          <w:rFonts w:ascii="Times New Roman" w:eastAsia="Microsoft YaHei" w:hAnsi="Times New Roman" w:cs="Times New Roman"/>
          <w:color w:val="auto"/>
          <w:sz w:val="28"/>
          <w:szCs w:val="28"/>
        </w:rPr>
        <w:lastRenderedPageBreak/>
        <w:t>України;</w:t>
      </w:r>
      <w:r w:rsidR="00521E19" w:rsidRPr="00521E19">
        <w:rPr>
          <w:rFonts w:ascii="Times New Roman" w:eastAsia="TimesNewRomanPSMT" w:hAnsi="Times New Roman" w:cs="Times New Roman"/>
          <w:color w:val="auto"/>
          <w:sz w:val="28"/>
          <w:szCs w:val="28"/>
        </w:rPr>
        <w:t xml:space="preserve"> </w:t>
      </w:r>
      <w:r w:rsidR="00521E19" w:rsidRPr="00521E19">
        <w:rPr>
          <w:rFonts w:ascii="Times New Roman" w:eastAsia="Microsoft YaHei" w:hAnsi="Times New Roman" w:cs="Times New Roman"/>
          <w:color w:val="auto"/>
          <w:sz w:val="28"/>
          <w:szCs w:val="28"/>
        </w:rPr>
        <w:t xml:space="preserve">офіційні статистичні матеріали </w:t>
      </w:r>
      <w:r w:rsidRPr="00521E19">
        <w:rPr>
          <w:rFonts w:ascii="Times New Roman" w:eastAsia="TimesNewRomanPSMT" w:hAnsi="Times New Roman" w:cs="Times New Roman"/>
          <w:color w:val="auto"/>
          <w:sz w:val="28"/>
          <w:szCs w:val="28"/>
        </w:rPr>
        <w:t>Державної</w:t>
      </w:r>
      <w:r>
        <w:rPr>
          <w:rFonts w:ascii="Times New Roman" w:eastAsia="TimesNewRomanPSMT" w:hAnsi="Times New Roman" w:cs="Times New Roman"/>
          <w:color w:val="auto"/>
          <w:sz w:val="28"/>
          <w:szCs w:val="28"/>
        </w:rPr>
        <w:t xml:space="preserve"> служби статистики України, </w:t>
      </w:r>
      <w:r w:rsidR="00521E19">
        <w:rPr>
          <w:rFonts w:ascii="Times New Roman" w:eastAsia="TimesNewRomanPSMT" w:hAnsi="Times New Roman" w:cs="Times New Roman"/>
          <w:color w:val="auto"/>
          <w:sz w:val="28"/>
          <w:szCs w:val="28"/>
        </w:rPr>
        <w:t xml:space="preserve">Міністерства охорони здоров’я України, </w:t>
      </w:r>
      <w:r>
        <w:rPr>
          <w:rFonts w:ascii="Times New Roman" w:eastAsia="TimesNewRomanPSMT" w:hAnsi="Times New Roman" w:cs="Times New Roman"/>
          <w:color w:val="auto"/>
          <w:sz w:val="28"/>
          <w:szCs w:val="28"/>
        </w:rPr>
        <w:t>Центру громадського здоров’я України, Національної служби здоров’я України</w:t>
      </w:r>
      <w:r w:rsidR="00521E19">
        <w:rPr>
          <w:rFonts w:ascii="Times New Roman" w:eastAsia="TimesNewRomanPSMT" w:hAnsi="Times New Roman" w:cs="Times New Roman"/>
          <w:color w:val="auto"/>
          <w:sz w:val="28"/>
          <w:szCs w:val="28"/>
        </w:rPr>
        <w:t>;</w:t>
      </w:r>
      <w:r>
        <w:rPr>
          <w:rFonts w:ascii="Times New Roman" w:eastAsia="TimesNewRomanPSMT" w:hAnsi="Times New Roman" w:cs="Times New Roman"/>
          <w:color w:val="auto"/>
          <w:sz w:val="28"/>
          <w:szCs w:val="28"/>
        </w:rPr>
        <w:t xml:space="preserve"> аналітичні довідки МОЗ </w:t>
      </w:r>
      <w:r w:rsidRPr="00521E19">
        <w:rPr>
          <w:rFonts w:ascii="Times New Roman" w:eastAsia="TimesNewRomanPSMT" w:hAnsi="Times New Roman" w:cs="Times New Roman"/>
          <w:color w:val="auto"/>
          <w:sz w:val="28"/>
          <w:szCs w:val="28"/>
        </w:rPr>
        <w:t>України</w:t>
      </w:r>
      <w:r w:rsidR="00521E19" w:rsidRPr="00521E19">
        <w:rPr>
          <w:rFonts w:ascii="Times New Roman" w:eastAsia="TimesNewRomanPSMT" w:hAnsi="Times New Roman" w:cs="Times New Roman"/>
          <w:color w:val="auto"/>
          <w:sz w:val="28"/>
          <w:szCs w:val="28"/>
        </w:rPr>
        <w:t>;</w:t>
      </w:r>
      <w:r w:rsidRPr="00521E19">
        <w:rPr>
          <w:rFonts w:ascii="Times New Roman" w:eastAsia="TimesNewRomanPSMT" w:hAnsi="Times New Roman" w:cs="Times New Roman"/>
          <w:color w:val="auto"/>
          <w:sz w:val="28"/>
          <w:szCs w:val="28"/>
        </w:rPr>
        <w:t xml:space="preserve"> </w:t>
      </w:r>
      <w:r w:rsidR="00521E19" w:rsidRPr="00521E19">
        <w:rPr>
          <w:rFonts w:ascii="Times New Roman" w:eastAsia="Microsoft YaHei" w:hAnsi="Times New Roman" w:cs="Times New Roman"/>
          <w:color w:val="auto"/>
          <w:sz w:val="28"/>
          <w:szCs w:val="28"/>
        </w:rPr>
        <w:t>матеріали офіційних веб-порталів органів державної влади, закладів охорони здоров’я та професійних асоціацій;</w:t>
      </w:r>
      <w:r w:rsidR="00521E19" w:rsidRPr="00521E19">
        <w:rPr>
          <w:rFonts w:ascii="Times New Roman" w:eastAsia="Microsoft YaHei" w:hAnsi="Times New Roman" w:cs="Times New Roman"/>
          <w:color w:val="auto"/>
          <w:sz w:val="28"/>
          <w:szCs w:val="28"/>
        </w:rPr>
        <w:t xml:space="preserve"> </w:t>
      </w:r>
      <w:r w:rsidRPr="00521E19">
        <w:rPr>
          <w:rFonts w:ascii="Times New Roman" w:eastAsia="TimesNewRomanPSMT" w:hAnsi="Times New Roman" w:cs="Times New Roman"/>
          <w:color w:val="auto"/>
          <w:sz w:val="28"/>
          <w:szCs w:val="28"/>
        </w:rPr>
        <w:t xml:space="preserve">річні звіти </w:t>
      </w:r>
      <w:r w:rsidRPr="00521E19">
        <w:rPr>
          <w:rFonts w:ascii="Times New Roman" w:eastAsia="Microsoft YaHei" w:hAnsi="Times New Roman" w:cs="Times New Roman"/>
          <w:color w:val="auto"/>
          <w:sz w:val="28"/>
          <w:szCs w:val="28"/>
        </w:rPr>
        <w:t>звітність та аналітичні матеріали Одеської міської ради; матеріали Комунального некомерційного підприємства «Міська клінічна лікарня №11» Одеської міської ради.</w:t>
      </w:r>
    </w:p>
    <w:p w14:paraId="3BE0856E" w14:textId="77777777" w:rsidR="00052C0B" w:rsidRDefault="006E6CE8">
      <w:pPr>
        <w:shd w:val="clear" w:color="auto" w:fill="FFFFFF"/>
        <w:spacing w:line="360" w:lineRule="auto"/>
        <w:ind w:right="45" w:firstLine="709"/>
        <w:jc w:val="both"/>
        <w:rPr>
          <w:rFonts w:ascii="Times New Roman" w:eastAsia="Microsoft YaHei" w:hAnsi="Times New Roman" w:cs="Times New Roman"/>
          <w:color w:val="auto"/>
          <w:sz w:val="28"/>
          <w:szCs w:val="28"/>
        </w:rPr>
      </w:pPr>
      <w:r>
        <w:rPr>
          <w:rFonts w:ascii="Times New Roman" w:eastAsia="Microsoft YaHei" w:hAnsi="Times New Roman" w:cs="Times New Roman"/>
          <w:i/>
          <w:color w:val="auto"/>
          <w:sz w:val="28"/>
          <w:szCs w:val="28"/>
        </w:rPr>
        <w:t>Теоретичне та практичне значення отриманих результатів</w:t>
      </w:r>
      <w:r>
        <w:rPr>
          <w:rFonts w:ascii="Times New Roman" w:eastAsia="Microsoft YaHei" w:hAnsi="Times New Roman" w:cs="Times New Roman"/>
          <w:color w:val="auto"/>
          <w:sz w:val="28"/>
          <w:szCs w:val="28"/>
        </w:rPr>
        <w:t xml:space="preserve">. </w:t>
      </w:r>
    </w:p>
    <w:p w14:paraId="7952600E" w14:textId="77777777" w:rsidR="002274E9" w:rsidRDefault="002274E9">
      <w:pPr>
        <w:spacing w:line="360" w:lineRule="auto"/>
        <w:ind w:firstLine="708"/>
        <w:jc w:val="both"/>
        <w:rPr>
          <w:rFonts w:ascii="Times New Roman" w:eastAsia="Microsoft YaHei" w:hAnsi="Times New Roman" w:cs="Times New Roman"/>
          <w:color w:val="auto"/>
          <w:sz w:val="28"/>
          <w:szCs w:val="28"/>
        </w:rPr>
      </w:pPr>
      <w:r w:rsidRPr="002274E9">
        <w:rPr>
          <w:rFonts w:ascii="Times New Roman" w:eastAsia="Microsoft YaHei" w:hAnsi="Times New Roman" w:cs="Times New Roman"/>
          <w:color w:val="auto"/>
          <w:sz w:val="28"/>
          <w:szCs w:val="28"/>
        </w:rPr>
        <w:t>Теоретичне значення роботи полягає в поглибленні наукових уявлень про зміст, структуру та особливості функціонування організаційно-економічних механізмів управління закладами охорони здоров’я на державному рівні. У дослідженні уточнюються ключові поняття, узагальнюються сучасні підходи до державного управління медичною сферою, а також систематизуються теоретичні моделі, що пояснюють взаємозв’язок між організаційними інструментами, економічними важелями й результативністю діяльності закладів охорони здоров’я. Отримані теоретичні положення можуть слугувати основою для подальших наукових досліджень у сфері медичного менеджменту та державної політики в охороні здоров’я.</w:t>
      </w:r>
    </w:p>
    <w:p w14:paraId="3BE08577" w14:textId="66A8EB29" w:rsidR="00052C0B" w:rsidRDefault="006E6CE8">
      <w:pPr>
        <w:spacing w:line="360" w:lineRule="auto"/>
        <w:ind w:firstLine="708"/>
        <w:jc w:val="both"/>
        <w:rPr>
          <w:rFonts w:ascii="Times New Roman" w:eastAsia="Microsoft YaHei" w:hAnsi="Times New Roman" w:cs="Times New Roman"/>
          <w:color w:val="auto"/>
          <w:sz w:val="28"/>
          <w:szCs w:val="28"/>
        </w:rPr>
      </w:pPr>
      <w:r>
        <w:rPr>
          <w:rFonts w:ascii="Times New Roman" w:eastAsia="Microsoft YaHei" w:hAnsi="Times New Roman" w:cs="Times New Roman"/>
          <w:color w:val="auto"/>
          <w:sz w:val="28"/>
          <w:szCs w:val="28"/>
        </w:rPr>
        <w:t>Практичне дослідження напрямів вдосконалення організаційно-економічних механізмів управління закладами охорони здоров’я на державному рівні показало, що для стабілізації фінансової ситуації КНП «МКЛ №11» ОМР у 2025 році доцільно забезпечити повне виконання умов договорів із НСЗУ, оптимізувати використання ресурсів, розширити перелік платних послуг, диверсифікувати джерела фінансування, підтримувати безперервність роботи під час ремонтів і посилити кадрову політику.</w:t>
      </w:r>
    </w:p>
    <w:p w14:paraId="3BE08578" w14:textId="77777777" w:rsidR="00052C0B" w:rsidRDefault="006E6CE8">
      <w:pPr>
        <w:spacing w:line="360" w:lineRule="auto"/>
        <w:ind w:firstLine="709"/>
        <w:jc w:val="both"/>
        <w:rPr>
          <w:rFonts w:ascii="Times New Roman" w:eastAsia="Microsoft YaHei" w:hAnsi="Times New Roman" w:cs="Times New Roman"/>
          <w:i/>
          <w:color w:val="auto"/>
          <w:sz w:val="28"/>
          <w:szCs w:val="28"/>
        </w:rPr>
      </w:pPr>
      <w:r>
        <w:rPr>
          <w:rFonts w:ascii="Times New Roman" w:eastAsia="Microsoft YaHei" w:hAnsi="Times New Roman" w:cs="Times New Roman"/>
          <w:i/>
          <w:color w:val="auto"/>
          <w:sz w:val="28"/>
          <w:szCs w:val="28"/>
        </w:rPr>
        <w:t>Апробація результатів роботи.</w:t>
      </w:r>
    </w:p>
    <w:p w14:paraId="3BE08579" w14:textId="77777777" w:rsidR="00052C0B" w:rsidRDefault="006E6CE8">
      <w:pPr>
        <w:spacing w:line="360" w:lineRule="auto"/>
        <w:ind w:firstLine="709"/>
        <w:jc w:val="both"/>
        <w:rPr>
          <w:rFonts w:ascii="Times New Roman" w:eastAsia="Microsoft YaHei" w:hAnsi="Times New Roman" w:cs="Times New Roman"/>
          <w:color w:val="auto"/>
          <w:sz w:val="28"/>
          <w:szCs w:val="28"/>
        </w:rPr>
      </w:pPr>
      <w:r>
        <w:rPr>
          <w:rFonts w:ascii="Times New Roman" w:eastAsia="Microsoft YaHei" w:hAnsi="Times New Roman" w:cs="Times New Roman"/>
          <w:color w:val="auto"/>
          <w:sz w:val="28"/>
          <w:szCs w:val="28"/>
        </w:rPr>
        <w:t xml:space="preserve">Апробація результатів і висновків випускної кваліфікаційної роботи реалізована шляхом участі у ІІ Міжнародній науково-практичній конференції «Сучасні  напрями  змін  в управлінні охороною  здоров’я:  модернізація, </w:t>
      </w:r>
      <w:r>
        <w:rPr>
          <w:rFonts w:ascii="Times New Roman" w:eastAsia="Microsoft YaHei" w:hAnsi="Times New Roman" w:cs="Times New Roman"/>
          <w:color w:val="auto"/>
          <w:sz w:val="28"/>
          <w:szCs w:val="28"/>
        </w:rPr>
        <w:lastRenderedPageBreak/>
        <w:t>якість, психологія та комунікація» з тезами на тему «Організаційно-економічні механізми управління закладами охорони здоров’я на державному рівні»  30 травня  2025  року. - м. Одеса. ОНМедУ, 2025. с. 96-99. URL: https://repo.odmu.edu.ua:443/xmlui/handle/123456789/18192</w:t>
      </w:r>
    </w:p>
    <w:p w14:paraId="3BE0857A" w14:textId="77777777" w:rsidR="00052C0B" w:rsidRDefault="006E6CE8">
      <w:pPr>
        <w:spacing w:line="360" w:lineRule="auto"/>
        <w:ind w:firstLine="709"/>
        <w:jc w:val="both"/>
        <w:rPr>
          <w:rFonts w:ascii="Times New Roman" w:eastAsia="Microsoft YaHei" w:hAnsi="Times New Roman" w:cs="Times New Roman"/>
          <w:color w:val="auto"/>
          <w:sz w:val="28"/>
          <w:szCs w:val="28"/>
        </w:rPr>
      </w:pPr>
      <w:r>
        <w:rPr>
          <w:rFonts w:ascii="Times New Roman" w:eastAsia="Microsoft YaHei" w:hAnsi="Times New Roman" w:cs="Times New Roman"/>
          <w:i/>
          <w:color w:val="auto"/>
          <w:sz w:val="28"/>
          <w:szCs w:val="28"/>
        </w:rPr>
        <w:t>Структура кваліфікаційної роботи.</w:t>
      </w:r>
      <w:r>
        <w:rPr>
          <w:rFonts w:ascii="Times New Roman" w:eastAsia="Microsoft YaHei" w:hAnsi="Times New Roman" w:cs="Times New Roman"/>
          <w:color w:val="auto"/>
          <w:sz w:val="28"/>
          <w:szCs w:val="28"/>
        </w:rPr>
        <w:t xml:space="preserve"> </w:t>
      </w:r>
    </w:p>
    <w:p w14:paraId="3BE0857B" w14:textId="77777777" w:rsidR="00052C0B" w:rsidRDefault="006E6CE8">
      <w:pPr>
        <w:spacing w:line="360" w:lineRule="auto"/>
        <w:ind w:firstLine="709"/>
        <w:jc w:val="both"/>
        <w:rPr>
          <w:rFonts w:ascii="Times New Roman" w:eastAsia="Microsoft YaHei" w:hAnsi="Times New Roman" w:cs="Times New Roman"/>
          <w:color w:val="auto"/>
          <w:sz w:val="28"/>
          <w:szCs w:val="28"/>
        </w:rPr>
      </w:pPr>
      <w:r>
        <w:rPr>
          <w:rFonts w:ascii="Times New Roman" w:eastAsia="Microsoft YaHei" w:hAnsi="Times New Roman" w:cs="Times New Roman"/>
          <w:color w:val="auto"/>
          <w:sz w:val="28"/>
          <w:szCs w:val="28"/>
        </w:rPr>
        <w:t xml:space="preserve">Робота складається із вступу, трьох розділів, висновків, списку літератури, додатків. </w:t>
      </w:r>
    </w:p>
    <w:p w14:paraId="3BE0857C" w14:textId="77777777" w:rsidR="00052C0B" w:rsidRDefault="006E6CE8">
      <w:pPr>
        <w:spacing w:line="360" w:lineRule="auto"/>
        <w:ind w:firstLine="709"/>
        <w:jc w:val="both"/>
        <w:rPr>
          <w:rFonts w:ascii="Times New Roman" w:eastAsia="Microsoft YaHei" w:hAnsi="Times New Roman" w:cs="Times New Roman"/>
          <w:color w:val="auto"/>
          <w:sz w:val="28"/>
          <w:szCs w:val="28"/>
        </w:rPr>
      </w:pPr>
      <w:r>
        <w:rPr>
          <w:rFonts w:ascii="Times New Roman" w:eastAsia="Microsoft YaHei" w:hAnsi="Times New Roman" w:cs="Times New Roman"/>
          <w:color w:val="auto"/>
          <w:sz w:val="28"/>
          <w:szCs w:val="28"/>
        </w:rPr>
        <w:t xml:space="preserve">Загальний обсяг роботи складає </w:t>
      </w:r>
      <w:r>
        <w:rPr>
          <w:rFonts w:ascii="Times New Roman" w:eastAsia="Microsoft YaHei" w:hAnsi="Times New Roman" w:cs="Times New Roman"/>
          <w:color w:val="auto"/>
          <w:sz w:val="28"/>
          <w:szCs w:val="28"/>
          <w:lang w:val="en-US"/>
        </w:rPr>
        <w:t>9</w:t>
      </w:r>
      <w:r>
        <w:rPr>
          <w:rFonts w:ascii="Times New Roman" w:eastAsia="Microsoft YaHei" w:hAnsi="Times New Roman" w:cs="Times New Roman"/>
          <w:color w:val="auto"/>
          <w:sz w:val="28"/>
          <w:szCs w:val="28"/>
        </w:rPr>
        <w:t xml:space="preserve">5 сторінок, перелік літератури містить </w:t>
      </w:r>
      <w:r>
        <w:rPr>
          <w:rFonts w:ascii="Times New Roman" w:eastAsia="Microsoft YaHei" w:hAnsi="Times New Roman" w:cs="Times New Roman"/>
          <w:color w:val="auto"/>
          <w:sz w:val="28"/>
          <w:szCs w:val="28"/>
          <w:lang w:val="ru-RU"/>
        </w:rPr>
        <w:t>68</w:t>
      </w:r>
      <w:r>
        <w:rPr>
          <w:rFonts w:ascii="Times New Roman" w:eastAsia="Microsoft YaHei" w:hAnsi="Times New Roman" w:cs="Times New Roman"/>
          <w:color w:val="auto"/>
          <w:sz w:val="28"/>
          <w:szCs w:val="28"/>
        </w:rPr>
        <w:t xml:space="preserve"> найменувань. У роботі вміщено </w:t>
      </w:r>
      <w:r>
        <w:rPr>
          <w:rFonts w:ascii="Times New Roman" w:eastAsia="Microsoft YaHei" w:hAnsi="Times New Roman" w:cs="Times New Roman"/>
          <w:color w:val="auto"/>
          <w:sz w:val="28"/>
          <w:szCs w:val="28"/>
          <w:lang w:val="ru-RU"/>
        </w:rPr>
        <w:t>7</w:t>
      </w:r>
      <w:r>
        <w:rPr>
          <w:rFonts w:ascii="Times New Roman" w:eastAsia="Microsoft YaHei" w:hAnsi="Times New Roman" w:cs="Times New Roman"/>
          <w:color w:val="auto"/>
          <w:sz w:val="28"/>
          <w:szCs w:val="28"/>
        </w:rPr>
        <w:t xml:space="preserve"> таблиць та </w:t>
      </w:r>
      <w:r>
        <w:rPr>
          <w:rFonts w:ascii="Times New Roman" w:eastAsia="Microsoft YaHei" w:hAnsi="Times New Roman" w:cs="Times New Roman"/>
          <w:color w:val="auto"/>
          <w:sz w:val="28"/>
          <w:szCs w:val="28"/>
          <w:lang w:val="ru-RU"/>
        </w:rPr>
        <w:t>13</w:t>
      </w:r>
      <w:r>
        <w:rPr>
          <w:rFonts w:ascii="Times New Roman" w:eastAsia="Microsoft YaHei" w:hAnsi="Times New Roman" w:cs="Times New Roman"/>
          <w:color w:val="auto"/>
          <w:sz w:val="28"/>
          <w:szCs w:val="28"/>
        </w:rPr>
        <w:t xml:space="preserve"> рисунків. </w:t>
      </w:r>
    </w:p>
    <w:p w14:paraId="3BE0857D" w14:textId="77777777" w:rsidR="00052C0B" w:rsidRDefault="00052C0B">
      <w:pPr>
        <w:spacing w:line="360" w:lineRule="auto"/>
        <w:ind w:firstLine="709"/>
        <w:jc w:val="both"/>
        <w:rPr>
          <w:rFonts w:ascii="Times New Roman" w:eastAsia="Microsoft YaHei" w:hAnsi="Times New Roman" w:cs="Times New Roman"/>
          <w:color w:val="auto"/>
          <w:sz w:val="28"/>
          <w:szCs w:val="28"/>
        </w:rPr>
      </w:pPr>
    </w:p>
    <w:p w14:paraId="3BE0857E" w14:textId="77777777" w:rsidR="00052C0B" w:rsidRDefault="00052C0B">
      <w:pPr>
        <w:spacing w:line="360" w:lineRule="auto"/>
        <w:ind w:firstLine="709"/>
        <w:jc w:val="both"/>
        <w:rPr>
          <w:rFonts w:ascii="Times New Roman" w:eastAsia="Microsoft YaHei" w:hAnsi="Times New Roman" w:cs="Times New Roman"/>
          <w:color w:val="auto"/>
          <w:sz w:val="28"/>
          <w:szCs w:val="28"/>
        </w:rPr>
      </w:pPr>
    </w:p>
    <w:p w14:paraId="3BE0857F" w14:textId="77777777" w:rsidR="00052C0B" w:rsidRDefault="00052C0B">
      <w:pPr>
        <w:spacing w:line="360" w:lineRule="auto"/>
        <w:ind w:firstLine="709"/>
        <w:jc w:val="both"/>
        <w:rPr>
          <w:rFonts w:ascii="Times New Roman" w:eastAsia="Microsoft YaHei" w:hAnsi="Times New Roman" w:cs="Times New Roman"/>
          <w:color w:val="auto"/>
          <w:sz w:val="28"/>
          <w:szCs w:val="28"/>
        </w:rPr>
      </w:pPr>
    </w:p>
    <w:p w14:paraId="3BE08580" w14:textId="77777777" w:rsidR="00052C0B" w:rsidRDefault="00052C0B">
      <w:pPr>
        <w:spacing w:line="360" w:lineRule="auto"/>
        <w:ind w:firstLine="709"/>
        <w:jc w:val="both"/>
        <w:rPr>
          <w:rFonts w:ascii="Times New Roman" w:eastAsia="Microsoft YaHei" w:hAnsi="Times New Roman" w:cs="Times New Roman"/>
          <w:color w:val="auto"/>
          <w:sz w:val="28"/>
          <w:szCs w:val="28"/>
        </w:rPr>
      </w:pPr>
    </w:p>
    <w:p w14:paraId="3BE08581" w14:textId="77777777" w:rsidR="00052C0B" w:rsidRDefault="00052C0B">
      <w:pPr>
        <w:spacing w:line="360" w:lineRule="auto"/>
        <w:ind w:firstLine="709"/>
        <w:jc w:val="both"/>
        <w:rPr>
          <w:rFonts w:ascii="Times New Roman" w:eastAsia="Microsoft YaHei" w:hAnsi="Times New Roman" w:cs="Times New Roman"/>
          <w:color w:val="auto"/>
          <w:sz w:val="28"/>
          <w:szCs w:val="28"/>
        </w:rPr>
      </w:pPr>
    </w:p>
    <w:p w14:paraId="3BE08582" w14:textId="77777777" w:rsidR="00052C0B" w:rsidRDefault="00052C0B">
      <w:pPr>
        <w:spacing w:line="360" w:lineRule="auto"/>
        <w:ind w:firstLine="709"/>
        <w:jc w:val="both"/>
        <w:rPr>
          <w:rFonts w:ascii="Times New Roman" w:eastAsia="Microsoft YaHei" w:hAnsi="Times New Roman" w:cs="Times New Roman"/>
          <w:color w:val="auto"/>
          <w:sz w:val="28"/>
          <w:szCs w:val="28"/>
        </w:rPr>
      </w:pPr>
    </w:p>
    <w:p w14:paraId="3BE08583" w14:textId="77777777" w:rsidR="00052C0B" w:rsidRDefault="00052C0B">
      <w:pPr>
        <w:spacing w:line="360" w:lineRule="auto"/>
        <w:ind w:firstLine="709"/>
        <w:jc w:val="both"/>
        <w:rPr>
          <w:rFonts w:ascii="Times New Roman" w:eastAsia="Microsoft YaHei" w:hAnsi="Times New Roman" w:cs="Times New Roman"/>
          <w:color w:val="auto"/>
          <w:sz w:val="28"/>
          <w:szCs w:val="28"/>
        </w:rPr>
      </w:pPr>
    </w:p>
    <w:p w14:paraId="3BE08584" w14:textId="77777777" w:rsidR="00052C0B" w:rsidRDefault="00052C0B">
      <w:pPr>
        <w:spacing w:line="360" w:lineRule="auto"/>
        <w:ind w:firstLine="709"/>
        <w:jc w:val="both"/>
        <w:rPr>
          <w:rFonts w:ascii="Times New Roman" w:eastAsia="Microsoft YaHei" w:hAnsi="Times New Roman" w:cs="Times New Roman"/>
          <w:color w:val="auto"/>
          <w:sz w:val="28"/>
          <w:szCs w:val="28"/>
        </w:rPr>
      </w:pPr>
    </w:p>
    <w:p w14:paraId="3BE08585" w14:textId="77777777" w:rsidR="00052C0B" w:rsidRDefault="00052C0B">
      <w:pPr>
        <w:spacing w:line="360" w:lineRule="auto"/>
        <w:ind w:firstLine="709"/>
        <w:jc w:val="both"/>
        <w:rPr>
          <w:rFonts w:ascii="Times New Roman" w:eastAsia="Microsoft YaHei" w:hAnsi="Times New Roman" w:cs="Times New Roman"/>
          <w:color w:val="auto"/>
          <w:sz w:val="28"/>
          <w:szCs w:val="28"/>
        </w:rPr>
      </w:pPr>
    </w:p>
    <w:p w14:paraId="3BE08586" w14:textId="77777777" w:rsidR="00052C0B" w:rsidRDefault="00052C0B">
      <w:pPr>
        <w:spacing w:line="360" w:lineRule="auto"/>
        <w:ind w:firstLine="709"/>
        <w:jc w:val="both"/>
        <w:rPr>
          <w:rFonts w:ascii="Times New Roman" w:eastAsia="Microsoft YaHei" w:hAnsi="Times New Roman" w:cs="Times New Roman"/>
          <w:color w:val="auto"/>
          <w:sz w:val="28"/>
          <w:szCs w:val="28"/>
        </w:rPr>
      </w:pPr>
    </w:p>
    <w:p w14:paraId="3BE08587" w14:textId="77777777" w:rsidR="00052C0B" w:rsidRDefault="00052C0B">
      <w:pPr>
        <w:spacing w:line="360" w:lineRule="auto"/>
        <w:ind w:firstLine="709"/>
        <w:jc w:val="both"/>
        <w:rPr>
          <w:rFonts w:ascii="Times New Roman" w:eastAsia="Microsoft YaHei" w:hAnsi="Times New Roman" w:cs="Times New Roman"/>
          <w:color w:val="auto"/>
          <w:sz w:val="28"/>
          <w:szCs w:val="28"/>
        </w:rPr>
      </w:pPr>
    </w:p>
    <w:p w14:paraId="3BE08588" w14:textId="77777777" w:rsidR="00052C0B" w:rsidRDefault="00052C0B">
      <w:pPr>
        <w:spacing w:line="360" w:lineRule="auto"/>
        <w:ind w:firstLine="709"/>
        <w:jc w:val="both"/>
        <w:rPr>
          <w:rFonts w:ascii="Times New Roman" w:eastAsia="Microsoft YaHei" w:hAnsi="Times New Roman" w:cs="Times New Roman"/>
          <w:color w:val="auto"/>
          <w:sz w:val="28"/>
          <w:szCs w:val="28"/>
        </w:rPr>
      </w:pPr>
    </w:p>
    <w:p w14:paraId="3BE08589" w14:textId="77777777" w:rsidR="00052C0B" w:rsidRDefault="00052C0B">
      <w:pPr>
        <w:spacing w:line="360" w:lineRule="auto"/>
        <w:ind w:firstLine="709"/>
        <w:jc w:val="both"/>
        <w:rPr>
          <w:rFonts w:ascii="Times New Roman" w:eastAsia="Microsoft YaHei" w:hAnsi="Times New Roman" w:cs="Times New Roman"/>
          <w:color w:val="auto"/>
          <w:sz w:val="28"/>
          <w:szCs w:val="28"/>
        </w:rPr>
      </w:pPr>
    </w:p>
    <w:p w14:paraId="3BE0858A" w14:textId="77777777" w:rsidR="00052C0B" w:rsidRDefault="00052C0B">
      <w:pPr>
        <w:spacing w:line="360" w:lineRule="auto"/>
        <w:ind w:firstLine="709"/>
        <w:jc w:val="both"/>
        <w:rPr>
          <w:rFonts w:ascii="Times New Roman" w:eastAsia="Microsoft YaHei" w:hAnsi="Times New Roman" w:cs="Times New Roman"/>
          <w:color w:val="auto"/>
          <w:sz w:val="28"/>
          <w:szCs w:val="28"/>
        </w:rPr>
      </w:pPr>
    </w:p>
    <w:p w14:paraId="3BE0858B" w14:textId="77777777" w:rsidR="00052C0B" w:rsidRDefault="00052C0B">
      <w:pPr>
        <w:spacing w:line="360" w:lineRule="auto"/>
        <w:ind w:firstLine="709"/>
        <w:jc w:val="both"/>
        <w:rPr>
          <w:rFonts w:ascii="Times New Roman" w:eastAsia="Microsoft YaHei" w:hAnsi="Times New Roman" w:cs="Times New Roman"/>
          <w:color w:val="auto"/>
          <w:sz w:val="28"/>
          <w:szCs w:val="28"/>
        </w:rPr>
      </w:pPr>
    </w:p>
    <w:p w14:paraId="3BE0858C" w14:textId="77777777" w:rsidR="00052C0B" w:rsidRDefault="00052C0B">
      <w:pPr>
        <w:spacing w:line="360" w:lineRule="auto"/>
        <w:ind w:firstLine="709"/>
        <w:jc w:val="both"/>
        <w:rPr>
          <w:rFonts w:ascii="Times New Roman" w:eastAsia="Microsoft YaHei" w:hAnsi="Times New Roman" w:cs="Times New Roman"/>
          <w:color w:val="auto"/>
          <w:sz w:val="28"/>
          <w:szCs w:val="28"/>
        </w:rPr>
      </w:pPr>
    </w:p>
    <w:p w14:paraId="3BE0858D" w14:textId="77777777" w:rsidR="00052C0B" w:rsidRDefault="00052C0B">
      <w:pPr>
        <w:spacing w:line="360" w:lineRule="auto"/>
        <w:ind w:firstLine="709"/>
        <w:jc w:val="both"/>
        <w:rPr>
          <w:rFonts w:ascii="Times New Roman" w:eastAsia="Microsoft YaHei" w:hAnsi="Times New Roman" w:cs="Times New Roman"/>
          <w:color w:val="auto"/>
          <w:sz w:val="28"/>
          <w:szCs w:val="28"/>
        </w:rPr>
      </w:pPr>
    </w:p>
    <w:p w14:paraId="3BE0858E" w14:textId="77777777" w:rsidR="00052C0B" w:rsidRDefault="00052C0B">
      <w:pPr>
        <w:spacing w:line="360" w:lineRule="auto"/>
        <w:ind w:firstLine="709"/>
        <w:jc w:val="both"/>
        <w:rPr>
          <w:rFonts w:ascii="Times New Roman" w:eastAsia="Microsoft YaHei" w:hAnsi="Times New Roman" w:cs="Times New Roman"/>
          <w:color w:val="auto"/>
          <w:sz w:val="28"/>
          <w:szCs w:val="28"/>
        </w:rPr>
      </w:pPr>
    </w:p>
    <w:p w14:paraId="3BE0858F" w14:textId="77777777" w:rsidR="00052C0B" w:rsidRDefault="00052C0B">
      <w:pPr>
        <w:spacing w:line="360" w:lineRule="auto"/>
        <w:ind w:firstLine="709"/>
        <w:jc w:val="both"/>
        <w:rPr>
          <w:rFonts w:ascii="Times New Roman" w:eastAsia="Microsoft YaHei" w:hAnsi="Times New Roman" w:cs="Times New Roman"/>
          <w:color w:val="auto"/>
          <w:sz w:val="28"/>
          <w:szCs w:val="28"/>
        </w:rPr>
      </w:pPr>
    </w:p>
    <w:p w14:paraId="3BE08590" w14:textId="77777777" w:rsidR="00052C0B" w:rsidRDefault="00052C0B">
      <w:pPr>
        <w:spacing w:line="360" w:lineRule="auto"/>
        <w:ind w:firstLine="709"/>
        <w:jc w:val="both"/>
        <w:rPr>
          <w:rFonts w:ascii="Times New Roman" w:eastAsia="Microsoft YaHei" w:hAnsi="Times New Roman" w:cs="Times New Roman"/>
          <w:color w:val="auto"/>
          <w:sz w:val="28"/>
          <w:szCs w:val="28"/>
        </w:rPr>
      </w:pPr>
    </w:p>
    <w:p w14:paraId="04E7789A" w14:textId="77777777" w:rsidR="00521E19" w:rsidRDefault="00521E19">
      <w:pPr>
        <w:spacing w:line="360" w:lineRule="auto"/>
        <w:ind w:firstLine="709"/>
        <w:jc w:val="center"/>
        <w:rPr>
          <w:rFonts w:ascii="Times New Roman" w:eastAsia="Times New Roman" w:hAnsi="Times New Roman" w:cs="Times New Roman"/>
          <w:b/>
          <w:bCs/>
          <w:sz w:val="28"/>
          <w:szCs w:val="28"/>
          <w:lang w:bidi="ar-SA"/>
        </w:rPr>
      </w:pPr>
    </w:p>
    <w:p w14:paraId="3BE08598" w14:textId="238A1F82" w:rsidR="00052C0B" w:rsidRDefault="006E6CE8">
      <w:pPr>
        <w:spacing w:line="360" w:lineRule="auto"/>
        <w:ind w:firstLine="709"/>
        <w:jc w:val="center"/>
        <w:rPr>
          <w:rFonts w:ascii="Times New Roman" w:eastAsia="Times New Roman" w:hAnsi="Times New Roman" w:cs="Times New Roman"/>
          <w:color w:val="auto"/>
          <w:lang w:bidi="ar-SA"/>
        </w:rPr>
      </w:pPr>
      <w:bookmarkStart w:id="0" w:name="_GoBack"/>
      <w:bookmarkEnd w:id="0"/>
      <w:r>
        <w:rPr>
          <w:rFonts w:ascii="Times New Roman" w:eastAsia="Times New Roman" w:hAnsi="Times New Roman" w:cs="Times New Roman"/>
          <w:b/>
          <w:bCs/>
          <w:sz w:val="28"/>
          <w:szCs w:val="28"/>
          <w:lang w:bidi="ar-SA"/>
        </w:rPr>
        <w:lastRenderedPageBreak/>
        <w:t>РОЗДІЛ 1 </w:t>
      </w:r>
    </w:p>
    <w:p w14:paraId="3BE08599" w14:textId="77777777" w:rsidR="00052C0B" w:rsidRDefault="006E6CE8">
      <w:pPr>
        <w:spacing w:line="360" w:lineRule="auto"/>
        <w:ind w:firstLine="709"/>
        <w:jc w:val="center"/>
        <w:rPr>
          <w:rFonts w:ascii="Times New Roman" w:eastAsia="Times New Roman" w:hAnsi="Times New Roman" w:cs="Times New Roman"/>
          <w:b/>
          <w:bCs/>
          <w:sz w:val="28"/>
          <w:szCs w:val="28"/>
          <w:lang w:bidi="ar-SA"/>
        </w:rPr>
      </w:pPr>
      <w:r>
        <w:rPr>
          <w:rFonts w:ascii="Times New Roman" w:eastAsia="Times New Roman" w:hAnsi="Times New Roman" w:cs="Times New Roman"/>
          <w:b/>
          <w:bCs/>
          <w:sz w:val="28"/>
          <w:szCs w:val="28"/>
          <w:lang w:bidi="ar-SA"/>
        </w:rPr>
        <w:t>КОНЦЕПТУАЛЬНІ ОСНОВИ ФУНКЦІОНУВАННЯ СИСТЕМ ОХОРОНИ ЗДОРОВ’Я ТА ОРГАНІЗАЦІЙНО-ЕКОНОМІЧНИХ МЕХАНІЗМІВ ЇХ ДЕРЖАВНОГО РЕГУЛЮВАННЯ</w:t>
      </w:r>
    </w:p>
    <w:p w14:paraId="3BE0859A"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 </w:t>
      </w:r>
    </w:p>
    <w:p w14:paraId="3BE0859B"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b/>
          <w:bCs/>
          <w:sz w:val="28"/>
          <w:szCs w:val="28"/>
          <w:lang w:bidi="ar-SA"/>
        </w:rPr>
        <w:t xml:space="preserve">1.1. Базові принципи та структурні моделі функціонування системи охорони здоров’я </w:t>
      </w:r>
    </w:p>
    <w:p w14:paraId="3BE0859C"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Охорона здоров’я посідає ключове місце серед суспільних сфер, оскільки визначає рівень добробуту населення, тривалість і якість життя, а також суттєво впливає на економічний потенціал держави. Українська система охорони здоров’я, як і системи більшості країн світу, функціонує в умовах постійних трансформацій та нових викликів, що вимагають регулярного аналізу, модернізації та вдосконалення управлінських підходів.</w:t>
      </w:r>
    </w:p>
    <w:p w14:paraId="3BE0859D"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Світовий досвід свідчить, що універсальної моделі організації медичної допомоги не існує. Це пов’язано з тим, що структуру та принципи побудови національних систем охорони здоров’я формують комплексні чинники: історичний контекст, особливості культури, стан економіки, домінуючі політичні підходи та пріоритети державної політики. Економічна спроможність країни - рівень доходів населення, ресурсний потенціал бюджету та собівартість медичних послуг - значною мірою визначають доступність та тип обраної моделі. Наприклад, заможні країни частіше інтегрують розвинені приватні елементи в систему охорони здоров’я</w:t>
      </w:r>
      <w:r>
        <w:rPr>
          <w:rFonts w:ascii="Times New Roman" w:eastAsia="Times New Roman" w:hAnsi="Times New Roman" w:cs="Times New Roman"/>
          <w:sz w:val="28"/>
          <w:szCs w:val="28"/>
          <w:lang w:val="en-US" w:bidi="ar-SA"/>
        </w:rPr>
        <w:t xml:space="preserve"> [</w:t>
      </w:r>
      <w:r>
        <w:rPr>
          <w:rFonts w:ascii="Times New Roman" w:eastAsia="Times New Roman" w:hAnsi="Times New Roman" w:cs="Times New Roman"/>
          <w:sz w:val="28"/>
          <w:szCs w:val="28"/>
          <w:lang w:bidi="ar-SA"/>
        </w:rPr>
        <w:t>1</w:t>
      </w:r>
      <w:r>
        <w:rPr>
          <w:rFonts w:ascii="Times New Roman" w:eastAsia="Times New Roman" w:hAnsi="Times New Roman" w:cs="Times New Roman"/>
          <w:sz w:val="28"/>
          <w:szCs w:val="28"/>
          <w:lang w:val="en-US" w:bidi="ar-SA"/>
        </w:rPr>
        <w:t>]</w:t>
      </w:r>
      <w:r>
        <w:rPr>
          <w:rFonts w:ascii="Times New Roman" w:eastAsia="Times New Roman" w:hAnsi="Times New Roman" w:cs="Times New Roman"/>
          <w:sz w:val="28"/>
          <w:szCs w:val="28"/>
          <w:lang w:bidi="ar-SA"/>
        </w:rPr>
        <w:t>.</w:t>
      </w:r>
    </w:p>
    <w:p w14:paraId="3BE0859E"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Не менш важливими є політичні чинники, адже стратегічні пріоритети державної влади безпосередньо впливають на вибір інституційної моделі, масштаби державного фінансування, рівень автономності медичних закладів та способи регулювання галузі.</w:t>
      </w:r>
    </w:p>
    <w:p w14:paraId="3BE0859F"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Географічні та демографічні характеристики також відіграють значну роль у формуванні моделі системи: країни з низькою щільністю населення потребують складніших схем територіальної доступності медичних послуг, особливо у віддалених або сільських районах.</w:t>
      </w:r>
    </w:p>
    <w:p w14:paraId="3BE085A0"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lastRenderedPageBreak/>
        <w:t>Наукові джерела та практичний досвід виділяють кілька груп моделей організації охорони здоров’я, які систематизуються за спільними ознаками та принципами функціонування (табл. 1.1).</w:t>
      </w:r>
    </w:p>
    <w:p w14:paraId="3BE085A1" w14:textId="77777777" w:rsidR="00052C0B" w:rsidRDefault="006E6CE8">
      <w:pPr>
        <w:spacing w:line="360" w:lineRule="auto"/>
        <w:ind w:firstLine="709"/>
        <w:jc w:val="right"/>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Таблиця 1.1</w:t>
      </w:r>
    </w:p>
    <w:p w14:paraId="3BE085A2" w14:textId="77777777" w:rsidR="00052C0B" w:rsidRDefault="006E6CE8">
      <w:pPr>
        <w:spacing w:line="360" w:lineRule="auto"/>
        <w:ind w:firstLine="709"/>
        <w:jc w:val="center"/>
        <w:rPr>
          <w:rFonts w:ascii="Times New Roman" w:eastAsia="Times New Roman" w:hAnsi="Times New Roman" w:cs="Times New Roman"/>
          <w:color w:val="auto"/>
          <w:lang w:bidi="ar-SA"/>
        </w:rPr>
      </w:pPr>
      <w:r>
        <w:rPr>
          <w:rFonts w:ascii="Times New Roman" w:eastAsia="Times New Roman" w:hAnsi="Times New Roman" w:cs="Times New Roman"/>
          <w:b/>
          <w:bCs/>
          <w:sz w:val="28"/>
          <w:szCs w:val="28"/>
          <w:lang w:bidi="ar-SA"/>
        </w:rPr>
        <w:t>Класифікація моделей охорони здоров’я</w:t>
      </w:r>
    </w:p>
    <w:tbl>
      <w:tblPr>
        <w:tblW w:w="0" w:type="auto"/>
        <w:tblCellSpacing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64"/>
        <w:gridCol w:w="2948"/>
        <w:gridCol w:w="4132"/>
      </w:tblGrid>
      <w:tr w:rsidR="00052C0B" w14:paraId="3BE085A6" w14:textId="77777777">
        <w:trPr>
          <w:tblCellSpacing w:w="0" w:type="dxa"/>
        </w:trPr>
        <w:tc>
          <w:tcPr>
            <w:tcW w:w="1269" w:type="dxa"/>
            <w:tcBorders>
              <w:top w:val="single" w:sz="4" w:space="0" w:color="000000"/>
              <w:left w:val="single" w:sz="4" w:space="0" w:color="000000"/>
              <w:bottom w:val="single" w:sz="4" w:space="0" w:color="000000"/>
              <w:right w:val="single" w:sz="4" w:space="0" w:color="000000"/>
            </w:tcBorders>
            <w:shd w:val="clear" w:color="auto" w:fill="C6D9F1" w:themeFill="text2" w:themeFillTint="33"/>
            <w:vAlign w:val="center"/>
          </w:tcPr>
          <w:p w14:paraId="3BE085A3" w14:textId="77777777" w:rsidR="00052C0B" w:rsidRDefault="006E6CE8">
            <w:pPr>
              <w:jc w:val="center"/>
              <w:rPr>
                <w:rFonts w:ascii="Times New Roman" w:eastAsia="Times New Roman" w:hAnsi="Times New Roman" w:cs="Times New Roman"/>
                <w:color w:val="auto"/>
                <w:lang w:bidi="ar-SA"/>
              </w:rPr>
            </w:pPr>
            <w:r>
              <w:rPr>
                <w:rFonts w:ascii="Times New Roman" w:eastAsia="Times New Roman" w:hAnsi="Times New Roman" w:cs="Times New Roman"/>
                <w:lang w:bidi="ar-SA"/>
              </w:rPr>
              <w:t>Модельна група</w:t>
            </w:r>
          </w:p>
        </w:tc>
        <w:tc>
          <w:tcPr>
            <w:tcW w:w="3305" w:type="dxa"/>
            <w:tcBorders>
              <w:top w:val="single" w:sz="4" w:space="0" w:color="000000"/>
              <w:left w:val="single" w:sz="4" w:space="0" w:color="000000"/>
              <w:bottom w:val="single" w:sz="4" w:space="0" w:color="000000"/>
              <w:right w:val="single" w:sz="4" w:space="0" w:color="000000"/>
            </w:tcBorders>
            <w:shd w:val="clear" w:color="auto" w:fill="C6D9F1" w:themeFill="text2" w:themeFillTint="33"/>
            <w:vAlign w:val="center"/>
          </w:tcPr>
          <w:p w14:paraId="3BE085A4" w14:textId="77777777" w:rsidR="00052C0B" w:rsidRDefault="006E6CE8">
            <w:pPr>
              <w:jc w:val="center"/>
              <w:rPr>
                <w:rFonts w:ascii="Times New Roman" w:eastAsia="Times New Roman" w:hAnsi="Times New Roman" w:cs="Times New Roman"/>
                <w:color w:val="auto"/>
                <w:lang w:bidi="ar-SA"/>
              </w:rPr>
            </w:pPr>
            <w:r>
              <w:rPr>
                <w:rFonts w:ascii="Times New Roman" w:eastAsia="Times New Roman" w:hAnsi="Times New Roman" w:cs="Times New Roman"/>
                <w:lang w:bidi="ar-SA"/>
              </w:rPr>
              <w:t>Категорії моделей</w:t>
            </w:r>
          </w:p>
        </w:tc>
        <w:tc>
          <w:tcPr>
            <w:tcW w:w="4780" w:type="dxa"/>
            <w:tcBorders>
              <w:top w:val="single" w:sz="4" w:space="0" w:color="000000"/>
              <w:left w:val="single" w:sz="4" w:space="0" w:color="000000"/>
              <w:bottom w:val="single" w:sz="4" w:space="0" w:color="000000"/>
              <w:right w:val="single" w:sz="4" w:space="0" w:color="000000"/>
            </w:tcBorders>
            <w:shd w:val="clear" w:color="auto" w:fill="C6D9F1" w:themeFill="text2" w:themeFillTint="33"/>
            <w:vAlign w:val="center"/>
          </w:tcPr>
          <w:p w14:paraId="3BE085A5" w14:textId="77777777" w:rsidR="00052C0B" w:rsidRDefault="006E6CE8">
            <w:pPr>
              <w:jc w:val="center"/>
              <w:rPr>
                <w:rFonts w:ascii="Times New Roman" w:eastAsia="Times New Roman" w:hAnsi="Times New Roman" w:cs="Times New Roman"/>
                <w:color w:val="auto"/>
                <w:lang w:bidi="ar-SA"/>
              </w:rPr>
            </w:pPr>
            <w:r>
              <w:rPr>
                <w:rFonts w:ascii="Times New Roman" w:eastAsia="Times New Roman" w:hAnsi="Times New Roman" w:cs="Times New Roman"/>
                <w:lang w:bidi="ar-SA"/>
              </w:rPr>
              <w:t>Характеристика моделі</w:t>
            </w:r>
          </w:p>
        </w:tc>
      </w:tr>
      <w:tr w:rsidR="00052C0B" w14:paraId="3BE085AA" w14:textId="77777777">
        <w:trPr>
          <w:tblCellSpacing w:w="0" w:type="dxa"/>
        </w:trPr>
        <w:tc>
          <w:tcPr>
            <w:tcW w:w="1269" w:type="dxa"/>
            <w:vMerge w:val="restart"/>
            <w:tcBorders>
              <w:top w:val="single" w:sz="4" w:space="0" w:color="000000"/>
              <w:left w:val="single" w:sz="4" w:space="0" w:color="000000"/>
              <w:bottom w:val="single" w:sz="4" w:space="0" w:color="000000"/>
              <w:right w:val="single" w:sz="4" w:space="0" w:color="000000"/>
            </w:tcBorders>
            <w:shd w:val="clear" w:color="auto" w:fill="EAF1DD" w:themeFill="accent3" w:themeFillTint="33"/>
            <w:vAlign w:val="center"/>
          </w:tcPr>
          <w:p w14:paraId="3BE085A7" w14:textId="77777777" w:rsidR="00052C0B" w:rsidRDefault="006E6CE8">
            <w:pPr>
              <w:ind w:left="113" w:right="113"/>
              <w:jc w:val="center"/>
              <w:rPr>
                <w:rFonts w:ascii="Times New Roman" w:eastAsia="Times New Roman" w:hAnsi="Times New Roman" w:cs="Times New Roman"/>
                <w:color w:val="auto"/>
                <w:lang w:bidi="ar-SA"/>
              </w:rPr>
            </w:pPr>
            <w:r>
              <w:rPr>
                <w:rFonts w:ascii="Times New Roman" w:eastAsia="Times New Roman" w:hAnsi="Times New Roman" w:cs="Times New Roman"/>
                <w:b/>
                <w:bCs/>
                <w:lang w:bidi="ar-SA"/>
              </w:rPr>
              <w:t>Базові моделі функціонування систем охорони здоров’я</w:t>
            </w:r>
          </w:p>
        </w:tc>
        <w:tc>
          <w:tcPr>
            <w:tcW w:w="3305"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vAlign w:val="center"/>
          </w:tcPr>
          <w:p w14:paraId="3BE085A8" w14:textId="77777777" w:rsidR="00052C0B" w:rsidRDefault="006E6CE8">
            <w:pPr>
              <w:rPr>
                <w:rFonts w:ascii="Times New Roman" w:eastAsia="Times New Roman" w:hAnsi="Times New Roman" w:cs="Times New Roman"/>
                <w:color w:val="auto"/>
                <w:lang w:bidi="ar-SA"/>
              </w:rPr>
            </w:pPr>
            <w:r>
              <w:rPr>
                <w:rFonts w:ascii="Times New Roman" w:eastAsia="Times New Roman" w:hAnsi="Times New Roman" w:cs="Times New Roman"/>
                <w:lang w:bidi="ar-SA"/>
              </w:rPr>
              <w:t>Модель первинної медичної допомоги (ПМД)</w:t>
            </w:r>
            <w:r>
              <w:rPr>
                <w:rFonts w:ascii="Times New Roman" w:eastAsia="Times New Roman" w:hAnsi="Times New Roman" w:cs="Times New Roman"/>
                <w:b/>
                <w:bCs/>
                <w:lang w:bidi="ar-SA"/>
              </w:rPr>
              <w:t> </w:t>
            </w:r>
          </w:p>
        </w:tc>
        <w:tc>
          <w:tcPr>
            <w:tcW w:w="4780" w:type="dxa"/>
            <w:tcBorders>
              <w:top w:val="single" w:sz="4" w:space="0" w:color="000000"/>
              <w:left w:val="single" w:sz="4" w:space="0" w:color="000000"/>
              <w:bottom w:val="single" w:sz="4" w:space="0" w:color="000000"/>
              <w:right w:val="single" w:sz="4" w:space="0" w:color="000000"/>
            </w:tcBorders>
            <w:shd w:val="clear" w:color="auto" w:fill="FDE9D9" w:themeFill="accent6" w:themeFillTint="33"/>
            <w:vAlign w:val="center"/>
          </w:tcPr>
          <w:p w14:paraId="3BE085A9" w14:textId="77777777" w:rsidR="00052C0B" w:rsidRDefault="006E6CE8">
            <w:pPr>
              <w:rPr>
                <w:rFonts w:ascii="Times New Roman" w:eastAsia="Times New Roman" w:hAnsi="Times New Roman" w:cs="Times New Roman"/>
                <w:color w:val="auto"/>
                <w:lang w:bidi="ar-SA"/>
              </w:rPr>
            </w:pPr>
            <w:r>
              <w:rPr>
                <w:rFonts w:ascii="Times New Roman" w:eastAsia="Times New Roman" w:hAnsi="Times New Roman" w:cs="Times New Roman"/>
                <w:lang w:bidi="ar-SA"/>
              </w:rPr>
              <w:t>Орієнтована на перший контакт пацієнта з системою, профілактику та раннє виявлення захворювань.</w:t>
            </w:r>
          </w:p>
        </w:tc>
      </w:tr>
      <w:tr w:rsidR="00052C0B" w14:paraId="3BE085AE" w14:textId="77777777">
        <w:trPr>
          <w:tblCellSpacing w:w="0" w:type="dxa"/>
        </w:trPr>
        <w:tc>
          <w:tcPr>
            <w:tcW w:w="0" w:type="auto"/>
            <w:vMerge/>
            <w:tcBorders>
              <w:top w:val="single" w:sz="4" w:space="0" w:color="000000"/>
              <w:left w:val="single" w:sz="4" w:space="0" w:color="000000"/>
              <w:bottom w:val="single" w:sz="4" w:space="0" w:color="000000"/>
              <w:right w:val="single" w:sz="4" w:space="0" w:color="000000"/>
            </w:tcBorders>
            <w:shd w:val="clear" w:color="auto" w:fill="EAF1DD" w:themeFill="accent3" w:themeFillTint="33"/>
            <w:vAlign w:val="center"/>
          </w:tcPr>
          <w:p w14:paraId="3BE085AB" w14:textId="77777777" w:rsidR="00052C0B" w:rsidRDefault="00052C0B">
            <w:pPr>
              <w:widowControl/>
              <w:rPr>
                <w:rFonts w:ascii="Times New Roman" w:eastAsia="Times New Roman" w:hAnsi="Times New Roman" w:cs="Times New Roman"/>
                <w:color w:val="auto"/>
                <w:lang w:bidi="ar-SA"/>
              </w:rPr>
            </w:pPr>
          </w:p>
        </w:tc>
        <w:tc>
          <w:tcPr>
            <w:tcW w:w="3305"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vAlign w:val="center"/>
          </w:tcPr>
          <w:p w14:paraId="3BE085AC" w14:textId="77777777" w:rsidR="00052C0B" w:rsidRDefault="006E6CE8">
            <w:pPr>
              <w:rPr>
                <w:rFonts w:ascii="Times New Roman" w:eastAsia="Times New Roman" w:hAnsi="Times New Roman" w:cs="Times New Roman"/>
                <w:color w:val="auto"/>
                <w:lang w:bidi="ar-SA"/>
              </w:rPr>
            </w:pPr>
            <w:r>
              <w:rPr>
                <w:rFonts w:ascii="Times New Roman" w:eastAsia="Times New Roman" w:hAnsi="Times New Roman" w:cs="Times New Roman"/>
                <w:lang w:bidi="ar-SA"/>
              </w:rPr>
              <w:t>Модель вторинної медичної допомоги (ВМД)</w:t>
            </w:r>
            <w:r>
              <w:rPr>
                <w:rFonts w:ascii="Times New Roman" w:eastAsia="Times New Roman" w:hAnsi="Times New Roman" w:cs="Times New Roman"/>
                <w:b/>
                <w:bCs/>
                <w:lang w:bidi="ar-SA"/>
              </w:rPr>
              <w:t> </w:t>
            </w:r>
          </w:p>
        </w:tc>
        <w:tc>
          <w:tcPr>
            <w:tcW w:w="4780" w:type="dxa"/>
            <w:tcBorders>
              <w:top w:val="single" w:sz="4" w:space="0" w:color="000000"/>
              <w:left w:val="single" w:sz="4" w:space="0" w:color="000000"/>
              <w:bottom w:val="single" w:sz="4" w:space="0" w:color="000000"/>
              <w:right w:val="single" w:sz="4" w:space="0" w:color="000000"/>
            </w:tcBorders>
            <w:shd w:val="clear" w:color="auto" w:fill="FDE9D9" w:themeFill="accent6" w:themeFillTint="33"/>
            <w:vAlign w:val="center"/>
          </w:tcPr>
          <w:p w14:paraId="3BE085AD" w14:textId="77777777" w:rsidR="00052C0B" w:rsidRDefault="006E6CE8">
            <w:pPr>
              <w:rPr>
                <w:rFonts w:ascii="Times New Roman" w:eastAsia="Times New Roman" w:hAnsi="Times New Roman" w:cs="Times New Roman"/>
                <w:color w:val="auto"/>
                <w:lang w:bidi="ar-SA"/>
              </w:rPr>
            </w:pPr>
            <w:r>
              <w:rPr>
                <w:rFonts w:ascii="Times New Roman" w:eastAsia="Times New Roman" w:hAnsi="Times New Roman" w:cs="Times New Roman"/>
                <w:lang w:bidi="ar-SA"/>
              </w:rPr>
              <w:t>Передбачає спеціалізовану амбулаторну й стаціонарну допомогу за направленням.</w:t>
            </w:r>
          </w:p>
        </w:tc>
      </w:tr>
      <w:tr w:rsidR="00052C0B" w14:paraId="3BE085B2" w14:textId="77777777">
        <w:trPr>
          <w:tblCellSpacing w:w="0" w:type="dxa"/>
        </w:trPr>
        <w:tc>
          <w:tcPr>
            <w:tcW w:w="0" w:type="auto"/>
            <w:vMerge/>
            <w:tcBorders>
              <w:top w:val="single" w:sz="4" w:space="0" w:color="000000"/>
              <w:left w:val="single" w:sz="4" w:space="0" w:color="000000"/>
              <w:bottom w:val="single" w:sz="4" w:space="0" w:color="000000"/>
              <w:right w:val="single" w:sz="4" w:space="0" w:color="000000"/>
            </w:tcBorders>
            <w:shd w:val="clear" w:color="auto" w:fill="EAF1DD" w:themeFill="accent3" w:themeFillTint="33"/>
            <w:vAlign w:val="center"/>
          </w:tcPr>
          <w:p w14:paraId="3BE085AF" w14:textId="77777777" w:rsidR="00052C0B" w:rsidRDefault="00052C0B">
            <w:pPr>
              <w:widowControl/>
              <w:rPr>
                <w:rFonts w:ascii="Times New Roman" w:eastAsia="Times New Roman" w:hAnsi="Times New Roman" w:cs="Times New Roman"/>
                <w:color w:val="auto"/>
                <w:lang w:bidi="ar-SA"/>
              </w:rPr>
            </w:pPr>
          </w:p>
        </w:tc>
        <w:tc>
          <w:tcPr>
            <w:tcW w:w="3305"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vAlign w:val="center"/>
          </w:tcPr>
          <w:p w14:paraId="3BE085B0" w14:textId="77777777" w:rsidR="00052C0B" w:rsidRDefault="006E6CE8">
            <w:pPr>
              <w:rPr>
                <w:rFonts w:ascii="Times New Roman" w:eastAsia="Times New Roman" w:hAnsi="Times New Roman" w:cs="Times New Roman"/>
                <w:color w:val="auto"/>
                <w:lang w:bidi="ar-SA"/>
              </w:rPr>
            </w:pPr>
            <w:r>
              <w:rPr>
                <w:rFonts w:ascii="Times New Roman" w:eastAsia="Times New Roman" w:hAnsi="Times New Roman" w:cs="Times New Roman"/>
                <w:lang w:bidi="ar-SA"/>
              </w:rPr>
              <w:t>Модель третинної медичної допомоги (ТМД)</w:t>
            </w:r>
            <w:r>
              <w:rPr>
                <w:rFonts w:ascii="Times New Roman" w:eastAsia="Times New Roman" w:hAnsi="Times New Roman" w:cs="Times New Roman"/>
                <w:b/>
                <w:bCs/>
                <w:lang w:bidi="ar-SA"/>
              </w:rPr>
              <w:t> </w:t>
            </w:r>
          </w:p>
        </w:tc>
        <w:tc>
          <w:tcPr>
            <w:tcW w:w="4780" w:type="dxa"/>
            <w:tcBorders>
              <w:top w:val="single" w:sz="4" w:space="0" w:color="000000"/>
              <w:left w:val="single" w:sz="4" w:space="0" w:color="000000"/>
              <w:bottom w:val="single" w:sz="4" w:space="0" w:color="000000"/>
              <w:right w:val="single" w:sz="4" w:space="0" w:color="000000"/>
            </w:tcBorders>
            <w:shd w:val="clear" w:color="auto" w:fill="FDE9D9" w:themeFill="accent6" w:themeFillTint="33"/>
            <w:vAlign w:val="center"/>
          </w:tcPr>
          <w:p w14:paraId="3BE085B1" w14:textId="77777777" w:rsidR="00052C0B" w:rsidRDefault="006E6CE8">
            <w:pPr>
              <w:rPr>
                <w:rFonts w:ascii="Times New Roman" w:eastAsia="Times New Roman" w:hAnsi="Times New Roman" w:cs="Times New Roman"/>
                <w:color w:val="auto"/>
                <w:lang w:bidi="ar-SA"/>
              </w:rPr>
            </w:pPr>
            <w:r>
              <w:rPr>
                <w:rFonts w:ascii="Times New Roman" w:eastAsia="Times New Roman" w:hAnsi="Times New Roman" w:cs="Times New Roman"/>
                <w:lang w:bidi="ar-SA"/>
              </w:rPr>
              <w:t>Високоспеціалізована медична допомога, що включає складні діагностичні та лікувальні технології.</w:t>
            </w:r>
          </w:p>
        </w:tc>
      </w:tr>
      <w:tr w:rsidR="00052C0B" w14:paraId="3BE085B6" w14:textId="77777777">
        <w:trPr>
          <w:tblCellSpacing w:w="0" w:type="dxa"/>
        </w:trPr>
        <w:tc>
          <w:tcPr>
            <w:tcW w:w="0" w:type="auto"/>
            <w:vMerge/>
            <w:tcBorders>
              <w:top w:val="single" w:sz="4" w:space="0" w:color="000000"/>
              <w:left w:val="single" w:sz="4" w:space="0" w:color="000000"/>
              <w:bottom w:val="single" w:sz="4" w:space="0" w:color="000000"/>
              <w:right w:val="single" w:sz="4" w:space="0" w:color="000000"/>
            </w:tcBorders>
            <w:shd w:val="clear" w:color="auto" w:fill="EAF1DD" w:themeFill="accent3" w:themeFillTint="33"/>
            <w:vAlign w:val="center"/>
          </w:tcPr>
          <w:p w14:paraId="3BE085B3" w14:textId="77777777" w:rsidR="00052C0B" w:rsidRDefault="00052C0B">
            <w:pPr>
              <w:widowControl/>
              <w:rPr>
                <w:rFonts w:ascii="Times New Roman" w:eastAsia="Times New Roman" w:hAnsi="Times New Roman" w:cs="Times New Roman"/>
                <w:color w:val="auto"/>
                <w:lang w:bidi="ar-SA"/>
              </w:rPr>
            </w:pPr>
          </w:p>
        </w:tc>
        <w:tc>
          <w:tcPr>
            <w:tcW w:w="3305"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vAlign w:val="center"/>
          </w:tcPr>
          <w:p w14:paraId="3BE085B4" w14:textId="77777777" w:rsidR="00052C0B" w:rsidRDefault="006E6CE8">
            <w:pPr>
              <w:rPr>
                <w:rFonts w:ascii="Times New Roman" w:eastAsia="Times New Roman" w:hAnsi="Times New Roman" w:cs="Times New Roman"/>
                <w:color w:val="auto"/>
                <w:lang w:bidi="ar-SA"/>
              </w:rPr>
            </w:pPr>
            <w:r>
              <w:rPr>
                <w:rFonts w:ascii="Times New Roman" w:eastAsia="Times New Roman" w:hAnsi="Times New Roman" w:cs="Times New Roman"/>
                <w:lang w:bidi="ar-SA"/>
              </w:rPr>
              <w:t>Інтегрована модель або модель континуального догляду</w:t>
            </w:r>
            <w:r>
              <w:rPr>
                <w:rFonts w:ascii="Times New Roman" w:eastAsia="Times New Roman" w:hAnsi="Times New Roman" w:cs="Times New Roman"/>
                <w:b/>
                <w:bCs/>
                <w:lang w:bidi="ar-SA"/>
              </w:rPr>
              <w:t> </w:t>
            </w:r>
          </w:p>
        </w:tc>
        <w:tc>
          <w:tcPr>
            <w:tcW w:w="4780" w:type="dxa"/>
            <w:tcBorders>
              <w:top w:val="single" w:sz="4" w:space="0" w:color="000000"/>
              <w:left w:val="single" w:sz="4" w:space="0" w:color="000000"/>
              <w:bottom w:val="single" w:sz="4" w:space="0" w:color="000000"/>
              <w:right w:val="single" w:sz="4" w:space="0" w:color="000000"/>
            </w:tcBorders>
            <w:shd w:val="clear" w:color="auto" w:fill="FDE9D9" w:themeFill="accent6" w:themeFillTint="33"/>
            <w:vAlign w:val="center"/>
          </w:tcPr>
          <w:p w14:paraId="3BE085B5" w14:textId="77777777" w:rsidR="00052C0B" w:rsidRDefault="006E6CE8">
            <w:pPr>
              <w:rPr>
                <w:rFonts w:ascii="Times New Roman" w:eastAsia="Times New Roman" w:hAnsi="Times New Roman" w:cs="Times New Roman"/>
                <w:color w:val="auto"/>
                <w:lang w:bidi="ar-SA"/>
              </w:rPr>
            </w:pPr>
            <w:r>
              <w:rPr>
                <w:rFonts w:ascii="Times New Roman" w:eastAsia="Times New Roman" w:hAnsi="Times New Roman" w:cs="Times New Roman"/>
                <w:lang w:bidi="ar-SA"/>
              </w:rPr>
              <w:t>Забезпечує безперервність медичної допомоги між різними рівнями.</w:t>
            </w:r>
          </w:p>
        </w:tc>
      </w:tr>
      <w:tr w:rsidR="00052C0B" w14:paraId="3BE085BA" w14:textId="77777777">
        <w:trPr>
          <w:tblCellSpacing w:w="0" w:type="dxa"/>
        </w:trPr>
        <w:tc>
          <w:tcPr>
            <w:tcW w:w="0" w:type="auto"/>
            <w:vMerge/>
            <w:tcBorders>
              <w:top w:val="single" w:sz="4" w:space="0" w:color="000000"/>
              <w:left w:val="single" w:sz="4" w:space="0" w:color="000000"/>
              <w:bottom w:val="single" w:sz="4" w:space="0" w:color="000000"/>
              <w:right w:val="single" w:sz="4" w:space="0" w:color="000000"/>
            </w:tcBorders>
            <w:shd w:val="clear" w:color="auto" w:fill="EAF1DD" w:themeFill="accent3" w:themeFillTint="33"/>
            <w:vAlign w:val="center"/>
          </w:tcPr>
          <w:p w14:paraId="3BE085B7" w14:textId="77777777" w:rsidR="00052C0B" w:rsidRDefault="00052C0B">
            <w:pPr>
              <w:widowControl/>
              <w:rPr>
                <w:rFonts w:ascii="Times New Roman" w:eastAsia="Times New Roman" w:hAnsi="Times New Roman" w:cs="Times New Roman"/>
                <w:color w:val="auto"/>
                <w:lang w:bidi="ar-SA"/>
              </w:rPr>
            </w:pPr>
          </w:p>
        </w:tc>
        <w:tc>
          <w:tcPr>
            <w:tcW w:w="3305"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vAlign w:val="center"/>
          </w:tcPr>
          <w:p w14:paraId="3BE085B8" w14:textId="77777777" w:rsidR="00052C0B" w:rsidRDefault="006E6CE8">
            <w:pPr>
              <w:rPr>
                <w:rFonts w:ascii="Times New Roman" w:eastAsia="Times New Roman" w:hAnsi="Times New Roman" w:cs="Times New Roman"/>
                <w:color w:val="auto"/>
                <w:lang w:bidi="ar-SA"/>
              </w:rPr>
            </w:pPr>
            <w:r>
              <w:rPr>
                <w:rFonts w:ascii="Times New Roman" w:eastAsia="Times New Roman" w:hAnsi="Times New Roman" w:cs="Times New Roman"/>
                <w:lang w:bidi="ar-SA"/>
              </w:rPr>
              <w:t>Модель платоспроможної медичної допомоги</w:t>
            </w:r>
          </w:p>
        </w:tc>
        <w:tc>
          <w:tcPr>
            <w:tcW w:w="4780" w:type="dxa"/>
            <w:tcBorders>
              <w:top w:val="single" w:sz="4" w:space="0" w:color="000000"/>
              <w:left w:val="single" w:sz="4" w:space="0" w:color="000000"/>
              <w:bottom w:val="single" w:sz="4" w:space="0" w:color="000000"/>
              <w:right w:val="single" w:sz="4" w:space="0" w:color="000000"/>
            </w:tcBorders>
            <w:shd w:val="clear" w:color="auto" w:fill="FDE9D9" w:themeFill="accent6" w:themeFillTint="33"/>
            <w:vAlign w:val="center"/>
          </w:tcPr>
          <w:p w14:paraId="3BE085B9" w14:textId="77777777" w:rsidR="00052C0B" w:rsidRDefault="006E6CE8">
            <w:pPr>
              <w:rPr>
                <w:rFonts w:ascii="Times New Roman" w:eastAsia="Times New Roman" w:hAnsi="Times New Roman" w:cs="Times New Roman"/>
                <w:color w:val="auto"/>
                <w:lang w:bidi="ar-SA"/>
              </w:rPr>
            </w:pPr>
            <w:r>
              <w:rPr>
                <w:rFonts w:ascii="Times New Roman" w:eastAsia="Times New Roman" w:hAnsi="Times New Roman" w:cs="Times New Roman"/>
                <w:lang w:bidi="ar-SA"/>
              </w:rPr>
              <w:t>Орієнтована на доступність послуг залежно від фінансових можливостей пацієнта.</w:t>
            </w:r>
          </w:p>
        </w:tc>
      </w:tr>
      <w:tr w:rsidR="00052C0B" w14:paraId="3BE085BE" w14:textId="77777777">
        <w:trPr>
          <w:tblCellSpacing w:w="0" w:type="dxa"/>
        </w:trPr>
        <w:tc>
          <w:tcPr>
            <w:tcW w:w="0" w:type="auto"/>
            <w:vMerge/>
            <w:tcBorders>
              <w:top w:val="single" w:sz="4" w:space="0" w:color="000000"/>
              <w:left w:val="single" w:sz="4" w:space="0" w:color="000000"/>
              <w:bottom w:val="single" w:sz="4" w:space="0" w:color="000000"/>
              <w:right w:val="single" w:sz="4" w:space="0" w:color="000000"/>
            </w:tcBorders>
            <w:shd w:val="clear" w:color="auto" w:fill="EAF1DD" w:themeFill="accent3" w:themeFillTint="33"/>
            <w:vAlign w:val="center"/>
          </w:tcPr>
          <w:p w14:paraId="3BE085BB" w14:textId="77777777" w:rsidR="00052C0B" w:rsidRDefault="00052C0B">
            <w:pPr>
              <w:widowControl/>
              <w:rPr>
                <w:rFonts w:ascii="Times New Roman" w:eastAsia="Times New Roman" w:hAnsi="Times New Roman" w:cs="Times New Roman"/>
                <w:color w:val="auto"/>
                <w:lang w:bidi="ar-SA"/>
              </w:rPr>
            </w:pPr>
          </w:p>
        </w:tc>
        <w:tc>
          <w:tcPr>
            <w:tcW w:w="3305"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vAlign w:val="center"/>
          </w:tcPr>
          <w:p w14:paraId="3BE085BC" w14:textId="77777777" w:rsidR="00052C0B" w:rsidRDefault="006E6CE8">
            <w:pPr>
              <w:rPr>
                <w:rFonts w:ascii="Times New Roman" w:eastAsia="Times New Roman" w:hAnsi="Times New Roman" w:cs="Times New Roman"/>
                <w:color w:val="auto"/>
                <w:lang w:bidi="ar-SA"/>
              </w:rPr>
            </w:pPr>
            <w:r>
              <w:rPr>
                <w:rFonts w:ascii="Times New Roman" w:eastAsia="Times New Roman" w:hAnsi="Times New Roman" w:cs="Times New Roman"/>
                <w:lang w:bidi="ar-SA"/>
              </w:rPr>
              <w:t>Модель громадського (публічного) здоров’я</w:t>
            </w:r>
            <w:r>
              <w:rPr>
                <w:rFonts w:ascii="Times New Roman" w:eastAsia="Times New Roman" w:hAnsi="Times New Roman" w:cs="Times New Roman"/>
                <w:b/>
                <w:bCs/>
                <w:lang w:bidi="ar-SA"/>
              </w:rPr>
              <w:t> </w:t>
            </w:r>
          </w:p>
        </w:tc>
        <w:tc>
          <w:tcPr>
            <w:tcW w:w="4780" w:type="dxa"/>
            <w:tcBorders>
              <w:top w:val="single" w:sz="4" w:space="0" w:color="000000"/>
              <w:left w:val="single" w:sz="4" w:space="0" w:color="000000"/>
              <w:bottom w:val="single" w:sz="4" w:space="0" w:color="000000"/>
              <w:right w:val="single" w:sz="4" w:space="0" w:color="000000"/>
            </w:tcBorders>
            <w:shd w:val="clear" w:color="auto" w:fill="FDE9D9" w:themeFill="accent6" w:themeFillTint="33"/>
            <w:vAlign w:val="center"/>
          </w:tcPr>
          <w:p w14:paraId="3BE085BD" w14:textId="77777777" w:rsidR="00052C0B" w:rsidRDefault="006E6CE8">
            <w:pPr>
              <w:rPr>
                <w:rFonts w:ascii="Times New Roman" w:eastAsia="Times New Roman" w:hAnsi="Times New Roman" w:cs="Times New Roman"/>
                <w:color w:val="auto"/>
                <w:lang w:bidi="ar-SA"/>
              </w:rPr>
            </w:pPr>
            <w:r>
              <w:rPr>
                <w:rFonts w:ascii="Times New Roman" w:eastAsia="Times New Roman" w:hAnsi="Times New Roman" w:cs="Times New Roman"/>
                <w:lang w:bidi="ar-SA"/>
              </w:rPr>
              <w:t>Зосереджується на популяційному підході, профілактиці та управлінні ризиками для здоров’я населення.</w:t>
            </w:r>
          </w:p>
        </w:tc>
      </w:tr>
      <w:tr w:rsidR="00052C0B" w14:paraId="3BE085C2" w14:textId="77777777">
        <w:trPr>
          <w:tblCellSpacing w:w="0" w:type="dxa"/>
        </w:trPr>
        <w:tc>
          <w:tcPr>
            <w:tcW w:w="1269" w:type="dxa"/>
            <w:vMerge w:val="restart"/>
            <w:tcBorders>
              <w:top w:val="single" w:sz="4" w:space="0" w:color="000000"/>
              <w:left w:val="single" w:sz="4" w:space="0" w:color="000000"/>
              <w:bottom w:val="single" w:sz="4" w:space="0" w:color="000000"/>
              <w:right w:val="single" w:sz="4" w:space="0" w:color="000000"/>
            </w:tcBorders>
            <w:shd w:val="clear" w:color="auto" w:fill="EAF1DD" w:themeFill="accent3" w:themeFillTint="33"/>
            <w:vAlign w:val="center"/>
          </w:tcPr>
          <w:p w14:paraId="3BE085BF" w14:textId="77777777" w:rsidR="00052C0B" w:rsidRDefault="006E6CE8">
            <w:pPr>
              <w:ind w:left="113" w:right="113"/>
              <w:jc w:val="center"/>
              <w:rPr>
                <w:rFonts w:ascii="Times New Roman" w:eastAsia="Times New Roman" w:hAnsi="Times New Roman" w:cs="Times New Roman"/>
                <w:color w:val="auto"/>
                <w:lang w:bidi="ar-SA"/>
              </w:rPr>
            </w:pPr>
            <w:r>
              <w:rPr>
                <w:rFonts w:ascii="Times New Roman" w:eastAsia="Times New Roman" w:hAnsi="Times New Roman" w:cs="Times New Roman"/>
                <w:b/>
                <w:bCs/>
                <w:lang w:bidi="ar-SA"/>
              </w:rPr>
              <w:t>Моделі систем охорони здоров’я за джерелами фінансування</w:t>
            </w:r>
          </w:p>
        </w:tc>
        <w:tc>
          <w:tcPr>
            <w:tcW w:w="3305"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vAlign w:val="center"/>
          </w:tcPr>
          <w:p w14:paraId="3BE085C0" w14:textId="77777777" w:rsidR="00052C0B" w:rsidRDefault="006E6CE8">
            <w:pPr>
              <w:rPr>
                <w:rFonts w:ascii="Times New Roman" w:eastAsia="Times New Roman" w:hAnsi="Times New Roman" w:cs="Times New Roman"/>
                <w:color w:val="auto"/>
                <w:lang w:bidi="ar-SA"/>
              </w:rPr>
            </w:pPr>
            <w:r>
              <w:rPr>
                <w:rFonts w:ascii="Times New Roman" w:eastAsia="Times New Roman" w:hAnsi="Times New Roman" w:cs="Times New Roman"/>
                <w:lang w:bidi="ar-SA"/>
              </w:rPr>
              <w:t>Модель Семашка (державна, централізована модель)</w:t>
            </w:r>
          </w:p>
        </w:tc>
        <w:tc>
          <w:tcPr>
            <w:tcW w:w="4780" w:type="dxa"/>
            <w:tcBorders>
              <w:top w:val="single" w:sz="4" w:space="0" w:color="000000"/>
              <w:left w:val="single" w:sz="4" w:space="0" w:color="000000"/>
              <w:bottom w:val="single" w:sz="4" w:space="0" w:color="000000"/>
              <w:right w:val="single" w:sz="4" w:space="0" w:color="000000"/>
            </w:tcBorders>
            <w:shd w:val="clear" w:color="auto" w:fill="FDE9D9" w:themeFill="accent6" w:themeFillTint="33"/>
            <w:vAlign w:val="center"/>
          </w:tcPr>
          <w:p w14:paraId="3BE085C1" w14:textId="77777777" w:rsidR="00052C0B" w:rsidRDefault="006E6CE8">
            <w:pPr>
              <w:rPr>
                <w:rFonts w:ascii="Times New Roman" w:eastAsia="Times New Roman" w:hAnsi="Times New Roman" w:cs="Times New Roman"/>
                <w:color w:val="auto"/>
                <w:lang w:bidi="ar-SA"/>
              </w:rPr>
            </w:pPr>
            <w:r>
              <w:rPr>
                <w:rFonts w:ascii="Times New Roman" w:eastAsia="Times New Roman" w:hAnsi="Times New Roman" w:cs="Times New Roman"/>
                <w:lang w:bidi="ar-SA"/>
              </w:rPr>
              <w:t>Базується на повному фінансуванні охорони здоров’я державою та принципах загальної доступності.</w:t>
            </w:r>
          </w:p>
        </w:tc>
      </w:tr>
      <w:tr w:rsidR="00052C0B" w14:paraId="3BE085C6" w14:textId="77777777">
        <w:trPr>
          <w:tblCellSpacing w:w="0" w:type="dxa"/>
        </w:trPr>
        <w:tc>
          <w:tcPr>
            <w:tcW w:w="0" w:type="auto"/>
            <w:vMerge/>
            <w:tcBorders>
              <w:top w:val="single" w:sz="4" w:space="0" w:color="000000"/>
              <w:left w:val="single" w:sz="4" w:space="0" w:color="000000"/>
              <w:bottom w:val="single" w:sz="4" w:space="0" w:color="000000"/>
              <w:right w:val="single" w:sz="4" w:space="0" w:color="000000"/>
            </w:tcBorders>
            <w:shd w:val="clear" w:color="auto" w:fill="EAF1DD" w:themeFill="accent3" w:themeFillTint="33"/>
            <w:vAlign w:val="center"/>
          </w:tcPr>
          <w:p w14:paraId="3BE085C3" w14:textId="77777777" w:rsidR="00052C0B" w:rsidRDefault="00052C0B">
            <w:pPr>
              <w:widowControl/>
              <w:rPr>
                <w:rFonts w:ascii="Times New Roman" w:eastAsia="Times New Roman" w:hAnsi="Times New Roman" w:cs="Times New Roman"/>
                <w:color w:val="auto"/>
                <w:lang w:bidi="ar-SA"/>
              </w:rPr>
            </w:pPr>
          </w:p>
        </w:tc>
        <w:tc>
          <w:tcPr>
            <w:tcW w:w="3305"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vAlign w:val="center"/>
          </w:tcPr>
          <w:p w14:paraId="3BE085C4" w14:textId="77777777" w:rsidR="00052C0B" w:rsidRDefault="006E6CE8">
            <w:pPr>
              <w:rPr>
                <w:rFonts w:ascii="Times New Roman" w:eastAsia="Times New Roman" w:hAnsi="Times New Roman" w:cs="Times New Roman"/>
                <w:color w:val="auto"/>
                <w:lang w:bidi="ar-SA"/>
              </w:rPr>
            </w:pPr>
            <w:r>
              <w:rPr>
                <w:rFonts w:ascii="Times New Roman" w:eastAsia="Times New Roman" w:hAnsi="Times New Roman" w:cs="Times New Roman"/>
                <w:lang w:bidi="ar-SA"/>
              </w:rPr>
              <w:t>Модель Беверіджа (державна національна служба)</w:t>
            </w:r>
          </w:p>
        </w:tc>
        <w:tc>
          <w:tcPr>
            <w:tcW w:w="4780" w:type="dxa"/>
            <w:tcBorders>
              <w:top w:val="single" w:sz="4" w:space="0" w:color="000000"/>
              <w:left w:val="single" w:sz="4" w:space="0" w:color="000000"/>
              <w:bottom w:val="single" w:sz="4" w:space="0" w:color="000000"/>
              <w:right w:val="single" w:sz="4" w:space="0" w:color="000000"/>
            </w:tcBorders>
            <w:shd w:val="clear" w:color="auto" w:fill="FDE9D9" w:themeFill="accent6" w:themeFillTint="33"/>
            <w:vAlign w:val="center"/>
          </w:tcPr>
          <w:p w14:paraId="3BE085C5" w14:textId="77777777" w:rsidR="00052C0B" w:rsidRDefault="006E6CE8">
            <w:pPr>
              <w:rPr>
                <w:rFonts w:ascii="Times New Roman" w:eastAsia="Times New Roman" w:hAnsi="Times New Roman" w:cs="Times New Roman"/>
                <w:color w:val="auto"/>
                <w:lang w:bidi="ar-SA"/>
              </w:rPr>
            </w:pPr>
            <w:r>
              <w:rPr>
                <w:rFonts w:ascii="Times New Roman" w:eastAsia="Times New Roman" w:hAnsi="Times New Roman" w:cs="Times New Roman"/>
                <w:lang w:bidi="ar-SA"/>
              </w:rPr>
              <w:t>Передбачає фінансування через оподаткування та безкоштовну медичну допомогу для населення.</w:t>
            </w:r>
          </w:p>
        </w:tc>
      </w:tr>
      <w:tr w:rsidR="00052C0B" w14:paraId="3BE085CA" w14:textId="77777777">
        <w:trPr>
          <w:tblCellSpacing w:w="0" w:type="dxa"/>
        </w:trPr>
        <w:tc>
          <w:tcPr>
            <w:tcW w:w="0" w:type="auto"/>
            <w:vMerge/>
            <w:tcBorders>
              <w:top w:val="single" w:sz="4" w:space="0" w:color="000000"/>
              <w:left w:val="single" w:sz="4" w:space="0" w:color="000000"/>
              <w:bottom w:val="single" w:sz="4" w:space="0" w:color="000000"/>
              <w:right w:val="single" w:sz="4" w:space="0" w:color="000000"/>
            </w:tcBorders>
            <w:shd w:val="clear" w:color="auto" w:fill="EAF1DD" w:themeFill="accent3" w:themeFillTint="33"/>
            <w:vAlign w:val="center"/>
          </w:tcPr>
          <w:p w14:paraId="3BE085C7" w14:textId="77777777" w:rsidR="00052C0B" w:rsidRDefault="00052C0B">
            <w:pPr>
              <w:widowControl/>
              <w:rPr>
                <w:rFonts w:ascii="Times New Roman" w:eastAsia="Times New Roman" w:hAnsi="Times New Roman" w:cs="Times New Roman"/>
                <w:color w:val="auto"/>
                <w:lang w:bidi="ar-SA"/>
              </w:rPr>
            </w:pPr>
          </w:p>
        </w:tc>
        <w:tc>
          <w:tcPr>
            <w:tcW w:w="3305"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vAlign w:val="center"/>
          </w:tcPr>
          <w:p w14:paraId="3BE085C8" w14:textId="77777777" w:rsidR="00052C0B" w:rsidRDefault="006E6CE8">
            <w:pPr>
              <w:rPr>
                <w:rFonts w:ascii="Times New Roman" w:eastAsia="Times New Roman" w:hAnsi="Times New Roman" w:cs="Times New Roman"/>
                <w:color w:val="auto"/>
                <w:lang w:bidi="ar-SA"/>
              </w:rPr>
            </w:pPr>
            <w:r>
              <w:rPr>
                <w:rFonts w:ascii="Times New Roman" w:eastAsia="Times New Roman" w:hAnsi="Times New Roman" w:cs="Times New Roman"/>
                <w:lang w:bidi="ar-SA"/>
              </w:rPr>
              <w:t>Бісмарківська модель (соціальне медичне страхування)</w:t>
            </w:r>
          </w:p>
        </w:tc>
        <w:tc>
          <w:tcPr>
            <w:tcW w:w="4780" w:type="dxa"/>
            <w:tcBorders>
              <w:top w:val="single" w:sz="4" w:space="0" w:color="000000"/>
              <w:left w:val="single" w:sz="4" w:space="0" w:color="000000"/>
              <w:bottom w:val="single" w:sz="4" w:space="0" w:color="000000"/>
              <w:right w:val="single" w:sz="4" w:space="0" w:color="000000"/>
            </w:tcBorders>
            <w:shd w:val="clear" w:color="auto" w:fill="FDE9D9" w:themeFill="accent6" w:themeFillTint="33"/>
            <w:vAlign w:val="center"/>
          </w:tcPr>
          <w:p w14:paraId="3BE085C9" w14:textId="77777777" w:rsidR="00052C0B" w:rsidRDefault="006E6CE8">
            <w:pPr>
              <w:rPr>
                <w:rFonts w:ascii="Times New Roman" w:eastAsia="Times New Roman" w:hAnsi="Times New Roman" w:cs="Times New Roman"/>
                <w:color w:val="auto"/>
                <w:lang w:bidi="ar-SA"/>
              </w:rPr>
            </w:pPr>
            <w:r>
              <w:rPr>
                <w:rFonts w:ascii="Times New Roman" w:eastAsia="Times New Roman" w:hAnsi="Times New Roman" w:cs="Times New Roman"/>
                <w:lang w:bidi="ar-SA"/>
              </w:rPr>
              <w:t>Ґрунтується на обов’язкових внесках працівників і роботодавців до страхових фондів.</w:t>
            </w:r>
          </w:p>
        </w:tc>
      </w:tr>
      <w:tr w:rsidR="00052C0B" w14:paraId="3BE085CF" w14:textId="77777777">
        <w:trPr>
          <w:tblCellSpacing w:w="0" w:type="dxa"/>
        </w:trPr>
        <w:tc>
          <w:tcPr>
            <w:tcW w:w="0" w:type="auto"/>
            <w:vMerge/>
            <w:tcBorders>
              <w:top w:val="single" w:sz="4" w:space="0" w:color="000000"/>
              <w:left w:val="single" w:sz="4" w:space="0" w:color="000000"/>
              <w:bottom w:val="single" w:sz="4" w:space="0" w:color="000000"/>
              <w:right w:val="single" w:sz="4" w:space="0" w:color="000000"/>
            </w:tcBorders>
            <w:shd w:val="clear" w:color="auto" w:fill="EAF1DD" w:themeFill="accent3" w:themeFillTint="33"/>
            <w:vAlign w:val="center"/>
          </w:tcPr>
          <w:p w14:paraId="3BE085CB" w14:textId="77777777" w:rsidR="00052C0B" w:rsidRDefault="00052C0B">
            <w:pPr>
              <w:widowControl/>
              <w:rPr>
                <w:rFonts w:ascii="Times New Roman" w:eastAsia="Times New Roman" w:hAnsi="Times New Roman" w:cs="Times New Roman"/>
                <w:color w:val="auto"/>
                <w:lang w:bidi="ar-SA"/>
              </w:rPr>
            </w:pPr>
          </w:p>
        </w:tc>
        <w:tc>
          <w:tcPr>
            <w:tcW w:w="3305"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vAlign w:val="center"/>
          </w:tcPr>
          <w:p w14:paraId="3BE085CC" w14:textId="77777777" w:rsidR="00052C0B" w:rsidRDefault="006E6CE8">
            <w:pPr>
              <w:rPr>
                <w:rFonts w:ascii="Times New Roman" w:eastAsia="Times New Roman" w:hAnsi="Times New Roman" w:cs="Times New Roman"/>
                <w:color w:val="auto"/>
                <w:lang w:bidi="ar-SA"/>
              </w:rPr>
            </w:pPr>
            <w:r>
              <w:rPr>
                <w:rFonts w:ascii="Times New Roman" w:eastAsia="Times New Roman" w:hAnsi="Times New Roman" w:cs="Times New Roman"/>
                <w:lang w:bidi="ar-SA"/>
              </w:rPr>
              <w:t>Модель національного медичного страхування</w:t>
            </w:r>
          </w:p>
          <w:p w14:paraId="3BE085CD" w14:textId="77777777" w:rsidR="00052C0B" w:rsidRDefault="006E6CE8">
            <w:pPr>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 </w:t>
            </w:r>
          </w:p>
        </w:tc>
        <w:tc>
          <w:tcPr>
            <w:tcW w:w="4780" w:type="dxa"/>
            <w:tcBorders>
              <w:top w:val="single" w:sz="4" w:space="0" w:color="000000"/>
              <w:left w:val="single" w:sz="4" w:space="0" w:color="000000"/>
              <w:bottom w:val="single" w:sz="4" w:space="0" w:color="000000"/>
              <w:right w:val="single" w:sz="4" w:space="0" w:color="000000"/>
            </w:tcBorders>
            <w:shd w:val="clear" w:color="auto" w:fill="FDE9D9" w:themeFill="accent6" w:themeFillTint="33"/>
            <w:vAlign w:val="center"/>
          </w:tcPr>
          <w:p w14:paraId="3BE085CE" w14:textId="77777777" w:rsidR="00052C0B" w:rsidRDefault="006E6CE8">
            <w:pPr>
              <w:rPr>
                <w:rFonts w:ascii="Times New Roman" w:eastAsia="Times New Roman" w:hAnsi="Times New Roman" w:cs="Times New Roman"/>
                <w:color w:val="auto"/>
                <w:lang w:bidi="ar-SA"/>
              </w:rPr>
            </w:pPr>
            <w:r>
              <w:rPr>
                <w:rFonts w:ascii="Times New Roman" w:eastAsia="Times New Roman" w:hAnsi="Times New Roman" w:cs="Times New Roman"/>
                <w:lang w:bidi="ar-SA"/>
              </w:rPr>
              <w:t>Поєднує елементи Беверіджа і Бісмарка, забезпечуючи універсальне страхування через єдиний національний фонд</w:t>
            </w:r>
          </w:p>
        </w:tc>
      </w:tr>
      <w:tr w:rsidR="00052C0B" w14:paraId="3BE085D3" w14:textId="77777777">
        <w:trPr>
          <w:trHeight w:val="931"/>
          <w:tblCellSpacing w:w="0" w:type="dxa"/>
        </w:trPr>
        <w:tc>
          <w:tcPr>
            <w:tcW w:w="0" w:type="auto"/>
            <w:vMerge/>
            <w:tcBorders>
              <w:top w:val="single" w:sz="4" w:space="0" w:color="000000"/>
              <w:left w:val="single" w:sz="4" w:space="0" w:color="000000"/>
              <w:bottom w:val="single" w:sz="4" w:space="0" w:color="000000"/>
              <w:right w:val="single" w:sz="4" w:space="0" w:color="000000"/>
            </w:tcBorders>
            <w:shd w:val="clear" w:color="auto" w:fill="EAF1DD" w:themeFill="accent3" w:themeFillTint="33"/>
            <w:vAlign w:val="center"/>
          </w:tcPr>
          <w:p w14:paraId="3BE085D0" w14:textId="77777777" w:rsidR="00052C0B" w:rsidRDefault="00052C0B">
            <w:pPr>
              <w:widowControl/>
              <w:rPr>
                <w:rFonts w:ascii="Times New Roman" w:eastAsia="Times New Roman" w:hAnsi="Times New Roman" w:cs="Times New Roman"/>
                <w:color w:val="auto"/>
                <w:lang w:bidi="ar-SA"/>
              </w:rPr>
            </w:pPr>
          </w:p>
        </w:tc>
        <w:tc>
          <w:tcPr>
            <w:tcW w:w="3305"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vAlign w:val="center"/>
          </w:tcPr>
          <w:p w14:paraId="3BE085D1" w14:textId="77777777" w:rsidR="00052C0B" w:rsidRDefault="006E6CE8">
            <w:pPr>
              <w:rPr>
                <w:rFonts w:ascii="Times New Roman" w:eastAsia="Times New Roman" w:hAnsi="Times New Roman" w:cs="Times New Roman"/>
                <w:color w:val="auto"/>
                <w:lang w:bidi="ar-SA"/>
              </w:rPr>
            </w:pPr>
            <w:r>
              <w:rPr>
                <w:rFonts w:ascii="Times New Roman" w:eastAsia="Times New Roman" w:hAnsi="Times New Roman" w:cs="Times New Roman"/>
                <w:lang w:bidi="ar-SA"/>
              </w:rPr>
              <w:t>Модель прямих платежів («оплата з власної кишені»)</w:t>
            </w:r>
          </w:p>
        </w:tc>
        <w:tc>
          <w:tcPr>
            <w:tcW w:w="4780" w:type="dxa"/>
            <w:tcBorders>
              <w:top w:val="single" w:sz="4" w:space="0" w:color="000000"/>
              <w:left w:val="single" w:sz="4" w:space="0" w:color="000000"/>
              <w:bottom w:val="single" w:sz="4" w:space="0" w:color="000000"/>
              <w:right w:val="single" w:sz="4" w:space="0" w:color="000000"/>
            </w:tcBorders>
            <w:shd w:val="clear" w:color="auto" w:fill="FDE9D9" w:themeFill="accent6" w:themeFillTint="33"/>
            <w:vAlign w:val="center"/>
          </w:tcPr>
          <w:p w14:paraId="3BE085D2" w14:textId="77777777" w:rsidR="00052C0B" w:rsidRDefault="006E6CE8">
            <w:pPr>
              <w:rPr>
                <w:rFonts w:ascii="Times New Roman" w:eastAsia="Times New Roman" w:hAnsi="Times New Roman" w:cs="Times New Roman"/>
                <w:color w:val="auto"/>
                <w:lang w:bidi="ar-SA"/>
              </w:rPr>
            </w:pPr>
            <w:r>
              <w:rPr>
                <w:rFonts w:ascii="Times New Roman" w:eastAsia="Times New Roman" w:hAnsi="Times New Roman" w:cs="Times New Roman"/>
                <w:lang w:bidi="ar-SA"/>
              </w:rPr>
              <w:t>Ринково орієнтована система, у якій основний фінансовий тягар лікування лежить на пацієнті.</w:t>
            </w:r>
          </w:p>
        </w:tc>
      </w:tr>
    </w:tbl>
    <w:p w14:paraId="3BE085D4"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i/>
          <w:iCs/>
          <w:lang w:bidi="ar-SA"/>
        </w:rPr>
        <w:t xml:space="preserve">Джерело: побудовано автором на основі </w:t>
      </w:r>
      <w:r>
        <w:rPr>
          <w:rFonts w:ascii="Times New Roman" w:eastAsia="Times New Roman" w:hAnsi="Times New Roman" w:cs="Times New Roman"/>
          <w:i/>
          <w:lang w:val="en-US" w:bidi="ar-SA"/>
        </w:rPr>
        <w:t>[</w:t>
      </w:r>
      <w:r>
        <w:rPr>
          <w:rFonts w:ascii="Times New Roman" w:eastAsia="Times New Roman" w:hAnsi="Times New Roman" w:cs="Times New Roman"/>
          <w:i/>
          <w:lang w:bidi="ar-SA"/>
        </w:rPr>
        <w:t>2,4</w:t>
      </w:r>
      <w:r>
        <w:rPr>
          <w:rFonts w:ascii="Times New Roman" w:eastAsia="Times New Roman" w:hAnsi="Times New Roman" w:cs="Times New Roman"/>
          <w:i/>
          <w:lang w:val="en-US" w:bidi="ar-SA"/>
        </w:rPr>
        <w:t>]</w:t>
      </w:r>
      <w:r>
        <w:rPr>
          <w:rFonts w:ascii="Times New Roman" w:eastAsia="Times New Roman" w:hAnsi="Times New Roman" w:cs="Times New Roman"/>
          <w:i/>
          <w:lang w:bidi="ar-SA"/>
        </w:rPr>
        <w:t>.</w:t>
      </w:r>
    </w:p>
    <w:p w14:paraId="3BE085D5" w14:textId="77777777" w:rsidR="00052C0B" w:rsidRDefault="00052C0B">
      <w:pPr>
        <w:spacing w:line="360" w:lineRule="auto"/>
        <w:ind w:firstLine="709"/>
        <w:jc w:val="both"/>
        <w:rPr>
          <w:rFonts w:ascii="Times New Roman" w:eastAsia="Times New Roman" w:hAnsi="Times New Roman" w:cs="Times New Roman"/>
          <w:sz w:val="28"/>
          <w:szCs w:val="28"/>
          <w:lang w:bidi="ar-SA"/>
        </w:rPr>
      </w:pPr>
    </w:p>
    <w:p w14:paraId="3BE085D6"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 xml:space="preserve">Однією з базових є модель первинної медичної допомоги (ПМД). Вона зорієнтована на надання комплексної первинної допомоги, профілактику </w:t>
      </w:r>
      <w:r>
        <w:rPr>
          <w:rFonts w:ascii="Times New Roman" w:eastAsia="Times New Roman" w:hAnsi="Times New Roman" w:cs="Times New Roman"/>
          <w:sz w:val="28"/>
          <w:szCs w:val="28"/>
          <w:lang w:bidi="ar-SA"/>
        </w:rPr>
        <w:lastRenderedPageBreak/>
        <w:t>хвороб, раннє виявлення патологій та скерування пацієнтів на вторинний або третинний рівень у разі потреби. У центрі цієї моделі - сімейний лікар або лікар загальної практики, який забезпечує перший контакт пацієнта з системою, веде медичну документацію, проводить профілактичні огляди й координує подальший маршрут пацієнта в системі медичної допомоги.</w:t>
      </w:r>
    </w:p>
    <w:p w14:paraId="3BE085D7"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Серед ключових переваг моделі первинної медичної допомоги (ПМД) слід виокремити її високу доступність: саме цей рівень забезпечує найпростіший та найшвидший контакт громадян із системою охорони здоров’я. Крім того, ПМД є економічно ефективною, адже більшість поширених медичних проблем можна розв’язати саме на цьому етапі, що дає змогу запобігати зайвим витратам у системі. Важливою характеристикою моделі є її профілактична спрямованість - через регулярні огляди, консультації та ранню діагностику вона знижує ризики розвитку складних захворювань.</w:t>
      </w:r>
    </w:p>
    <w:p w14:paraId="3BE085D8"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Водночас ПМД має низку обмежень. Насамперед це нестача спеціалізованої допомоги, адже лікування складних чи рідкісних патологій потребує залучення фахівців вузького профілю. Додатковою проблемою є недостатність ресурсів, особливо у сільських районах та регіонах із низькою щільністю населення, де доступ до якісної первинної допомоги може бути ускладнений</w:t>
      </w:r>
      <w:r>
        <w:rPr>
          <w:rFonts w:ascii="Times New Roman" w:eastAsia="Times New Roman" w:hAnsi="Times New Roman" w:cs="Times New Roman"/>
          <w:sz w:val="28"/>
          <w:szCs w:val="28"/>
          <w:lang w:val="en-US" w:bidi="ar-SA"/>
        </w:rPr>
        <w:t xml:space="preserve"> [</w:t>
      </w:r>
      <w:r>
        <w:rPr>
          <w:rFonts w:ascii="Times New Roman" w:eastAsia="Times New Roman" w:hAnsi="Times New Roman" w:cs="Times New Roman"/>
          <w:sz w:val="28"/>
          <w:szCs w:val="28"/>
          <w:lang w:bidi="ar-SA"/>
        </w:rPr>
        <w:t>4</w:t>
      </w:r>
      <w:r>
        <w:rPr>
          <w:rFonts w:ascii="Times New Roman" w:eastAsia="Times New Roman" w:hAnsi="Times New Roman" w:cs="Times New Roman"/>
          <w:sz w:val="28"/>
          <w:szCs w:val="28"/>
          <w:lang w:val="en-US" w:bidi="ar-SA"/>
        </w:rPr>
        <w:t>]</w:t>
      </w:r>
      <w:r>
        <w:rPr>
          <w:rFonts w:ascii="Times New Roman" w:eastAsia="Times New Roman" w:hAnsi="Times New Roman" w:cs="Times New Roman"/>
          <w:sz w:val="28"/>
          <w:szCs w:val="28"/>
          <w:lang w:bidi="ar-SA"/>
        </w:rPr>
        <w:t>.</w:t>
      </w:r>
    </w:p>
    <w:p w14:paraId="3BE085D9"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Модель вторинної медичної допомоги (ВМД) орієнтована на спеціалізоване лікування та надання консультацій лікарями відповідних профілів. До її компетенцій належать проведення складніших діагностичних процедур, оперативні втручання та використання високотехнологічного обладнання. До вторинного рівня пацієнти зазвичай потрапляють за направленням сімейного лікаря або звертаються самостійно.</w:t>
      </w:r>
    </w:p>
    <w:p w14:paraId="3BE085DA"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Серед переваг ВМД - наявність висококваліфікованих спеціалістів, доступ до сучасних медичних технологій та можливість ефективного лікування станів, які неможливо усунути на рівні ПМД. Проте модель характеризується високою вартістю послуг, а також потенційними чергами на консультації й процедури</w:t>
      </w:r>
      <w:r>
        <w:rPr>
          <w:rFonts w:ascii="Times New Roman" w:eastAsia="Times New Roman" w:hAnsi="Times New Roman" w:cs="Times New Roman"/>
          <w:sz w:val="28"/>
          <w:szCs w:val="28"/>
          <w:lang w:val="en-US" w:bidi="ar-SA"/>
        </w:rPr>
        <w:t xml:space="preserve"> [</w:t>
      </w:r>
      <w:r>
        <w:rPr>
          <w:rFonts w:ascii="Times New Roman" w:eastAsia="Times New Roman" w:hAnsi="Times New Roman" w:cs="Times New Roman"/>
          <w:sz w:val="28"/>
          <w:szCs w:val="28"/>
          <w:lang w:bidi="ar-SA"/>
        </w:rPr>
        <w:t>4</w:t>
      </w:r>
      <w:r>
        <w:rPr>
          <w:rFonts w:ascii="Times New Roman" w:eastAsia="Times New Roman" w:hAnsi="Times New Roman" w:cs="Times New Roman"/>
          <w:sz w:val="28"/>
          <w:szCs w:val="28"/>
          <w:lang w:val="en-US" w:bidi="ar-SA"/>
        </w:rPr>
        <w:t>]</w:t>
      </w:r>
      <w:r>
        <w:rPr>
          <w:rFonts w:ascii="Times New Roman" w:eastAsia="Times New Roman" w:hAnsi="Times New Roman" w:cs="Times New Roman"/>
          <w:sz w:val="28"/>
          <w:szCs w:val="28"/>
          <w:lang w:bidi="ar-SA"/>
        </w:rPr>
        <w:t>.</w:t>
      </w:r>
    </w:p>
    <w:p w14:paraId="3BE085DB"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lastRenderedPageBreak/>
        <w:t>Третинна медична допомога (ТМД) забезпечує лікування найбільш складних клінічних випадків - від рідкісних хвороб до важких наслідків травм чи великих операцій. Цей рівень зосереджений у крупних спеціалізованих медичних центрах, де працюють провідні фахівці та використовуються найсучасніші медичні технології. До функцій ТМД належать також складні види реабілітації.</w:t>
      </w:r>
    </w:p>
    <w:p w14:paraId="3BE085DC"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Переваги ТМД полягають у можливості отримати високоспеціалізоване лікування та доступі до інноваційних технологій. Проте послуги цього рівня надзвичайно дорогі, а їх доступність для населення часто обмежена як фінансовими чинниками, так і територіальними відстанями</w:t>
      </w:r>
      <w:r>
        <w:rPr>
          <w:rFonts w:ascii="Times New Roman" w:eastAsia="Times New Roman" w:hAnsi="Times New Roman" w:cs="Times New Roman"/>
          <w:sz w:val="28"/>
          <w:szCs w:val="28"/>
          <w:lang w:val="en-US" w:bidi="ar-SA"/>
        </w:rPr>
        <w:t xml:space="preserve"> [</w:t>
      </w:r>
      <w:r>
        <w:rPr>
          <w:rFonts w:ascii="Times New Roman" w:eastAsia="Times New Roman" w:hAnsi="Times New Roman" w:cs="Times New Roman"/>
          <w:sz w:val="28"/>
          <w:szCs w:val="28"/>
          <w:lang w:bidi="ar-SA"/>
        </w:rPr>
        <w:t>4</w:t>
      </w:r>
      <w:r>
        <w:rPr>
          <w:rFonts w:ascii="Times New Roman" w:eastAsia="Times New Roman" w:hAnsi="Times New Roman" w:cs="Times New Roman"/>
          <w:sz w:val="28"/>
          <w:szCs w:val="28"/>
          <w:lang w:val="en-US" w:bidi="ar-SA"/>
        </w:rPr>
        <w:t>]</w:t>
      </w:r>
      <w:r>
        <w:rPr>
          <w:rFonts w:ascii="Times New Roman" w:eastAsia="Times New Roman" w:hAnsi="Times New Roman" w:cs="Times New Roman"/>
          <w:sz w:val="28"/>
          <w:szCs w:val="28"/>
          <w:lang w:bidi="ar-SA"/>
        </w:rPr>
        <w:t>.</w:t>
      </w:r>
    </w:p>
    <w:p w14:paraId="3BE085DD"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Інтегрована модель, або модель континуального догляду, зорієнтована на забезпечення медичної підтримки громадян протягом усього життя. Вона охоплює ПМД, ВМД, вузькоспеціалізоване лікування та елементи соціального і психологічного супроводу, формуючи єдиний безперервний маршрут пацієнта. Акцент зміщується на профілактику, своєчасне виявлення проблем і координацію між різними ланками системи.</w:t>
      </w:r>
    </w:p>
    <w:p w14:paraId="3BE085DE"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Перевагами такої моделі є послідовність та узгодженість лікувального процесу, комплексність догляду та особлива увага до підтримання загального здоров’я. Серед недоліків - складність організації міжрівневої координації, значні фінансові та управлінські ресурси, необхідні для забезпечення належної інтеграції</w:t>
      </w:r>
      <w:r>
        <w:rPr>
          <w:rFonts w:ascii="Times New Roman" w:eastAsia="Times New Roman" w:hAnsi="Times New Roman" w:cs="Times New Roman"/>
          <w:sz w:val="28"/>
          <w:szCs w:val="28"/>
          <w:lang w:val="en-US" w:bidi="ar-SA"/>
        </w:rPr>
        <w:t xml:space="preserve"> [</w:t>
      </w:r>
      <w:r>
        <w:rPr>
          <w:rFonts w:ascii="Times New Roman" w:eastAsia="Times New Roman" w:hAnsi="Times New Roman" w:cs="Times New Roman"/>
          <w:sz w:val="28"/>
          <w:szCs w:val="28"/>
          <w:lang w:bidi="ar-SA"/>
        </w:rPr>
        <w:t>5</w:t>
      </w:r>
      <w:r>
        <w:rPr>
          <w:rFonts w:ascii="Times New Roman" w:eastAsia="Times New Roman" w:hAnsi="Times New Roman" w:cs="Times New Roman"/>
          <w:sz w:val="28"/>
          <w:szCs w:val="28"/>
          <w:lang w:val="en-US" w:bidi="ar-SA"/>
        </w:rPr>
        <w:t>]</w:t>
      </w:r>
      <w:r>
        <w:rPr>
          <w:rFonts w:ascii="Times New Roman" w:eastAsia="Times New Roman" w:hAnsi="Times New Roman" w:cs="Times New Roman"/>
          <w:sz w:val="28"/>
          <w:szCs w:val="28"/>
          <w:lang w:bidi="ar-SA"/>
        </w:rPr>
        <w:t>.</w:t>
      </w:r>
    </w:p>
    <w:p w14:paraId="3BE085DF"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Модель платоспроможної (приватної або страхувальної) медичної допомоги передбачає оплату лікування пацієнтом або через його страхову компанію. Медичні послуги надаються приватними клініками, страховими структурами або медичними закладами, що працюють за комерційними принципами. Доступ до них визначається фінансовими можливостями людини або умовами страхової програми.</w:t>
      </w:r>
    </w:p>
    <w:p w14:paraId="3BE085E0"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 xml:space="preserve">Її перевагами є вищий рівень сервісу, комфорт, швидкий доступ до лікаря та сучасні технології. Проте високі витрати та ризик формування нерівності у доступі до медичної допомоги є вагомими недоліками цієї моделі. </w:t>
      </w:r>
      <w:r>
        <w:rPr>
          <w:rFonts w:ascii="Times New Roman" w:eastAsia="Times New Roman" w:hAnsi="Times New Roman" w:cs="Times New Roman"/>
          <w:sz w:val="28"/>
          <w:szCs w:val="28"/>
          <w:lang w:bidi="ar-SA"/>
        </w:rPr>
        <w:lastRenderedPageBreak/>
        <w:t>Крім того, орієнтація на прибуток може сприяти комерціалізації та необґрунтованому зростанню цін.</w:t>
      </w:r>
    </w:p>
    <w:p w14:paraId="3BE085E1"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Модель публічного здоров’я спрямована передусім на профілактику захворювань і зміцнення здоров’я населення в цілому. Її основою є діяльність державних і громадських організацій, які реалізують програми вакцинації, моніторинг захворюваності, інформаційні та просвітницькі кампанії. Головна мета - запобігання хворобам, а не лише їх лікування.</w:t>
      </w:r>
    </w:p>
    <w:p w14:paraId="3BE085E2"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Публічні моделі є привабливими завдяки можливості забезпечити універсальний доступ до медичних послуг. Водночас вони можуть зіштовхуватися з браком фінансування, кадровими проблемами та надмірною бюрократією, що впливає на ефективність роботи.</w:t>
      </w:r>
    </w:p>
    <w:p w14:paraId="3BE085E3"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Вибір конкретної моделі залежить від економічних можливостей, політичної ситуації, культурних особливостей та стратегічних пріоритетів держави. Більшість країн використовують змішані або адаптовані моделі, беручи до уваги їх переваги й недоліки</w:t>
      </w:r>
      <w:r>
        <w:rPr>
          <w:rFonts w:ascii="Times New Roman" w:eastAsia="Times New Roman" w:hAnsi="Times New Roman" w:cs="Times New Roman"/>
          <w:sz w:val="28"/>
          <w:szCs w:val="28"/>
          <w:lang w:val="en-US" w:bidi="ar-SA"/>
        </w:rPr>
        <w:t xml:space="preserve"> [</w:t>
      </w:r>
      <w:r>
        <w:rPr>
          <w:rFonts w:ascii="Times New Roman" w:eastAsia="Times New Roman" w:hAnsi="Times New Roman" w:cs="Times New Roman"/>
          <w:sz w:val="28"/>
          <w:szCs w:val="28"/>
          <w:lang w:bidi="ar-SA"/>
        </w:rPr>
        <w:t>5</w:t>
      </w:r>
      <w:r>
        <w:rPr>
          <w:rFonts w:ascii="Times New Roman" w:eastAsia="Times New Roman" w:hAnsi="Times New Roman" w:cs="Times New Roman"/>
          <w:sz w:val="28"/>
          <w:szCs w:val="28"/>
          <w:lang w:val="en-US" w:bidi="ar-SA"/>
        </w:rPr>
        <w:t>]</w:t>
      </w:r>
      <w:r>
        <w:rPr>
          <w:rFonts w:ascii="Times New Roman" w:eastAsia="Times New Roman" w:hAnsi="Times New Roman" w:cs="Times New Roman"/>
          <w:sz w:val="28"/>
          <w:szCs w:val="28"/>
          <w:lang w:bidi="ar-SA"/>
        </w:rPr>
        <w:t>.</w:t>
      </w:r>
    </w:p>
    <w:p w14:paraId="3BE085E4"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До окремої групи належать моделі, що ґрунтуються на рівні централізації та комплексності управління медичною системою. Однією з них є модель громадської медицини (модель Семашка) - історично характерна для радянського періоду. Її ключовими ознаками були повна державна централізація, універсальний і безоплатний доступ до медичної допомоги, а також акцент на масштабні профілактичні заходи та охорону здоров’я населення в цілому</w:t>
      </w:r>
      <w:r>
        <w:rPr>
          <w:rFonts w:ascii="Times New Roman" w:eastAsia="Times New Roman" w:hAnsi="Times New Roman" w:cs="Times New Roman"/>
          <w:sz w:val="28"/>
          <w:szCs w:val="28"/>
          <w:lang w:val="en-US" w:bidi="ar-SA"/>
        </w:rPr>
        <w:t xml:space="preserve"> [</w:t>
      </w:r>
      <w:r>
        <w:rPr>
          <w:rFonts w:ascii="Times New Roman" w:eastAsia="Times New Roman" w:hAnsi="Times New Roman" w:cs="Times New Roman"/>
          <w:sz w:val="28"/>
          <w:szCs w:val="28"/>
          <w:lang w:bidi="ar-SA"/>
        </w:rPr>
        <w:t>6</w:t>
      </w:r>
      <w:r>
        <w:rPr>
          <w:rFonts w:ascii="Times New Roman" w:eastAsia="Times New Roman" w:hAnsi="Times New Roman" w:cs="Times New Roman"/>
          <w:sz w:val="28"/>
          <w:szCs w:val="28"/>
          <w:lang w:val="en-US" w:bidi="ar-SA"/>
        </w:rPr>
        <w:t>]</w:t>
      </w:r>
      <w:r>
        <w:rPr>
          <w:rFonts w:ascii="Times New Roman" w:eastAsia="Times New Roman" w:hAnsi="Times New Roman" w:cs="Times New Roman"/>
          <w:sz w:val="28"/>
          <w:szCs w:val="28"/>
          <w:lang w:bidi="ar-SA"/>
        </w:rPr>
        <w:t>.</w:t>
      </w:r>
    </w:p>
    <w:p w14:paraId="3BE085E5"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Система охорони здоров’я Семашка була впроваджена в Радянському Союзі у 1920-1930-х роках і ґрунтувалася на принципах суспільної власності на медичну інфраструктуру та державної відповідальності за рівень здоров’я населення. Ключові засади цієї моделі охорони здоров’я включали:</w:t>
      </w:r>
    </w:p>
    <w:p w14:paraId="3BE085E6"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1. Гарантований універсальний доступ - кожен громадянин мав право на безоплатну медичну допомогу, незалежно від матеріальних можливостей чи соціального статусу.</w:t>
      </w:r>
    </w:p>
    <w:p w14:paraId="3BE085E7"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 xml:space="preserve">2. Провідна роль профілактики - система робила акцент на запобіганні </w:t>
      </w:r>
      <w:r>
        <w:rPr>
          <w:rFonts w:ascii="Times New Roman" w:eastAsia="Times New Roman" w:hAnsi="Times New Roman" w:cs="Times New Roman"/>
          <w:sz w:val="28"/>
          <w:szCs w:val="28"/>
          <w:lang w:bidi="ar-SA"/>
        </w:rPr>
        <w:lastRenderedPageBreak/>
        <w:t>захворюванням, санітарно-гігієнічних заходах і масштабних просвітницьких кампаніях для зміцнення здоров’я населення.</w:t>
      </w:r>
    </w:p>
    <w:p w14:paraId="3BE085E8"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3. Поєднання медичної та соціальної підтримки - передбачалося комплексне вирішення медичних і соціальних проблем шляхом покращення умов життя, усунення факторів ризику та надання соціальних послуг.</w:t>
      </w:r>
    </w:p>
    <w:p w14:paraId="3BE085E9"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Серед характерних рис цієї системи, які певною мірою можна спостерігати й у сучасних моделях, варто виділити:</w:t>
      </w:r>
    </w:p>
    <w:p w14:paraId="3BE085EA"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 Централізоване управління - жорстка вертикаль контролю, уніфіковані стандарти, єдиний підхід до якості медичних послуг.</w:t>
      </w:r>
    </w:p>
    <w:p w14:paraId="3BE085EB"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 Профілактичну домінанту, яка давала змогу суттєво знижувати рівень захворюваності та підвищувати тривалість життя.</w:t>
      </w:r>
    </w:p>
    <w:p w14:paraId="3BE085EC"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 Широкий спектр безкоштовних послуг, що сприяв мінімізації соціальної нерівності у доступі до медичної допомоги.</w:t>
      </w:r>
    </w:p>
    <w:p w14:paraId="3BE085ED"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Попри значні досягнення, модель мала й вагомі недоліки. Надмірна бюрократизація та адміністративна централізація призводили до низької гнучкості, уповільнення процесів, появи корупційних проявів. Якість медичних послуг суттєво різнилася між регіонами та залежала від рівня фінансування конкретного закладу.</w:t>
      </w:r>
    </w:p>
    <w:p w14:paraId="3BE085EE"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Водночас ключові принципи цієї системи - універсальний доступ та профілактична спрямованість - і сьогодні залишаються основою багатьох державних моделей охорони здоров’я. Пандемії, старіння населення та зростання поширеності хронічних захворювань стимулюють країни відходити від повністю комерціалізованих моделей та повертатися до підходів, які наголошують на профілактиці та доступності медичної допомоги</w:t>
      </w:r>
      <w:r>
        <w:rPr>
          <w:rFonts w:ascii="Times New Roman" w:eastAsia="Times New Roman" w:hAnsi="Times New Roman" w:cs="Times New Roman"/>
          <w:sz w:val="28"/>
          <w:szCs w:val="28"/>
          <w:lang w:val="en-US" w:bidi="ar-SA"/>
        </w:rPr>
        <w:t xml:space="preserve"> [</w:t>
      </w:r>
      <w:r>
        <w:rPr>
          <w:rFonts w:ascii="Times New Roman" w:eastAsia="Times New Roman" w:hAnsi="Times New Roman" w:cs="Times New Roman"/>
          <w:sz w:val="28"/>
          <w:szCs w:val="28"/>
          <w:lang w:bidi="ar-SA"/>
        </w:rPr>
        <w:t>6</w:t>
      </w:r>
      <w:r>
        <w:rPr>
          <w:rFonts w:ascii="Times New Roman" w:eastAsia="Times New Roman" w:hAnsi="Times New Roman" w:cs="Times New Roman"/>
          <w:sz w:val="28"/>
          <w:szCs w:val="28"/>
          <w:lang w:val="en-US" w:bidi="ar-SA"/>
        </w:rPr>
        <w:t>]</w:t>
      </w:r>
      <w:r>
        <w:rPr>
          <w:rFonts w:ascii="Times New Roman" w:eastAsia="Times New Roman" w:hAnsi="Times New Roman" w:cs="Times New Roman"/>
          <w:sz w:val="28"/>
          <w:szCs w:val="28"/>
          <w:lang w:bidi="ar-SA"/>
        </w:rPr>
        <w:t>.</w:t>
      </w:r>
    </w:p>
    <w:p w14:paraId="3BE085EF"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Модель Беверіджа, впроваджена у Великій Британії у 1948 році, стала фундаментом сучасної системи національної охорони здоров’я (NHS) та поширилася на низку інших країн Європи. Її основна мета - створити комплексну державну систему підтримки громадян у галузях охорони здоров’я, соціального захисту та соціальних послуг.</w:t>
      </w:r>
    </w:p>
    <w:p w14:paraId="3BE085F0"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Принципи системи включали:</w:t>
      </w:r>
    </w:p>
    <w:p w14:paraId="3BE085F1"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lastRenderedPageBreak/>
        <w:t>1. Універсальний доступ до медичних та соціальних послуг для всіх громадян, що забезпечувало зменшення соціальної нерівності та підвищення загального рівня добробуту.</w:t>
      </w:r>
    </w:p>
    <w:p w14:paraId="3BE085F2"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2. Повне державне покриття витрат - медична допомога, медикаменти, соціальні виплати, пенсійне забезпечення фінансувалися за рахунок держави.</w:t>
      </w:r>
    </w:p>
    <w:p w14:paraId="3BE085F3"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3. Фінансування через оподаткування, що створювало солідарний механізм та забезпечувало стабільність фінансових потоків.</w:t>
      </w:r>
    </w:p>
    <w:p w14:paraId="3BE085F4"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У подальшому модель зіткнулася з певними труднощами: зростання бюджетних витрат, нестача ресурсів, утворення черг на медичні послуги. Проте ідеї Беверіджа й сьогодні зберігають значення для країн із сильними соціальними системами. В умовах демографічного старіння населення, епідемічних загроз і загальної потреби у справедливому доступі до медичних послуг «беверіджські принципи» залишаються актуальними</w:t>
      </w:r>
      <w:r>
        <w:rPr>
          <w:rFonts w:ascii="Times New Roman" w:eastAsia="Times New Roman" w:hAnsi="Times New Roman" w:cs="Times New Roman"/>
          <w:sz w:val="28"/>
          <w:szCs w:val="28"/>
          <w:lang w:val="en-US" w:bidi="ar-SA"/>
        </w:rPr>
        <w:t xml:space="preserve"> [</w:t>
      </w:r>
      <w:r>
        <w:rPr>
          <w:rFonts w:ascii="Times New Roman" w:eastAsia="Times New Roman" w:hAnsi="Times New Roman" w:cs="Times New Roman"/>
          <w:sz w:val="28"/>
          <w:szCs w:val="28"/>
          <w:lang w:bidi="ar-SA"/>
        </w:rPr>
        <w:t>6</w:t>
      </w:r>
      <w:r>
        <w:rPr>
          <w:rFonts w:ascii="Times New Roman" w:eastAsia="Times New Roman" w:hAnsi="Times New Roman" w:cs="Times New Roman"/>
          <w:sz w:val="28"/>
          <w:szCs w:val="28"/>
          <w:lang w:val="en-US" w:bidi="ar-SA"/>
        </w:rPr>
        <w:t>]</w:t>
      </w:r>
      <w:r>
        <w:rPr>
          <w:rFonts w:ascii="Times New Roman" w:eastAsia="Times New Roman" w:hAnsi="Times New Roman" w:cs="Times New Roman"/>
          <w:sz w:val="28"/>
          <w:szCs w:val="28"/>
          <w:lang w:bidi="ar-SA"/>
        </w:rPr>
        <w:t>.</w:t>
      </w:r>
    </w:p>
    <w:p w14:paraId="3BE085F5"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Бісмарківська модель соціального страхування бере свій початок у Німеччині кінця XIX століття, коли канцлер Отто фон Бісмарк ініціював створення системи, що мала забезпечити робітників захистом у разі хвороби, травм чи непрацездатності.</w:t>
      </w:r>
    </w:p>
    <w:p w14:paraId="3BE085F6"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Основні її характеристики:</w:t>
      </w:r>
    </w:p>
    <w:p w14:paraId="3BE085F7"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 Соціальне страхування на основі внесків - працівники та роботодавці робили регулярні внески до страхових фондів, які покривали медичні та соціальні витрати у разі настання страхових випадків.</w:t>
      </w:r>
    </w:p>
    <w:p w14:paraId="3BE085F8"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 Орієнтація на працююче населення, насамперед на робітників промислових підприємств.</w:t>
      </w:r>
    </w:p>
    <w:p w14:paraId="3BE085F9"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 Державний контроль та фінансова підтримка, що забезпечувало надійність системи та її стійкість до економічних потрясінь.</w:t>
      </w:r>
    </w:p>
    <w:p w14:paraId="3BE085FA"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Попри стратегічні переваги, модель мала недоліки: вона охоплювала переважно промислових робітників, залишаючи поза системою сільське населення та інші соціальні групи, а також створювала дисбаланс між внесками працівників і вигодами роботодавців.</w:t>
      </w:r>
    </w:p>
    <w:p w14:paraId="3BE085FB"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 xml:space="preserve">Відповідно до підходу ВООЗ, система охорони здоров’я охоплює всі </w:t>
      </w:r>
      <w:r>
        <w:rPr>
          <w:rFonts w:ascii="Times New Roman" w:eastAsia="Times New Roman" w:hAnsi="Times New Roman" w:cs="Times New Roman"/>
          <w:sz w:val="28"/>
          <w:szCs w:val="28"/>
          <w:lang w:bidi="ar-SA"/>
        </w:rPr>
        <w:lastRenderedPageBreak/>
        <w:t>організації, людей і дії, спрямовані на підтримку, відновлення та зміцнення здоров’я населення. У науковій літературі виділяють чотири типові моделі фінансування систем охорони здоров’я, що поєднують елементи базових концепцій:</w:t>
      </w:r>
    </w:p>
    <w:p w14:paraId="3BE085FC"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1. Національне медичне страхування (Канада, Тайвань, Південна Корея) - централізована система з єдиним страховиком і солідарним фінансуванням.</w:t>
      </w:r>
    </w:p>
    <w:p w14:paraId="3BE085FD"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2. Модель Беверіджа - фінансування за рахунок загальних податків та універсальний доступ до послуг.</w:t>
      </w:r>
    </w:p>
    <w:p w14:paraId="3BE085FE"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3. Бісмарківська модель - багатоканальне фінансування через соціальні страхові фонди.</w:t>
      </w:r>
    </w:p>
    <w:p w14:paraId="3BE085FF"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4. Приватна модель, яка ґрунтується на конкуренції страхових компаній і приватних медичних закладів, але створює ризики нерівності у доступі до медичних послуг і порушує принципи солідарності.</w:t>
      </w:r>
    </w:p>
    <w:p w14:paraId="3BE08600"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Перевагою цієї системи є автономія страхових фондів, управління якими здійснюється через державні або приватні страховики в межах чітко визначеного регуляторного поля. Медичне страхування в такій моделі функціонує через самоврядні незалежні структури з окремим бюджетом, власною системою управління та юридичним статусом, що забезпечує їм фінансову та організаційну відособленість від уряду та державного бюджету</w:t>
      </w:r>
      <w:r>
        <w:rPr>
          <w:rFonts w:ascii="Times New Roman" w:eastAsia="Times New Roman" w:hAnsi="Times New Roman" w:cs="Times New Roman"/>
          <w:sz w:val="28"/>
          <w:szCs w:val="28"/>
          <w:lang w:val="en-US" w:bidi="ar-SA"/>
        </w:rPr>
        <w:t xml:space="preserve"> [</w:t>
      </w:r>
      <w:r>
        <w:rPr>
          <w:rFonts w:ascii="Times New Roman" w:eastAsia="Times New Roman" w:hAnsi="Times New Roman" w:cs="Times New Roman"/>
          <w:sz w:val="28"/>
          <w:szCs w:val="28"/>
          <w:lang w:bidi="ar-SA"/>
        </w:rPr>
        <w:t>6</w:t>
      </w:r>
      <w:r>
        <w:rPr>
          <w:rFonts w:ascii="Times New Roman" w:eastAsia="Times New Roman" w:hAnsi="Times New Roman" w:cs="Times New Roman"/>
          <w:sz w:val="28"/>
          <w:szCs w:val="28"/>
          <w:lang w:val="en-US" w:bidi="ar-SA"/>
        </w:rPr>
        <w:t>]</w:t>
      </w:r>
      <w:r>
        <w:rPr>
          <w:rFonts w:ascii="Times New Roman" w:eastAsia="Times New Roman" w:hAnsi="Times New Roman" w:cs="Times New Roman"/>
          <w:sz w:val="28"/>
          <w:szCs w:val="28"/>
          <w:lang w:bidi="ar-SA"/>
        </w:rPr>
        <w:t>.</w:t>
      </w:r>
    </w:p>
    <w:p w14:paraId="3BE08601" w14:textId="77777777" w:rsidR="00052C0B" w:rsidRDefault="006E6CE8">
      <w:pPr>
        <w:spacing w:line="360" w:lineRule="auto"/>
        <w:ind w:firstLine="709"/>
        <w:jc w:val="both"/>
        <w:rPr>
          <w:rFonts w:ascii="Times New Roman" w:eastAsia="Times New Roman" w:hAnsi="Times New Roman" w:cs="Times New Roman"/>
          <w:sz w:val="28"/>
          <w:szCs w:val="28"/>
          <w:lang w:bidi="ar-SA"/>
        </w:rPr>
      </w:pPr>
      <w:r>
        <w:rPr>
          <w:rFonts w:ascii="Times New Roman" w:eastAsia="Times New Roman" w:hAnsi="Times New Roman" w:cs="Times New Roman"/>
          <w:sz w:val="28"/>
          <w:szCs w:val="28"/>
          <w:lang w:bidi="ar-SA"/>
        </w:rPr>
        <w:t>Модель прямих платежів (оплата «з власної кишені») або ринкова орієнтація системи охорони здоров’я характерна для окремих регіонів Азії, Африки та Південної Америки, особливо в сільських територіях Індії й Китаю. Вона передбачає, що значна частина витрат на медичні послуги лягає безпосередньо на пацієнта, що підвищує економічний бар’єр доступу до лікування (табл. 1.2).</w:t>
      </w:r>
    </w:p>
    <w:p w14:paraId="3BE08602" w14:textId="77777777" w:rsidR="00052C0B" w:rsidRDefault="00052C0B">
      <w:pPr>
        <w:spacing w:line="360" w:lineRule="auto"/>
        <w:ind w:firstLine="709"/>
        <w:jc w:val="right"/>
        <w:rPr>
          <w:rFonts w:ascii="Times New Roman" w:eastAsia="Times New Roman" w:hAnsi="Times New Roman" w:cs="Times New Roman"/>
          <w:sz w:val="28"/>
          <w:szCs w:val="28"/>
          <w:lang w:bidi="ar-SA"/>
        </w:rPr>
      </w:pPr>
    </w:p>
    <w:p w14:paraId="3BE08603" w14:textId="77777777" w:rsidR="00052C0B" w:rsidRDefault="00052C0B">
      <w:pPr>
        <w:spacing w:line="360" w:lineRule="auto"/>
        <w:ind w:firstLine="709"/>
        <w:jc w:val="right"/>
        <w:rPr>
          <w:rFonts w:ascii="Times New Roman" w:eastAsia="Times New Roman" w:hAnsi="Times New Roman" w:cs="Times New Roman"/>
          <w:sz w:val="28"/>
          <w:szCs w:val="28"/>
          <w:lang w:bidi="ar-SA"/>
        </w:rPr>
      </w:pPr>
    </w:p>
    <w:p w14:paraId="3BE08604" w14:textId="77777777" w:rsidR="00052C0B" w:rsidRDefault="00052C0B">
      <w:pPr>
        <w:spacing w:line="360" w:lineRule="auto"/>
        <w:ind w:firstLine="709"/>
        <w:jc w:val="right"/>
        <w:rPr>
          <w:rFonts w:ascii="Times New Roman" w:eastAsia="Times New Roman" w:hAnsi="Times New Roman" w:cs="Times New Roman"/>
          <w:sz w:val="28"/>
          <w:szCs w:val="28"/>
          <w:lang w:bidi="ar-SA"/>
        </w:rPr>
      </w:pPr>
    </w:p>
    <w:p w14:paraId="3BE08605" w14:textId="77777777" w:rsidR="00052C0B" w:rsidRDefault="00052C0B">
      <w:pPr>
        <w:spacing w:line="360" w:lineRule="auto"/>
        <w:ind w:firstLine="709"/>
        <w:jc w:val="right"/>
        <w:rPr>
          <w:rFonts w:ascii="Times New Roman" w:eastAsia="Times New Roman" w:hAnsi="Times New Roman" w:cs="Times New Roman"/>
          <w:sz w:val="28"/>
          <w:szCs w:val="28"/>
          <w:lang w:bidi="ar-SA"/>
        </w:rPr>
      </w:pPr>
    </w:p>
    <w:p w14:paraId="3BE08606" w14:textId="77777777" w:rsidR="00052C0B" w:rsidRDefault="006E6CE8">
      <w:pPr>
        <w:spacing w:line="360" w:lineRule="auto"/>
        <w:ind w:firstLine="709"/>
        <w:jc w:val="right"/>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lastRenderedPageBreak/>
        <w:t>Таблиця 1.2</w:t>
      </w:r>
    </w:p>
    <w:p w14:paraId="3BE08607" w14:textId="77777777" w:rsidR="00052C0B" w:rsidRDefault="006E6CE8">
      <w:pPr>
        <w:spacing w:line="360" w:lineRule="auto"/>
        <w:ind w:firstLine="709"/>
        <w:jc w:val="center"/>
        <w:rPr>
          <w:rFonts w:ascii="Times New Roman" w:eastAsia="Times New Roman" w:hAnsi="Times New Roman" w:cs="Times New Roman"/>
          <w:b/>
          <w:color w:val="auto"/>
          <w:lang w:bidi="ar-SA"/>
        </w:rPr>
      </w:pPr>
      <w:r>
        <w:rPr>
          <w:rFonts w:ascii="Times New Roman" w:eastAsia="Times New Roman" w:hAnsi="Times New Roman" w:cs="Times New Roman"/>
          <w:b/>
          <w:sz w:val="28"/>
          <w:szCs w:val="28"/>
          <w:lang w:bidi="ar-SA"/>
        </w:rPr>
        <w:t>Типологія моделей функціонування систем охорони здоров’я</w:t>
      </w:r>
    </w:p>
    <w:tbl>
      <w:tblPr>
        <w:tblW w:w="0" w:type="auto"/>
        <w:tblCellSpacing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92"/>
        <w:gridCol w:w="2271"/>
        <w:gridCol w:w="3566"/>
        <w:gridCol w:w="1815"/>
      </w:tblGrid>
      <w:tr w:rsidR="00052C0B" w14:paraId="3BE0860C" w14:textId="77777777">
        <w:trPr>
          <w:tblCellSpacing w:w="0" w:type="dxa"/>
        </w:trPr>
        <w:tc>
          <w:tcPr>
            <w:tcW w:w="1692" w:type="dxa"/>
            <w:tcBorders>
              <w:top w:val="single" w:sz="4" w:space="0" w:color="000000"/>
              <w:left w:val="single" w:sz="4" w:space="0" w:color="000000"/>
              <w:bottom w:val="single" w:sz="4" w:space="0" w:color="000000"/>
              <w:right w:val="single" w:sz="4" w:space="0" w:color="000000"/>
            </w:tcBorders>
            <w:shd w:val="clear" w:color="auto" w:fill="EEECE1" w:themeFill="background2"/>
            <w:vAlign w:val="center"/>
          </w:tcPr>
          <w:p w14:paraId="3BE08608" w14:textId="77777777" w:rsidR="00052C0B" w:rsidRDefault="006E6CE8">
            <w:pPr>
              <w:widowControl/>
              <w:jc w:val="center"/>
              <w:rPr>
                <w:rFonts w:ascii="Times New Roman" w:eastAsia="Times New Roman" w:hAnsi="Times New Roman" w:cs="Times New Roman"/>
                <w:color w:val="auto"/>
                <w:lang w:bidi="ar-SA"/>
              </w:rPr>
            </w:pPr>
            <w:r>
              <w:rPr>
                <w:rFonts w:ascii="Times New Roman" w:eastAsia="Times New Roman" w:hAnsi="Times New Roman" w:cs="Times New Roman"/>
                <w:lang w:bidi="ar-SA"/>
              </w:rPr>
              <w:t>Ознака класифікації</w:t>
            </w:r>
          </w:p>
        </w:tc>
        <w:tc>
          <w:tcPr>
            <w:tcW w:w="2271" w:type="dxa"/>
            <w:tcBorders>
              <w:top w:val="single" w:sz="4" w:space="0" w:color="000000"/>
              <w:left w:val="single" w:sz="4" w:space="0" w:color="000000"/>
              <w:bottom w:val="single" w:sz="4" w:space="0" w:color="000000"/>
              <w:right w:val="single" w:sz="4" w:space="0" w:color="000000"/>
            </w:tcBorders>
            <w:shd w:val="clear" w:color="auto" w:fill="EEECE1" w:themeFill="background2"/>
            <w:vAlign w:val="center"/>
          </w:tcPr>
          <w:p w14:paraId="3BE08609" w14:textId="77777777" w:rsidR="00052C0B" w:rsidRDefault="006E6CE8">
            <w:pPr>
              <w:widowControl/>
              <w:jc w:val="center"/>
              <w:rPr>
                <w:rFonts w:ascii="Times New Roman" w:eastAsia="Times New Roman" w:hAnsi="Times New Roman" w:cs="Times New Roman"/>
                <w:color w:val="auto"/>
                <w:lang w:bidi="ar-SA"/>
              </w:rPr>
            </w:pPr>
            <w:r>
              <w:rPr>
                <w:rFonts w:ascii="Times New Roman" w:eastAsia="Times New Roman" w:hAnsi="Times New Roman" w:cs="Times New Roman"/>
                <w:lang w:bidi="ar-SA"/>
              </w:rPr>
              <w:t>Тип моделі</w:t>
            </w:r>
          </w:p>
        </w:tc>
        <w:tc>
          <w:tcPr>
            <w:tcW w:w="3566" w:type="dxa"/>
            <w:tcBorders>
              <w:top w:val="single" w:sz="4" w:space="0" w:color="000000"/>
              <w:left w:val="single" w:sz="4" w:space="0" w:color="000000"/>
              <w:bottom w:val="single" w:sz="4" w:space="0" w:color="000000"/>
              <w:right w:val="single" w:sz="4" w:space="0" w:color="000000"/>
            </w:tcBorders>
            <w:shd w:val="clear" w:color="auto" w:fill="EEECE1" w:themeFill="background2"/>
            <w:vAlign w:val="center"/>
          </w:tcPr>
          <w:p w14:paraId="3BE0860A" w14:textId="77777777" w:rsidR="00052C0B" w:rsidRDefault="006E6CE8">
            <w:pPr>
              <w:widowControl/>
              <w:jc w:val="center"/>
              <w:rPr>
                <w:rFonts w:ascii="Times New Roman" w:eastAsia="Times New Roman" w:hAnsi="Times New Roman" w:cs="Times New Roman"/>
                <w:color w:val="auto"/>
                <w:lang w:bidi="ar-SA"/>
              </w:rPr>
            </w:pPr>
            <w:r>
              <w:rPr>
                <w:rFonts w:ascii="Times New Roman" w:eastAsia="Times New Roman" w:hAnsi="Times New Roman" w:cs="Times New Roman"/>
                <w:lang w:bidi="ar-SA"/>
              </w:rPr>
              <w:t>Коротка характеристика</w:t>
            </w:r>
          </w:p>
        </w:tc>
        <w:tc>
          <w:tcPr>
            <w:tcW w:w="1815" w:type="dxa"/>
            <w:tcBorders>
              <w:top w:val="single" w:sz="4" w:space="0" w:color="000000"/>
              <w:left w:val="single" w:sz="4" w:space="0" w:color="000000"/>
              <w:bottom w:val="single" w:sz="4" w:space="0" w:color="000000"/>
              <w:right w:val="single" w:sz="4" w:space="0" w:color="000000"/>
            </w:tcBorders>
            <w:shd w:val="clear" w:color="auto" w:fill="EEECE1" w:themeFill="background2"/>
            <w:vAlign w:val="center"/>
          </w:tcPr>
          <w:p w14:paraId="3BE0860B" w14:textId="77777777" w:rsidR="00052C0B" w:rsidRDefault="006E6CE8">
            <w:pPr>
              <w:widowControl/>
              <w:jc w:val="center"/>
              <w:rPr>
                <w:rFonts w:ascii="Times New Roman" w:eastAsia="Times New Roman" w:hAnsi="Times New Roman" w:cs="Times New Roman"/>
                <w:color w:val="auto"/>
                <w:lang w:bidi="ar-SA"/>
              </w:rPr>
            </w:pPr>
            <w:r>
              <w:rPr>
                <w:rFonts w:ascii="Times New Roman" w:eastAsia="Times New Roman" w:hAnsi="Times New Roman" w:cs="Times New Roman"/>
                <w:lang w:bidi="ar-SA"/>
              </w:rPr>
              <w:t>Типові приклади країн / систем</w:t>
            </w:r>
          </w:p>
        </w:tc>
      </w:tr>
      <w:tr w:rsidR="00052C0B" w14:paraId="3BE08611" w14:textId="77777777">
        <w:trPr>
          <w:tblCellSpacing w:w="0" w:type="dxa"/>
        </w:trPr>
        <w:tc>
          <w:tcPr>
            <w:tcW w:w="1692" w:type="dxa"/>
            <w:vMerge w:val="restart"/>
            <w:tcBorders>
              <w:top w:val="single" w:sz="4" w:space="0" w:color="000000"/>
              <w:left w:val="single" w:sz="4" w:space="0" w:color="000000"/>
              <w:bottom w:val="single" w:sz="4" w:space="0" w:color="000000"/>
              <w:right w:val="single" w:sz="4" w:space="0" w:color="000000"/>
            </w:tcBorders>
            <w:shd w:val="clear" w:color="auto" w:fill="C6D9F1" w:themeFill="text2" w:themeFillTint="33"/>
            <w:vAlign w:val="center"/>
          </w:tcPr>
          <w:p w14:paraId="3BE0860D"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lang w:bidi="ar-SA"/>
              </w:rPr>
              <w:t>Джерело фінансування</w:t>
            </w:r>
          </w:p>
        </w:tc>
        <w:tc>
          <w:tcPr>
            <w:tcW w:w="2271" w:type="dxa"/>
            <w:tcBorders>
              <w:top w:val="single" w:sz="4" w:space="0" w:color="000000"/>
              <w:left w:val="single" w:sz="4" w:space="0" w:color="000000"/>
              <w:bottom w:val="single" w:sz="4" w:space="0" w:color="000000"/>
              <w:right w:val="single" w:sz="4" w:space="0" w:color="000000"/>
            </w:tcBorders>
            <w:shd w:val="clear" w:color="auto" w:fill="EAF1DD" w:themeFill="accent3" w:themeFillTint="33"/>
            <w:vAlign w:val="center"/>
          </w:tcPr>
          <w:p w14:paraId="3BE0860E"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lang w:bidi="ar-SA"/>
              </w:rPr>
              <w:t>Державна (публічна) модель</w:t>
            </w:r>
          </w:p>
        </w:tc>
        <w:tc>
          <w:tcPr>
            <w:tcW w:w="356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3BE0860F"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lang w:bidi="ar-SA"/>
              </w:rPr>
              <w:t>Фінансові ресурси формуються з держбюджету або через обов’язкові страхові внески населення та роботодавців.</w:t>
            </w:r>
          </w:p>
        </w:tc>
        <w:tc>
          <w:tcPr>
            <w:tcW w:w="1815"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vAlign w:val="center"/>
          </w:tcPr>
          <w:p w14:paraId="3BE08610"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lang w:bidi="ar-SA"/>
              </w:rPr>
              <w:t>Моделі Беверіджа та Бісмарка; програма Medicare в Австралії</w:t>
            </w:r>
          </w:p>
        </w:tc>
      </w:tr>
      <w:tr w:rsidR="00052C0B" w14:paraId="3BE08616" w14:textId="77777777">
        <w:trPr>
          <w:tblCellSpacing w:w="0" w:type="dxa"/>
        </w:trPr>
        <w:tc>
          <w:tcPr>
            <w:tcW w:w="0" w:type="auto"/>
            <w:vMerge/>
            <w:tcBorders>
              <w:top w:val="single" w:sz="4" w:space="0" w:color="000000"/>
              <w:left w:val="single" w:sz="4" w:space="0" w:color="000000"/>
              <w:bottom w:val="single" w:sz="4" w:space="0" w:color="000000"/>
              <w:right w:val="single" w:sz="4" w:space="0" w:color="000000"/>
            </w:tcBorders>
            <w:shd w:val="clear" w:color="auto" w:fill="C6D9F1" w:themeFill="text2" w:themeFillTint="33"/>
            <w:vAlign w:val="center"/>
          </w:tcPr>
          <w:p w14:paraId="3BE08612" w14:textId="77777777" w:rsidR="00052C0B" w:rsidRDefault="00052C0B">
            <w:pPr>
              <w:widowControl/>
              <w:rPr>
                <w:rFonts w:ascii="Times New Roman" w:eastAsia="Times New Roman" w:hAnsi="Times New Roman" w:cs="Times New Roman"/>
                <w:color w:val="auto"/>
                <w:lang w:bidi="ar-SA"/>
              </w:rPr>
            </w:pPr>
          </w:p>
        </w:tc>
        <w:tc>
          <w:tcPr>
            <w:tcW w:w="2271" w:type="dxa"/>
            <w:tcBorders>
              <w:top w:val="single" w:sz="4" w:space="0" w:color="000000"/>
              <w:left w:val="single" w:sz="4" w:space="0" w:color="000000"/>
              <w:bottom w:val="single" w:sz="4" w:space="0" w:color="000000"/>
              <w:right w:val="single" w:sz="4" w:space="0" w:color="000000"/>
            </w:tcBorders>
            <w:shd w:val="clear" w:color="auto" w:fill="EAF1DD" w:themeFill="accent3" w:themeFillTint="33"/>
            <w:vAlign w:val="center"/>
          </w:tcPr>
          <w:p w14:paraId="3BE08613"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lang w:bidi="ar-SA"/>
              </w:rPr>
              <w:t>Приватна модель</w:t>
            </w:r>
          </w:p>
        </w:tc>
        <w:tc>
          <w:tcPr>
            <w:tcW w:w="356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3BE08614"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lang w:bidi="ar-SA"/>
              </w:rPr>
              <w:t>Медичні послуги оплачуються напряму пацієнтом або приватними страховими компаніями.</w:t>
            </w:r>
          </w:p>
        </w:tc>
        <w:tc>
          <w:tcPr>
            <w:tcW w:w="1815"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vAlign w:val="center"/>
          </w:tcPr>
          <w:p w14:paraId="3BE08615"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lang w:bidi="ar-SA"/>
              </w:rPr>
              <w:t>Комерційна медицина у США</w:t>
            </w:r>
          </w:p>
        </w:tc>
      </w:tr>
      <w:tr w:rsidR="00052C0B" w14:paraId="3BE0861B" w14:textId="77777777">
        <w:trPr>
          <w:tblCellSpacing w:w="0" w:type="dxa"/>
        </w:trPr>
        <w:tc>
          <w:tcPr>
            <w:tcW w:w="0" w:type="auto"/>
            <w:vMerge/>
            <w:tcBorders>
              <w:top w:val="single" w:sz="4" w:space="0" w:color="000000"/>
              <w:left w:val="single" w:sz="4" w:space="0" w:color="000000"/>
              <w:bottom w:val="single" w:sz="4" w:space="0" w:color="000000"/>
              <w:right w:val="single" w:sz="4" w:space="0" w:color="000000"/>
            </w:tcBorders>
            <w:shd w:val="clear" w:color="auto" w:fill="C6D9F1" w:themeFill="text2" w:themeFillTint="33"/>
            <w:vAlign w:val="center"/>
          </w:tcPr>
          <w:p w14:paraId="3BE08617" w14:textId="77777777" w:rsidR="00052C0B" w:rsidRDefault="00052C0B">
            <w:pPr>
              <w:widowControl/>
              <w:rPr>
                <w:rFonts w:ascii="Times New Roman" w:eastAsia="Times New Roman" w:hAnsi="Times New Roman" w:cs="Times New Roman"/>
                <w:color w:val="auto"/>
                <w:lang w:bidi="ar-SA"/>
              </w:rPr>
            </w:pPr>
          </w:p>
        </w:tc>
        <w:tc>
          <w:tcPr>
            <w:tcW w:w="2271" w:type="dxa"/>
            <w:tcBorders>
              <w:top w:val="single" w:sz="4" w:space="0" w:color="000000"/>
              <w:left w:val="single" w:sz="4" w:space="0" w:color="000000"/>
              <w:bottom w:val="single" w:sz="4" w:space="0" w:color="000000"/>
              <w:right w:val="single" w:sz="4" w:space="0" w:color="000000"/>
            </w:tcBorders>
            <w:shd w:val="clear" w:color="auto" w:fill="EAF1DD" w:themeFill="accent3" w:themeFillTint="33"/>
            <w:vAlign w:val="center"/>
          </w:tcPr>
          <w:p w14:paraId="3BE08618"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lang w:bidi="ar-SA"/>
              </w:rPr>
              <w:t>Комбінована (змішана) модель</w:t>
            </w:r>
          </w:p>
        </w:tc>
        <w:tc>
          <w:tcPr>
            <w:tcW w:w="356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3BE08619"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lang w:bidi="ar-SA"/>
              </w:rPr>
              <w:t>Поєднання бюджетного фінансування, страхування та приватних платежів.</w:t>
            </w:r>
          </w:p>
        </w:tc>
        <w:tc>
          <w:tcPr>
            <w:tcW w:w="1815"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vAlign w:val="center"/>
          </w:tcPr>
          <w:p w14:paraId="3BE0861A"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lang w:bidi="ar-SA"/>
              </w:rPr>
              <w:t>Скандинавські системи, модернізована бісмарківська модель</w:t>
            </w:r>
          </w:p>
        </w:tc>
      </w:tr>
      <w:tr w:rsidR="00052C0B" w14:paraId="3BE08620" w14:textId="77777777">
        <w:trPr>
          <w:tblCellSpacing w:w="0" w:type="dxa"/>
        </w:trPr>
        <w:tc>
          <w:tcPr>
            <w:tcW w:w="1692" w:type="dxa"/>
            <w:vMerge w:val="restart"/>
            <w:tcBorders>
              <w:top w:val="single" w:sz="4" w:space="0" w:color="000000"/>
              <w:left w:val="single" w:sz="4" w:space="0" w:color="000000"/>
              <w:right w:val="single" w:sz="4" w:space="0" w:color="000000"/>
            </w:tcBorders>
            <w:shd w:val="clear" w:color="auto" w:fill="C6D9F1" w:themeFill="text2" w:themeFillTint="33"/>
            <w:vAlign w:val="center"/>
          </w:tcPr>
          <w:p w14:paraId="3BE0861C"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lang w:bidi="ar-SA"/>
              </w:rPr>
              <w:t>Доступність та ступінь покриття витрат</w:t>
            </w:r>
          </w:p>
        </w:tc>
        <w:tc>
          <w:tcPr>
            <w:tcW w:w="2271"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vAlign w:val="center"/>
          </w:tcPr>
          <w:p w14:paraId="3BE0861D"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lang w:bidi="ar-SA"/>
              </w:rPr>
              <w:t>Універсальна система</w:t>
            </w:r>
          </w:p>
        </w:tc>
        <w:tc>
          <w:tcPr>
            <w:tcW w:w="356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3BE0861E"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lang w:bidi="ar-SA"/>
              </w:rPr>
              <w:t>Держава гарантує медичне обслуговування всім громадянам незалежно від доходу чи статусу.</w:t>
            </w:r>
          </w:p>
        </w:tc>
        <w:tc>
          <w:tcPr>
            <w:tcW w:w="1815"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vAlign w:val="center"/>
          </w:tcPr>
          <w:p w14:paraId="3BE0861F"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lang w:bidi="ar-SA"/>
              </w:rPr>
              <w:t>Німеччина, Швеція, Данія</w:t>
            </w:r>
          </w:p>
        </w:tc>
      </w:tr>
      <w:tr w:rsidR="00052C0B" w14:paraId="3BE08625" w14:textId="77777777">
        <w:trPr>
          <w:tblCellSpacing w:w="0" w:type="dxa"/>
        </w:trPr>
        <w:tc>
          <w:tcPr>
            <w:tcW w:w="0" w:type="auto"/>
            <w:vMerge/>
            <w:tcBorders>
              <w:left w:val="single" w:sz="4" w:space="0" w:color="000000"/>
              <w:bottom w:val="single" w:sz="4" w:space="0" w:color="000000"/>
              <w:right w:val="single" w:sz="4" w:space="0" w:color="000000"/>
            </w:tcBorders>
            <w:shd w:val="clear" w:color="auto" w:fill="C6D9F1" w:themeFill="text2" w:themeFillTint="33"/>
            <w:vAlign w:val="center"/>
          </w:tcPr>
          <w:p w14:paraId="3BE08621" w14:textId="77777777" w:rsidR="00052C0B" w:rsidRDefault="00052C0B">
            <w:pPr>
              <w:widowControl/>
              <w:rPr>
                <w:rFonts w:ascii="Times New Roman" w:eastAsia="Times New Roman" w:hAnsi="Times New Roman" w:cs="Times New Roman"/>
                <w:color w:val="auto"/>
                <w:lang w:bidi="ar-SA"/>
              </w:rPr>
            </w:pPr>
          </w:p>
        </w:tc>
        <w:tc>
          <w:tcPr>
            <w:tcW w:w="2271"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vAlign w:val="center"/>
          </w:tcPr>
          <w:p w14:paraId="3BE08622"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lang w:bidi="ar-SA"/>
              </w:rPr>
              <w:t>Система з частковим доступом</w:t>
            </w:r>
          </w:p>
        </w:tc>
        <w:tc>
          <w:tcPr>
            <w:tcW w:w="356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3BE08623"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lang w:bidi="ar-SA"/>
              </w:rPr>
              <w:t>Медичне покриття обмежене: доступ залежить від наявності страховки або фінансових можливостей.</w:t>
            </w:r>
          </w:p>
        </w:tc>
        <w:tc>
          <w:tcPr>
            <w:tcW w:w="1815"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vAlign w:val="center"/>
          </w:tcPr>
          <w:p w14:paraId="3BE08624"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lang w:bidi="ar-SA"/>
              </w:rPr>
              <w:t>Приватна медична система США</w:t>
            </w:r>
          </w:p>
        </w:tc>
      </w:tr>
      <w:tr w:rsidR="00052C0B" w14:paraId="3BE0862A" w14:textId="77777777">
        <w:trPr>
          <w:tblCellSpacing w:w="0" w:type="dxa"/>
        </w:trPr>
        <w:tc>
          <w:tcPr>
            <w:tcW w:w="1692" w:type="dxa"/>
            <w:vMerge w:val="restart"/>
            <w:tcBorders>
              <w:top w:val="single" w:sz="4" w:space="0" w:color="000000"/>
              <w:left w:val="single" w:sz="4" w:space="0" w:color="000000"/>
              <w:bottom w:val="single" w:sz="4" w:space="0" w:color="000000"/>
              <w:right w:val="single" w:sz="4" w:space="0" w:color="000000"/>
            </w:tcBorders>
            <w:shd w:val="clear" w:color="auto" w:fill="C6D9F1" w:themeFill="text2" w:themeFillTint="33"/>
            <w:vAlign w:val="center"/>
          </w:tcPr>
          <w:p w14:paraId="3BE08626"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lang w:bidi="ar-SA"/>
              </w:rPr>
              <w:t>Організаційна модель управління</w:t>
            </w:r>
          </w:p>
        </w:tc>
        <w:tc>
          <w:tcPr>
            <w:tcW w:w="2271"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vAlign w:val="center"/>
          </w:tcPr>
          <w:p w14:paraId="3BE08627"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lang w:bidi="ar-SA"/>
              </w:rPr>
              <w:t>Централізована система</w:t>
            </w:r>
          </w:p>
        </w:tc>
        <w:tc>
          <w:tcPr>
            <w:tcW w:w="356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3BE08628"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lang w:bidi="ar-SA"/>
              </w:rPr>
              <w:t>Основні управлінські рішення ухвалюються на національному рівні, стандарти єдині для всієї країни.</w:t>
            </w:r>
          </w:p>
        </w:tc>
        <w:tc>
          <w:tcPr>
            <w:tcW w:w="1815"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vAlign w:val="center"/>
          </w:tcPr>
          <w:p w14:paraId="3BE08629"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lang w:bidi="ar-SA"/>
              </w:rPr>
              <w:t>Велика Британія (модель Беверіджа)</w:t>
            </w:r>
          </w:p>
        </w:tc>
      </w:tr>
      <w:tr w:rsidR="00052C0B" w14:paraId="3BE0862F" w14:textId="77777777">
        <w:trPr>
          <w:tblCellSpacing w:w="0" w:type="dxa"/>
        </w:trPr>
        <w:tc>
          <w:tcPr>
            <w:tcW w:w="0" w:type="auto"/>
            <w:vMerge/>
            <w:tcBorders>
              <w:top w:val="single" w:sz="4" w:space="0" w:color="000000"/>
              <w:left w:val="single" w:sz="4" w:space="0" w:color="000000"/>
              <w:bottom w:val="single" w:sz="4" w:space="0" w:color="000000"/>
              <w:right w:val="single" w:sz="4" w:space="0" w:color="000000"/>
            </w:tcBorders>
            <w:shd w:val="clear" w:color="auto" w:fill="C6D9F1" w:themeFill="text2" w:themeFillTint="33"/>
            <w:vAlign w:val="center"/>
          </w:tcPr>
          <w:p w14:paraId="3BE0862B" w14:textId="77777777" w:rsidR="00052C0B" w:rsidRDefault="00052C0B">
            <w:pPr>
              <w:widowControl/>
              <w:rPr>
                <w:rFonts w:ascii="Times New Roman" w:eastAsia="Times New Roman" w:hAnsi="Times New Roman" w:cs="Times New Roman"/>
                <w:color w:val="auto"/>
                <w:lang w:bidi="ar-SA"/>
              </w:rPr>
            </w:pPr>
          </w:p>
        </w:tc>
        <w:tc>
          <w:tcPr>
            <w:tcW w:w="2271"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vAlign w:val="center"/>
          </w:tcPr>
          <w:p w14:paraId="3BE0862C"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lang w:bidi="ar-SA"/>
              </w:rPr>
              <w:t>Децентралізована система</w:t>
            </w:r>
          </w:p>
        </w:tc>
        <w:tc>
          <w:tcPr>
            <w:tcW w:w="356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3BE0862D"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lang w:bidi="ar-SA"/>
              </w:rPr>
              <w:t>Відповідальність за організацію медичної допомоги розподілена між державою, регіонами та громадами.</w:t>
            </w:r>
          </w:p>
        </w:tc>
        <w:tc>
          <w:tcPr>
            <w:tcW w:w="1815"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vAlign w:val="center"/>
          </w:tcPr>
          <w:p w14:paraId="3BE0862E"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lang w:bidi="ar-SA"/>
              </w:rPr>
              <w:t>Фінляндія, Норвегія</w:t>
            </w:r>
          </w:p>
        </w:tc>
      </w:tr>
      <w:tr w:rsidR="00052C0B" w14:paraId="3BE08635" w14:textId="77777777">
        <w:trPr>
          <w:tblCellSpacing w:w="0" w:type="dxa"/>
        </w:trPr>
        <w:tc>
          <w:tcPr>
            <w:tcW w:w="1692" w:type="dxa"/>
            <w:vMerge w:val="restart"/>
            <w:tcBorders>
              <w:top w:val="single" w:sz="4" w:space="0" w:color="000000"/>
              <w:left w:val="single" w:sz="4" w:space="0" w:color="000000"/>
              <w:bottom w:val="single" w:sz="4" w:space="0" w:color="000000"/>
              <w:right w:val="single" w:sz="4" w:space="0" w:color="000000"/>
            </w:tcBorders>
            <w:shd w:val="clear" w:color="auto" w:fill="C6D9F1" w:themeFill="text2" w:themeFillTint="33"/>
            <w:vAlign w:val="center"/>
          </w:tcPr>
          <w:p w14:paraId="3BE08630"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lang w:bidi="ar-SA"/>
              </w:rPr>
              <w:t>Модель фінансування медичних послуг</w:t>
            </w:r>
          </w:p>
        </w:tc>
        <w:tc>
          <w:tcPr>
            <w:tcW w:w="2271" w:type="dxa"/>
            <w:tcBorders>
              <w:top w:val="single" w:sz="4" w:space="0" w:color="000000"/>
              <w:left w:val="single" w:sz="4" w:space="0" w:color="000000"/>
              <w:bottom w:val="single" w:sz="4" w:space="0" w:color="000000"/>
              <w:right w:val="single" w:sz="4" w:space="0" w:color="000000"/>
            </w:tcBorders>
            <w:shd w:val="clear" w:color="auto" w:fill="FDE9D9" w:themeFill="accent6" w:themeFillTint="33"/>
            <w:vAlign w:val="center"/>
          </w:tcPr>
          <w:p w14:paraId="3BE08631"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lang w:bidi="ar-SA"/>
              </w:rPr>
              <w:t>«Плата за послугу»</w:t>
            </w:r>
          </w:p>
          <w:p w14:paraId="3BE08632"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lang w:bidi="ar-SA"/>
              </w:rPr>
              <w:t>(fee-for-service)</w:t>
            </w:r>
          </w:p>
        </w:tc>
        <w:tc>
          <w:tcPr>
            <w:tcW w:w="356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3BE08633"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lang w:bidi="ar-SA"/>
              </w:rPr>
              <w:t>Оплата здійснюється за кожну окрему медичну процедуру або консультацію.</w:t>
            </w:r>
          </w:p>
        </w:tc>
        <w:tc>
          <w:tcPr>
            <w:tcW w:w="1815"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vAlign w:val="center"/>
          </w:tcPr>
          <w:p w14:paraId="3BE08634"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lang w:bidi="ar-SA"/>
              </w:rPr>
              <w:t>Приватні медичні провайдери США</w:t>
            </w:r>
          </w:p>
        </w:tc>
      </w:tr>
      <w:tr w:rsidR="00052C0B" w14:paraId="3BE0863A" w14:textId="77777777">
        <w:trPr>
          <w:tblCellSpacing w:w="0" w:type="dxa"/>
        </w:trPr>
        <w:tc>
          <w:tcPr>
            <w:tcW w:w="0" w:type="auto"/>
            <w:vMerge/>
            <w:tcBorders>
              <w:top w:val="single" w:sz="4" w:space="0" w:color="000000"/>
              <w:left w:val="single" w:sz="4" w:space="0" w:color="000000"/>
              <w:bottom w:val="single" w:sz="4" w:space="0" w:color="000000"/>
              <w:right w:val="single" w:sz="4" w:space="0" w:color="000000"/>
            </w:tcBorders>
            <w:shd w:val="clear" w:color="auto" w:fill="C6D9F1" w:themeFill="text2" w:themeFillTint="33"/>
            <w:vAlign w:val="center"/>
          </w:tcPr>
          <w:p w14:paraId="3BE08636" w14:textId="77777777" w:rsidR="00052C0B" w:rsidRDefault="00052C0B">
            <w:pPr>
              <w:widowControl/>
              <w:rPr>
                <w:rFonts w:ascii="Times New Roman" w:eastAsia="Times New Roman" w:hAnsi="Times New Roman" w:cs="Times New Roman"/>
                <w:color w:val="auto"/>
                <w:lang w:bidi="ar-SA"/>
              </w:rPr>
            </w:pPr>
          </w:p>
        </w:tc>
        <w:tc>
          <w:tcPr>
            <w:tcW w:w="2271" w:type="dxa"/>
            <w:tcBorders>
              <w:top w:val="single" w:sz="4" w:space="0" w:color="000000"/>
              <w:left w:val="single" w:sz="4" w:space="0" w:color="000000"/>
              <w:bottom w:val="single" w:sz="4" w:space="0" w:color="000000"/>
              <w:right w:val="single" w:sz="4" w:space="0" w:color="000000"/>
            </w:tcBorders>
            <w:shd w:val="clear" w:color="auto" w:fill="FDE9D9" w:themeFill="accent6" w:themeFillTint="33"/>
            <w:vAlign w:val="center"/>
          </w:tcPr>
          <w:p w14:paraId="3BE08637"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lang w:bidi="ar-SA"/>
              </w:rPr>
              <w:t>Капітаційний метод</w:t>
            </w:r>
          </w:p>
        </w:tc>
        <w:tc>
          <w:tcPr>
            <w:tcW w:w="356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3BE08638"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lang w:bidi="ar-SA"/>
              </w:rPr>
              <w:t>Заклади отримують фіксовану суму за кожного прикріпленого пацієнта, незалежно від кількості наданих послуг.</w:t>
            </w:r>
          </w:p>
        </w:tc>
        <w:tc>
          <w:tcPr>
            <w:tcW w:w="1815"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vAlign w:val="center"/>
          </w:tcPr>
          <w:p w14:paraId="3BE08639"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lang w:bidi="ar-SA"/>
              </w:rPr>
              <w:t>Німеччина, Нідерланди, скандинавські країни</w:t>
            </w:r>
          </w:p>
        </w:tc>
      </w:tr>
      <w:tr w:rsidR="00052C0B" w14:paraId="3BE08642" w14:textId="77777777">
        <w:trPr>
          <w:tblCellSpacing w:w="0" w:type="dxa"/>
        </w:trPr>
        <w:tc>
          <w:tcPr>
            <w:tcW w:w="1692" w:type="dxa"/>
            <w:tcBorders>
              <w:top w:val="single" w:sz="4" w:space="0" w:color="000000"/>
              <w:left w:val="single" w:sz="4" w:space="0" w:color="000000"/>
              <w:right w:val="single" w:sz="4" w:space="0" w:color="000000"/>
            </w:tcBorders>
            <w:shd w:val="clear" w:color="auto" w:fill="C6D9F1" w:themeFill="text2" w:themeFillTint="33"/>
            <w:vAlign w:val="center"/>
          </w:tcPr>
          <w:p w14:paraId="3BE0863B"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lang w:bidi="ar-SA"/>
              </w:rPr>
              <w:t>Ступінь державного контролю</w:t>
            </w:r>
          </w:p>
          <w:p w14:paraId="3BE0863C" w14:textId="77777777" w:rsidR="00052C0B" w:rsidRDefault="006E6CE8">
            <w:pPr>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 </w:t>
            </w:r>
          </w:p>
        </w:tc>
        <w:tc>
          <w:tcPr>
            <w:tcW w:w="2271" w:type="dxa"/>
            <w:tcBorders>
              <w:top w:val="single" w:sz="4" w:space="0" w:color="000000"/>
              <w:left w:val="single" w:sz="4" w:space="0" w:color="000000"/>
              <w:bottom w:val="single" w:sz="4" w:space="0" w:color="000000"/>
              <w:right w:val="single" w:sz="4" w:space="0" w:color="000000"/>
            </w:tcBorders>
            <w:shd w:val="clear" w:color="auto" w:fill="FDE9D9" w:themeFill="accent6" w:themeFillTint="33"/>
            <w:vAlign w:val="center"/>
          </w:tcPr>
          <w:p w14:paraId="3BE0863D"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lang w:bidi="ar-SA"/>
              </w:rPr>
              <w:t>Жорстке регулювання</w:t>
            </w:r>
          </w:p>
        </w:tc>
        <w:tc>
          <w:tcPr>
            <w:tcW w:w="356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3BE0863E"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lang w:bidi="ar-SA"/>
              </w:rPr>
              <w:t>Держава визначає тарифи, стандарти, правила ведення діяльності медичних провайдерів.</w:t>
            </w:r>
          </w:p>
        </w:tc>
        <w:tc>
          <w:tcPr>
            <w:tcW w:w="1815"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vAlign w:val="center"/>
          </w:tcPr>
          <w:p w14:paraId="3BE0863F"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lang w:bidi="ar-SA"/>
              </w:rPr>
              <w:t>Велика Британія, Німеччина</w:t>
            </w:r>
          </w:p>
          <w:p w14:paraId="3BE08640"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 </w:t>
            </w:r>
          </w:p>
          <w:p w14:paraId="3BE08641"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 </w:t>
            </w:r>
          </w:p>
        </w:tc>
      </w:tr>
    </w:tbl>
    <w:p w14:paraId="3BE08643" w14:textId="77777777" w:rsidR="00052C0B" w:rsidRDefault="00052C0B">
      <w:pPr>
        <w:rPr>
          <w:rFonts w:ascii="Times New Roman" w:eastAsia="Times New Roman" w:hAnsi="Times New Roman" w:cs="Times New Roman"/>
          <w:sz w:val="28"/>
          <w:szCs w:val="28"/>
          <w:lang w:bidi="ar-SA"/>
        </w:rPr>
      </w:pPr>
    </w:p>
    <w:p w14:paraId="3BE08644" w14:textId="77777777" w:rsidR="00052C0B" w:rsidRDefault="006E6CE8">
      <w:pPr>
        <w:jc w:val="right"/>
      </w:pPr>
      <w:r>
        <w:rPr>
          <w:rFonts w:ascii="Times New Roman" w:eastAsia="Times New Roman" w:hAnsi="Times New Roman" w:cs="Times New Roman"/>
          <w:sz w:val="28"/>
          <w:szCs w:val="28"/>
          <w:lang w:bidi="ar-SA"/>
        </w:rPr>
        <w:lastRenderedPageBreak/>
        <w:t>Продовження таблиці 1.2</w:t>
      </w:r>
    </w:p>
    <w:tbl>
      <w:tblPr>
        <w:tblW w:w="0" w:type="auto"/>
        <w:tblCellSpacing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92"/>
        <w:gridCol w:w="2271"/>
        <w:gridCol w:w="3566"/>
        <w:gridCol w:w="1815"/>
      </w:tblGrid>
      <w:tr w:rsidR="00052C0B" w14:paraId="3BE08649" w14:textId="77777777">
        <w:trPr>
          <w:tblCellSpacing w:w="0" w:type="dxa"/>
        </w:trPr>
        <w:tc>
          <w:tcPr>
            <w:tcW w:w="1692" w:type="dxa"/>
            <w:tcBorders>
              <w:left w:val="single" w:sz="4" w:space="0" w:color="000000"/>
              <w:bottom w:val="single" w:sz="4" w:space="0" w:color="000000"/>
              <w:right w:val="single" w:sz="4" w:space="0" w:color="000000"/>
            </w:tcBorders>
            <w:shd w:val="clear" w:color="auto" w:fill="C6D9F1" w:themeFill="text2" w:themeFillTint="33"/>
            <w:vAlign w:val="center"/>
          </w:tcPr>
          <w:p w14:paraId="3BE08645" w14:textId="77777777" w:rsidR="00052C0B" w:rsidRDefault="00052C0B">
            <w:pPr>
              <w:widowControl/>
              <w:rPr>
                <w:rFonts w:ascii="Times New Roman" w:eastAsia="Times New Roman" w:hAnsi="Times New Roman" w:cs="Times New Roman"/>
                <w:color w:val="auto"/>
                <w:lang w:bidi="ar-SA"/>
              </w:rPr>
            </w:pPr>
          </w:p>
        </w:tc>
        <w:tc>
          <w:tcPr>
            <w:tcW w:w="2271" w:type="dxa"/>
            <w:tcBorders>
              <w:top w:val="single" w:sz="4" w:space="0" w:color="000000"/>
              <w:left w:val="single" w:sz="4" w:space="0" w:color="000000"/>
              <w:bottom w:val="single" w:sz="4" w:space="0" w:color="000000"/>
              <w:right w:val="single" w:sz="4" w:space="0" w:color="000000"/>
            </w:tcBorders>
            <w:shd w:val="clear" w:color="auto" w:fill="FDE9D9" w:themeFill="accent6" w:themeFillTint="33"/>
            <w:vAlign w:val="center"/>
          </w:tcPr>
          <w:p w14:paraId="3BE08646"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lang w:bidi="ar-SA"/>
              </w:rPr>
              <w:t>Обмежене регулювання</w:t>
            </w:r>
          </w:p>
        </w:tc>
        <w:tc>
          <w:tcPr>
            <w:tcW w:w="356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3BE08647"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lang w:bidi="ar-SA"/>
              </w:rPr>
              <w:t>Більша свобода приватних компаній та медичних установ у встановленні цін та правил роботи.</w:t>
            </w:r>
          </w:p>
        </w:tc>
        <w:tc>
          <w:tcPr>
            <w:tcW w:w="1815"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vAlign w:val="center"/>
          </w:tcPr>
          <w:p w14:paraId="3BE08648"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lang w:bidi="ar-SA"/>
              </w:rPr>
              <w:t>США (ринкове страхування)</w:t>
            </w:r>
          </w:p>
        </w:tc>
      </w:tr>
      <w:tr w:rsidR="00052C0B" w14:paraId="3BE0864E" w14:textId="77777777">
        <w:trPr>
          <w:tblCellSpacing w:w="0" w:type="dxa"/>
        </w:trPr>
        <w:tc>
          <w:tcPr>
            <w:tcW w:w="1692" w:type="dxa"/>
            <w:vMerge w:val="restart"/>
            <w:tcBorders>
              <w:top w:val="single" w:sz="4" w:space="0" w:color="000000"/>
              <w:left w:val="single" w:sz="4" w:space="0" w:color="000000"/>
              <w:bottom w:val="single" w:sz="4" w:space="0" w:color="000000"/>
              <w:right w:val="single" w:sz="4" w:space="0" w:color="000000"/>
            </w:tcBorders>
            <w:shd w:val="clear" w:color="auto" w:fill="C6D9F1" w:themeFill="text2" w:themeFillTint="33"/>
            <w:vAlign w:val="center"/>
          </w:tcPr>
          <w:p w14:paraId="3BE0864A"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lang w:bidi="ar-SA"/>
              </w:rPr>
              <w:t>Спосіб координації медичних послуг</w:t>
            </w:r>
          </w:p>
        </w:tc>
        <w:tc>
          <w:tcPr>
            <w:tcW w:w="2271"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vAlign w:val="center"/>
          </w:tcPr>
          <w:p w14:paraId="3BE0864B"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lang w:bidi="ar-SA"/>
              </w:rPr>
              <w:t>Модель рівнів медичної допомоги (ПМД-ВМД-ТМД)</w:t>
            </w:r>
          </w:p>
        </w:tc>
        <w:tc>
          <w:tcPr>
            <w:tcW w:w="356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3BE0864C"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lang w:bidi="ar-SA"/>
              </w:rPr>
              <w:t>Чіткий розподіл функцій між первинною, вторинною та третинною допомогою, забезпечення маршрутизації пацієнтів.</w:t>
            </w:r>
          </w:p>
        </w:tc>
        <w:tc>
          <w:tcPr>
            <w:tcW w:w="1815"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vAlign w:val="center"/>
          </w:tcPr>
          <w:p w14:paraId="3BE0864D"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lang w:bidi="ar-SA"/>
              </w:rPr>
              <w:t>Фінляндія, Швеція</w:t>
            </w:r>
          </w:p>
        </w:tc>
      </w:tr>
      <w:tr w:rsidR="00052C0B" w14:paraId="3BE08653" w14:textId="77777777">
        <w:trPr>
          <w:tblCellSpacing w:w="0" w:type="dxa"/>
        </w:trPr>
        <w:tc>
          <w:tcPr>
            <w:tcW w:w="0" w:type="auto"/>
            <w:vMerge/>
            <w:tcBorders>
              <w:top w:val="single" w:sz="4" w:space="0" w:color="000000"/>
              <w:left w:val="single" w:sz="4" w:space="0" w:color="000000"/>
              <w:bottom w:val="single" w:sz="4" w:space="0" w:color="000000"/>
              <w:right w:val="single" w:sz="4" w:space="0" w:color="000000"/>
            </w:tcBorders>
            <w:shd w:val="clear" w:color="auto" w:fill="C6D9F1" w:themeFill="text2" w:themeFillTint="33"/>
            <w:vAlign w:val="center"/>
          </w:tcPr>
          <w:p w14:paraId="3BE0864F" w14:textId="77777777" w:rsidR="00052C0B" w:rsidRDefault="00052C0B">
            <w:pPr>
              <w:widowControl/>
              <w:rPr>
                <w:rFonts w:ascii="Times New Roman" w:eastAsia="Times New Roman" w:hAnsi="Times New Roman" w:cs="Times New Roman"/>
                <w:color w:val="auto"/>
                <w:lang w:bidi="ar-SA"/>
              </w:rPr>
            </w:pPr>
          </w:p>
        </w:tc>
        <w:tc>
          <w:tcPr>
            <w:tcW w:w="2271"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vAlign w:val="center"/>
          </w:tcPr>
          <w:p w14:paraId="3BE08650"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lang w:bidi="ar-SA"/>
              </w:rPr>
              <w:t>Модель сімейного лікаря</w:t>
            </w:r>
          </w:p>
        </w:tc>
        <w:tc>
          <w:tcPr>
            <w:tcW w:w="356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3BE08651"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lang w:bidi="ar-SA"/>
              </w:rPr>
              <w:t>Особистий лікар відповідає за координацію всієї медичної допомоги пацієнта та направлення до спеціалістів.</w:t>
            </w:r>
          </w:p>
        </w:tc>
        <w:tc>
          <w:tcPr>
            <w:tcW w:w="1815"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vAlign w:val="center"/>
          </w:tcPr>
          <w:p w14:paraId="3BE08652"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lang w:bidi="ar-SA"/>
              </w:rPr>
              <w:t>Нідерланди, Велика Британія</w:t>
            </w:r>
          </w:p>
        </w:tc>
      </w:tr>
    </w:tbl>
    <w:p w14:paraId="3BE08654" w14:textId="77777777" w:rsidR="00052C0B" w:rsidRDefault="006E6CE8">
      <w:pPr>
        <w:spacing w:line="360" w:lineRule="auto"/>
        <w:ind w:firstLine="709"/>
        <w:jc w:val="both"/>
        <w:rPr>
          <w:rFonts w:ascii="Times New Roman" w:eastAsia="Times New Roman" w:hAnsi="Times New Roman" w:cs="Times New Roman"/>
          <w:i/>
          <w:iCs/>
          <w:lang w:bidi="ar-SA"/>
        </w:rPr>
      </w:pPr>
      <w:r>
        <w:rPr>
          <w:rFonts w:ascii="Times New Roman" w:eastAsia="Times New Roman" w:hAnsi="Times New Roman" w:cs="Times New Roman"/>
          <w:i/>
          <w:iCs/>
          <w:lang w:bidi="ar-SA"/>
        </w:rPr>
        <w:t>Джерело: побудовано автором на основі [3-6]</w:t>
      </w:r>
    </w:p>
    <w:p w14:paraId="3BE08655" w14:textId="77777777" w:rsidR="00052C0B" w:rsidRDefault="00052C0B">
      <w:pPr>
        <w:spacing w:line="360" w:lineRule="auto"/>
        <w:ind w:firstLine="709"/>
        <w:jc w:val="both"/>
        <w:rPr>
          <w:rFonts w:ascii="Times New Roman" w:eastAsia="Times New Roman" w:hAnsi="Times New Roman" w:cs="Times New Roman"/>
          <w:color w:val="auto"/>
          <w:lang w:bidi="ar-SA"/>
        </w:rPr>
      </w:pPr>
    </w:p>
    <w:p w14:paraId="3BE08656" w14:textId="77777777" w:rsidR="00052C0B" w:rsidRDefault="006E6CE8">
      <w:pPr>
        <w:spacing w:line="360" w:lineRule="auto"/>
        <w:ind w:firstLine="709"/>
        <w:jc w:val="both"/>
        <w:rPr>
          <w:rFonts w:ascii="Times New Roman" w:eastAsia="Times New Roman" w:hAnsi="Times New Roman" w:cs="Times New Roman"/>
          <w:sz w:val="28"/>
          <w:szCs w:val="28"/>
          <w:lang w:bidi="ar-SA"/>
        </w:rPr>
      </w:pPr>
      <w:r>
        <w:rPr>
          <w:rFonts w:ascii="Times New Roman" w:eastAsia="Times New Roman" w:hAnsi="Times New Roman" w:cs="Times New Roman"/>
          <w:sz w:val="28"/>
          <w:szCs w:val="28"/>
          <w:lang w:bidi="ar-SA"/>
        </w:rPr>
        <w:t>Водночас слід зауважити, що наведені теоретичні типи є абстрактними моделями: на практиці в більшості країн існують змішані системи, які комбінують елементи різних підходів і формують єдину національну структуру охорони здоров’я. Ілюстрацією цьому служать приклади, коли державні гарантії поєднуються зі страховими механізмами або приватними платежами залежно від соціально-економічних умов і політичних пріоритетів конкретної країни.</w:t>
      </w:r>
    </w:p>
    <w:p w14:paraId="3BE08657"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Отже, сучасні моделі можна систематизувати за рядом класифікаційних ознак, що відображають їхні ключові принципи фінансування, доступності та управління. Історично склалися кілька фундаментальних підходів, які еволюціонували з часом, зберігаючи при цьому базові принципи, що лягли в їхню основу.</w:t>
      </w:r>
    </w:p>
    <w:p w14:paraId="3BE08658"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 xml:space="preserve">Система охорони здоров’я України нині перебуває в активній фазі трансформації, спрямованої на формування моделі, що гарантуватиме кожному громадянину доступну та якісну медичну допомогу. На сьогодні вона функціонує як змішана структура, у якій поєднано елементи державного фінансування та управління з ринковими інструментами й компонентами медичного страхування  </w:t>
      </w:r>
      <w:r>
        <w:rPr>
          <w:rFonts w:ascii="Times New Roman" w:eastAsia="Times New Roman" w:hAnsi="Times New Roman" w:cs="Times New Roman"/>
          <w:sz w:val="28"/>
          <w:szCs w:val="28"/>
          <w:lang w:val="en-US" w:bidi="ar-SA"/>
        </w:rPr>
        <w:t xml:space="preserve"> [</w:t>
      </w:r>
      <w:r>
        <w:rPr>
          <w:rFonts w:ascii="Times New Roman" w:eastAsia="Times New Roman" w:hAnsi="Times New Roman" w:cs="Times New Roman"/>
          <w:sz w:val="28"/>
          <w:szCs w:val="28"/>
          <w:lang w:bidi="ar-SA"/>
        </w:rPr>
        <w:t>6</w:t>
      </w:r>
      <w:r>
        <w:rPr>
          <w:rFonts w:ascii="Times New Roman" w:eastAsia="Times New Roman" w:hAnsi="Times New Roman" w:cs="Times New Roman"/>
          <w:sz w:val="28"/>
          <w:szCs w:val="28"/>
          <w:lang w:val="en-US" w:bidi="ar-SA"/>
        </w:rPr>
        <w:t>]</w:t>
      </w:r>
      <w:r>
        <w:rPr>
          <w:rFonts w:ascii="Times New Roman" w:eastAsia="Times New Roman" w:hAnsi="Times New Roman" w:cs="Times New Roman"/>
          <w:sz w:val="28"/>
          <w:szCs w:val="28"/>
          <w:lang w:bidi="ar-SA"/>
        </w:rPr>
        <w:t>.</w:t>
      </w:r>
    </w:p>
    <w:p w14:paraId="3BE08659"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До ключових рис сучасної моделі слід віднести:</w:t>
      </w:r>
    </w:p>
    <w:p w14:paraId="3BE0865A"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 xml:space="preserve">- Багатоканальне фінансування. Охорона здоровʼя отримує кошти як із </w:t>
      </w:r>
      <w:r>
        <w:rPr>
          <w:rFonts w:ascii="Times New Roman" w:eastAsia="Times New Roman" w:hAnsi="Times New Roman" w:cs="Times New Roman"/>
          <w:sz w:val="28"/>
          <w:szCs w:val="28"/>
          <w:lang w:bidi="ar-SA"/>
        </w:rPr>
        <w:lastRenderedPageBreak/>
        <w:t>державного бюджету, так і з додаткових джерел - страхових платежів та оплати окремих послуг населенням.</w:t>
      </w:r>
    </w:p>
    <w:p w14:paraId="3BE0865B"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 Реформування та модернізація. Триває впровадження нових підходів, що передбачають підвищення конкуренції між закладами, оптимізацію їхньої роботи та зростання ефективності медичної системи загалом.</w:t>
      </w:r>
    </w:p>
    <w:p w14:paraId="3BE0865C"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 Сильна роль держави. Держава визначає стандарти якості медичної допомоги, регулює порядок її надання та здійснює контроль за діяльністю медичних установ.</w:t>
      </w:r>
    </w:p>
    <w:p w14:paraId="3BE0865D"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 Розвиток цифрових рішень. Екосистема eHealth поступово розширюється, забезпечуючи електронний обмін медичною інформацією між пацієнтами, лікарями та закладами охорони здоров'я.</w:t>
      </w:r>
    </w:p>
    <w:p w14:paraId="3BE0865E"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 Пацієнтоорієнтованість. Нормативно-правова база спрямована на забезпечення рівного доступу до медичних послуг та орієнтацію на потреби пацієнтів. Водночас на практиці проблеми нерівності залишаються, особливо для соціально вразливих груп.</w:t>
      </w:r>
    </w:p>
    <w:p w14:paraId="3BE0865F" w14:textId="77777777" w:rsidR="00052C0B" w:rsidRDefault="006E6CE8">
      <w:pPr>
        <w:spacing w:line="360" w:lineRule="auto"/>
        <w:ind w:firstLine="709"/>
        <w:jc w:val="both"/>
        <w:rPr>
          <w:rFonts w:ascii="Times New Roman" w:eastAsia="Times New Roman" w:hAnsi="Times New Roman" w:cs="Times New Roman"/>
          <w:sz w:val="28"/>
          <w:szCs w:val="28"/>
          <w:lang w:bidi="ar-SA"/>
        </w:rPr>
      </w:pPr>
      <w:r>
        <w:rPr>
          <w:rFonts w:ascii="Times New Roman" w:eastAsia="Times New Roman" w:hAnsi="Times New Roman" w:cs="Times New Roman"/>
          <w:sz w:val="28"/>
          <w:szCs w:val="28"/>
          <w:lang w:bidi="ar-SA"/>
        </w:rPr>
        <w:t>У контексті реформ вітчизняної системи охорони здоров’я доцільно враховувати позитивні напрацювання розвинених країн та одночасно критично досліджувати слабкі місця базових моделей. Такий підхід дозволить адаптувати найефективніші елементи до українських реалій і мінімізувати ризики, пов’язані з перенесенням непідготовлених механізмів у національне середовище.</w:t>
      </w:r>
    </w:p>
    <w:p w14:paraId="3BE08660" w14:textId="77777777" w:rsidR="00052C0B" w:rsidRDefault="00052C0B">
      <w:pPr>
        <w:spacing w:line="360" w:lineRule="auto"/>
        <w:ind w:firstLine="709"/>
        <w:jc w:val="both"/>
        <w:rPr>
          <w:rFonts w:ascii="Times New Roman" w:eastAsia="Times New Roman" w:hAnsi="Times New Roman" w:cs="Times New Roman"/>
          <w:color w:val="auto"/>
          <w:lang w:bidi="ar-SA"/>
        </w:rPr>
      </w:pPr>
    </w:p>
    <w:p w14:paraId="3BE08661"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b/>
          <w:bCs/>
          <w:sz w:val="28"/>
          <w:szCs w:val="28"/>
          <w:lang w:bidi="ar-SA"/>
        </w:rPr>
        <w:t>1.2. Сутність, підсистеми та інструменти організаційно-економічного управління медичними закладами</w:t>
      </w:r>
    </w:p>
    <w:p w14:paraId="3BE08662"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Основним завданням діяльності закладів охорони здоров’я є забезпечення їх ефективного функціонування. Це однаковою мірою стосується як державних, так і приватних медичних установ, навіть попри те, що останні орієнтуються на отримання прибутку від надання медичної допомоги.</w:t>
      </w:r>
    </w:p>
    <w:p w14:paraId="3BE08663"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 xml:space="preserve">При цьому необхідно враховувати специфіку медичної сфери. </w:t>
      </w:r>
      <w:r>
        <w:rPr>
          <w:rFonts w:ascii="Times New Roman" w:eastAsia="Times New Roman" w:hAnsi="Times New Roman" w:cs="Times New Roman"/>
          <w:sz w:val="28"/>
          <w:szCs w:val="28"/>
          <w:lang w:bidi="ar-SA"/>
        </w:rPr>
        <w:lastRenderedPageBreak/>
        <w:t>Фінансовий результат і прибутковість мають сенс лише тоді, коли вони формуються завдяки раціональному використанню ресурсів і спрямовуються на розвиток, модернізацію та підтримання якісної роботи закладу. Саме ефективне фінансове забезпечення створює основу для розширення можливостей медичної установи та підвищення якості послуг.</w:t>
      </w:r>
    </w:p>
    <w:p w14:paraId="3BE08664"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У результаті належного функціонування поліпшується стан здоров’я населення, зростає тривалість і якість життя, що й відповідає ключовій місії будь-якого закладу охорони здоров’я в контексті застосування організаційно-економічного механізму управління</w:t>
      </w:r>
      <w:r>
        <w:rPr>
          <w:rFonts w:ascii="Times New Roman" w:eastAsia="Times New Roman" w:hAnsi="Times New Roman" w:cs="Times New Roman"/>
          <w:sz w:val="28"/>
          <w:szCs w:val="28"/>
          <w:lang w:val="en-US" w:bidi="ar-SA"/>
        </w:rPr>
        <w:t xml:space="preserve"> [</w:t>
      </w:r>
      <w:r>
        <w:rPr>
          <w:rFonts w:ascii="Times New Roman" w:eastAsia="Times New Roman" w:hAnsi="Times New Roman" w:cs="Times New Roman"/>
          <w:sz w:val="28"/>
          <w:szCs w:val="28"/>
          <w:lang w:bidi="ar-SA"/>
        </w:rPr>
        <w:t>7</w:t>
      </w:r>
      <w:r>
        <w:rPr>
          <w:rFonts w:ascii="Times New Roman" w:eastAsia="Times New Roman" w:hAnsi="Times New Roman" w:cs="Times New Roman"/>
          <w:sz w:val="28"/>
          <w:szCs w:val="28"/>
          <w:lang w:val="en-US" w:bidi="ar-SA"/>
        </w:rPr>
        <w:t>]</w:t>
      </w:r>
      <w:r>
        <w:rPr>
          <w:rFonts w:ascii="Times New Roman" w:eastAsia="Times New Roman" w:hAnsi="Times New Roman" w:cs="Times New Roman"/>
          <w:sz w:val="28"/>
          <w:szCs w:val="28"/>
          <w:lang w:bidi="ar-SA"/>
        </w:rPr>
        <w:t>.</w:t>
      </w:r>
    </w:p>
    <w:p w14:paraId="3BE08665"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Варто також підкреслити, що цілі діяльності медичного закладу можуть бути короткостроковими, середньостроковими або довгостроковими. Відповідно, вони змінюються залежно від етапів розвитку, пріоритетів керівництва та умов зовнішнього середовища.</w:t>
      </w:r>
    </w:p>
    <w:p w14:paraId="3BE08666"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Організаційно-економічний механізм управління закладом охорони здоров’я має обов’язково включати дві ключові підсистеми - функціональну бізнес-систему та систему забезпечення й розвитку.</w:t>
      </w:r>
    </w:p>
    <w:p w14:paraId="3BE08667"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Функціональна підсистема відповідає за стабільну та результативну діяльність медичного закладу. Вона охоплює проходження державного ліцензування, виконання вимог нормативно-правового регулювання, впровадження уніфікованих національних клінічних протоколів та розроблення локальних протоколів, адаптованих до технічного оснащення та специфіки роботи конкретного закладу. Важливою складовою також є розробка внутрішніх інструкцій для персоналу, що базуються на закріплених локальних протоколах</w:t>
      </w:r>
      <w:r>
        <w:rPr>
          <w:rFonts w:ascii="Times New Roman" w:eastAsia="Times New Roman" w:hAnsi="Times New Roman" w:cs="Times New Roman"/>
          <w:sz w:val="28"/>
          <w:szCs w:val="28"/>
          <w:lang w:val="en-US" w:bidi="ar-SA"/>
        </w:rPr>
        <w:t xml:space="preserve"> [</w:t>
      </w:r>
      <w:r>
        <w:rPr>
          <w:rFonts w:ascii="Times New Roman" w:eastAsia="Times New Roman" w:hAnsi="Times New Roman" w:cs="Times New Roman"/>
          <w:sz w:val="28"/>
          <w:szCs w:val="28"/>
          <w:lang w:bidi="ar-SA"/>
        </w:rPr>
        <w:t>8</w:t>
      </w:r>
      <w:r>
        <w:rPr>
          <w:rFonts w:ascii="Times New Roman" w:eastAsia="Times New Roman" w:hAnsi="Times New Roman" w:cs="Times New Roman"/>
          <w:sz w:val="28"/>
          <w:szCs w:val="28"/>
          <w:lang w:val="en-US" w:bidi="ar-SA"/>
        </w:rPr>
        <w:t>]</w:t>
      </w:r>
      <w:r>
        <w:rPr>
          <w:rFonts w:ascii="Times New Roman" w:eastAsia="Times New Roman" w:hAnsi="Times New Roman" w:cs="Times New Roman"/>
          <w:sz w:val="28"/>
          <w:szCs w:val="28"/>
          <w:lang w:bidi="ar-SA"/>
        </w:rPr>
        <w:t>.</w:t>
      </w:r>
    </w:p>
    <w:p w14:paraId="3BE08668"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Згідно з чинним законодавством, усі заклади, незалежно від форми власності, зобов’язані створювати та узгоджувати локальні клінічні протоколи у відповідних органах системи охорони здоров’я. Такий підхід сприяє кращій координації між установами та формує єдиний медичний простір на рівні регіону.</w:t>
      </w:r>
    </w:p>
    <w:p w14:paraId="3BE08669"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 xml:space="preserve">Паралельно зі створенням локальних протоколів розробляються клінічні </w:t>
      </w:r>
      <w:r>
        <w:rPr>
          <w:rFonts w:ascii="Times New Roman" w:eastAsia="Times New Roman" w:hAnsi="Times New Roman" w:cs="Times New Roman"/>
          <w:sz w:val="28"/>
          <w:szCs w:val="28"/>
          <w:lang w:bidi="ar-SA"/>
        </w:rPr>
        <w:lastRenderedPageBreak/>
        <w:t>маршрути пацієнтів - покрокові схеми їх переміщення між структурними підрозділами та різними медичними закладами. У маршрутах визначено, як саме пацієнт отримує необхідну медичну допомогу, враховуючи можливості закладу, вимоги клінічних протоколів і стандарти безпеки</w:t>
      </w:r>
      <w:r>
        <w:rPr>
          <w:rFonts w:ascii="Times New Roman" w:eastAsia="Times New Roman" w:hAnsi="Times New Roman" w:cs="Times New Roman"/>
          <w:sz w:val="28"/>
          <w:szCs w:val="28"/>
          <w:lang w:val="en-US" w:bidi="ar-SA"/>
        </w:rPr>
        <w:t xml:space="preserve"> [</w:t>
      </w:r>
      <w:r>
        <w:rPr>
          <w:rFonts w:ascii="Times New Roman" w:eastAsia="Times New Roman" w:hAnsi="Times New Roman" w:cs="Times New Roman"/>
          <w:sz w:val="28"/>
          <w:szCs w:val="28"/>
          <w:lang w:bidi="ar-SA"/>
        </w:rPr>
        <w:t>9</w:t>
      </w:r>
      <w:r>
        <w:rPr>
          <w:rFonts w:ascii="Times New Roman" w:eastAsia="Times New Roman" w:hAnsi="Times New Roman" w:cs="Times New Roman"/>
          <w:sz w:val="28"/>
          <w:szCs w:val="28"/>
          <w:lang w:val="en-US" w:bidi="ar-SA"/>
        </w:rPr>
        <w:t>]</w:t>
      </w:r>
      <w:r>
        <w:rPr>
          <w:rFonts w:ascii="Times New Roman" w:eastAsia="Times New Roman" w:hAnsi="Times New Roman" w:cs="Times New Roman"/>
          <w:sz w:val="28"/>
          <w:szCs w:val="28"/>
          <w:lang w:bidi="ar-SA"/>
        </w:rPr>
        <w:t>.</w:t>
      </w:r>
    </w:p>
    <w:p w14:paraId="3BE0866A"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Правова складова діяльності включає систему норм і нормативів: забезпечення відповідним медичним обладнанням, діагностичною та лікувальною апаратурою, дотримання вимог щодо штатного забезпечення, а також інших нормативів, що регламентують роботу закладу.</w:t>
      </w:r>
    </w:p>
    <w:p w14:paraId="3BE0866B"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До функціональної бізнес-системи належать такі процеси:</w:t>
      </w:r>
    </w:p>
    <w:p w14:paraId="3BE0866C"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 надання медичних послуг;</w:t>
      </w:r>
    </w:p>
    <w:p w14:paraId="3BE0866D"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 формування пакетів послуг;</w:t>
      </w:r>
    </w:p>
    <w:p w14:paraId="3BE0866E"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 ведення клієнтських баз даних;</w:t>
      </w:r>
    </w:p>
    <w:p w14:paraId="3BE0866F"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 робота з базами постачальників.</w:t>
      </w:r>
    </w:p>
    <w:p w14:paraId="3BE08670"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Підсистема підтримки та забезпечення охоплює:</w:t>
      </w:r>
    </w:p>
    <w:p w14:paraId="3BE08671"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 утримання будівель і приміщень;</w:t>
      </w:r>
    </w:p>
    <w:p w14:paraId="3BE08672"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 адміністративно-господарську діяльність;</w:t>
      </w:r>
    </w:p>
    <w:p w14:paraId="3BE08673"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 закупівлю медичних матеріалів, лікарських засобів та витратних ресурсів;</w:t>
      </w:r>
    </w:p>
    <w:p w14:paraId="3BE08674"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 придбання технологічного обладнання та медичної техніки.</w:t>
      </w:r>
    </w:p>
    <w:p w14:paraId="3BE08675"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Підсистема розвитку включає такі напрями:</w:t>
      </w:r>
    </w:p>
    <w:p w14:paraId="3BE08676"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 стратегічне управління;</w:t>
      </w:r>
    </w:p>
    <w:p w14:paraId="3BE08677"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 фінансове планування та управління ресурсами;</w:t>
      </w:r>
    </w:p>
    <w:p w14:paraId="3BE08678"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 маркетингову політику;</w:t>
      </w:r>
    </w:p>
    <w:p w14:paraId="3BE08679"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 систему менеджменту якості;</w:t>
      </w:r>
    </w:p>
    <w:p w14:paraId="3BE0867A"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 кадрове управління;</w:t>
      </w:r>
    </w:p>
    <w:p w14:paraId="3BE0867B"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 соціальний розвиток персоналу;</w:t>
      </w:r>
    </w:p>
    <w:p w14:paraId="3BE0867C"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 взаємодію з органами державної влади (МОЗ України, НСЗУ та ін.).</w:t>
      </w:r>
    </w:p>
    <w:p w14:paraId="3BE0867D"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 xml:space="preserve">Важливою складовою сучасного організаційно-економічного механізму управління закладом охорони здоров’я є інтеграція внутрішнього аудиту в систему медичного менеджменту. Такий аудит має охоплювати три ключові </w:t>
      </w:r>
      <w:r>
        <w:rPr>
          <w:rFonts w:ascii="Times New Roman" w:eastAsia="Times New Roman" w:hAnsi="Times New Roman" w:cs="Times New Roman"/>
          <w:sz w:val="28"/>
          <w:szCs w:val="28"/>
          <w:lang w:bidi="ar-SA"/>
        </w:rPr>
        <w:lastRenderedPageBreak/>
        <w:t xml:space="preserve">напрями </w:t>
      </w:r>
      <w:r>
        <w:rPr>
          <w:rFonts w:ascii="Times New Roman" w:eastAsia="Times New Roman" w:hAnsi="Times New Roman" w:cs="Times New Roman"/>
          <w:sz w:val="28"/>
          <w:szCs w:val="28"/>
          <w:lang w:val="en-US" w:bidi="ar-SA"/>
        </w:rPr>
        <w:t>[</w:t>
      </w:r>
      <w:r>
        <w:rPr>
          <w:rFonts w:ascii="Times New Roman" w:eastAsia="Times New Roman" w:hAnsi="Times New Roman" w:cs="Times New Roman"/>
          <w:sz w:val="28"/>
          <w:szCs w:val="28"/>
          <w:lang w:bidi="ar-SA"/>
        </w:rPr>
        <w:t>10</w:t>
      </w:r>
      <w:r>
        <w:rPr>
          <w:rFonts w:ascii="Times New Roman" w:eastAsia="Times New Roman" w:hAnsi="Times New Roman" w:cs="Times New Roman"/>
          <w:sz w:val="28"/>
          <w:szCs w:val="28"/>
          <w:lang w:val="en-US" w:bidi="ar-SA"/>
        </w:rPr>
        <w:t>]</w:t>
      </w:r>
      <w:r>
        <w:rPr>
          <w:rFonts w:ascii="Times New Roman" w:eastAsia="Times New Roman" w:hAnsi="Times New Roman" w:cs="Times New Roman"/>
          <w:sz w:val="28"/>
          <w:szCs w:val="28"/>
          <w:lang w:bidi="ar-SA"/>
        </w:rPr>
        <w:t>.</w:t>
      </w:r>
    </w:p>
    <w:p w14:paraId="3BE0867E"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1. Аудит структури. Він включає перевірку кадрового потенціалу, фінансово-економічного й матеріального забезпечення, а також оцінку правильності ведення медичної документації.</w:t>
      </w:r>
    </w:p>
    <w:p w14:paraId="3BE0867F"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2. Аудит процесів. Передбачає аналіз технологічного забезпечення, клінічних процесів, організаційно-методичної роботи та рівня впровадження інноваційних медичних технологій.</w:t>
      </w:r>
    </w:p>
    <w:p w14:paraId="3BE08680"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3. Аудит результатів. Спрямований на об’єктивне оцінювання підсумків діяльності закладу: якості медичної допомоги, задоволеності пацієнтів, мотивації та професійного самопочуття персоналу, а також впливу роботи закладу на стан здоров’я населення регіону.</w:t>
      </w:r>
    </w:p>
    <w:p w14:paraId="3BE08681"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Отже, організаційно-економічний механізм розвитку закладів охорони здоров’я на макрорівні виступає інструментом формування сучасної системи охорони здоров’я та реалізації її реформ. На мікрорівні - це комплекс змін у діяльності окремого медичного закладу, пов’язаний з оновленням управлінських підходів, організації процесів, економічних інструментів і залежний від реальних результатів роботи, зокрема від обсягів і якості наданих медичних послуг.</w:t>
      </w:r>
    </w:p>
    <w:p w14:paraId="3BE08682"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Суттєві труднощі при впровадженні нових управлінських механізмів спричиняє неструктурована поведінка пацієнтів на етапі первинного звернення та обрання сімейного лікаря. До негативних факторів також належать застаріла матеріально-технічна база багатьох закладів і недостатня оснащеність сімейних лікарів діагностичною апаратурою, що обмежує можливості первинної ланки й створює додаткове навантаження на вторинну та третинну медичну допомогу. Проблемою залишається й якість медичних послуг, що безпосередньо впливає на задоволеність пацієнтів і їхнє бажання звернутися повторно</w:t>
      </w:r>
      <w:r>
        <w:rPr>
          <w:rFonts w:ascii="Times New Roman" w:eastAsia="Times New Roman" w:hAnsi="Times New Roman" w:cs="Times New Roman"/>
          <w:sz w:val="28"/>
          <w:szCs w:val="28"/>
          <w:lang w:val="en-US" w:bidi="ar-SA"/>
        </w:rPr>
        <w:t xml:space="preserve"> [</w:t>
      </w:r>
      <w:r>
        <w:rPr>
          <w:rFonts w:ascii="Times New Roman" w:eastAsia="Times New Roman" w:hAnsi="Times New Roman" w:cs="Times New Roman"/>
          <w:sz w:val="28"/>
          <w:szCs w:val="28"/>
          <w:lang w:bidi="ar-SA"/>
        </w:rPr>
        <w:t>11</w:t>
      </w:r>
      <w:r>
        <w:rPr>
          <w:rFonts w:ascii="Times New Roman" w:eastAsia="Times New Roman" w:hAnsi="Times New Roman" w:cs="Times New Roman"/>
          <w:sz w:val="28"/>
          <w:szCs w:val="28"/>
          <w:lang w:val="en-US" w:bidi="ar-SA"/>
        </w:rPr>
        <w:t>]</w:t>
      </w:r>
      <w:r>
        <w:rPr>
          <w:rFonts w:ascii="Times New Roman" w:eastAsia="Times New Roman" w:hAnsi="Times New Roman" w:cs="Times New Roman"/>
          <w:sz w:val="28"/>
          <w:szCs w:val="28"/>
          <w:lang w:bidi="ar-SA"/>
        </w:rPr>
        <w:t>.</w:t>
      </w:r>
    </w:p>
    <w:p w14:paraId="3BE08683"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 xml:space="preserve">Організаційно-економічна діяльність медичного закладу - це сфера нематеріального виробництва, спрямована на створення та надання діагностичних, лікувальних і профілактичних послуг. Механізм управління </w:t>
      </w:r>
      <w:r>
        <w:rPr>
          <w:rFonts w:ascii="Times New Roman" w:eastAsia="Times New Roman" w:hAnsi="Times New Roman" w:cs="Times New Roman"/>
          <w:sz w:val="28"/>
          <w:szCs w:val="28"/>
          <w:lang w:bidi="ar-SA"/>
        </w:rPr>
        <w:lastRenderedPageBreak/>
        <w:t>включає визначення цілей, функцій, структури, учасників управління та інструментів впливу, які забезпечують ефективне функціонування закладу та якісне обслуговування пацієнтів.</w:t>
      </w:r>
    </w:p>
    <w:p w14:paraId="3BE08684"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Організаційно-економічний механізм управління закладом охорони здоров’я - це цілісна система методів, інструментів, норм і показників, що комплексно впливають на результати діяльності медичної установи та сприяють підвищенню її ефективності. Він є рушійною силою розвитку господарського механізму закладу та основою для впровадження сучасних підходів до менеджменту</w:t>
      </w:r>
      <w:r>
        <w:rPr>
          <w:rFonts w:ascii="Times New Roman" w:eastAsia="Times New Roman" w:hAnsi="Times New Roman" w:cs="Times New Roman"/>
          <w:sz w:val="28"/>
          <w:szCs w:val="28"/>
          <w:lang w:val="en-US" w:bidi="ar-SA"/>
        </w:rPr>
        <w:t xml:space="preserve"> [</w:t>
      </w:r>
      <w:r>
        <w:rPr>
          <w:rFonts w:ascii="Times New Roman" w:eastAsia="Times New Roman" w:hAnsi="Times New Roman" w:cs="Times New Roman"/>
          <w:sz w:val="28"/>
          <w:szCs w:val="28"/>
          <w:lang w:bidi="ar-SA"/>
        </w:rPr>
        <w:t>12-14</w:t>
      </w:r>
      <w:r>
        <w:rPr>
          <w:rFonts w:ascii="Times New Roman" w:eastAsia="Times New Roman" w:hAnsi="Times New Roman" w:cs="Times New Roman"/>
          <w:sz w:val="28"/>
          <w:szCs w:val="28"/>
          <w:lang w:val="en-US" w:bidi="ar-SA"/>
        </w:rPr>
        <w:t>]</w:t>
      </w:r>
      <w:r>
        <w:rPr>
          <w:rFonts w:ascii="Times New Roman" w:eastAsia="Times New Roman" w:hAnsi="Times New Roman" w:cs="Times New Roman"/>
          <w:sz w:val="28"/>
          <w:szCs w:val="28"/>
          <w:lang w:bidi="ar-SA"/>
        </w:rPr>
        <w:t>.</w:t>
      </w:r>
    </w:p>
    <w:p w14:paraId="3BE08685"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Управління медичним закладом реалізується через поєднання:</w:t>
      </w:r>
    </w:p>
    <w:p w14:paraId="3BE08686"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 організаційних методів, які формують нормативну базу та внутрішній порядок роботи;</w:t>
      </w:r>
    </w:p>
    <w:p w14:paraId="3BE08687"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 економічних методів, що забезпечують мотивацію та стимулювання персоналу;</w:t>
      </w:r>
    </w:p>
    <w:p w14:paraId="3BE08688"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 xml:space="preserve">- соціально-психологічних методів, спрямованих на розвиток корпоративної культури, моральних цінностей і професійної відповідальності </w:t>
      </w:r>
      <w:r>
        <w:rPr>
          <w:rFonts w:ascii="Times New Roman" w:eastAsia="Times New Roman" w:hAnsi="Times New Roman" w:cs="Times New Roman"/>
          <w:sz w:val="28"/>
          <w:szCs w:val="28"/>
          <w:lang w:val="en-US" w:bidi="ar-SA"/>
        </w:rPr>
        <w:t>[</w:t>
      </w:r>
      <w:r>
        <w:rPr>
          <w:rFonts w:ascii="Times New Roman" w:eastAsia="Times New Roman" w:hAnsi="Times New Roman" w:cs="Times New Roman"/>
          <w:sz w:val="28"/>
          <w:szCs w:val="28"/>
          <w:lang w:bidi="ar-SA"/>
        </w:rPr>
        <w:t>15;16</w:t>
      </w:r>
      <w:r>
        <w:rPr>
          <w:rFonts w:ascii="Times New Roman" w:eastAsia="Times New Roman" w:hAnsi="Times New Roman" w:cs="Times New Roman"/>
          <w:sz w:val="28"/>
          <w:szCs w:val="28"/>
          <w:lang w:val="en-US" w:bidi="ar-SA"/>
        </w:rPr>
        <w:t>]</w:t>
      </w:r>
      <w:r>
        <w:rPr>
          <w:rFonts w:ascii="Times New Roman" w:eastAsia="Times New Roman" w:hAnsi="Times New Roman" w:cs="Times New Roman"/>
          <w:sz w:val="28"/>
          <w:szCs w:val="28"/>
          <w:lang w:bidi="ar-SA"/>
        </w:rPr>
        <w:t>.</w:t>
      </w:r>
    </w:p>
    <w:p w14:paraId="3BE08689"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Грамотне використання цих методів сприяє підвищенню якості медичної допомоги та формує стабільний попит із боку пацієнтів. Механізм управління визначає структуру, функції, обов’язки та відповідальність персоналу, регламентує організацію процесів і забезпечує узгоджену роботу всіх підрозділів медичного закладу.</w:t>
      </w:r>
    </w:p>
    <w:p w14:paraId="3BE0868A" w14:textId="77777777" w:rsidR="00052C0B" w:rsidRDefault="006E6CE8">
      <w:pPr>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 </w:t>
      </w:r>
    </w:p>
    <w:p w14:paraId="3BE0868B" w14:textId="77777777" w:rsidR="00052C0B" w:rsidRDefault="006E6CE8">
      <w:pPr>
        <w:tabs>
          <w:tab w:val="left" w:pos="993"/>
        </w:tabs>
        <w:spacing w:line="360" w:lineRule="auto"/>
        <w:ind w:firstLine="709"/>
        <w:jc w:val="both"/>
        <w:rPr>
          <w:rFonts w:ascii="Times New Roman" w:eastAsia="Microsoft YaHei" w:hAnsi="Times New Roman" w:cs="Times New Roman"/>
          <w:b/>
          <w:sz w:val="28"/>
          <w:szCs w:val="28"/>
        </w:rPr>
      </w:pPr>
      <w:r>
        <w:rPr>
          <w:rFonts w:ascii="Times New Roman" w:eastAsia="Times New Roman" w:hAnsi="Times New Roman" w:cs="Times New Roman"/>
          <w:color w:val="auto"/>
          <w:lang w:bidi="ar-SA"/>
        </w:rPr>
        <w:t> </w:t>
      </w:r>
      <w:r>
        <w:rPr>
          <w:rFonts w:ascii="Times New Roman" w:eastAsia="Microsoft YaHei" w:hAnsi="Times New Roman" w:cs="Times New Roman"/>
          <w:b/>
          <w:sz w:val="28"/>
          <w:szCs w:val="28"/>
        </w:rPr>
        <w:t>1.3. Організаційно-економічні механізми як ключові інструменти державного впливу на функціонування медичної системи</w:t>
      </w:r>
    </w:p>
    <w:p w14:paraId="3BE0868C" w14:textId="77777777" w:rsidR="00052C0B" w:rsidRDefault="006E6CE8">
      <w:pPr>
        <w:tabs>
          <w:tab w:val="left" w:pos="993"/>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Забезпечення високого рівня здоров’я населення за будь-яких умов залишається ключовим пріоритетом для всіх держав та їх систем охорони здоров’я. Це положення регулярно підкреслюється у стратегічних та політичних документах міжнародного, європейського та національного масштабу. Основна мета функціонування системи охорони здоров’я полягає у </w:t>
      </w:r>
      <w:r>
        <w:rPr>
          <w:rFonts w:ascii="Times New Roman" w:eastAsia="Microsoft YaHei" w:hAnsi="Times New Roman" w:cs="Times New Roman"/>
          <w:sz w:val="28"/>
          <w:szCs w:val="28"/>
        </w:rPr>
        <w:lastRenderedPageBreak/>
        <w:t>збереженні та зміцненні здоров’я громадян, а також у гарантуванні доступної й якісної медичної допомоги, що відповідає сучасному технологічному рівню, реальним потребам населення та принципам рівності й справедливості.</w:t>
      </w:r>
    </w:p>
    <w:p w14:paraId="3BE0868D" w14:textId="77777777" w:rsidR="00052C0B" w:rsidRDefault="006E6CE8">
      <w:pPr>
        <w:tabs>
          <w:tab w:val="left" w:pos="993"/>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Однак існуюча модель охорони здоров’я стикається з низкою суттєвих викликів: стрімкі соціально-економічні трансформації, погіршення екологічної ситуації, демографічні труднощі та загалом незадовільний стан громадського здоров’я потребують негайних рішень. За таких умов удосконалення організаційно-економічного механізму галузі стає нагальною необхідністю. Адже навіть систематичне збільшення фінансування не забезпечує покращення медичних послуг, якщо не впроваджуються інструменти раціонального використання ресурсів та стимули для медичних працівників щодо підвищення якості їх роботи</w:t>
      </w:r>
      <w:r>
        <w:rPr>
          <w:rFonts w:ascii="Times New Roman" w:eastAsia="Times New Roman" w:hAnsi="Times New Roman" w:cs="Times New Roman"/>
          <w:sz w:val="28"/>
          <w:szCs w:val="28"/>
          <w:lang w:val="en-US" w:bidi="ar-SA"/>
        </w:rPr>
        <w:t xml:space="preserve"> [</w:t>
      </w:r>
      <w:r>
        <w:rPr>
          <w:rFonts w:ascii="Times New Roman" w:eastAsia="Times New Roman" w:hAnsi="Times New Roman" w:cs="Times New Roman"/>
          <w:sz w:val="28"/>
          <w:szCs w:val="28"/>
          <w:lang w:bidi="ar-SA"/>
        </w:rPr>
        <w:t>17</w:t>
      </w:r>
      <w:r>
        <w:rPr>
          <w:rFonts w:ascii="Times New Roman" w:eastAsia="Times New Roman" w:hAnsi="Times New Roman" w:cs="Times New Roman"/>
          <w:sz w:val="28"/>
          <w:szCs w:val="28"/>
          <w:lang w:val="en-US" w:bidi="ar-SA"/>
        </w:rPr>
        <w:t>]</w:t>
      </w:r>
      <w:r>
        <w:rPr>
          <w:rFonts w:ascii="Times New Roman" w:eastAsia="Times New Roman" w:hAnsi="Times New Roman" w:cs="Times New Roman"/>
          <w:sz w:val="28"/>
          <w:szCs w:val="28"/>
          <w:lang w:bidi="ar-SA"/>
        </w:rPr>
        <w:t>.</w:t>
      </w:r>
    </w:p>
    <w:p w14:paraId="3BE0868E" w14:textId="77777777" w:rsidR="00052C0B" w:rsidRDefault="006E6CE8">
      <w:pPr>
        <w:tabs>
          <w:tab w:val="left" w:pos="993"/>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Охорона здоров’я є фундаментальним елементом соціальної сфери будь-якої держави та важливою складовою життєдіяльності суспільства. Саме усвідомлення її значущості у підвищенні добробуту населення зумовлює потребу у пошуку нових підходів та механізмів удосконалення функціонування галузі. Отже, оптимізація окремих компонентів організаційно-економічного механізму охорони здоров’я відповідно до сучасних тенденцій розвитку економіки є важливою умовою підвищення ефективності системи та якості медичного обслуговування.</w:t>
      </w:r>
    </w:p>
    <w:p w14:paraId="3BE0868F" w14:textId="77777777" w:rsidR="00052C0B" w:rsidRDefault="006E6CE8">
      <w:pPr>
        <w:tabs>
          <w:tab w:val="left" w:pos="993"/>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Система охорони здоров’я України перебуває у стадії масштабної трансформації. Її багаторівневість і складна структура зумовлюють потребу у переосмисленні та формуванні нових підходів до організаційно-економічного механізму управління галуззю.</w:t>
      </w:r>
    </w:p>
    <w:p w14:paraId="3BE08690" w14:textId="77777777" w:rsidR="00052C0B" w:rsidRDefault="006E6CE8">
      <w:pPr>
        <w:tabs>
          <w:tab w:val="left" w:pos="993"/>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Серед ключових викликів, що формують логіку та напрям взаємодії елементів організаційно-економічного механізму у вітчизняній системі охорони здоров’я, варто виділити такі:</w:t>
      </w:r>
    </w:p>
    <w:p w14:paraId="3BE08691" w14:textId="77777777" w:rsidR="00052C0B" w:rsidRDefault="006E6CE8">
      <w:pPr>
        <w:numPr>
          <w:ilvl w:val="0"/>
          <w:numId w:val="15"/>
        </w:numPr>
        <w:tabs>
          <w:tab w:val="left" w:pos="993"/>
        </w:tabs>
        <w:spacing w:line="360" w:lineRule="auto"/>
        <w:ind w:left="0"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забезпечення фінансової стійкості галузі, що передбачає запровадження гнучкіших моделей фінансування, розвиток програм медичного страхування та стимулювання ринку добровільного страхування;</w:t>
      </w:r>
    </w:p>
    <w:p w14:paraId="3BE08692" w14:textId="77777777" w:rsidR="00052C0B" w:rsidRDefault="006E6CE8">
      <w:pPr>
        <w:numPr>
          <w:ilvl w:val="0"/>
          <w:numId w:val="15"/>
        </w:numPr>
        <w:tabs>
          <w:tab w:val="left" w:pos="993"/>
        </w:tabs>
        <w:spacing w:line="360" w:lineRule="auto"/>
        <w:ind w:left="0"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lastRenderedPageBreak/>
        <w:t>посилення кадрового потенціалу, зокрема інтеграцію освіти й науки у світовий простір, стратегічне планування чисельності та спеціалізації персоналу відповідно до реальних потреб, а також створення сприятливих умов для професійного розвитку та добробуту медичних працівників;</w:t>
      </w:r>
    </w:p>
    <w:p w14:paraId="3BE08693" w14:textId="77777777" w:rsidR="00052C0B" w:rsidRDefault="006E6CE8">
      <w:pPr>
        <w:numPr>
          <w:ilvl w:val="0"/>
          <w:numId w:val="15"/>
        </w:numPr>
        <w:tabs>
          <w:tab w:val="left" w:pos="993"/>
        </w:tabs>
        <w:spacing w:line="360" w:lineRule="auto"/>
        <w:ind w:left="0"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розвиток електронної системи охорони здоров’я та зміцнення кібербезпеки, включаючи формування єдиного цифрового середовища з наскрізними процесами та повноцінною інфраструктурою для надання медичних послуг;</w:t>
      </w:r>
    </w:p>
    <w:p w14:paraId="3BE08694" w14:textId="77777777" w:rsidR="00052C0B" w:rsidRDefault="006E6CE8">
      <w:pPr>
        <w:numPr>
          <w:ilvl w:val="0"/>
          <w:numId w:val="15"/>
        </w:numPr>
        <w:tabs>
          <w:tab w:val="left" w:pos="993"/>
        </w:tabs>
        <w:spacing w:line="360" w:lineRule="auto"/>
        <w:ind w:left="0"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удосконалення системи управління якістю медичних послуг на всіх рівнях - від державного до локального, шляхом запровадження сучасних стандартів та механізмів моніторингу якості</w:t>
      </w:r>
      <w:r>
        <w:rPr>
          <w:rFonts w:ascii="Times New Roman" w:eastAsia="Times New Roman" w:hAnsi="Times New Roman" w:cs="Times New Roman"/>
          <w:sz w:val="28"/>
          <w:szCs w:val="28"/>
          <w:lang w:val="en-US" w:bidi="ar-SA"/>
        </w:rPr>
        <w:t xml:space="preserve"> [</w:t>
      </w:r>
      <w:r>
        <w:rPr>
          <w:rFonts w:ascii="Times New Roman" w:eastAsia="Times New Roman" w:hAnsi="Times New Roman" w:cs="Times New Roman"/>
          <w:sz w:val="28"/>
          <w:szCs w:val="28"/>
          <w:lang w:bidi="ar-SA"/>
        </w:rPr>
        <w:t>18</w:t>
      </w:r>
      <w:r>
        <w:rPr>
          <w:rFonts w:ascii="Times New Roman" w:eastAsia="Times New Roman" w:hAnsi="Times New Roman" w:cs="Times New Roman"/>
          <w:sz w:val="28"/>
          <w:szCs w:val="28"/>
          <w:lang w:val="en-US" w:bidi="ar-SA"/>
        </w:rPr>
        <w:t>]</w:t>
      </w:r>
      <w:r>
        <w:rPr>
          <w:rFonts w:ascii="Times New Roman" w:eastAsia="Times New Roman" w:hAnsi="Times New Roman" w:cs="Times New Roman"/>
          <w:sz w:val="28"/>
          <w:szCs w:val="28"/>
          <w:lang w:bidi="ar-SA"/>
        </w:rPr>
        <w:t>.</w:t>
      </w:r>
    </w:p>
    <w:p w14:paraId="3BE08695" w14:textId="77777777" w:rsidR="00052C0B" w:rsidRDefault="006E6CE8">
      <w:pPr>
        <w:tabs>
          <w:tab w:val="left" w:pos="993"/>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Основою сучасних реформ виступає виконання операційного плану Стратегії розвитку системи охорони здоров’я до 2030 року </w:t>
      </w:r>
      <w:r>
        <w:rPr>
          <w:rFonts w:ascii="Times New Roman" w:eastAsia="Times New Roman" w:hAnsi="Times New Roman" w:cs="Times New Roman"/>
          <w:sz w:val="28"/>
          <w:szCs w:val="28"/>
          <w:lang w:val="en-US" w:bidi="ar-SA"/>
        </w:rPr>
        <w:t>[</w:t>
      </w:r>
      <w:r>
        <w:rPr>
          <w:rFonts w:ascii="Times New Roman" w:eastAsia="Times New Roman" w:hAnsi="Times New Roman" w:cs="Times New Roman"/>
          <w:sz w:val="28"/>
          <w:szCs w:val="28"/>
          <w:lang w:bidi="ar-SA"/>
        </w:rPr>
        <w:t>19</w:t>
      </w:r>
      <w:r>
        <w:rPr>
          <w:rFonts w:ascii="Times New Roman" w:eastAsia="Times New Roman" w:hAnsi="Times New Roman" w:cs="Times New Roman"/>
          <w:sz w:val="28"/>
          <w:szCs w:val="28"/>
          <w:lang w:val="en-US" w:bidi="ar-SA"/>
        </w:rPr>
        <w:t>]</w:t>
      </w:r>
      <w:r>
        <w:rPr>
          <w:rFonts w:ascii="Times New Roman" w:eastAsia="Times New Roman" w:hAnsi="Times New Roman" w:cs="Times New Roman"/>
          <w:sz w:val="28"/>
          <w:szCs w:val="28"/>
          <w:lang w:bidi="ar-SA"/>
        </w:rPr>
        <w:t xml:space="preserve">. </w:t>
      </w:r>
      <w:r>
        <w:rPr>
          <w:rFonts w:ascii="Times New Roman" w:eastAsia="Microsoft YaHei" w:hAnsi="Times New Roman" w:cs="Times New Roman"/>
          <w:sz w:val="28"/>
          <w:szCs w:val="28"/>
        </w:rPr>
        <w:t>Цей документ визначає три основні стратегічні напрями:</w:t>
      </w:r>
    </w:p>
    <w:p w14:paraId="3BE08696" w14:textId="77777777" w:rsidR="00052C0B" w:rsidRDefault="006E6CE8">
      <w:pPr>
        <w:tabs>
          <w:tab w:val="left" w:pos="993"/>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забезпечення громадян повним і рівним доступом до якісної медичної допомоги та інструментів реалізації права на здоров’я;</w:t>
      </w:r>
    </w:p>
    <w:p w14:paraId="3BE08697" w14:textId="77777777" w:rsidR="00052C0B" w:rsidRDefault="006E6CE8">
      <w:pPr>
        <w:tabs>
          <w:tab w:val="left" w:pos="993"/>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удосконалення політик та управлінських інструментів, підвищення інституційної спроможності галузі;</w:t>
      </w:r>
    </w:p>
    <w:p w14:paraId="3BE08698" w14:textId="77777777" w:rsidR="00052C0B" w:rsidRDefault="006E6CE8">
      <w:pPr>
        <w:tabs>
          <w:tab w:val="left" w:pos="993"/>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створення умов для ефективного функціонування та розвитку всіх складових національної системи охорони здоров’я.</w:t>
      </w:r>
    </w:p>
    <w:p w14:paraId="3BE08699" w14:textId="77777777" w:rsidR="00052C0B" w:rsidRDefault="006E6CE8">
      <w:pPr>
        <w:tabs>
          <w:tab w:val="left" w:pos="993"/>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Кінцева мета взаємодії всіх елементів організаційно-економічного механізму - покращення якості життя населення, забезпечення охорони та зміцнення здоров’я громадян. Успіх цього процесу безпосередньо залежить від рівня фінансового забезпечення та наявності достатнього кадрового ресурсу. Нестача фінансування фактично свідчить про недостатню зацікавленість держави у зміцненні системи охорони здоров’я та у реалізації конституційних прав громадян на доступну і якісну медичну допомогу. У результаті це не лише підвищує ризики для здоров'я населення, а й знижує середню тривалість життя.</w:t>
      </w:r>
    </w:p>
    <w:p w14:paraId="3BE0869A" w14:textId="77777777" w:rsidR="00052C0B" w:rsidRDefault="006E6CE8">
      <w:pPr>
        <w:tabs>
          <w:tab w:val="left" w:pos="993"/>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Українська система охорони здоров’я й досі значною мірою базується на </w:t>
      </w:r>
      <w:r>
        <w:rPr>
          <w:rFonts w:ascii="Times New Roman" w:eastAsia="Microsoft YaHei" w:hAnsi="Times New Roman" w:cs="Times New Roman"/>
          <w:sz w:val="28"/>
          <w:szCs w:val="28"/>
        </w:rPr>
        <w:lastRenderedPageBreak/>
        <w:t>бюджетному фінансуванні. Розвиток альтернативних джерел підтримки стримується недостатньою активністю приватного сектору та нерідко стриманим ставленням державних органів до підприємницьких ініціатив у медичній сфері. Тому головною проблемою залишається дефіцит фінансування, що зумовлює зниження обсягів безоплатної медичної допомоги, уповільнює оновлення медичного обладнання та підтримує низький рівень оплати праці медичних працівників</w:t>
      </w:r>
      <w:r>
        <w:rPr>
          <w:rFonts w:ascii="Times New Roman" w:eastAsia="Times New Roman" w:hAnsi="Times New Roman" w:cs="Times New Roman"/>
          <w:sz w:val="28"/>
          <w:szCs w:val="28"/>
          <w:lang w:val="en-US" w:bidi="ar-SA"/>
        </w:rPr>
        <w:t xml:space="preserve"> [</w:t>
      </w:r>
      <w:r>
        <w:rPr>
          <w:rFonts w:ascii="Times New Roman" w:eastAsia="Times New Roman" w:hAnsi="Times New Roman" w:cs="Times New Roman"/>
          <w:sz w:val="28"/>
          <w:szCs w:val="28"/>
          <w:lang w:bidi="ar-SA"/>
        </w:rPr>
        <w:t>20</w:t>
      </w:r>
      <w:r>
        <w:rPr>
          <w:rFonts w:ascii="Times New Roman" w:eastAsia="Times New Roman" w:hAnsi="Times New Roman" w:cs="Times New Roman"/>
          <w:sz w:val="28"/>
          <w:szCs w:val="28"/>
          <w:lang w:val="en-US" w:bidi="ar-SA"/>
        </w:rPr>
        <w:t>]</w:t>
      </w:r>
      <w:r>
        <w:rPr>
          <w:rFonts w:ascii="Times New Roman" w:eastAsia="Times New Roman" w:hAnsi="Times New Roman" w:cs="Times New Roman"/>
          <w:sz w:val="28"/>
          <w:szCs w:val="28"/>
          <w:lang w:bidi="ar-SA"/>
        </w:rPr>
        <w:t>.</w:t>
      </w:r>
    </w:p>
    <w:p w14:paraId="3BE0869B" w14:textId="77777777" w:rsidR="00052C0B" w:rsidRDefault="006E6CE8">
      <w:pPr>
        <w:tabs>
          <w:tab w:val="left" w:pos="993"/>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Фінансування галузі здійснюється за рахунок державного та місцевих бюджетів, коштів підприємств, домогосподарств та інших джерел, дозволених законодавством. Ці ресурси спрямовуються на надання медичної та реабілітаційної допомоги, виконання державних і регіональних програм, а також на фундаментальні наукові дослідження у сфері охорони здоров’я</w:t>
      </w:r>
      <w:r>
        <w:rPr>
          <w:rFonts w:ascii="Times New Roman" w:eastAsia="Times New Roman" w:hAnsi="Times New Roman" w:cs="Times New Roman"/>
          <w:sz w:val="28"/>
          <w:szCs w:val="28"/>
          <w:lang w:val="en-US" w:bidi="ar-SA"/>
        </w:rPr>
        <w:t xml:space="preserve"> [</w:t>
      </w:r>
      <w:r>
        <w:rPr>
          <w:rFonts w:ascii="Times New Roman" w:eastAsia="Times New Roman" w:hAnsi="Times New Roman" w:cs="Times New Roman"/>
          <w:sz w:val="28"/>
          <w:szCs w:val="28"/>
          <w:lang w:bidi="ar-SA"/>
        </w:rPr>
        <w:t>21</w:t>
      </w:r>
      <w:r>
        <w:rPr>
          <w:rFonts w:ascii="Times New Roman" w:eastAsia="Times New Roman" w:hAnsi="Times New Roman" w:cs="Times New Roman"/>
          <w:sz w:val="28"/>
          <w:szCs w:val="28"/>
          <w:lang w:val="en-US" w:bidi="ar-SA"/>
        </w:rPr>
        <w:t>]</w:t>
      </w:r>
      <w:r>
        <w:rPr>
          <w:rFonts w:ascii="Times New Roman" w:eastAsia="Times New Roman" w:hAnsi="Times New Roman" w:cs="Times New Roman"/>
          <w:sz w:val="28"/>
          <w:szCs w:val="28"/>
          <w:lang w:bidi="ar-SA"/>
        </w:rPr>
        <w:t>.</w:t>
      </w:r>
    </w:p>
    <w:p w14:paraId="3BE0869C" w14:textId="77777777" w:rsidR="00052C0B" w:rsidRDefault="006E6CE8">
      <w:pPr>
        <w:tabs>
          <w:tab w:val="left" w:pos="993"/>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З огляду на таку структуру фінансування доцільно проаналізувати динаміку державних видатків на охорону здоров’я. Як видно з рис. 1.1, у період 2016-2024 роки спостерігається стійка тенденція зростання обсягів бюджетних видатків на галузь, причому починаючи з 2020 року структура видатків зазнала суттєвих зрушень у бік фінансування за рахунок коштів державного бюджету, тобто держава поклала на себе основне навантаження із фінансового забезпечення медичної галузі.</w:t>
      </w:r>
    </w:p>
    <w:p w14:paraId="3BE0869D" w14:textId="77777777" w:rsidR="00052C0B" w:rsidRDefault="006E6CE8">
      <w:pPr>
        <w:tabs>
          <w:tab w:val="left" w:pos="993"/>
        </w:tabs>
        <w:spacing w:line="360" w:lineRule="auto"/>
        <w:ind w:firstLine="709"/>
        <w:jc w:val="both"/>
        <w:rPr>
          <w:rFonts w:ascii="Times New Roman" w:eastAsia="Microsoft YaHei" w:hAnsi="Times New Roman" w:cs="Times New Roman"/>
          <w:sz w:val="28"/>
          <w:szCs w:val="28"/>
        </w:rPr>
      </w:pPr>
      <w:r>
        <w:rPr>
          <w:rFonts w:ascii="Microsoft YaHei" w:eastAsia="Microsoft YaHei" w:hAnsi="Microsoft YaHei" w:cs="Microsoft YaHei"/>
          <w:noProof/>
          <w:lang w:bidi="ar-SA"/>
        </w:rPr>
        <w:drawing>
          <wp:inline distT="0" distB="0" distL="0" distR="0" wp14:anchorId="3BE08954" wp14:editId="3BE08955">
            <wp:extent cx="4930140" cy="2491740"/>
            <wp:effectExtent l="0" t="0" r="3810" b="3810"/>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BE0869E" w14:textId="77777777" w:rsidR="00052C0B" w:rsidRDefault="006E6CE8">
      <w:pPr>
        <w:tabs>
          <w:tab w:val="left" w:pos="993"/>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b/>
          <w:sz w:val="28"/>
          <w:szCs w:val="28"/>
        </w:rPr>
        <w:t>Рис. 1.1</w:t>
      </w:r>
      <w:r>
        <w:rPr>
          <w:rFonts w:ascii="Times New Roman" w:eastAsia="Microsoft YaHei" w:hAnsi="Times New Roman" w:cs="Times New Roman"/>
          <w:sz w:val="28"/>
          <w:szCs w:val="28"/>
        </w:rPr>
        <w:t xml:space="preserve">. </w:t>
      </w:r>
      <w:r>
        <w:rPr>
          <w:rFonts w:ascii="Times New Roman" w:eastAsia="Microsoft YaHei" w:hAnsi="Times New Roman" w:cs="Times New Roman"/>
          <w:b/>
          <w:sz w:val="28"/>
          <w:szCs w:val="28"/>
        </w:rPr>
        <w:t>Динаміка структури фінансування галузі охорони здоров’я протягом 2016-2024 років,  млрд грн</w:t>
      </w:r>
      <w:r>
        <w:rPr>
          <w:rFonts w:ascii="Times New Roman" w:eastAsia="Microsoft YaHei" w:hAnsi="Times New Roman" w:cs="Times New Roman"/>
          <w:sz w:val="28"/>
          <w:szCs w:val="28"/>
        </w:rPr>
        <w:t xml:space="preserve"> </w:t>
      </w:r>
    </w:p>
    <w:p w14:paraId="3BE0869F" w14:textId="77777777" w:rsidR="00052C0B" w:rsidRDefault="006E6CE8">
      <w:pPr>
        <w:tabs>
          <w:tab w:val="left" w:pos="993"/>
        </w:tabs>
        <w:spacing w:line="360" w:lineRule="auto"/>
        <w:ind w:firstLine="709"/>
        <w:jc w:val="both"/>
        <w:rPr>
          <w:rFonts w:ascii="Times New Roman" w:eastAsia="Microsoft YaHei" w:hAnsi="Times New Roman" w:cs="Times New Roman"/>
          <w:i/>
        </w:rPr>
      </w:pPr>
      <w:r>
        <w:rPr>
          <w:rFonts w:ascii="Times New Roman" w:eastAsia="Microsoft YaHei" w:hAnsi="Times New Roman" w:cs="Times New Roman"/>
          <w:i/>
        </w:rPr>
        <w:t>Джерело: побудовано на основі [22]</w:t>
      </w:r>
    </w:p>
    <w:p w14:paraId="3BE086A0" w14:textId="77777777" w:rsidR="00052C0B" w:rsidRDefault="00052C0B">
      <w:pPr>
        <w:tabs>
          <w:tab w:val="left" w:pos="993"/>
        </w:tabs>
        <w:spacing w:line="360" w:lineRule="auto"/>
        <w:ind w:firstLine="709"/>
        <w:jc w:val="both"/>
        <w:rPr>
          <w:rFonts w:ascii="Times New Roman" w:eastAsia="Microsoft YaHei" w:hAnsi="Times New Roman" w:cs="Times New Roman"/>
          <w:sz w:val="28"/>
          <w:szCs w:val="28"/>
        </w:rPr>
      </w:pPr>
    </w:p>
    <w:p w14:paraId="3BE086A1" w14:textId="77777777" w:rsidR="00052C0B" w:rsidRDefault="006E6CE8">
      <w:pPr>
        <w:tabs>
          <w:tab w:val="left" w:pos="993"/>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Найвагомішою часткою видатків, як і в попередні роки, залишається фінансування Програми медичних гарантій (ПМГ) (рис. 1.2). Обсяг коштів, спрямованих на її реалізацію, у порівнянні з поточним роком зростає на 10,6% і становить 175,5 млрд грн.</w:t>
      </w:r>
    </w:p>
    <w:p w14:paraId="3BE086A2" w14:textId="77777777" w:rsidR="00052C0B" w:rsidRDefault="006E6CE8">
      <w:pPr>
        <w:tabs>
          <w:tab w:val="left" w:pos="993"/>
        </w:tabs>
        <w:spacing w:line="360" w:lineRule="auto"/>
        <w:ind w:firstLine="709"/>
        <w:jc w:val="center"/>
        <w:rPr>
          <w:rFonts w:ascii="Times New Roman" w:eastAsia="Microsoft YaHei" w:hAnsi="Times New Roman" w:cs="Times New Roman"/>
          <w:sz w:val="28"/>
          <w:szCs w:val="28"/>
        </w:rPr>
      </w:pPr>
      <w:r>
        <w:rPr>
          <w:rFonts w:ascii="Microsoft YaHei" w:eastAsia="Microsoft YaHei" w:hAnsi="Microsoft YaHei" w:cs="Microsoft YaHei"/>
          <w:noProof/>
          <w:lang w:bidi="ar-SA"/>
        </w:rPr>
        <mc:AlternateContent>
          <mc:Choice Requires="wpg">
            <w:drawing>
              <wp:inline distT="0" distB="0" distL="0" distR="0" wp14:anchorId="3BE08956" wp14:editId="3BE08957">
                <wp:extent cx="4274820" cy="3040380"/>
                <wp:effectExtent l="0" t="0" r="0" b="7620"/>
                <wp:docPr id="2" name="Рисунок 1" descr="https://www.apteka.ua/wp/wp-content/uploads/2024/12/budget02_fmt.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apteka.ua/wp/wp-content/uploads/2024/12/budget02_fmt.jpeg"/>
                        <pic:cNvPicPr>
                          <a:picLocks noChangeAspect="1"/>
                        </pic:cNvPicPr>
                      </pic:nvPicPr>
                      <pic:blipFill rotWithShape="1">
                        <a:blip r:embed="rId12"/>
                        <a:stretch/>
                      </pic:blipFill>
                      <pic:spPr bwMode="auto">
                        <a:xfrm>
                          <a:off x="0" y="0"/>
                          <a:ext cx="4274820" cy="3040380"/>
                        </a:xfrm>
                        <a:prstGeom prst="rect">
                          <a:avLst/>
                        </a:prstGeom>
                        <a:noFill/>
                        <a:ln>
                          <a:noFill/>
                        </a:ln>
                      </pic:spPr>
                    </pic:pic>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a="http://schemas.openxmlformats.org/drawingml/2006/main">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0" o:spid="_x0000_s0" type="#_x0000_t75" style="width:336.60pt;height:239.40pt;mso-wrap-distance-left:0.00pt;mso-wrap-distance-top:0.00pt;mso-wrap-distance-right:0.00pt;mso-wrap-distance-bottom:0.00pt;z-index:1;" stroked="f">
                <v:imagedata r:id="rId15" o:title=""/>
                <o:lock v:ext="edit" rotation="t"/>
              </v:shape>
            </w:pict>
          </mc:Fallback>
        </mc:AlternateContent>
      </w:r>
    </w:p>
    <w:p w14:paraId="3BE086A3" w14:textId="77777777" w:rsidR="00052C0B" w:rsidRDefault="006E6CE8">
      <w:pPr>
        <w:tabs>
          <w:tab w:val="left" w:pos="993"/>
        </w:tabs>
        <w:spacing w:line="360" w:lineRule="auto"/>
        <w:ind w:firstLine="709"/>
        <w:jc w:val="both"/>
        <w:rPr>
          <w:rFonts w:ascii="Times New Roman" w:eastAsia="Microsoft YaHei" w:hAnsi="Times New Roman" w:cs="Times New Roman"/>
          <w:b/>
          <w:sz w:val="28"/>
          <w:szCs w:val="28"/>
        </w:rPr>
      </w:pPr>
      <w:r>
        <w:rPr>
          <w:rFonts w:ascii="Times New Roman" w:eastAsia="Microsoft YaHei" w:hAnsi="Times New Roman" w:cs="Times New Roman"/>
          <w:b/>
          <w:sz w:val="28"/>
          <w:szCs w:val="28"/>
        </w:rPr>
        <w:t>Рис. 1.2. Найвагоміші пріоритети видатки Держбюджету на охорону здоров’я на 2025 рік</w:t>
      </w:r>
    </w:p>
    <w:p w14:paraId="3BE086A4" w14:textId="77777777" w:rsidR="00052C0B" w:rsidRDefault="006E6CE8">
      <w:pPr>
        <w:tabs>
          <w:tab w:val="left" w:pos="993"/>
        </w:tabs>
        <w:spacing w:line="360" w:lineRule="auto"/>
        <w:ind w:firstLine="709"/>
        <w:jc w:val="both"/>
        <w:rPr>
          <w:rFonts w:ascii="Times New Roman" w:eastAsia="Microsoft YaHei" w:hAnsi="Times New Roman" w:cs="Times New Roman"/>
          <w:i/>
        </w:rPr>
      </w:pPr>
      <w:r>
        <w:rPr>
          <w:rFonts w:ascii="Times New Roman" w:eastAsia="Microsoft YaHei" w:hAnsi="Times New Roman" w:cs="Times New Roman"/>
          <w:i/>
        </w:rPr>
        <w:t>Джерело: побудовано на основі [23]</w:t>
      </w:r>
    </w:p>
    <w:p w14:paraId="3BE086A5" w14:textId="77777777" w:rsidR="00052C0B" w:rsidRDefault="00052C0B">
      <w:pPr>
        <w:tabs>
          <w:tab w:val="left" w:pos="993"/>
        </w:tabs>
        <w:spacing w:line="360" w:lineRule="auto"/>
        <w:ind w:firstLine="709"/>
        <w:jc w:val="both"/>
        <w:rPr>
          <w:rFonts w:ascii="Times New Roman" w:eastAsia="Microsoft YaHei" w:hAnsi="Times New Roman" w:cs="Times New Roman"/>
          <w:sz w:val="28"/>
          <w:szCs w:val="28"/>
        </w:rPr>
      </w:pPr>
    </w:p>
    <w:p w14:paraId="3BE086A6" w14:textId="77777777" w:rsidR="00052C0B" w:rsidRDefault="006E6CE8">
      <w:pPr>
        <w:tabs>
          <w:tab w:val="left" w:pos="993"/>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За рахунок цієї суми забезпечуватиметься фінансування широкого спектра медичних послуг:</w:t>
      </w:r>
    </w:p>
    <w:p w14:paraId="3BE086A7" w14:textId="77777777" w:rsidR="00052C0B" w:rsidRDefault="006E6CE8">
      <w:pPr>
        <w:tabs>
          <w:tab w:val="left" w:pos="993"/>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первинної та екстреної допомоги;</w:t>
      </w:r>
    </w:p>
    <w:p w14:paraId="3BE086A8" w14:textId="77777777" w:rsidR="00052C0B" w:rsidRDefault="006E6CE8">
      <w:pPr>
        <w:tabs>
          <w:tab w:val="left" w:pos="993"/>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спеціалізованої амбулаторної і стаціонарної допомоги, включаючи пріоритетні медичні послуги та стани;</w:t>
      </w:r>
    </w:p>
    <w:p w14:paraId="3BE086A9" w14:textId="77777777" w:rsidR="00052C0B" w:rsidRDefault="006E6CE8">
      <w:pPr>
        <w:tabs>
          <w:tab w:val="left" w:pos="993"/>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психологічної та психіатричної підтримки;</w:t>
      </w:r>
    </w:p>
    <w:p w14:paraId="3BE086AA" w14:textId="77777777" w:rsidR="00052C0B" w:rsidRDefault="006E6CE8">
      <w:pPr>
        <w:tabs>
          <w:tab w:val="left" w:pos="993"/>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трансплантації органів і анатомічних матеріалів;</w:t>
      </w:r>
    </w:p>
    <w:p w14:paraId="3BE086AB" w14:textId="77777777" w:rsidR="00052C0B" w:rsidRDefault="006E6CE8">
      <w:pPr>
        <w:tabs>
          <w:tab w:val="left" w:pos="993"/>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паліативної допомоги та медичної реабілітації;</w:t>
      </w:r>
    </w:p>
    <w:p w14:paraId="3BE086AC" w14:textId="77777777" w:rsidR="00052C0B" w:rsidRDefault="006E6CE8">
      <w:pPr>
        <w:tabs>
          <w:tab w:val="left" w:pos="993"/>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лікування безпліддя із застосуванням допоміжних репродуктивних технологій;</w:t>
      </w:r>
    </w:p>
    <w:p w14:paraId="3BE086AD" w14:textId="77777777" w:rsidR="00052C0B" w:rsidRDefault="006E6CE8">
      <w:pPr>
        <w:tabs>
          <w:tab w:val="left" w:pos="993"/>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відшкодування вартості лікарських засобів та медичних виробів.</w:t>
      </w:r>
    </w:p>
    <w:p w14:paraId="3BE086AE" w14:textId="77777777" w:rsidR="00052C0B" w:rsidRDefault="006E6CE8">
      <w:pPr>
        <w:tabs>
          <w:tab w:val="left" w:pos="993"/>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lastRenderedPageBreak/>
        <w:t>Окремо передбачені видатки на організацію та забезпечення функціонування системи державних фінансових гарантій, якими опікується Національна служба здоров’я України. На ці потреби у бюджеті закладено 206,3 млн грн.</w:t>
      </w:r>
    </w:p>
    <w:p w14:paraId="3BE086AF" w14:textId="77777777" w:rsidR="00052C0B" w:rsidRDefault="006E6CE8">
      <w:pPr>
        <w:tabs>
          <w:tab w:val="left" w:pos="993"/>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На централізовані державні закупівлі лікарських засобів та медичних виробів у бюджеті передбачено 11,8 млрд грн. За ці кошти планується придбання медикаментів для лікування ВІЛ/СНІДу, туберкульозу, онкологічних і серцево-судинних хвороб, рідкісних орфанних патологій, забезпечення заходів імунопрофілактики населення, розвитку донорства крові, ендопротезування, постачання наборів для імплантації, слухових апаратів та інших виробів для лікування травм</w:t>
      </w:r>
      <w:r>
        <w:t xml:space="preserve"> </w:t>
      </w:r>
      <w:r>
        <w:rPr>
          <w:rFonts w:ascii="Times New Roman" w:eastAsia="Microsoft YaHei" w:hAnsi="Times New Roman" w:cs="Times New Roman"/>
          <w:sz w:val="28"/>
          <w:szCs w:val="28"/>
        </w:rPr>
        <w:t>[23].</w:t>
      </w:r>
    </w:p>
    <w:p w14:paraId="3BE086B0" w14:textId="77777777" w:rsidR="00052C0B" w:rsidRDefault="006E6CE8">
      <w:pPr>
        <w:tabs>
          <w:tab w:val="left" w:pos="993"/>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Фінансування напряму «Спеціалізована медична допомога» у 2025 році істотно зростає - майже утричі порівняно з поточним роком, досягнувши 5,8 млрд грн.</w:t>
      </w:r>
    </w:p>
    <w:p w14:paraId="3BE086B1" w14:textId="77777777" w:rsidR="00052C0B" w:rsidRDefault="006E6CE8">
      <w:pPr>
        <w:tabs>
          <w:tab w:val="left" w:pos="993"/>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На систему громадського здоров’я та протиепідемічні заходи у Державному бюджеті на 2025 рік закладено 4,4 млрд грн.</w:t>
      </w:r>
    </w:p>
    <w:p w14:paraId="3BE086B2" w14:textId="77777777" w:rsidR="00052C0B" w:rsidRDefault="006E6CE8">
      <w:pPr>
        <w:tabs>
          <w:tab w:val="left" w:pos="993"/>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Для будівництва, реконструкції, модернізації та технічного оснащення медичних закладів виділяється 1,3 млрд грн.</w:t>
      </w:r>
    </w:p>
    <w:p w14:paraId="3BE086B3" w14:textId="77777777" w:rsidR="00052C0B" w:rsidRDefault="006E6CE8">
      <w:pPr>
        <w:tabs>
          <w:tab w:val="left" w:pos="993"/>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Для забезпечення окремих медичних послуг захисникам України, таких як зубопротезування, планова стоматологічна допомога, а також послуги зі збору, кріоконсервації та зберігання репродуктивних клітин, у бюджеті передбачено 939 млн грн, що майже вдвічі менше порівняно з поточним роком.</w:t>
      </w:r>
    </w:p>
    <w:p w14:paraId="3BE086B4" w14:textId="77777777" w:rsidR="00052C0B" w:rsidRDefault="006E6CE8">
      <w:pPr>
        <w:tabs>
          <w:tab w:val="left" w:pos="993"/>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Значно скорочується фінансування напряму «Поліпшення охорони здоров’я на службі у людей»: з 1,7 млрд грн у 2024 році до 361,5 млн грн у 2025-му.</w:t>
      </w:r>
    </w:p>
    <w:p w14:paraId="3BE086B5" w14:textId="77777777" w:rsidR="00052C0B" w:rsidRDefault="006E6CE8">
      <w:pPr>
        <w:tabs>
          <w:tab w:val="left" w:pos="993"/>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Серед нових бюджетних ініціатив - програма забезпечення житлом медичних працівників для стимулювання заповнення вакансій у сільських громадах. На це виділяється 100 млн грн. Також на реалізацію публічних інвестиційних проектів Міністерства охорони здоров’я заплановано                   3,4 млрд грн.</w:t>
      </w:r>
    </w:p>
    <w:p w14:paraId="3BE086B6" w14:textId="77777777" w:rsidR="00052C0B" w:rsidRDefault="006E6CE8">
      <w:pPr>
        <w:tabs>
          <w:tab w:val="left" w:pos="993"/>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lastRenderedPageBreak/>
        <w:t>Для підтримки комунальних медичних закладів, які не працюють у межах Програми медичних гарантій, у 2025 році збережено субвенцію у розмірі 1,3 млрд грн. Крім того, місцеві бюджети отримають 1,7 млрд грн субвенцій на реалізацію інвестиційних проектів у сфері охорони здоров’я [23].</w:t>
      </w:r>
    </w:p>
    <w:p w14:paraId="3BE086B7" w14:textId="77777777" w:rsidR="00052C0B" w:rsidRDefault="006E6CE8">
      <w:pPr>
        <w:tabs>
          <w:tab w:val="left" w:pos="993"/>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Однією із основних складових організаційно-економічного механізму у галузі медицини є кадровий потенціал. В умовах нестабільності та невизначеності залишаються невирішеними такі кадрові проблеми у медичній галузі, як брак кваліфікованих медичних кадрів, недостатня мотивація медичного персоналу та недосконала система оплати праці, регіональні диспропорції у забезпеченні населення країни медичними кадрами, недостатня зайнятість лікарських вакансій за конкретними спеціальностями, зростання середнього віку медичних працівників, нестача коштів на фінансування медичної галузі, консервативна нормативно-правова база, що регулює кадрову політику [24; 25].</w:t>
      </w:r>
    </w:p>
    <w:p w14:paraId="3BE086B8" w14:textId="77777777" w:rsidR="00052C0B" w:rsidRDefault="006E6CE8">
      <w:pPr>
        <w:tabs>
          <w:tab w:val="left" w:pos="993"/>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Практичне відображення проблеми наведено у формі аналізу кадрового складу медичних закладів в Україні та основних тенденцій у динаміці цього показника (рис. 1.3).</w:t>
      </w:r>
    </w:p>
    <w:p w14:paraId="3BE086B9" w14:textId="77777777" w:rsidR="00052C0B" w:rsidRDefault="006E6CE8">
      <w:pPr>
        <w:tabs>
          <w:tab w:val="left" w:pos="993"/>
        </w:tabs>
        <w:spacing w:line="360" w:lineRule="auto"/>
        <w:ind w:firstLine="709"/>
        <w:jc w:val="center"/>
        <w:rPr>
          <w:rFonts w:ascii="Times New Roman" w:eastAsia="Microsoft YaHei" w:hAnsi="Times New Roman" w:cs="Times New Roman"/>
          <w:sz w:val="28"/>
          <w:szCs w:val="28"/>
        </w:rPr>
      </w:pPr>
      <w:r>
        <w:rPr>
          <w:rFonts w:ascii="Microsoft YaHei" w:eastAsia="Microsoft YaHei" w:hAnsi="Microsoft YaHei" w:cs="Microsoft YaHei"/>
          <w:noProof/>
          <w:lang w:bidi="ar-SA"/>
        </w:rPr>
        <w:drawing>
          <wp:inline distT="0" distB="0" distL="0" distR="0" wp14:anchorId="3BE08958" wp14:editId="3BE08959">
            <wp:extent cx="4572000" cy="2743200"/>
            <wp:effectExtent l="0" t="0" r="0" b="0"/>
            <wp:docPr id="3"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3BE086BA" w14:textId="77777777" w:rsidR="00052C0B" w:rsidRDefault="006E6CE8">
      <w:pPr>
        <w:tabs>
          <w:tab w:val="left" w:pos="993"/>
        </w:tabs>
        <w:spacing w:line="360" w:lineRule="auto"/>
        <w:ind w:firstLine="709"/>
        <w:jc w:val="both"/>
        <w:rPr>
          <w:rFonts w:ascii="Times New Roman" w:eastAsia="Microsoft YaHei" w:hAnsi="Times New Roman" w:cs="Times New Roman"/>
          <w:b/>
          <w:sz w:val="28"/>
          <w:szCs w:val="28"/>
        </w:rPr>
      </w:pPr>
      <w:r>
        <w:rPr>
          <w:rFonts w:ascii="Times New Roman" w:eastAsia="Microsoft YaHei" w:hAnsi="Times New Roman" w:cs="Times New Roman"/>
          <w:b/>
          <w:sz w:val="28"/>
          <w:szCs w:val="28"/>
        </w:rPr>
        <w:t>Рис. 1.3. Динаміка кількості лікарів пенсійного віку в Україні та в Одеській області протягом 2020-2024 років, осіб</w:t>
      </w:r>
    </w:p>
    <w:p w14:paraId="3BE086BB" w14:textId="77777777" w:rsidR="00052C0B" w:rsidRDefault="006E6CE8">
      <w:pPr>
        <w:tabs>
          <w:tab w:val="left" w:pos="993"/>
        </w:tabs>
        <w:spacing w:line="360" w:lineRule="auto"/>
        <w:ind w:firstLine="709"/>
        <w:jc w:val="both"/>
        <w:rPr>
          <w:rFonts w:ascii="Times New Roman" w:eastAsia="Microsoft YaHei" w:hAnsi="Times New Roman" w:cs="Times New Roman"/>
          <w:i/>
        </w:rPr>
      </w:pPr>
      <w:r>
        <w:rPr>
          <w:rFonts w:ascii="Times New Roman" w:eastAsia="Microsoft YaHei" w:hAnsi="Times New Roman" w:cs="Times New Roman"/>
          <w:i/>
        </w:rPr>
        <w:t xml:space="preserve">Джерело: побудовано на основі [26] </w:t>
      </w:r>
    </w:p>
    <w:p w14:paraId="3BE086BC" w14:textId="77777777" w:rsidR="00052C0B" w:rsidRDefault="00052C0B">
      <w:pPr>
        <w:tabs>
          <w:tab w:val="left" w:pos="993"/>
        </w:tabs>
        <w:spacing w:line="360" w:lineRule="auto"/>
        <w:ind w:firstLine="709"/>
        <w:jc w:val="both"/>
        <w:rPr>
          <w:rFonts w:ascii="Times New Roman" w:eastAsia="Microsoft YaHei" w:hAnsi="Times New Roman" w:cs="Times New Roman"/>
          <w:i/>
        </w:rPr>
      </w:pPr>
    </w:p>
    <w:p w14:paraId="3BE086BD" w14:textId="77777777" w:rsidR="00052C0B" w:rsidRDefault="006E6CE8">
      <w:pPr>
        <w:tabs>
          <w:tab w:val="left" w:pos="993"/>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lastRenderedPageBreak/>
        <w:t>Попри тенденції несуттєвого зменшення абсолютної кількості лікарів пенсійного віку в Україні та в Одеській області протягом останніх років, їх кількість все ж таки залишається дуже значною, про що свідчить зростання їх питомої ваги у загальній кількості лікарів (табл. 1.3, рис. 1.4).</w:t>
      </w:r>
    </w:p>
    <w:p w14:paraId="3BE086BE" w14:textId="77777777" w:rsidR="00052C0B" w:rsidRDefault="006E6CE8">
      <w:pPr>
        <w:tabs>
          <w:tab w:val="left" w:pos="993"/>
        </w:tabs>
        <w:spacing w:line="360" w:lineRule="auto"/>
        <w:ind w:firstLine="709"/>
        <w:jc w:val="right"/>
        <w:rPr>
          <w:rFonts w:ascii="Times New Roman" w:eastAsia="Microsoft YaHei" w:hAnsi="Times New Roman" w:cs="Times New Roman"/>
          <w:sz w:val="28"/>
          <w:szCs w:val="28"/>
        </w:rPr>
      </w:pPr>
      <w:r>
        <w:rPr>
          <w:rFonts w:ascii="Times New Roman" w:eastAsia="Microsoft YaHei" w:hAnsi="Times New Roman" w:cs="Times New Roman"/>
          <w:sz w:val="28"/>
          <w:szCs w:val="28"/>
        </w:rPr>
        <w:t>Таблиця 1.3</w:t>
      </w:r>
    </w:p>
    <w:p w14:paraId="3BE086BF" w14:textId="77777777" w:rsidR="00052C0B" w:rsidRDefault="006E6CE8">
      <w:pPr>
        <w:tabs>
          <w:tab w:val="left" w:pos="993"/>
        </w:tabs>
        <w:spacing w:line="360" w:lineRule="auto"/>
        <w:ind w:firstLine="709"/>
        <w:jc w:val="center"/>
        <w:rPr>
          <w:rFonts w:ascii="Times New Roman" w:eastAsia="Microsoft YaHei" w:hAnsi="Times New Roman" w:cs="Times New Roman"/>
          <w:b/>
          <w:sz w:val="28"/>
          <w:szCs w:val="28"/>
        </w:rPr>
      </w:pPr>
      <w:r>
        <w:rPr>
          <w:rFonts w:ascii="Times New Roman" w:eastAsia="Microsoft YaHei" w:hAnsi="Times New Roman" w:cs="Times New Roman"/>
          <w:b/>
          <w:sz w:val="28"/>
          <w:szCs w:val="28"/>
        </w:rPr>
        <w:t>Динаміка</w:t>
      </w:r>
      <w:r>
        <w:rPr>
          <w:rFonts w:ascii="Microsoft YaHei" w:eastAsia="Microsoft YaHei" w:hAnsi="Microsoft YaHei" w:cs="Microsoft YaHei"/>
          <w:b/>
        </w:rPr>
        <w:t xml:space="preserve"> </w:t>
      </w:r>
      <w:r>
        <w:rPr>
          <w:rFonts w:ascii="Times New Roman" w:eastAsia="Microsoft YaHei" w:hAnsi="Times New Roman" w:cs="Times New Roman"/>
          <w:b/>
          <w:sz w:val="28"/>
          <w:szCs w:val="28"/>
        </w:rPr>
        <w:t>кількості лікарів пенсійного віку в Україні та в Одеській області протягом 2020-2024 років</w:t>
      </w:r>
    </w:p>
    <w:tbl>
      <w:tblPr>
        <w:tblStyle w:val="24"/>
        <w:tblW w:w="0" w:type="auto"/>
        <w:tblLook w:val="04A0" w:firstRow="1" w:lastRow="0" w:firstColumn="1" w:lastColumn="0" w:noHBand="0" w:noVBand="1"/>
      </w:tblPr>
      <w:tblGrid>
        <w:gridCol w:w="4106"/>
        <w:gridCol w:w="1134"/>
        <w:gridCol w:w="1134"/>
        <w:gridCol w:w="992"/>
        <w:gridCol w:w="993"/>
        <w:gridCol w:w="985"/>
      </w:tblGrid>
      <w:tr w:rsidR="00052C0B" w14:paraId="3BE086C6" w14:textId="77777777">
        <w:tc>
          <w:tcPr>
            <w:tcW w:w="4106" w:type="dxa"/>
            <w:shd w:val="clear" w:color="auto" w:fill="DAEEF3" w:themeFill="accent5" w:themeFillTint="33"/>
            <w:vAlign w:val="center"/>
          </w:tcPr>
          <w:p w14:paraId="3BE086C0" w14:textId="77777777" w:rsidR="00052C0B" w:rsidRDefault="006E6CE8">
            <w:pPr>
              <w:tabs>
                <w:tab w:val="left" w:pos="993"/>
              </w:tabs>
              <w:spacing w:line="360" w:lineRule="auto"/>
              <w:rPr>
                <w:rFonts w:ascii="Times New Roman" w:eastAsia="Microsoft YaHei" w:hAnsi="Times New Roman" w:cs="Times New Roman"/>
              </w:rPr>
            </w:pPr>
            <w:r>
              <w:rPr>
                <w:rFonts w:ascii="Times New Roman" w:eastAsia="Microsoft YaHei" w:hAnsi="Times New Roman" w:cs="Times New Roman"/>
              </w:rPr>
              <w:t>Показник</w:t>
            </w:r>
          </w:p>
        </w:tc>
        <w:tc>
          <w:tcPr>
            <w:tcW w:w="1134" w:type="dxa"/>
            <w:shd w:val="clear" w:color="auto" w:fill="DAEEF3" w:themeFill="accent5" w:themeFillTint="33"/>
            <w:vAlign w:val="center"/>
          </w:tcPr>
          <w:p w14:paraId="3BE086C1" w14:textId="77777777" w:rsidR="00052C0B" w:rsidRDefault="006E6CE8">
            <w:pPr>
              <w:tabs>
                <w:tab w:val="left" w:pos="993"/>
              </w:tabs>
              <w:spacing w:line="360" w:lineRule="auto"/>
              <w:rPr>
                <w:rFonts w:ascii="Times New Roman" w:eastAsia="Microsoft YaHei" w:hAnsi="Times New Roman" w:cs="Times New Roman"/>
              </w:rPr>
            </w:pPr>
            <w:r>
              <w:rPr>
                <w:rFonts w:ascii="Times New Roman" w:eastAsia="Microsoft YaHei" w:hAnsi="Times New Roman" w:cs="Times New Roman"/>
              </w:rPr>
              <w:t>2020</w:t>
            </w:r>
          </w:p>
        </w:tc>
        <w:tc>
          <w:tcPr>
            <w:tcW w:w="1134" w:type="dxa"/>
            <w:shd w:val="clear" w:color="auto" w:fill="DAEEF3" w:themeFill="accent5" w:themeFillTint="33"/>
            <w:vAlign w:val="center"/>
          </w:tcPr>
          <w:p w14:paraId="3BE086C2" w14:textId="77777777" w:rsidR="00052C0B" w:rsidRDefault="006E6CE8">
            <w:pPr>
              <w:tabs>
                <w:tab w:val="left" w:pos="993"/>
              </w:tabs>
              <w:spacing w:line="360" w:lineRule="auto"/>
              <w:rPr>
                <w:rFonts w:ascii="Times New Roman" w:eastAsia="Microsoft YaHei" w:hAnsi="Times New Roman" w:cs="Times New Roman"/>
              </w:rPr>
            </w:pPr>
            <w:r>
              <w:rPr>
                <w:rFonts w:ascii="Times New Roman" w:eastAsia="Microsoft YaHei" w:hAnsi="Times New Roman" w:cs="Times New Roman"/>
              </w:rPr>
              <w:t>2021</w:t>
            </w:r>
          </w:p>
        </w:tc>
        <w:tc>
          <w:tcPr>
            <w:tcW w:w="992" w:type="dxa"/>
            <w:shd w:val="clear" w:color="auto" w:fill="DAEEF3" w:themeFill="accent5" w:themeFillTint="33"/>
            <w:vAlign w:val="center"/>
          </w:tcPr>
          <w:p w14:paraId="3BE086C3" w14:textId="77777777" w:rsidR="00052C0B" w:rsidRDefault="006E6CE8">
            <w:pPr>
              <w:tabs>
                <w:tab w:val="left" w:pos="993"/>
              </w:tabs>
              <w:spacing w:line="360" w:lineRule="auto"/>
              <w:rPr>
                <w:rFonts w:ascii="Times New Roman" w:eastAsia="Microsoft YaHei" w:hAnsi="Times New Roman" w:cs="Times New Roman"/>
              </w:rPr>
            </w:pPr>
            <w:r>
              <w:rPr>
                <w:rFonts w:ascii="Times New Roman" w:eastAsia="Microsoft YaHei" w:hAnsi="Times New Roman" w:cs="Times New Roman"/>
              </w:rPr>
              <w:t>2021</w:t>
            </w:r>
          </w:p>
        </w:tc>
        <w:tc>
          <w:tcPr>
            <w:tcW w:w="993" w:type="dxa"/>
            <w:shd w:val="clear" w:color="auto" w:fill="DAEEF3" w:themeFill="accent5" w:themeFillTint="33"/>
            <w:vAlign w:val="center"/>
          </w:tcPr>
          <w:p w14:paraId="3BE086C4" w14:textId="77777777" w:rsidR="00052C0B" w:rsidRDefault="006E6CE8">
            <w:pPr>
              <w:tabs>
                <w:tab w:val="left" w:pos="993"/>
              </w:tabs>
              <w:spacing w:line="360" w:lineRule="auto"/>
              <w:rPr>
                <w:rFonts w:ascii="Times New Roman" w:eastAsia="Microsoft YaHei" w:hAnsi="Times New Roman" w:cs="Times New Roman"/>
              </w:rPr>
            </w:pPr>
            <w:r>
              <w:rPr>
                <w:rFonts w:ascii="Times New Roman" w:eastAsia="Microsoft YaHei" w:hAnsi="Times New Roman" w:cs="Times New Roman"/>
              </w:rPr>
              <w:t>2023</w:t>
            </w:r>
          </w:p>
        </w:tc>
        <w:tc>
          <w:tcPr>
            <w:tcW w:w="985" w:type="dxa"/>
            <w:shd w:val="clear" w:color="auto" w:fill="DAEEF3" w:themeFill="accent5" w:themeFillTint="33"/>
            <w:vAlign w:val="center"/>
          </w:tcPr>
          <w:p w14:paraId="3BE086C5" w14:textId="77777777" w:rsidR="00052C0B" w:rsidRDefault="006E6CE8">
            <w:pPr>
              <w:tabs>
                <w:tab w:val="left" w:pos="993"/>
              </w:tabs>
              <w:spacing w:line="360" w:lineRule="auto"/>
              <w:rPr>
                <w:rFonts w:ascii="Times New Roman" w:eastAsia="Microsoft YaHei" w:hAnsi="Times New Roman" w:cs="Times New Roman"/>
              </w:rPr>
            </w:pPr>
            <w:r>
              <w:rPr>
                <w:rFonts w:ascii="Times New Roman" w:eastAsia="Microsoft YaHei" w:hAnsi="Times New Roman" w:cs="Times New Roman"/>
              </w:rPr>
              <w:t>2024</w:t>
            </w:r>
          </w:p>
        </w:tc>
      </w:tr>
      <w:tr w:rsidR="00052C0B" w14:paraId="3BE086C8" w14:textId="77777777">
        <w:tc>
          <w:tcPr>
            <w:tcW w:w="9344" w:type="dxa"/>
            <w:gridSpan w:val="6"/>
            <w:shd w:val="clear" w:color="auto" w:fill="FDE9D9" w:themeFill="accent6" w:themeFillTint="33"/>
            <w:vAlign w:val="center"/>
          </w:tcPr>
          <w:p w14:paraId="3BE086C7" w14:textId="77777777" w:rsidR="00052C0B" w:rsidRDefault="006E6CE8">
            <w:pPr>
              <w:tabs>
                <w:tab w:val="left" w:pos="993"/>
              </w:tabs>
              <w:spacing w:line="360" w:lineRule="auto"/>
              <w:jc w:val="center"/>
              <w:rPr>
                <w:rFonts w:ascii="Times New Roman" w:eastAsia="Microsoft YaHei" w:hAnsi="Times New Roman" w:cs="Times New Roman"/>
              </w:rPr>
            </w:pPr>
            <w:r>
              <w:rPr>
                <w:rFonts w:ascii="Times New Roman" w:eastAsia="Microsoft YaHei" w:hAnsi="Times New Roman" w:cs="Times New Roman"/>
              </w:rPr>
              <w:t>Україна</w:t>
            </w:r>
          </w:p>
        </w:tc>
      </w:tr>
      <w:tr w:rsidR="00052C0B" w14:paraId="3BE086CF" w14:textId="77777777">
        <w:tc>
          <w:tcPr>
            <w:tcW w:w="4106" w:type="dxa"/>
            <w:shd w:val="clear" w:color="auto" w:fill="DAEEF3" w:themeFill="accent5" w:themeFillTint="33"/>
            <w:vAlign w:val="center"/>
          </w:tcPr>
          <w:p w14:paraId="3BE086C9" w14:textId="77777777" w:rsidR="00052C0B" w:rsidRDefault="006E6CE8">
            <w:pPr>
              <w:tabs>
                <w:tab w:val="left" w:pos="993"/>
              </w:tabs>
              <w:spacing w:line="360" w:lineRule="auto"/>
              <w:rPr>
                <w:rFonts w:ascii="Times New Roman" w:eastAsia="Microsoft YaHei" w:hAnsi="Times New Roman" w:cs="Times New Roman"/>
              </w:rPr>
            </w:pPr>
            <w:r>
              <w:rPr>
                <w:rFonts w:ascii="Times New Roman" w:eastAsia="Microsoft YaHei" w:hAnsi="Times New Roman" w:cs="Times New Roman"/>
              </w:rPr>
              <w:t>Загальна кількість лікарів, осіб</w:t>
            </w:r>
          </w:p>
        </w:tc>
        <w:tc>
          <w:tcPr>
            <w:tcW w:w="1134" w:type="dxa"/>
            <w:shd w:val="clear" w:color="auto" w:fill="EAF1DD" w:themeFill="accent3" w:themeFillTint="33"/>
            <w:vAlign w:val="center"/>
          </w:tcPr>
          <w:p w14:paraId="3BE086CA" w14:textId="77777777" w:rsidR="00052C0B" w:rsidRDefault="006E6CE8">
            <w:pPr>
              <w:widowControl/>
              <w:jc w:val="right"/>
              <w:rPr>
                <w:rFonts w:ascii="Times New Roman" w:eastAsia="Microsoft YaHei" w:hAnsi="Times New Roman" w:cs="Times New Roman"/>
                <w:lang w:bidi="ar-SA"/>
              </w:rPr>
            </w:pPr>
            <w:r>
              <w:rPr>
                <w:rFonts w:ascii="Times New Roman" w:eastAsia="Microsoft YaHei" w:hAnsi="Times New Roman" w:cs="Times New Roman"/>
              </w:rPr>
              <w:t>147 361</w:t>
            </w:r>
          </w:p>
        </w:tc>
        <w:tc>
          <w:tcPr>
            <w:tcW w:w="1134" w:type="dxa"/>
            <w:shd w:val="clear" w:color="auto" w:fill="EAF1DD" w:themeFill="accent3" w:themeFillTint="33"/>
            <w:vAlign w:val="center"/>
          </w:tcPr>
          <w:p w14:paraId="3BE086CB" w14:textId="77777777" w:rsidR="00052C0B" w:rsidRDefault="006E6CE8">
            <w:pPr>
              <w:jc w:val="right"/>
              <w:rPr>
                <w:rFonts w:ascii="Times New Roman" w:eastAsia="Microsoft YaHei" w:hAnsi="Times New Roman" w:cs="Times New Roman"/>
              </w:rPr>
            </w:pPr>
            <w:r>
              <w:rPr>
                <w:rFonts w:ascii="Times New Roman" w:eastAsia="Microsoft YaHei" w:hAnsi="Times New Roman" w:cs="Times New Roman"/>
              </w:rPr>
              <w:t>143 887</w:t>
            </w:r>
          </w:p>
        </w:tc>
        <w:tc>
          <w:tcPr>
            <w:tcW w:w="992" w:type="dxa"/>
            <w:shd w:val="clear" w:color="auto" w:fill="EAF1DD" w:themeFill="accent3" w:themeFillTint="33"/>
            <w:vAlign w:val="center"/>
          </w:tcPr>
          <w:p w14:paraId="3BE086CC" w14:textId="77777777" w:rsidR="00052C0B" w:rsidRDefault="006E6CE8">
            <w:pPr>
              <w:jc w:val="right"/>
              <w:rPr>
                <w:rFonts w:ascii="Times New Roman" w:eastAsia="Microsoft YaHei" w:hAnsi="Times New Roman" w:cs="Times New Roman"/>
              </w:rPr>
            </w:pPr>
            <w:r>
              <w:rPr>
                <w:rFonts w:ascii="Times New Roman" w:eastAsia="Microsoft YaHei" w:hAnsi="Times New Roman" w:cs="Times New Roman"/>
              </w:rPr>
              <w:t>137 549</w:t>
            </w:r>
          </w:p>
        </w:tc>
        <w:tc>
          <w:tcPr>
            <w:tcW w:w="993" w:type="dxa"/>
            <w:shd w:val="clear" w:color="auto" w:fill="EAF1DD" w:themeFill="accent3" w:themeFillTint="33"/>
            <w:vAlign w:val="center"/>
          </w:tcPr>
          <w:p w14:paraId="3BE086CD" w14:textId="77777777" w:rsidR="00052C0B" w:rsidRDefault="006E6CE8">
            <w:pPr>
              <w:jc w:val="right"/>
              <w:rPr>
                <w:rFonts w:ascii="Times New Roman" w:eastAsia="Microsoft YaHei" w:hAnsi="Times New Roman" w:cs="Times New Roman"/>
              </w:rPr>
            </w:pPr>
            <w:r>
              <w:rPr>
                <w:rFonts w:ascii="Times New Roman" w:eastAsia="Microsoft YaHei" w:hAnsi="Times New Roman" w:cs="Times New Roman"/>
              </w:rPr>
              <w:t>133 237</w:t>
            </w:r>
          </w:p>
        </w:tc>
        <w:tc>
          <w:tcPr>
            <w:tcW w:w="985" w:type="dxa"/>
            <w:shd w:val="clear" w:color="auto" w:fill="EAF1DD" w:themeFill="accent3" w:themeFillTint="33"/>
            <w:vAlign w:val="center"/>
          </w:tcPr>
          <w:p w14:paraId="3BE086CE" w14:textId="77777777" w:rsidR="00052C0B" w:rsidRDefault="006E6CE8">
            <w:pPr>
              <w:jc w:val="right"/>
              <w:rPr>
                <w:rFonts w:ascii="Times New Roman" w:eastAsia="Microsoft YaHei" w:hAnsi="Times New Roman" w:cs="Times New Roman"/>
              </w:rPr>
            </w:pPr>
            <w:r>
              <w:rPr>
                <w:rFonts w:ascii="Times New Roman" w:eastAsia="Microsoft YaHei" w:hAnsi="Times New Roman" w:cs="Times New Roman"/>
              </w:rPr>
              <w:t>127 675</w:t>
            </w:r>
          </w:p>
        </w:tc>
      </w:tr>
      <w:tr w:rsidR="00052C0B" w14:paraId="3BE086D6" w14:textId="77777777">
        <w:tc>
          <w:tcPr>
            <w:tcW w:w="4106" w:type="dxa"/>
            <w:shd w:val="clear" w:color="auto" w:fill="DAEEF3" w:themeFill="accent5" w:themeFillTint="33"/>
            <w:vAlign w:val="center"/>
          </w:tcPr>
          <w:p w14:paraId="3BE086D0" w14:textId="77777777" w:rsidR="00052C0B" w:rsidRDefault="006E6CE8">
            <w:pPr>
              <w:tabs>
                <w:tab w:val="left" w:pos="993"/>
              </w:tabs>
              <w:spacing w:line="360" w:lineRule="auto"/>
              <w:rPr>
                <w:rFonts w:ascii="Times New Roman" w:eastAsia="Microsoft YaHei" w:hAnsi="Times New Roman" w:cs="Times New Roman"/>
              </w:rPr>
            </w:pPr>
            <w:r>
              <w:rPr>
                <w:rFonts w:ascii="Times New Roman" w:eastAsia="Microsoft YaHei" w:hAnsi="Times New Roman" w:cs="Times New Roman"/>
              </w:rPr>
              <w:t>З них пенсійного віку, осіб</w:t>
            </w:r>
          </w:p>
        </w:tc>
        <w:tc>
          <w:tcPr>
            <w:tcW w:w="1134" w:type="dxa"/>
            <w:shd w:val="clear" w:color="auto" w:fill="EAF1DD" w:themeFill="accent3" w:themeFillTint="33"/>
            <w:vAlign w:val="center"/>
          </w:tcPr>
          <w:p w14:paraId="3BE086D1" w14:textId="77777777" w:rsidR="00052C0B" w:rsidRDefault="006E6CE8">
            <w:pPr>
              <w:widowControl/>
              <w:jc w:val="right"/>
              <w:rPr>
                <w:rFonts w:ascii="Times New Roman" w:eastAsia="Microsoft YaHei" w:hAnsi="Times New Roman" w:cs="Times New Roman"/>
                <w:lang w:bidi="ar-SA"/>
              </w:rPr>
            </w:pPr>
            <w:r>
              <w:rPr>
                <w:rFonts w:ascii="Times New Roman" w:eastAsia="Microsoft YaHei" w:hAnsi="Times New Roman" w:cs="Times New Roman"/>
              </w:rPr>
              <w:t>34713</w:t>
            </w:r>
          </w:p>
        </w:tc>
        <w:tc>
          <w:tcPr>
            <w:tcW w:w="1134" w:type="dxa"/>
            <w:shd w:val="clear" w:color="auto" w:fill="EAF1DD" w:themeFill="accent3" w:themeFillTint="33"/>
            <w:vAlign w:val="center"/>
          </w:tcPr>
          <w:p w14:paraId="3BE086D2" w14:textId="77777777" w:rsidR="00052C0B" w:rsidRDefault="006E6CE8">
            <w:pPr>
              <w:jc w:val="right"/>
              <w:rPr>
                <w:rFonts w:ascii="Times New Roman" w:eastAsia="Microsoft YaHei" w:hAnsi="Times New Roman" w:cs="Times New Roman"/>
              </w:rPr>
            </w:pPr>
            <w:r>
              <w:rPr>
                <w:rFonts w:ascii="Times New Roman" w:eastAsia="Microsoft YaHei" w:hAnsi="Times New Roman" w:cs="Times New Roman"/>
              </w:rPr>
              <w:t>34061</w:t>
            </w:r>
          </w:p>
        </w:tc>
        <w:tc>
          <w:tcPr>
            <w:tcW w:w="992" w:type="dxa"/>
            <w:shd w:val="clear" w:color="auto" w:fill="EAF1DD" w:themeFill="accent3" w:themeFillTint="33"/>
            <w:vAlign w:val="center"/>
          </w:tcPr>
          <w:p w14:paraId="3BE086D3" w14:textId="77777777" w:rsidR="00052C0B" w:rsidRDefault="006E6CE8">
            <w:pPr>
              <w:jc w:val="right"/>
              <w:rPr>
                <w:rFonts w:ascii="Times New Roman" w:eastAsia="Microsoft YaHei" w:hAnsi="Times New Roman" w:cs="Times New Roman"/>
              </w:rPr>
            </w:pPr>
            <w:r>
              <w:rPr>
                <w:rFonts w:ascii="Times New Roman" w:eastAsia="Microsoft YaHei" w:hAnsi="Times New Roman" w:cs="Times New Roman"/>
              </w:rPr>
              <w:t>32610</w:t>
            </w:r>
          </w:p>
        </w:tc>
        <w:tc>
          <w:tcPr>
            <w:tcW w:w="993" w:type="dxa"/>
            <w:shd w:val="clear" w:color="auto" w:fill="EAF1DD" w:themeFill="accent3" w:themeFillTint="33"/>
            <w:vAlign w:val="center"/>
          </w:tcPr>
          <w:p w14:paraId="3BE086D4" w14:textId="77777777" w:rsidR="00052C0B" w:rsidRDefault="006E6CE8">
            <w:pPr>
              <w:jc w:val="right"/>
              <w:rPr>
                <w:rFonts w:ascii="Times New Roman" w:eastAsia="Microsoft YaHei" w:hAnsi="Times New Roman" w:cs="Times New Roman"/>
              </w:rPr>
            </w:pPr>
            <w:r>
              <w:rPr>
                <w:rFonts w:ascii="Times New Roman" w:eastAsia="Microsoft YaHei" w:hAnsi="Times New Roman" w:cs="Times New Roman"/>
              </w:rPr>
              <w:t>32917</w:t>
            </w:r>
          </w:p>
        </w:tc>
        <w:tc>
          <w:tcPr>
            <w:tcW w:w="985" w:type="dxa"/>
            <w:shd w:val="clear" w:color="auto" w:fill="EAF1DD" w:themeFill="accent3" w:themeFillTint="33"/>
            <w:vAlign w:val="center"/>
          </w:tcPr>
          <w:p w14:paraId="3BE086D5" w14:textId="77777777" w:rsidR="00052C0B" w:rsidRDefault="006E6CE8">
            <w:pPr>
              <w:jc w:val="right"/>
              <w:rPr>
                <w:rFonts w:ascii="Times New Roman" w:eastAsia="Microsoft YaHei" w:hAnsi="Times New Roman" w:cs="Times New Roman"/>
              </w:rPr>
            </w:pPr>
            <w:r>
              <w:rPr>
                <w:rFonts w:ascii="Times New Roman" w:eastAsia="Microsoft YaHei" w:hAnsi="Times New Roman" w:cs="Times New Roman"/>
              </w:rPr>
              <w:t>32316</w:t>
            </w:r>
          </w:p>
        </w:tc>
      </w:tr>
      <w:tr w:rsidR="00052C0B" w14:paraId="3BE086DD" w14:textId="77777777">
        <w:tc>
          <w:tcPr>
            <w:tcW w:w="4106" w:type="dxa"/>
            <w:shd w:val="clear" w:color="auto" w:fill="DAEEF3" w:themeFill="accent5" w:themeFillTint="33"/>
            <w:vAlign w:val="center"/>
          </w:tcPr>
          <w:p w14:paraId="3BE086D7" w14:textId="77777777" w:rsidR="00052C0B" w:rsidRDefault="006E6CE8">
            <w:pPr>
              <w:tabs>
                <w:tab w:val="left" w:pos="993"/>
              </w:tabs>
              <w:rPr>
                <w:rFonts w:ascii="Times New Roman" w:eastAsia="Microsoft YaHei" w:hAnsi="Times New Roman" w:cs="Times New Roman"/>
              </w:rPr>
            </w:pPr>
            <w:r>
              <w:rPr>
                <w:rFonts w:ascii="Times New Roman" w:eastAsia="Microsoft YaHei" w:hAnsi="Times New Roman" w:cs="Times New Roman"/>
              </w:rPr>
              <w:t>% осіб пенсійного віку у загальній кількості лікарів</w:t>
            </w:r>
          </w:p>
        </w:tc>
        <w:tc>
          <w:tcPr>
            <w:tcW w:w="1134" w:type="dxa"/>
            <w:shd w:val="clear" w:color="auto" w:fill="EAF1DD" w:themeFill="accent3" w:themeFillTint="33"/>
            <w:vAlign w:val="center"/>
          </w:tcPr>
          <w:p w14:paraId="3BE086D8" w14:textId="77777777" w:rsidR="00052C0B" w:rsidRDefault="006E6CE8">
            <w:pPr>
              <w:tabs>
                <w:tab w:val="left" w:pos="993"/>
              </w:tabs>
              <w:spacing w:line="360" w:lineRule="auto"/>
              <w:jc w:val="right"/>
              <w:rPr>
                <w:rFonts w:ascii="Times New Roman" w:eastAsia="Microsoft YaHei" w:hAnsi="Times New Roman" w:cs="Times New Roman"/>
                <w:lang w:val="en-US"/>
              </w:rPr>
            </w:pPr>
            <w:r>
              <w:rPr>
                <w:rFonts w:ascii="Times New Roman" w:eastAsia="Microsoft YaHei" w:hAnsi="Times New Roman" w:cs="Times New Roman"/>
                <w:lang w:val="en-US"/>
              </w:rPr>
              <w:t>23</w:t>
            </w:r>
            <w:r>
              <w:rPr>
                <w:rFonts w:ascii="Times New Roman" w:eastAsia="Microsoft YaHei" w:hAnsi="Times New Roman" w:cs="Times New Roman"/>
              </w:rPr>
              <w:t>,</w:t>
            </w:r>
            <w:r>
              <w:rPr>
                <w:rFonts w:ascii="Times New Roman" w:eastAsia="Microsoft YaHei" w:hAnsi="Times New Roman" w:cs="Times New Roman"/>
                <w:lang w:val="en-US"/>
              </w:rPr>
              <w:t>5%</w:t>
            </w:r>
          </w:p>
        </w:tc>
        <w:tc>
          <w:tcPr>
            <w:tcW w:w="1134" w:type="dxa"/>
            <w:shd w:val="clear" w:color="auto" w:fill="EAF1DD" w:themeFill="accent3" w:themeFillTint="33"/>
            <w:vAlign w:val="center"/>
          </w:tcPr>
          <w:p w14:paraId="3BE086D9" w14:textId="77777777" w:rsidR="00052C0B" w:rsidRDefault="006E6CE8">
            <w:pPr>
              <w:tabs>
                <w:tab w:val="left" w:pos="993"/>
              </w:tabs>
              <w:spacing w:line="360" w:lineRule="auto"/>
              <w:jc w:val="right"/>
              <w:rPr>
                <w:rFonts w:ascii="Times New Roman" w:eastAsia="Microsoft YaHei" w:hAnsi="Times New Roman" w:cs="Times New Roman"/>
              </w:rPr>
            </w:pPr>
            <w:r>
              <w:rPr>
                <w:rFonts w:ascii="Times New Roman" w:eastAsia="Microsoft YaHei" w:hAnsi="Times New Roman" w:cs="Times New Roman"/>
              </w:rPr>
              <w:t>23,7%</w:t>
            </w:r>
          </w:p>
        </w:tc>
        <w:tc>
          <w:tcPr>
            <w:tcW w:w="992" w:type="dxa"/>
            <w:shd w:val="clear" w:color="auto" w:fill="EAF1DD" w:themeFill="accent3" w:themeFillTint="33"/>
            <w:vAlign w:val="center"/>
          </w:tcPr>
          <w:p w14:paraId="3BE086DA" w14:textId="77777777" w:rsidR="00052C0B" w:rsidRDefault="006E6CE8">
            <w:pPr>
              <w:tabs>
                <w:tab w:val="left" w:pos="993"/>
              </w:tabs>
              <w:spacing w:line="360" w:lineRule="auto"/>
              <w:jc w:val="right"/>
              <w:rPr>
                <w:rFonts w:ascii="Times New Roman" w:eastAsia="Microsoft YaHei" w:hAnsi="Times New Roman" w:cs="Times New Roman"/>
              </w:rPr>
            </w:pPr>
            <w:r>
              <w:rPr>
                <w:rFonts w:ascii="Times New Roman" w:eastAsia="Microsoft YaHei" w:hAnsi="Times New Roman" w:cs="Times New Roman"/>
              </w:rPr>
              <w:t>23,7%</w:t>
            </w:r>
          </w:p>
        </w:tc>
        <w:tc>
          <w:tcPr>
            <w:tcW w:w="993" w:type="dxa"/>
            <w:shd w:val="clear" w:color="auto" w:fill="EAF1DD" w:themeFill="accent3" w:themeFillTint="33"/>
            <w:vAlign w:val="center"/>
          </w:tcPr>
          <w:p w14:paraId="3BE086DB" w14:textId="77777777" w:rsidR="00052C0B" w:rsidRDefault="006E6CE8">
            <w:pPr>
              <w:tabs>
                <w:tab w:val="left" w:pos="993"/>
              </w:tabs>
              <w:spacing w:line="360" w:lineRule="auto"/>
              <w:jc w:val="right"/>
              <w:rPr>
                <w:rFonts w:ascii="Times New Roman" w:eastAsia="Microsoft YaHei" w:hAnsi="Times New Roman" w:cs="Times New Roman"/>
              </w:rPr>
            </w:pPr>
            <w:r>
              <w:rPr>
                <w:rFonts w:ascii="Times New Roman" w:eastAsia="Microsoft YaHei" w:hAnsi="Times New Roman" w:cs="Times New Roman"/>
              </w:rPr>
              <w:t>24,7%</w:t>
            </w:r>
          </w:p>
        </w:tc>
        <w:tc>
          <w:tcPr>
            <w:tcW w:w="985" w:type="dxa"/>
            <w:shd w:val="clear" w:color="auto" w:fill="EAF1DD" w:themeFill="accent3" w:themeFillTint="33"/>
            <w:vAlign w:val="center"/>
          </w:tcPr>
          <w:p w14:paraId="3BE086DC" w14:textId="77777777" w:rsidR="00052C0B" w:rsidRDefault="006E6CE8">
            <w:pPr>
              <w:tabs>
                <w:tab w:val="left" w:pos="993"/>
              </w:tabs>
              <w:spacing w:line="360" w:lineRule="auto"/>
              <w:jc w:val="right"/>
              <w:rPr>
                <w:rFonts w:ascii="Times New Roman" w:eastAsia="Microsoft YaHei" w:hAnsi="Times New Roman" w:cs="Times New Roman"/>
              </w:rPr>
            </w:pPr>
            <w:r>
              <w:rPr>
                <w:rFonts w:ascii="Times New Roman" w:eastAsia="Microsoft YaHei" w:hAnsi="Times New Roman" w:cs="Times New Roman"/>
              </w:rPr>
              <w:t>25,3%</w:t>
            </w:r>
          </w:p>
        </w:tc>
      </w:tr>
      <w:tr w:rsidR="00052C0B" w14:paraId="3BE086DF" w14:textId="77777777">
        <w:tc>
          <w:tcPr>
            <w:tcW w:w="9344" w:type="dxa"/>
            <w:gridSpan w:val="6"/>
            <w:shd w:val="clear" w:color="auto" w:fill="FDE9D9" w:themeFill="accent6" w:themeFillTint="33"/>
            <w:vAlign w:val="center"/>
          </w:tcPr>
          <w:p w14:paraId="3BE086DE" w14:textId="77777777" w:rsidR="00052C0B" w:rsidRDefault="006E6CE8">
            <w:pPr>
              <w:tabs>
                <w:tab w:val="left" w:pos="993"/>
              </w:tabs>
              <w:spacing w:line="360" w:lineRule="auto"/>
              <w:jc w:val="center"/>
              <w:rPr>
                <w:rFonts w:ascii="Times New Roman" w:eastAsia="Microsoft YaHei" w:hAnsi="Times New Roman" w:cs="Times New Roman"/>
              </w:rPr>
            </w:pPr>
            <w:r>
              <w:rPr>
                <w:rFonts w:ascii="Times New Roman" w:eastAsia="Microsoft YaHei" w:hAnsi="Times New Roman" w:cs="Times New Roman"/>
              </w:rPr>
              <w:t>Одеська область</w:t>
            </w:r>
          </w:p>
        </w:tc>
      </w:tr>
      <w:tr w:rsidR="00052C0B" w14:paraId="3BE086E6" w14:textId="77777777">
        <w:tc>
          <w:tcPr>
            <w:tcW w:w="4106" w:type="dxa"/>
            <w:shd w:val="clear" w:color="auto" w:fill="DAEEF3" w:themeFill="accent5" w:themeFillTint="33"/>
            <w:vAlign w:val="center"/>
          </w:tcPr>
          <w:p w14:paraId="3BE086E0" w14:textId="77777777" w:rsidR="00052C0B" w:rsidRDefault="006E6CE8">
            <w:pPr>
              <w:tabs>
                <w:tab w:val="left" w:pos="993"/>
              </w:tabs>
              <w:spacing w:line="360" w:lineRule="auto"/>
              <w:rPr>
                <w:rFonts w:ascii="Times New Roman" w:eastAsia="Microsoft YaHei" w:hAnsi="Times New Roman" w:cs="Times New Roman"/>
              </w:rPr>
            </w:pPr>
            <w:r>
              <w:rPr>
                <w:rFonts w:ascii="Times New Roman" w:eastAsia="Microsoft YaHei" w:hAnsi="Times New Roman" w:cs="Times New Roman"/>
              </w:rPr>
              <w:t>Загальна кількість лікарів, осіб</w:t>
            </w:r>
          </w:p>
        </w:tc>
        <w:tc>
          <w:tcPr>
            <w:tcW w:w="1134" w:type="dxa"/>
            <w:shd w:val="clear" w:color="auto" w:fill="EAF1DD" w:themeFill="accent3" w:themeFillTint="33"/>
            <w:vAlign w:val="center"/>
          </w:tcPr>
          <w:p w14:paraId="3BE086E1" w14:textId="77777777" w:rsidR="00052C0B" w:rsidRDefault="006E6CE8">
            <w:pPr>
              <w:widowControl/>
              <w:jc w:val="right"/>
              <w:rPr>
                <w:rFonts w:ascii="Times New Roman" w:eastAsia="Microsoft YaHei" w:hAnsi="Times New Roman" w:cs="Times New Roman"/>
                <w:lang w:bidi="ar-SA"/>
              </w:rPr>
            </w:pPr>
            <w:r>
              <w:rPr>
                <w:rFonts w:ascii="Times New Roman" w:eastAsia="Microsoft YaHei" w:hAnsi="Times New Roman" w:cs="Times New Roman"/>
              </w:rPr>
              <w:t>9 334</w:t>
            </w:r>
          </w:p>
        </w:tc>
        <w:tc>
          <w:tcPr>
            <w:tcW w:w="1134" w:type="dxa"/>
            <w:shd w:val="clear" w:color="auto" w:fill="EAF1DD" w:themeFill="accent3" w:themeFillTint="33"/>
            <w:vAlign w:val="center"/>
          </w:tcPr>
          <w:p w14:paraId="3BE086E2" w14:textId="77777777" w:rsidR="00052C0B" w:rsidRDefault="006E6CE8">
            <w:pPr>
              <w:jc w:val="right"/>
              <w:rPr>
                <w:rFonts w:ascii="Times New Roman" w:eastAsia="Microsoft YaHei" w:hAnsi="Times New Roman" w:cs="Times New Roman"/>
              </w:rPr>
            </w:pPr>
            <w:r>
              <w:rPr>
                <w:rFonts w:ascii="Times New Roman" w:eastAsia="Microsoft YaHei" w:hAnsi="Times New Roman" w:cs="Times New Roman"/>
              </w:rPr>
              <w:t>9123</w:t>
            </w:r>
          </w:p>
        </w:tc>
        <w:tc>
          <w:tcPr>
            <w:tcW w:w="992" w:type="dxa"/>
            <w:shd w:val="clear" w:color="auto" w:fill="EAF1DD" w:themeFill="accent3" w:themeFillTint="33"/>
            <w:vAlign w:val="center"/>
          </w:tcPr>
          <w:p w14:paraId="3BE086E3" w14:textId="77777777" w:rsidR="00052C0B" w:rsidRDefault="006E6CE8">
            <w:pPr>
              <w:jc w:val="right"/>
              <w:rPr>
                <w:rFonts w:ascii="Times New Roman" w:eastAsia="Microsoft YaHei" w:hAnsi="Times New Roman" w:cs="Times New Roman"/>
              </w:rPr>
            </w:pPr>
            <w:r>
              <w:rPr>
                <w:rFonts w:ascii="Times New Roman" w:eastAsia="Microsoft YaHei" w:hAnsi="Times New Roman" w:cs="Times New Roman"/>
              </w:rPr>
              <w:t>8868</w:t>
            </w:r>
          </w:p>
        </w:tc>
        <w:tc>
          <w:tcPr>
            <w:tcW w:w="993" w:type="dxa"/>
            <w:shd w:val="clear" w:color="auto" w:fill="EAF1DD" w:themeFill="accent3" w:themeFillTint="33"/>
            <w:vAlign w:val="center"/>
          </w:tcPr>
          <w:p w14:paraId="3BE086E4" w14:textId="77777777" w:rsidR="00052C0B" w:rsidRDefault="006E6CE8">
            <w:pPr>
              <w:jc w:val="right"/>
              <w:rPr>
                <w:rFonts w:ascii="Times New Roman" w:eastAsia="Microsoft YaHei" w:hAnsi="Times New Roman" w:cs="Times New Roman"/>
              </w:rPr>
            </w:pPr>
            <w:r>
              <w:rPr>
                <w:rFonts w:ascii="Times New Roman" w:eastAsia="Microsoft YaHei" w:hAnsi="Times New Roman" w:cs="Times New Roman"/>
              </w:rPr>
              <w:t>8383</w:t>
            </w:r>
          </w:p>
        </w:tc>
        <w:tc>
          <w:tcPr>
            <w:tcW w:w="985" w:type="dxa"/>
            <w:shd w:val="clear" w:color="auto" w:fill="EAF1DD" w:themeFill="accent3" w:themeFillTint="33"/>
            <w:vAlign w:val="center"/>
          </w:tcPr>
          <w:p w14:paraId="3BE086E5" w14:textId="77777777" w:rsidR="00052C0B" w:rsidRDefault="006E6CE8">
            <w:pPr>
              <w:jc w:val="right"/>
              <w:rPr>
                <w:rFonts w:ascii="Times New Roman" w:eastAsia="Microsoft YaHei" w:hAnsi="Times New Roman" w:cs="Times New Roman"/>
              </w:rPr>
            </w:pPr>
            <w:r>
              <w:rPr>
                <w:rFonts w:ascii="Times New Roman" w:eastAsia="Microsoft YaHei" w:hAnsi="Times New Roman" w:cs="Times New Roman"/>
              </w:rPr>
              <w:t>7 988</w:t>
            </w:r>
          </w:p>
        </w:tc>
      </w:tr>
      <w:tr w:rsidR="00052C0B" w14:paraId="3BE086ED" w14:textId="77777777">
        <w:tc>
          <w:tcPr>
            <w:tcW w:w="4106" w:type="dxa"/>
            <w:shd w:val="clear" w:color="auto" w:fill="DAEEF3" w:themeFill="accent5" w:themeFillTint="33"/>
            <w:vAlign w:val="center"/>
          </w:tcPr>
          <w:p w14:paraId="3BE086E7" w14:textId="77777777" w:rsidR="00052C0B" w:rsidRDefault="006E6CE8">
            <w:pPr>
              <w:tabs>
                <w:tab w:val="left" w:pos="993"/>
              </w:tabs>
              <w:spacing w:line="360" w:lineRule="auto"/>
              <w:rPr>
                <w:rFonts w:ascii="Times New Roman" w:eastAsia="Microsoft YaHei" w:hAnsi="Times New Roman" w:cs="Times New Roman"/>
              </w:rPr>
            </w:pPr>
            <w:r>
              <w:rPr>
                <w:rFonts w:ascii="Times New Roman" w:eastAsia="Microsoft YaHei" w:hAnsi="Times New Roman" w:cs="Times New Roman"/>
              </w:rPr>
              <w:t>З них пенсійного віку, осіб</w:t>
            </w:r>
          </w:p>
        </w:tc>
        <w:tc>
          <w:tcPr>
            <w:tcW w:w="1134" w:type="dxa"/>
            <w:shd w:val="clear" w:color="auto" w:fill="EAF1DD" w:themeFill="accent3" w:themeFillTint="33"/>
            <w:vAlign w:val="center"/>
          </w:tcPr>
          <w:p w14:paraId="3BE086E8" w14:textId="77777777" w:rsidR="00052C0B" w:rsidRDefault="006E6CE8">
            <w:pPr>
              <w:widowControl/>
              <w:jc w:val="right"/>
              <w:rPr>
                <w:rFonts w:ascii="Times New Roman" w:eastAsia="Microsoft YaHei" w:hAnsi="Times New Roman" w:cs="Times New Roman"/>
                <w:lang w:bidi="ar-SA"/>
              </w:rPr>
            </w:pPr>
            <w:r>
              <w:rPr>
                <w:rFonts w:ascii="Times New Roman" w:eastAsia="Microsoft YaHei" w:hAnsi="Times New Roman" w:cs="Times New Roman"/>
              </w:rPr>
              <w:t>2290</w:t>
            </w:r>
          </w:p>
        </w:tc>
        <w:tc>
          <w:tcPr>
            <w:tcW w:w="1134" w:type="dxa"/>
            <w:shd w:val="clear" w:color="auto" w:fill="EAF1DD" w:themeFill="accent3" w:themeFillTint="33"/>
            <w:vAlign w:val="center"/>
          </w:tcPr>
          <w:p w14:paraId="3BE086E9" w14:textId="77777777" w:rsidR="00052C0B" w:rsidRDefault="006E6CE8">
            <w:pPr>
              <w:jc w:val="right"/>
              <w:rPr>
                <w:rFonts w:ascii="Times New Roman" w:eastAsia="Microsoft YaHei" w:hAnsi="Times New Roman" w:cs="Times New Roman"/>
              </w:rPr>
            </w:pPr>
            <w:r>
              <w:rPr>
                <w:rFonts w:ascii="Times New Roman" w:eastAsia="Microsoft YaHei" w:hAnsi="Times New Roman" w:cs="Times New Roman"/>
              </w:rPr>
              <w:t>2201</w:t>
            </w:r>
          </w:p>
        </w:tc>
        <w:tc>
          <w:tcPr>
            <w:tcW w:w="992" w:type="dxa"/>
            <w:shd w:val="clear" w:color="auto" w:fill="EAF1DD" w:themeFill="accent3" w:themeFillTint="33"/>
            <w:vAlign w:val="center"/>
          </w:tcPr>
          <w:p w14:paraId="3BE086EA" w14:textId="77777777" w:rsidR="00052C0B" w:rsidRDefault="006E6CE8">
            <w:pPr>
              <w:jc w:val="right"/>
              <w:rPr>
                <w:rFonts w:ascii="Times New Roman" w:eastAsia="Microsoft YaHei" w:hAnsi="Times New Roman" w:cs="Times New Roman"/>
              </w:rPr>
            </w:pPr>
            <w:r>
              <w:rPr>
                <w:rFonts w:ascii="Times New Roman" w:eastAsia="Microsoft YaHei" w:hAnsi="Times New Roman" w:cs="Times New Roman"/>
              </w:rPr>
              <w:t>2307</w:t>
            </w:r>
          </w:p>
        </w:tc>
        <w:tc>
          <w:tcPr>
            <w:tcW w:w="993" w:type="dxa"/>
            <w:shd w:val="clear" w:color="auto" w:fill="EAF1DD" w:themeFill="accent3" w:themeFillTint="33"/>
            <w:vAlign w:val="center"/>
          </w:tcPr>
          <w:p w14:paraId="3BE086EB" w14:textId="77777777" w:rsidR="00052C0B" w:rsidRDefault="006E6CE8">
            <w:pPr>
              <w:jc w:val="right"/>
              <w:rPr>
                <w:rFonts w:ascii="Times New Roman" w:eastAsia="Microsoft YaHei" w:hAnsi="Times New Roman" w:cs="Times New Roman"/>
              </w:rPr>
            </w:pPr>
            <w:r>
              <w:rPr>
                <w:rFonts w:ascii="Times New Roman" w:eastAsia="Microsoft YaHei" w:hAnsi="Times New Roman" w:cs="Times New Roman"/>
              </w:rPr>
              <w:t>2230</w:t>
            </w:r>
          </w:p>
        </w:tc>
        <w:tc>
          <w:tcPr>
            <w:tcW w:w="985" w:type="dxa"/>
            <w:shd w:val="clear" w:color="auto" w:fill="EAF1DD" w:themeFill="accent3" w:themeFillTint="33"/>
            <w:vAlign w:val="center"/>
          </w:tcPr>
          <w:p w14:paraId="3BE086EC" w14:textId="77777777" w:rsidR="00052C0B" w:rsidRDefault="006E6CE8">
            <w:pPr>
              <w:jc w:val="right"/>
              <w:rPr>
                <w:rFonts w:ascii="Times New Roman" w:eastAsia="Microsoft YaHei" w:hAnsi="Times New Roman" w:cs="Times New Roman"/>
              </w:rPr>
            </w:pPr>
            <w:r>
              <w:rPr>
                <w:rFonts w:ascii="Times New Roman" w:eastAsia="Microsoft YaHei" w:hAnsi="Times New Roman" w:cs="Times New Roman"/>
              </w:rPr>
              <w:t>2195</w:t>
            </w:r>
          </w:p>
        </w:tc>
      </w:tr>
      <w:tr w:rsidR="00052C0B" w14:paraId="3BE086F4" w14:textId="77777777">
        <w:tc>
          <w:tcPr>
            <w:tcW w:w="4106" w:type="dxa"/>
            <w:shd w:val="clear" w:color="auto" w:fill="DAEEF3" w:themeFill="accent5" w:themeFillTint="33"/>
            <w:vAlign w:val="center"/>
          </w:tcPr>
          <w:p w14:paraId="3BE086EE" w14:textId="77777777" w:rsidR="00052C0B" w:rsidRDefault="006E6CE8">
            <w:pPr>
              <w:tabs>
                <w:tab w:val="left" w:pos="993"/>
              </w:tabs>
              <w:rPr>
                <w:rFonts w:ascii="Times New Roman" w:eastAsia="Microsoft YaHei" w:hAnsi="Times New Roman" w:cs="Times New Roman"/>
              </w:rPr>
            </w:pPr>
            <w:r>
              <w:rPr>
                <w:rFonts w:ascii="Times New Roman" w:eastAsia="Microsoft YaHei" w:hAnsi="Times New Roman" w:cs="Times New Roman"/>
              </w:rPr>
              <w:t>% осіб пенсійного віку у загальній кількості лікарів</w:t>
            </w:r>
          </w:p>
        </w:tc>
        <w:tc>
          <w:tcPr>
            <w:tcW w:w="1134" w:type="dxa"/>
            <w:shd w:val="clear" w:color="auto" w:fill="EAF1DD" w:themeFill="accent3" w:themeFillTint="33"/>
            <w:vAlign w:val="center"/>
          </w:tcPr>
          <w:p w14:paraId="3BE086EF" w14:textId="77777777" w:rsidR="00052C0B" w:rsidRDefault="006E6CE8">
            <w:pPr>
              <w:tabs>
                <w:tab w:val="left" w:pos="993"/>
              </w:tabs>
              <w:spacing w:line="360" w:lineRule="auto"/>
              <w:jc w:val="right"/>
              <w:rPr>
                <w:rFonts w:ascii="Times New Roman" w:eastAsia="Microsoft YaHei" w:hAnsi="Times New Roman" w:cs="Times New Roman"/>
              </w:rPr>
            </w:pPr>
            <w:r>
              <w:rPr>
                <w:rFonts w:ascii="Times New Roman" w:eastAsia="Microsoft YaHei" w:hAnsi="Times New Roman" w:cs="Times New Roman"/>
              </w:rPr>
              <w:t>24,5%</w:t>
            </w:r>
          </w:p>
        </w:tc>
        <w:tc>
          <w:tcPr>
            <w:tcW w:w="1134" w:type="dxa"/>
            <w:shd w:val="clear" w:color="auto" w:fill="EAF1DD" w:themeFill="accent3" w:themeFillTint="33"/>
            <w:vAlign w:val="center"/>
          </w:tcPr>
          <w:p w14:paraId="3BE086F0" w14:textId="77777777" w:rsidR="00052C0B" w:rsidRDefault="006E6CE8">
            <w:pPr>
              <w:tabs>
                <w:tab w:val="left" w:pos="993"/>
              </w:tabs>
              <w:spacing w:line="360" w:lineRule="auto"/>
              <w:jc w:val="right"/>
              <w:rPr>
                <w:rFonts w:ascii="Times New Roman" w:eastAsia="Microsoft YaHei" w:hAnsi="Times New Roman" w:cs="Times New Roman"/>
              </w:rPr>
            </w:pPr>
            <w:r>
              <w:rPr>
                <w:rFonts w:ascii="Times New Roman" w:eastAsia="Microsoft YaHei" w:hAnsi="Times New Roman" w:cs="Times New Roman"/>
              </w:rPr>
              <w:t>24,1%</w:t>
            </w:r>
          </w:p>
        </w:tc>
        <w:tc>
          <w:tcPr>
            <w:tcW w:w="992" w:type="dxa"/>
            <w:shd w:val="clear" w:color="auto" w:fill="EAF1DD" w:themeFill="accent3" w:themeFillTint="33"/>
            <w:vAlign w:val="center"/>
          </w:tcPr>
          <w:p w14:paraId="3BE086F1" w14:textId="77777777" w:rsidR="00052C0B" w:rsidRDefault="006E6CE8">
            <w:pPr>
              <w:tabs>
                <w:tab w:val="left" w:pos="993"/>
              </w:tabs>
              <w:spacing w:line="360" w:lineRule="auto"/>
              <w:jc w:val="right"/>
              <w:rPr>
                <w:rFonts w:ascii="Times New Roman" w:eastAsia="Microsoft YaHei" w:hAnsi="Times New Roman" w:cs="Times New Roman"/>
              </w:rPr>
            </w:pPr>
            <w:r>
              <w:rPr>
                <w:rFonts w:ascii="Times New Roman" w:eastAsia="Microsoft YaHei" w:hAnsi="Times New Roman" w:cs="Times New Roman"/>
              </w:rPr>
              <w:t>26,0%</w:t>
            </w:r>
          </w:p>
        </w:tc>
        <w:tc>
          <w:tcPr>
            <w:tcW w:w="993" w:type="dxa"/>
            <w:shd w:val="clear" w:color="auto" w:fill="EAF1DD" w:themeFill="accent3" w:themeFillTint="33"/>
            <w:vAlign w:val="center"/>
          </w:tcPr>
          <w:p w14:paraId="3BE086F2" w14:textId="77777777" w:rsidR="00052C0B" w:rsidRDefault="006E6CE8">
            <w:pPr>
              <w:tabs>
                <w:tab w:val="left" w:pos="993"/>
              </w:tabs>
              <w:spacing w:line="360" w:lineRule="auto"/>
              <w:jc w:val="right"/>
              <w:rPr>
                <w:rFonts w:ascii="Times New Roman" w:eastAsia="Microsoft YaHei" w:hAnsi="Times New Roman" w:cs="Times New Roman"/>
              </w:rPr>
            </w:pPr>
            <w:r>
              <w:rPr>
                <w:rFonts w:ascii="Times New Roman" w:eastAsia="Microsoft YaHei" w:hAnsi="Times New Roman" w:cs="Times New Roman"/>
              </w:rPr>
              <w:t>26,6%</w:t>
            </w:r>
          </w:p>
        </w:tc>
        <w:tc>
          <w:tcPr>
            <w:tcW w:w="985" w:type="dxa"/>
            <w:shd w:val="clear" w:color="auto" w:fill="EAF1DD" w:themeFill="accent3" w:themeFillTint="33"/>
            <w:vAlign w:val="center"/>
          </w:tcPr>
          <w:p w14:paraId="3BE086F3" w14:textId="77777777" w:rsidR="00052C0B" w:rsidRDefault="006E6CE8">
            <w:pPr>
              <w:tabs>
                <w:tab w:val="left" w:pos="993"/>
              </w:tabs>
              <w:spacing w:line="360" w:lineRule="auto"/>
              <w:jc w:val="right"/>
              <w:rPr>
                <w:rFonts w:ascii="Times New Roman" w:eastAsia="Microsoft YaHei" w:hAnsi="Times New Roman" w:cs="Times New Roman"/>
              </w:rPr>
            </w:pPr>
            <w:r>
              <w:rPr>
                <w:rFonts w:ascii="Times New Roman" w:eastAsia="Microsoft YaHei" w:hAnsi="Times New Roman" w:cs="Times New Roman"/>
              </w:rPr>
              <w:t>27,5%</w:t>
            </w:r>
          </w:p>
        </w:tc>
      </w:tr>
    </w:tbl>
    <w:p w14:paraId="3BE086F5" w14:textId="77777777" w:rsidR="00052C0B" w:rsidRDefault="006E6CE8">
      <w:pPr>
        <w:tabs>
          <w:tab w:val="left" w:pos="993"/>
        </w:tabs>
        <w:spacing w:line="360" w:lineRule="auto"/>
        <w:ind w:firstLine="709"/>
        <w:jc w:val="both"/>
        <w:rPr>
          <w:rFonts w:ascii="Times New Roman" w:eastAsia="Microsoft YaHei" w:hAnsi="Times New Roman" w:cs="Times New Roman"/>
          <w:i/>
          <w:color w:val="0000FF"/>
          <w:u w:val="single"/>
        </w:rPr>
      </w:pPr>
      <w:r>
        <w:rPr>
          <w:rFonts w:ascii="Times New Roman" w:eastAsia="Microsoft YaHei" w:hAnsi="Times New Roman" w:cs="Times New Roman"/>
          <w:i/>
        </w:rPr>
        <w:t>Джерело: побудовано на основі [26]</w:t>
      </w:r>
    </w:p>
    <w:p w14:paraId="3BE086F6" w14:textId="77777777" w:rsidR="00052C0B" w:rsidRDefault="00052C0B">
      <w:pPr>
        <w:tabs>
          <w:tab w:val="left" w:pos="993"/>
        </w:tabs>
        <w:spacing w:line="360" w:lineRule="auto"/>
        <w:ind w:firstLine="709"/>
        <w:jc w:val="both"/>
        <w:rPr>
          <w:rFonts w:ascii="Times New Roman" w:eastAsia="Microsoft YaHei" w:hAnsi="Times New Roman" w:cs="Times New Roman"/>
          <w:i/>
        </w:rPr>
      </w:pPr>
    </w:p>
    <w:p w14:paraId="3BE086F7" w14:textId="77777777" w:rsidR="00052C0B" w:rsidRDefault="006E6CE8">
      <w:pPr>
        <w:tabs>
          <w:tab w:val="left" w:pos="993"/>
        </w:tabs>
        <w:spacing w:line="360" w:lineRule="auto"/>
        <w:ind w:firstLine="709"/>
        <w:jc w:val="both"/>
        <w:rPr>
          <w:rFonts w:ascii="Times New Roman" w:eastAsia="Microsoft YaHei" w:hAnsi="Times New Roman" w:cs="Times New Roman"/>
          <w:i/>
        </w:rPr>
      </w:pPr>
      <w:r>
        <w:rPr>
          <w:rFonts w:ascii="Microsoft YaHei" w:eastAsia="Microsoft YaHei" w:hAnsi="Microsoft YaHei" w:cs="Microsoft YaHei"/>
          <w:noProof/>
          <w:lang w:bidi="ar-SA"/>
        </w:rPr>
        <w:drawing>
          <wp:inline distT="0" distB="0" distL="0" distR="0" wp14:anchorId="3BE0895A" wp14:editId="3BE0895B">
            <wp:extent cx="4884420" cy="2644140"/>
            <wp:effectExtent l="0" t="0" r="11430" b="3810"/>
            <wp:docPr id="4" name="Діагра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3BE086F8" w14:textId="77777777" w:rsidR="00052C0B" w:rsidRDefault="006E6CE8">
      <w:pPr>
        <w:tabs>
          <w:tab w:val="left" w:pos="993"/>
        </w:tabs>
        <w:spacing w:line="360" w:lineRule="auto"/>
        <w:ind w:firstLine="709"/>
        <w:jc w:val="both"/>
        <w:rPr>
          <w:rFonts w:ascii="Times New Roman" w:eastAsia="Microsoft YaHei" w:hAnsi="Times New Roman" w:cs="Times New Roman"/>
          <w:b/>
          <w:sz w:val="28"/>
          <w:szCs w:val="28"/>
        </w:rPr>
      </w:pPr>
      <w:r>
        <w:rPr>
          <w:rFonts w:ascii="Times New Roman" w:eastAsia="Microsoft YaHei" w:hAnsi="Times New Roman" w:cs="Times New Roman"/>
          <w:b/>
          <w:sz w:val="28"/>
          <w:szCs w:val="28"/>
        </w:rPr>
        <w:t>Рис. 1.4. Динаміка питомої ваги лікарів пенсійного віку в загальній кількості лікарів в Україні та в Одеській області протягом 2020-2024 років</w:t>
      </w:r>
    </w:p>
    <w:p w14:paraId="3BE086F9" w14:textId="77777777" w:rsidR="00052C0B" w:rsidRDefault="006E6CE8">
      <w:pPr>
        <w:tabs>
          <w:tab w:val="left" w:pos="993"/>
        </w:tabs>
        <w:spacing w:line="360" w:lineRule="auto"/>
        <w:ind w:firstLine="709"/>
        <w:jc w:val="both"/>
        <w:rPr>
          <w:rFonts w:ascii="Times New Roman" w:eastAsia="Microsoft YaHei" w:hAnsi="Times New Roman" w:cs="Times New Roman"/>
          <w:i/>
        </w:rPr>
      </w:pPr>
      <w:r>
        <w:rPr>
          <w:rFonts w:ascii="Times New Roman" w:eastAsia="Microsoft YaHei" w:hAnsi="Times New Roman" w:cs="Times New Roman"/>
          <w:i/>
        </w:rPr>
        <w:t>Джерело: побудовано на основі [26]</w:t>
      </w:r>
    </w:p>
    <w:p w14:paraId="3BE086FA" w14:textId="77777777" w:rsidR="00052C0B" w:rsidRDefault="006E6CE8">
      <w:pPr>
        <w:tabs>
          <w:tab w:val="left" w:pos="993"/>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lastRenderedPageBreak/>
        <w:t xml:space="preserve">Аналіз  забезпеченості  України  лікарями  у розрізі  адміністративно-територіальних  одиниць, показує наступну ситуацію (табл. 1.4). </w:t>
      </w:r>
    </w:p>
    <w:p w14:paraId="3BE086FB" w14:textId="77777777" w:rsidR="00052C0B" w:rsidRDefault="006E6CE8">
      <w:pPr>
        <w:tabs>
          <w:tab w:val="left" w:pos="993"/>
        </w:tabs>
        <w:spacing w:line="360" w:lineRule="auto"/>
        <w:ind w:firstLine="709"/>
        <w:jc w:val="right"/>
        <w:rPr>
          <w:rFonts w:ascii="Times New Roman" w:eastAsia="Microsoft YaHei" w:hAnsi="Times New Roman" w:cs="Times New Roman"/>
          <w:sz w:val="28"/>
          <w:szCs w:val="28"/>
        </w:rPr>
      </w:pPr>
      <w:r>
        <w:rPr>
          <w:rFonts w:ascii="Times New Roman" w:eastAsia="Microsoft YaHei" w:hAnsi="Times New Roman" w:cs="Times New Roman"/>
          <w:sz w:val="28"/>
          <w:szCs w:val="28"/>
        </w:rPr>
        <w:t>Таблиця 1.4</w:t>
      </w:r>
    </w:p>
    <w:p w14:paraId="3BE086FC" w14:textId="77777777" w:rsidR="00052C0B" w:rsidRDefault="006E6CE8">
      <w:pPr>
        <w:tabs>
          <w:tab w:val="left" w:pos="993"/>
        </w:tabs>
        <w:spacing w:line="360" w:lineRule="auto"/>
        <w:ind w:firstLine="709"/>
        <w:jc w:val="center"/>
        <w:rPr>
          <w:rFonts w:ascii="Times New Roman" w:eastAsia="Microsoft YaHei" w:hAnsi="Times New Roman" w:cs="Times New Roman"/>
          <w:b/>
          <w:sz w:val="28"/>
          <w:szCs w:val="28"/>
        </w:rPr>
      </w:pPr>
      <w:r>
        <w:rPr>
          <w:rFonts w:ascii="Times New Roman" w:eastAsia="Microsoft YaHei" w:hAnsi="Times New Roman" w:cs="Times New Roman"/>
          <w:b/>
          <w:sz w:val="28"/>
          <w:szCs w:val="28"/>
        </w:rPr>
        <w:t>Рівень забезпеченості медичними працівниками регіонів України</w:t>
      </w:r>
    </w:p>
    <w:tbl>
      <w:tblPr>
        <w:tblStyle w:val="24"/>
        <w:tblW w:w="9351" w:type="dxa"/>
        <w:tblLook w:val="04A0" w:firstRow="1" w:lastRow="0" w:firstColumn="1" w:lastColumn="0" w:noHBand="0" w:noVBand="1"/>
      </w:tblPr>
      <w:tblGrid>
        <w:gridCol w:w="2830"/>
        <w:gridCol w:w="3261"/>
        <w:gridCol w:w="3260"/>
      </w:tblGrid>
      <w:tr w:rsidR="00052C0B" w14:paraId="3BE086FF" w14:textId="77777777">
        <w:tc>
          <w:tcPr>
            <w:tcW w:w="2830" w:type="dxa"/>
            <w:vMerge w:val="restart"/>
            <w:shd w:val="clear" w:color="auto" w:fill="DDD9C3" w:themeFill="background2" w:themeFillShade="E6"/>
            <w:vAlign w:val="center"/>
          </w:tcPr>
          <w:p w14:paraId="3BE086FD" w14:textId="77777777" w:rsidR="00052C0B" w:rsidRDefault="006E6CE8">
            <w:pPr>
              <w:tabs>
                <w:tab w:val="left" w:pos="993"/>
              </w:tabs>
              <w:jc w:val="center"/>
              <w:rPr>
                <w:rFonts w:ascii="Times New Roman" w:eastAsia="Microsoft YaHei" w:hAnsi="Times New Roman" w:cs="Times New Roman"/>
              </w:rPr>
            </w:pPr>
            <w:r>
              <w:rPr>
                <w:rFonts w:ascii="Times New Roman" w:eastAsia="Microsoft YaHei" w:hAnsi="Times New Roman" w:cs="Times New Roman"/>
              </w:rPr>
              <w:t>Рівень забе</w:t>
            </w:r>
            <w:r>
              <w:rPr>
                <w:rFonts w:ascii="Times New Roman" w:eastAsia="Microsoft YaHei" w:hAnsi="Times New Roman" w:cs="Times New Roman"/>
                <w:shd w:val="clear" w:color="auto" w:fill="DDD9C3" w:themeFill="background2" w:themeFillShade="E6"/>
              </w:rPr>
              <w:t>зпечен</w:t>
            </w:r>
            <w:r>
              <w:rPr>
                <w:rFonts w:ascii="Times New Roman" w:eastAsia="Microsoft YaHei" w:hAnsi="Times New Roman" w:cs="Times New Roman"/>
              </w:rPr>
              <w:t>ості</w:t>
            </w:r>
          </w:p>
        </w:tc>
        <w:tc>
          <w:tcPr>
            <w:tcW w:w="6521" w:type="dxa"/>
            <w:gridSpan w:val="2"/>
            <w:shd w:val="clear" w:color="auto" w:fill="FDE9D9" w:themeFill="accent6" w:themeFillTint="33"/>
            <w:vAlign w:val="center"/>
          </w:tcPr>
          <w:p w14:paraId="3BE086FE" w14:textId="77777777" w:rsidR="00052C0B" w:rsidRDefault="006E6CE8">
            <w:pPr>
              <w:tabs>
                <w:tab w:val="left" w:pos="993"/>
              </w:tabs>
              <w:jc w:val="center"/>
              <w:rPr>
                <w:rFonts w:ascii="Times New Roman" w:eastAsia="Microsoft YaHei" w:hAnsi="Times New Roman" w:cs="Times New Roman"/>
              </w:rPr>
            </w:pPr>
            <w:r>
              <w:rPr>
                <w:rFonts w:ascii="Times New Roman" w:eastAsia="Microsoft YaHei" w:hAnsi="Times New Roman" w:cs="Times New Roman"/>
              </w:rPr>
              <w:t>Області</w:t>
            </w:r>
          </w:p>
        </w:tc>
      </w:tr>
      <w:tr w:rsidR="00052C0B" w14:paraId="3BE08703" w14:textId="77777777">
        <w:tc>
          <w:tcPr>
            <w:tcW w:w="2830" w:type="dxa"/>
            <w:vMerge/>
            <w:shd w:val="clear" w:color="auto" w:fill="DDD9C3" w:themeFill="background2" w:themeFillShade="E6"/>
          </w:tcPr>
          <w:p w14:paraId="3BE08700" w14:textId="77777777" w:rsidR="00052C0B" w:rsidRDefault="00052C0B">
            <w:pPr>
              <w:tabs>
                <w:tab w:val="left" w:pos="993"/>
              </w:tabs>
              <w:jc w:val="both"/>
              <w:rPr>
                <w:rFonts w:ascii="Times New Roman" w:eastAsia="Microsoft YaHei" w:hAnsi="Times New Roman" w:cs="Times New Roman"/>
              </w:rPr>
            </w:pPr>
          </w:p>
        </w:tc>
        <w:tc>
          <w:tcPr>
            <w:tcW w:w="3261" w:type="dxa"/>
            <w:shd w:val="clear" w:color="auto" w:fill="DDD9C3" w:themeFill="background2" w:themeFillShade="E6"/>
            <w:vAlign w:val="center"/>
          </w:tcPr>
          <w:p w14:paraId="3BE08701" w14:textId="77777777" w:rsidR="00052C0B" w:rsidRDefault="006E6CE8">
            <w:pPr>
              <w:tabs>
                <w:tab w:val="left" w:pos="993"/>
              </w:tabs>
              <w:jc w:val="center"/>
              <w:rPr>
                <w:rFonts w:ascii="Times New Roman" w:eastAsia="Microsoft YaHei" w:hAnsi="Times New Roman" w:cs="Times New Roman"/>
              </w:rPr>
            </w:pPr>
            <w:r>
              <w:rPr>
                <w:rFonts w:ascii="Times New Roman" w:eastAsia="Microsoft YaHei" w:hAnsi="Times New Roman" w:cs="Times New Roman"/>
              </w:rPr>
              <w:t>Забезпеченість практикуючими лікарями</w:t>
            </w:r>
          </w:p>
        </w:tc>
        <w:tc>
          <w:tcPr>
            <w:tcW w:w="3260" w:type="dxa"/>
            <w:shd w:val="clear" w:color="auto" w:fill="DDD9C3" w:themeFill="background2" w:themeFillShade="E6"/>
            <w:vAlign w:val="center"/>
          </w:tcPr>
          <w:p w14:paraId="3BE08702" w14:textId="77777777" w:rsidR="00052C0B" w:rsidRDefault="006E6CE8">
            <w:pPr>
              <w:tabs>
                <w:tab w:val="left" w:pos="993"/>
              </w:tabs>
              <w:jc w:val="center"/>
              <w:rPr>
                <w:rFonts w:ascii="Times New Roman" w:eastAsia="Microsoft YaHei" w:hAnsi="Times New Roman" w:cs="Times New Roman"/>
              </w:rPr>
            </w:pPr>
            <w:r>
              <w:rPr>
                <w:rFonts w:ascii="Times New Roman" w:eastAsia="Microsoft YaHei" w:hAnsi="Times New Roman" w:cs="Times New Roman"/>
              </w:rPr>
              <w:t>Забезпеченість молодшим медичним персоналом</w:t>
            </w:r>
          </w:p>
        </w:tc>
      </w:tr>
      <w:tr w:rsidR="00052C0B" w14:paraId="3BE08707" w14:textId="77777777">
        <w:tc>
          <w:tcPr>
            <w:tcW w:w="2830" w:type="dxa"/>
            <w:shd w:val="clear" w:color="auto" w:fill="FDE9D9" w:themeFill="accent6" w:themeFillTint="33"/>
            <w:vAlign w:val="center"/>
          </w:tcPr>
          <w:p w14:paraId="3BE08704" w14:textId="77777777" w:rsidR="00052C0B" w:rsidRDefault="006E6CE8">
            <w:pPr>
              <w:tabs>
                <w:tab w:val="left" w:pos="993"/>
              </w:tabs>
              <w:rPr>
                <w:rFonts w:ascii="Times New Roman" w:eastAsia="Microsoft YaHei" w:hAnsi="Times New Roman" w:cs="Times New Roman"/>
              </w:rPr>
            </w:pPr>
            <w:r>
              <w:rPr>
                <w:rFonts w:ascii="Times New Roman" w:eastAsia="Microsoft YaHei" w:hAnsi="Times New Roman" w:cs="Times New Roman"/>
              </w:rPr>
              <w:t>Вище за середній по країні</w:t>
            </w:r>
          </w:p>
        </w:tc>
        <w:tc>
          <w:tcPr>
            <w:tcW w:w="3261" w:type="dxa"/>
            <w:shd w:val="clear" w:color="auto" w:fill="DAEEF3" w:themeFill="accent5" w:themeFillTint="33"/>
            <w:vAlign w:val="center"/>
          </w:tcPr>
          <w:p w14:paraId="3BE08705" w14:textId="77777777" w:rsidR="00052C0B" w:rsidRDefault="006E6CE8">
            <w:pPr>
              <w:tabs>
                <w:tab w:val="left" w:pos="993"/>
              </w:tabs>
              <w:rPr>
                <w:rFonts w:ascii="Times New Roman" w:eastAsia="Microsoft YaHei" w:hAnsi="Times New Roman" w:cs="Times New Roman"/>
              </w:rPr>
            </w:pPr>
            <w:r>
              <w:rPr>
                <w:rFonts w:ascii="Times New Roman" w:eastAsia="Microsoft YaHei" w:hAnsi="Times New Roman" w:cs="Times New Roman"/>
              </w:rPr>
              <w:t>м. Київ, Івано-Франківська, Тернопільська, Львівська</w:t>
            </w:r>
          </w:p>
        </w:tc>
        <w:tc>
          <w:tcPr>
            <w:tcW w:w="3260" w:type="dxa"/>
            <w:shd w:val="clear" w:color="auto" w:fill="F2F2F2" w:themeFill="background1" w:themeFillShade="F2"/>
            <w:vAlign w:val="center"/>
          </w:tcPr>
          <w:p w14:paraId="3BE08706" w14:textId="77777777" w:rsidR="00052C0B" w:rsidRDefault="006E6CE8">
            <w:pPr>
              <w:tabs>
                <w:tab w:val="left" w:pos="993"/>
              </w:tabs>
              <w:rPr>
                <w:rFonts w:ascii="Times New Roman" w:eastAsia="Microsoft YaHei" w:hAnsi="Times New Roman" w:cs="Times New Roman"/>
              </w:rPr>
            </w:pPr>
            <w:r>
              <w:rPr>
                <w:rFonts w:ascii="Times New Roman" w:eastAsia="Microsoft YaHei" w:hAnsi="Times New Roman" w:cs="Times New Roman"/>
              </w:rPr>
              <w:t>Івано-Франківська, Рівненська, Чернігівська, Тернопільська</w:t>
            </w:r>
          </w:p>
        </w:tc>
      </w:tr>
      <w:tr w:rsidR="00052C0B" w14:paraId="3BE0870B" w14:textId="77777777">
        <w:tc>
          <w:tcPr>
            <w:tcW w:w="2830" w:type="dxa"/>
            <w:shd w:val="clear" w:color="auto" w:fill="FDE9D9" w:themeFill="accent6" w:themeFillTint="33"/>
            <w:vAlign w:val="center"/>
          </w:tcPr>
          <w:p w14:paraId="3BE08708" w14:textId="77777777" w:rsidR="00052C0B" w:rsidRDefault="006E6CE8">
            <w:pPr>
              <w:tabs>
                <w:tab w:val="left" w:pos="993"/>
              </w:tabs>
              <w:rPr>
                <w:rFonts w:ascii="Times New Roman" w:eastAsia="Microsoft YaHei" w:hAnsi="Times New Roman" w:cs="Times New Roman"/>
              </w:rPr>
            </w:pPr>
            <w:r>
              <w:rPr>
                <w:rFonts w:ascii="Times New Roman" w:eastAsia="Microsoft YaHei" w:hAnsi="Times New Roman" w:cs="Times New Roman"/>
              </w:rPr>
              <w:t>На рівні середнього по країні</w:t>
            </w:r>
          </w:p>
        </w:tc>
        <w:tc>
          <w:tcPr>
            <w:tcW w:w="3261" w:type="dxa"/>
            <w:shd w:val="clear" w:color="auto" w:fill="DAEEF3" w:themeFill="accent5" w:themeFillTint="33"/>
            <w:vAlign w:val="center"/>
          </w:tcPr>
          <w:p w14:paraId="3BE08709" w14:textId="77777777" w:rsidR="00052C0B" w:rsidRDefault="006E6CE8">
            <w:pPr>
              <w:tabs>
                <w:tab w:val="left" w:pos="993"/>
              </w:tabs>
              <w:rPr>
                <w:rFonts w:ascii="Times New Roman" w:eastAsia="Microsoft YaHei" w:hAnsi="Times New Roman" w:cs="Times New Roman"/>
              </w:rPr>
            </w:pPr>
            <w:r>
              <w:rPr>
                <w:rFonts w:ascii="Times New Roman" w:eastAsia="Microsoft YaHei" w:hAnsi="Times New Roman" w:cs="Times New Roman"/>
              </w:rPr>
              <w:t>Чернівецька, Полтавська, Хмельницька, Вінницька, Рівненська, Сумська, Волинська, Чернігівська, Харківська, Житомирська, Черкаська, Дніпропетровська, Київська, Закарпатська, Одеська, Миколаївська, Кіровоградська,</w:t>
            </w:r>
          </w:p>
        </w:tc>
        <w:tc>
          <w:tcPr>
            <w:tcW w:w="3260" w:type="dxa"/>
            <w:shd w:val="clear" w:color="auto" w:fill="F2F2F2" w:themeFill="background1" w:themeFillShade="F2"/>
            <w:vAlign w:val="center"/>
          </w:tcPr>
          <w:p w14:paraId="3BE0870A" w14:textId="77777777" w:rsidR="00052C0B" w:rsidRDefault="006E6CE8">
            <w:pPr>
              <w:tabs>
                <w:tab w:val="left" w:pos="993"/>
              </w:tabs>
              <w:rPr>
                <w:rFonts w:ascii="Times New Roman" w:eastAsia="Microsoft YaHei" w:hAnsi="Times New Roman" w:cs="Times New Roman"/>
              </w:rPr>
            </w:pPr>
            <w:r>
              <w:rPr>
                <w:rFonts w:ascii="Times New Roman" w:eastAsia="Microsoft YaHei" w:hAnsi="Times New Roman" w:cs="Times New Roman"/>
              </w:rPr>
              <w:t>Волинська, Сумська, Хмельницька, Житомирська, Кіровоградська, Чернівецька, Львівська, Вінницька, Черкаська, Полтавська, Запорізька, Закарпатська, Херсонська, Луганська, Київська, Донецька, Дніпропетровська</w:t>
            </w:r>
          </w:p>
        </w:tc>
      </w:tr>
      <w:tr w:rsidR="00052C0B" w14:paraId="3BE0870F" w14:textId="77777777">
        <w:tc>
          <w:tcPr>
            <w:tcW w:w="2830" w:type="dxa"/>
            <w:shd w:val="clear" w:color="auto" w:fill="FDE9D9" w:themeFill="accent6" w:themeFillTint="33"/>
            <w:vAlign w:val="center"/>
          </w:tcPr>
          <w:p w14:paraId="3BE0870C" w14:textId="77777777" w:rsidR="00052C0B" w:rsidRDefault="006E6CE8">
            <w:pPr>
              <w:tabs>
                <w:tab w:val="left" w:pos="993"/>
              </w:tabs>
              <w:rPr>
                <w:rFonts w:ascii="Times New Roman" w:eastAsia="Microsoft YaHei" w:hAnsi="Times New Roman" w:cs="Times New Roman"/>
              </w:rPr>
            </w:pPr>
            <w:r>
              <w:rPr>
                <w:rFonts w:ascii="Times New Roman" w:eastAsia="Microsoft YaHei" w:hAnsi="Times New Roman" w:cs="Times New Roman"/>
              </w:rPr>
              <w:t>Нижче за середній по країні</w:t>
            </w:r>
          </w:p>
        </w:tc>
        <w:tc>
          <w:tcPr>
            <w:tcW w:w="3261" w:type="dxa"/>
            <w:shd w:val="clear" w:color="auto" w:fill="DAEEF3" w:themeFill="accent5" w:themeFillTint="33"/>
            <w:vAlign w:val="center"/>
          </w:tcPr>
          <w:p w14:paraId="3BE0870D" w14:textId="77777777" w:rsidR="00052C0B" w:rsidRDefault="006E6CE8">
            <w:pPr>
              <w:tabs>
                <w:tab w:val="left" w:pos="993"/>
              </w:tabs>
              <w:rPr>
                <w:rFonts w:ascii="Times New Roman" w:eastAsia="Microsoft YaHei" w:hAnsi="Times New Roman" w:cs="Times New Roman"/>
              </w:rPr>
            </w:pPr>
            <w:r>
              <w:rPr>
                <w:rFonts w:ascii="Times New Roman" w:eastAsia="Microsoft YaHei" w:hAnsi="Times New Roman" w:cs="Times New Roman"/>
              </w:rPr>
              <w:t>Запорізька, Херсонська, Луганська, Донецька</w:t>
            </w:r>
          </w:p>
        </w:tc>
        <w:tc>
          <w:tcPr>
            <w:tcW w:w="3260" w:type="dxa"/>
            <w:shd w:val="clear" w:color="auto" w:fill="F2F2F2" w:themeFill="background1" w:themeFillShade="F2"/>
            <w:vAlign w:val="center"/>
          </w:tcPr>
          <w:p w14:paraId="3BE0870E" w14:textId="77777777" w:rsidR="00052C0B" w:rsidRDefault="006E6CE8">
            <w:pPr>
              <w:tabs>
                <w:tab w:val="left" w:pos="993"/>
              </w:tabs>
              <w:rPr>
                <w:rFonts w:ascii="Times New Roman" w:eastAsia="Microsoft YaHei" w:hAnsi="Times New Roman" w:cs="Times New Roman"/>
              </w:rPr>
            </w:pPr>
            <w:r>
              <w:rPr>
                <w:rFonts w:ascii="Times New Roman" w:eastAsia="Microsoft YaHei" w:hAnsi="Times New Roman" w:cs="Times New Roman"/>
              </w:rPr>
              <w:t>м. Київ, Одеська, Харківська, Миколаївська</w:t>
            </w:r>
          </w:p>
        </w:tc>
      </w:tr>
    </w:tbl>
    <w:p w14:paraId="3BE08710" w14:textId="77777777" w:rsidR="00052C0B" w:rsidRDefault="006E6CE8">
      <w:pPr>
        <w:tabs>
          <w:tab w:val="left" w:pos="993"/>
        </w:tabs>
        <w:spacing w:line="360" w:lineRule="auto"/>
        <w:ind w:firstLine="709"/>
        <w:jc w:val="both"/>
        <w:rPr>
          <w:rFonts w:ascii="Times New Roman" w:eastAsia="Microsoft YaHei" w:hAnsi="Times New Roman" w:cs="Times New Roman"/>
          <w:i/>
        </w:rPr>
      </w:pPr>
      <w:r>
        <w:rPr>
          <w:rFonts w:ascii="Times New Roman" w:eastAsia="Microsoft YaHei" w:hAnsi="Times New Roman" w:cs="Times New Roman"/>
          <w:i/>
        </w:rPr>
        <w:t>Джерело: побудовано на основі [26]</w:t>
      </w:r>
    </w:p>
    <w:p w14:paraId="3BE08711" w14:textId="77777777" w:rsidR="00052C0B" w:rsidRDefault="00052C0B">
      <w:pPr>
        <w:tabs>
          <w:tab w:val="left" w:pos="993"/>
        </w:tabs>
        <w:spacing w:line="360" w:lineRule="auto"/>
        <w:ind w:firstLine="709"/>
        <w:jc w:val="both"/>
        <w:rPr>
          <w:rFonts w:ascii="Times New Roman" w:eastAsia="Microsoft YaHei" w:hAnsi="Times New Roman" w:cs="Times New Roman"/>
          <w:sz w:val="28"/>
          <w:szCs w:val="28"/>
        </w:rPr>
      </w:pPr>
    </w:p>
    <w:p w14:paraId="3BE08712" w14:textId="77777777" w:rsidR="00052C0B" w:rsidRDefault="006E6CE8">
      <w:pPr>
        <w:tabs>
          <w:tab w:val="left" w:pos="993"/>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Наявні регіональні диспропорції у забезпеченні медичними кадрами різних областей України зумовлені низкою факторів:</w:t>
      </w:r>
    </w:p>
    <w:p w14:paraId="3BE08713" w14:textId="77777777" w:rsidR="00052C0B" w:rsidRDefault="006E6CE8">
      <w:pPr>
        <w:numPr>
          <w:ilvl w:val="0"/>
          <w:numId w:val="15"/>
        </w:numPr>
        <w:tabs>
          <w:tab w:val="left" w:pos="993"/>
        </w:tabs>
        <w:spacing w:line="360" w:lineRule="auto"/>
        <w:ind w:left="0"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Нерівномірним соціально-економічним розвитком територій. Регіони з потужною промисловістю та розвиненою інфраструктурою, як правило, мають ширшу мережу закладів охорони здоров’я та, відповідно, вищий рівень кадрового забезпечення. Наприклад, у столиці працює 58,8 лікарів на 10 тис. населення, тоді як у Київській області цей показник становить лише 38,03 особи [27].</w:t>
      </w:r>
    </w:p>
    <w:p w14:paraId="3BE08714" w14:textId="77777777" w:rsidR="00052C0B" w:rsidRDefault="006E6CE8">
      <w:pPr>
        <w:numPr>
          <w:ilvl w:val="0"/>
          <w:numId w:val="15"/>
        </w:numPr>
        <w:tabs>
          <w:tab w:val="left" w:pos="993"/>
        </w:tabs>
        <w:spacing w:line="360" w:lineRule="auto"/>
        <w:ind w:left="0"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Різним рівнем розвитку медичної освіти. Області, де функціонує достатня кількість медичних університетів і наукових центрів, частіше утримують випускників у своєму регіоні. Це підтверджують статистичні дані: у Києві - 58,8 лікарів на 10 тис. населення, у Харківській області - 48,6, у Львівській - 52,3, в Одеській – 42,8, у Чернівецькій - 59,8 [27].</w:t>
      </w:r>
    </w:p>
    <w:p w14:paraId="3BE08715" w14:textId="77777777" w:rsidR="00052C0B" w:rsidRDefault="006E6CE8">
      <w:pPr>
        <w:numPr>
          <w:ilvl w:val="0"/>
          <w:numId w:val="15"/>
        </w:numPr>
        <w:tabs>
          <w:tab w:val="left" w:pos="993"/>
        </w:tabs>
        <w:spacing w:line="360" w:lineRule="auto"/>
        <w:ind w:left="0"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Рекреаційно-курортним потенціалом регіонів. Області з розвиненою </w:t>
      </w:r>
      <w:r>
        <w:rPr>
          <w:rFonts w:ascii="Times New Roman" w:eastAsia="Microsoft YaHei" w:hAnsi="Times New Roman" w:cs="Times New Roman"/>
          <w:sz w:val="28"/>
          <w:szCs w:val="28"/>
        </w:rPr>
        <w:lastRenderedPageBreak/>
        <w:t>санаторно-курортною інфраструктурою мають більшу потребу і відповідно вищу концентрацію лікарів. Так, забезпеченість медичними кадрами в Одеській області становить 42,8 фахівців на 10 тис. осіб, в Івано-Франківській - 57,6, у Львівській - 52,3, тоді як середній показник по країні дорівнює 43,14 [27].</w:t>
      </w:r>
    </w:p>
    <w:p w14:paraId="3BE08716" w14:textId="77777777" w:rsidR="00052C0B" w:rsidRDefault="006E6CE8">
      <w:pPr>
        <w:tabs>
          <w:tab w:val="left" w:pos="993"/>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Доцільним у межах дослідження є також аналіз динаміки мережі медичних закладів. Дані рисунку 1.5 демонструють, що у 2020–2024 роках кількість медичних установ суттєво скоротилася як у масштабах країни загалом, так і в Одеській області зокрема.</w:t>
      </w:r>
    </w:p>
    <w:p w14:paraId="3BE08717" w14:textId="77777777" w:rsidR="00052C0B" w:rsidRDefault="00052C0B">
      <w:pPr>
        <w:tabs>
          <w:tab w:val="left" w:pos="993"/>
        </w:tabs>
        <w:spacing w:line="360" w:lineRule="auto"/>
        <w:ind w:firstLine="709"/>
        <w:jc w:val="both"/>
        <w:rPr>
          <w:rFonts w:ascii="Times New Roman" w:eastAsia="Microsoft YaHei" w:hAnsi="Times New Roman" w:cs="Times New Roman"/>
          <w:sz w:val="28"/>
          <w:szCs w:val="28"/>
        </w:rPr>
      </w:pPr>
    </w:p>
    <w:p w14:paraId="3BE08718" w14:textId="77777777" w:rsidR="00052C0B" w:rsidRDefault="006E6CE8">
      <w:pPr>
        <w:tabs>
          <w:tab w:val="left" w:pos="993"/>
        </w:tabs>
        <w:spacing w:line="360" w:lineRule="auto"/>
        <w:ind w:firstLine="709"/>
        <w:jc w:val="center"/>
        <w:rPr>
          <w:rFonts w:ascii="Times New Roman" w:eastAsia="Microsoft YaHei" w:hAnsi="Times New Roman" w:cs="Times New Roman"/>
          <w:sz w:val="28"/>
          <w:szCs w:val="28"/>
        </w:rPr>
      </w:pPr>
      <w:r>
        <w:rPr>
          <w:rFonts w:ascii="Microsoft YaHei" w:eastAsia="Microsoft YaHei" w:hAnsi="Microsoft YaHei" w:cs="Microsoft YaHei"/>
          <w:noProof/>
          <w:lang w:bidi="ar-SA"/>
        </w:rPr>
        <w:drawing>
          <wp:inline distT="0" distB="0" distL="0" distR="0" wp14:anchorId="3BE0895C" wp14:editId="3BE0895D">
            <wp:extent cx="4572000" cy="2743200"/>
            <wp:effectExtent l="0" t="0" r="0" b="0"/>
            <wp:docPr id="5" name="Діагра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3BE08719" w14:textId="77777777" w:rsidR="00052C0B" w:rsidRDefault="006E6CE8">
      <w:pPr>
        <w:tabs>
          <w:tab w:val="left" w:pos="993"/>
        </w:tabs>
        <w:spacing w:line="360" w:lineRule="auto"/>
        <w:ind w:firstLine="709"/>
        <w:jc w:val="both"/>
        <w:rPr>
          <w:rFonts w:ascii="Times New Roman" w:eastAsia="Microsoft YaHei" w:hAnsi="Times New Roman" w:cs="Times New Roman"/>
          <w:b/>
          <w:sz w:val="28"/>
          <w:szCs w:val="28"/>
        </w:rPr>
      </w:pPr>
      <w:r>
        <w:rPr>
          <w:rFonts w:ascii="Times New Roman" w:eastAsia="Microsoft YaHei" w:hAnsi="Times New Roman" w:cs="Times New Roman"/>
          <w:b/>
          <w:sz w:val="28"/>
          <w:szCs w:val="28"/>
        </w:rPr>
        <w:t>Рис. 1.5. Динаміка</w:t>
      </w:r>
      <w:r>
        <w:rPr>
          <w:rFonts w:ascii="Microsoft YaHei" w:eastAsia="Microsoft YaHei" w:hAnsi="Microsoft YaHei" w:cs="Microsoft YaHei"/>
          <w:b/>
        </w:rPr>
        <w:t xml:space="preserve"> </w:t>
      </w:r>
      <w:r>
        <w:rPr>
          <w:rFonts w:ascii="Times New Roman" w:eastAsia="Microsoft YaHei" w:hAnsi="Times New Roman" w:cs="Times New Roman"/>
          <w:b/>
          <w:sz w:val="28"/>
          <w:szCs w:val="28"/>
        </w:rPr>
        <w:t>кількості медичних закладів в Україні та в Одеській області протягом 2020-2024 років</w:t>
      </w:r>
    </w:p>
    <w:p w14:paraId="3BE0871A" w14:textId="77777777" w:rsidR="00052C0B" w:rsidRDefault="006E6CE8">
      <w:pPr>
        <w:tabs>
          <w:tab w:val="left" w:pos="993"/>
        </w:tabs>
        <w:spacing w:line="360" w:lineRule="auto"/>
        <w:ind w:firstLine="709"/>
        <w:jc w:val="both"/>
        <w:rPr>
          <w:rFonts w:ascii="Times New Roman" w:eastAsia="Microsoft YaHei" w:hAnsi="Times New Roman" w:cs="Times New Roman"/>
          <w:i/>
        </w:rPr>
      </w:pPr>
      <w:r>
        <w:rPr>
          <w:rFonts w:ascii="Times New Roman" w:eastAsia="Microsoft YaHei" w:hAnsi="Times New Roman" w:cs="Times New Roman"/>
          <w:i/>
        </w:rPr>
        <w:t>Джерело: побудовано на основі [26]</w:t>
      </w:r>
    </w:p>
    <w:p w14:paraId="3BE0871B" w14:textId="77777777" w:rsidR="00052C0B" w:rsidRDefault="00052C0B">
      <w:pPr>
        <w:tabs>
          <w:tab w:val="left" w:pos="993"/>
        </w:tabs>
        <w:spacing w:line="360" w:lineRule="auto"/>
        <w:ind w:left="709"/>
        <w:contextualSpacing/>
        <w:jc w:val="both"/>
        <w:rPr>
          <w:rFonts w:ascii="Times New Roman" w:eastAsia="Microsoft YaHei" w:hAnsi="Times New Roman" w:cs="Times New Roman"/>
          <w:sz w:val="28"/>
          <w:szCs w:val="28"/>
        </w:rPr>
      </w:pPr>
    </w:p>
    <w:p w14:paraId="3BE0871C" w14:textId="77777777" w:rsidR="00052C0B" w:rsidRDefault="006E6CE8">
      <w:pPr>
        <w:tabs>
          <w:tab w:val="left" w:pos="993"/>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Таким чином, упродовж останніх років спостерігається негативна тенденція у кадровому забезпеченні галузі: зменшується кількість лікарів і середнього медичного персоналу, а також поглиблюються територіальні та професійні дисбаланси. Збереження дефіциту кадрів неминуче матиме довгострокові негативні наслідки для здоров’я населення. Основною причиною цього є відсутність цілісної державної політики щодо формування та управління кадровим потенціалом у період реформування системи охорони </w:t>
      </w:r>
      <w:r>
        <w:rPr>
          <w:rFonts w:ascii="Times New Roman" w:eastAsia="Microsoft YaHei" w:hAnsi="Times New Roman" w:cs="Times New Roman"/>
          <w:sz w:val="28"/>
          <w:szCs w:val="28"/>
        </w:rPr>
        <w:lastRenderedPageBreak/>
        <w:t>здоров’я. Процеси підготовки, відтворення та розподілу медичних працівників залишаються недостатньо керованими та потребують системного вдосконалення [28].</w:t>
      </w:r>
    </w:p>
    <w:p w14:paraId="3BE0871D" w14:textId="77777777" w:rsidR="00052C0B" w:rsidRDefault="006E6CE8">
      <w:pPr>
        <w:tabs>
          <w:tab w:val="left" w:pos="993"/>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Для подолання цих викликів в Україні запроваджено регіональні програми розвитку медичної галузі, спрямовані на залучення та утримання кваліфікованих фахівців. Проте їх дія має фрагментарний характер, оскільки на державному рівні відсутня єдина стратегія кадрового розвитку та мотивації медичних працівників. Тому важливо:</w:t>
      </w:r>
    </w:p>
    <w:p w14:paraId="3BE0871E" w14:textId="77777777" w:rsidR="00052C0B" w:rsidRDefault="006E6CE8">
      <w:pPr>
        <w:tabs>
          <w:tab w:val="left" w:pos="993"/>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забезпечити ефективне планування та розподіл фінансових ресурсів;</w:t>
      </w:r>
    </w:p>
    <w:p w14:paraId="3BE0871F" w14:textId="77777777" w:rsidR="00052C0B" w:rsidRDefault="006E6CE8">
      <w:pPr>
        <w:tabs>
          <w:tab w:val="left" w:pos="993"/>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розширити доступ населення до послуг охорони здоров’я;</w:t>
      </w:r>
    </w:p>
    <w:p w14:paraId="3BE08720" w14:textId="77777777" w:rsidR="00052C0B" w:rsidRDefault="006E6CE8">
      <w:pPr>
        <w:tabs>
          <w:tab w:val="left" w:pos="993"/>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підвищити якість і доступність первинної медичної допомоги шляхом оновлення обладнання та забезпечення кваліфікованими кадрами;</w:t>
      </w:r>
    </w:p>
    <w:p w14:paraId="3BE08721" w14:textId="77777777" w:rsidR="00052C0B" w:rsidRDefault="006E6CE8">
      <w:pPr>
        <w:tabs>
          <w:tab w:val="left" w:pos="993"/>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покращити результативність роботи медичного персоналу.</w:t>
      </w:r>
    </w:p>
    <w:p w14:paraId="3BE08722" w14:textId="77777777" w:rsidR="00052C0B" w:rsidRDefault="006E6CE8">
      <w:pPr>
        <w:tabs>
          <w:tab w:val="left" w:pos="993"/>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Оцінка організаційно-економічного механізму охорони здоров’я показує наявність серйозних проблем, серед яких - хронічне недофінансування та зниження кадрового потенціалу. Це безпосередньо впливає на можливість забезпечити населення своєчасною, безпечною та якісною медичною допомогою [29; 30].</w:t>
      </w:r>
    </w:p>
    <w:p w14:paraId="3BE08723" w14:textId="77777777" w:rsidR="00052C0B" w:rsidRDefault="006E6CE8">
      <w:pPr>
        <w:tabs>
          <w:tab w:val="left" w:pos="993"/>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Підсумовуючи, можна стверджувати, що підвищення рівня фінансування галузі та вирішення кадрового дефіциту є ключовими напрямами удосконалення організаційно-економічного механізму у сфері охорони здоров’я, оскільки саме вони визначають здатність системи відповідати сучасним потребам населення.</w:t>
      </w:r>
    </w:p>
    <w:p w14:paraId="3BE08724" w14:textId="77777777" w:rsidR="00052C0B" w:rsidRDefault="00052C0B">
      <w:pPr>
        <w:spacing w:line="360" w:lineRule="auto"/>
        <w:ind w:firstLine="709"/>
        <w:jc w:val="both"/>
        <w:rPr>
          <w:rFonts w:ascii="Times New Roman" w:eastAsia="Times New Roman" w:hAnsi="Times New Roman" w:cs="Times New Roman"/>
          <w:color w:val="auto"/>
          <w:lang w:bidi="ar-SA"/>
        </w:rPr>
      </w:pPr>
    </w:p>
    <w:p w14:paraId="3BE08725" w14:textId="77777777" w:rsidR="00052C0B" w:rsidRDefault="006E6CE8">
      <w:pPr>
        <w:spacing w:line="360" w:lineRule="auto"/>
        <w:ind w:firstLine="709"/>
        <w:jc w:val="both"/>
        <w:rPr>
          <w:rFonts w:ascii="Times New Roman" w:eastAsia="Microsoft YaHei" w:hAnsi="Times New Roman" w:cs="Times New Roman"/>
          <w:b/>
          <w:sz w:val="28"/>
          <w:szCs w:val="28"/>
        </w:rPr>
      </w:pPr>
      <w:r>
        <w:rPr>
          <w:rFonts w:ascii="Times New Roman" w:eastAsia="Microsoft YaHei" w:hAnsi="Times New Roman" w:cs="Times New Roman"/>
          <w:b/>
          <w:sz w:val="28"/>
          <w:szCs w:val="28"/>
        </w:rPr>
        <w:t>Висновок до розділу 1</w:t>
      </w:r>
    </w:p>
    <w:p w14:paraId="3BE08726"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lang w:val="en-US"/>
        </w:rPr>
        <w:t>C</w:t>
      </w:r>
      <w:r>
        <w:rPr>
          <w:rFonts w:ascii="Times New Roman" w:eastAsia="Microsoft YaHei" w:hAnsi="Times New Roman" w:cs="Times New Roman"/>
          <w:sz w:val="28"/>
          <w:szCs w:val="28"/>
        </w:rPr>
        <w:t>труктуру та принципи побудови національних систем охорони здоров’я формують комплексні чинники: історичний контекст, особливості культури, стан економіки, домінуючі політичні підходи та пріоритети державної політики.</w:t>
      </w:r>
    </w:p>
    <w:p w14:paraId="3BE08727"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Наукові джерела та практичний досвід виділяють кілька груп моделей </w:t>
      </w:r>
      <w:r>
        <w:rPr>
          <w:rFonts w:ascii="Times New Roman" w:eastAsia="Microsoft YaHei" w:hAnsi="Times New Roman" w:cs="Times New Roman"/>
          <w:sz w:val="28"/>
          <w:szCs w:val="28"/>
        </w:rPr>
        <w:lastRenderedPageBreak/>
        <w:t>організації охорони здоров’я, які систематизуються за спільними ознаками та принципами функціонування.</w:t>
      </w:r>
    </w:p>
    <w:p w14:paraId="3BE08728"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До базових моделей функціонування систем охорони здоров’я відносять: модель первинної медичної допомоги, модель вторинної медичної допомоги, модель третинної медичної допомоги, інтегровану модель або модель континуального догляду, модель платоспроможної медичної допомоги та модель громадського (публічного) здоров’я.</w:t>
      </w:r>
    </w:p>
    <w:p w14:paraId="3BE08729"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За джерелами фінансування розрізняють наступні моделі систем охорони здоров’я: модель Семашка (державна, централізована модель), модель Беверіджа (державна національна служба), Бісмарківська модель (соціальне медичне страхування), модель національного медичного страхування, модель прямих платежів («оплата з власної кишені»).</w:t>
      </w:r>
    </w:p>
    <w:p w14:paraId="3BE0872A"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Сучасні моделі можна систематизувати за рядом класифікаційних ознак, що відображають їхні ключові принципи фінансування, доступності та управління: за джерелами фінансування (державна (публічна) модель, приватна модель, комбінована (змішана) модель); за доступністю та ступенем покриття витрат (універсальна система та система з частковим доступом); за організаційною моделлю управління (централізована система та децентралізована система); за моделлю фінансування медичних послуг («плата за послугу» (fee-for-service) та капітаційний метод); за ступенем державного контролю (жорстке регулювання та обмежене регулювання);</w:t>
      </w:r>
      <w:r>
        <w:rPr>
          <w:rFonts w:ascii="Microsoft YaHei" w:eastAsia="Microsoft YaHei" w:hAnsi="Microsoft YaHei" w:cs="Microsoft YaHei"/>
        </w:rPr>
        <w:t xml:space="preserve"> </w:t>
      </w:r>
      <w:r>
        <w:rPr>
          <w:rFonts w:ascii="Times New Roman" w:eastAsia="Microsoft YaHei" w:hAnsi="Times New Roman" w:cs="Times New Roman"/>
          <w:sz w:val="28"/>
          <w:szCs w:val="28"/>
        </w:rPr>
        <w:t>за способом координації медичних послуг (модель рівнів медичної допомоги (ПМД-ВМД-ТМД) та модель сімейного лікаря).</w:t>
      </w:r>
    </w:p>
    <w:p w14:paraId="3BE0872B"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Система охорони здоров’я України нині перебуває в активній фазі трансформації, вона функціонує як змішана структура, у якій поєднано елементи державного фінансування та управління з ринковими інструментами й компонентами медичного страхування.</w:t>
      </w:r>
      <w:r>
        <w:rPr>
          <w:rFonts w:ascii="Microsoft YaHei" w:eastAsia="Microsoft YaHei" w:hAnsi="Microsoft YaHei" w:cs="Microsoft YaHei"/>
        </w:rPr>
        <w:t xml:space="preserve"> </w:t>
      </w:r>
      <w:r>
        <w:rPr>
          <w:rFonts w:ascii="Times New Roman" w:eastAsia="Microsoft YaHei" w:hAnsi="Times New Roman" w:cs="Times New Roman"/>
          <w:sz w:val="28"/>
          <w:szCs w:val="28"/>
        </w:rPr>
        <w:t xml:space="preserve">До ключових рис сучасної моделі слід віднести наступні: багатоканальне фінансування, реформування та модернізація, сильна роль держави, розвиток цифрових рішень, пацієнтоорієнтованість. </w:t>
      </w:r>
    </w:p>
    <w:p w14:paraId="3BE0872C"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lastRenderedPageBreak/>
        <w:t>Організаційно-економічний механізм розвитку закладів охорони здоров’я на рівні держави виступає інструментом формування сучасної системи охорони здоров’я та реалізації її реформ.</w:t>
      </w:r>
      <w:r>
        <w:rPr>
          <w:rFonts w:ascii="Microsoft YaHei" w:eastAsia="Microsoft YaHei" w:hAnsi="Microsoft YaHei" w:cs="Microsoft YaHei"/>
        </w:rPr>
        <w:t xml:space="preserve"> </w:t>
      </w:r>
      <w:r>
        <w:rPr>
          <w:rFonts w:ascii="Times New Roman" w:eastAsia="Microsoft YaHei" w:hAnsi="Times New Roman" w:cs="Times New Roman"/>
          <w:sz w:val="28"/>
          <w:szCs w:val="28"/>
        </w:rPr>
        <w:t>На мікрорівні - це комплекс змін у діяльності окремого медичного закладу, пов’язаний з оновленням управлінських підходів, організації процесів, економічних інструментів і залежний від реальних результатів роботи, зокрема від обсягів і якості наданих медичних послуг.</w:t>
      </w:r>
    </w:p>
    <w:p w14:paraId="3BE0872D"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Управління медичним закладом реалізується через поєднання організаційних, економічних та соціально-психологічних методів, грамотне використання яких сприяє підвищенню якості медичної допомоги та формує стабільний попит із боку пацієнтів. </w:t>
      </w:r>
    </w:p>
    <w:p w14:paraId="3BE0872E"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Серед ключових викликів, що формують логіку та напрям взаємодії елементів організаційно-економічного механізму у вітчизняній системі охорони здоров’я, варто виділити такі: забезпечення фінансової стійкості галузі, посилення кадрового потенціалу, розвиток електронної системи охорони здоров’я та зміцнення кібербезпеки, удосконалення системи управління якістю медичних послуг на всіх рівнях.</w:t>
      </w:r>
    </w:p>
    <w:p w14:paraId="3BE0872F"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Головною проблемою залишається дефіцит фінансування, що зумовлює зниження обсягів безоплатної медичної допомоги, уповільнює оновлення медичного обладнання та підтримує низький рівень оплати праці медичних працівників. Аналіз показав, що у період 2016-2024 роки спостерігається стійка тенденція зростання обсягів бюджетних видатків на галузь, причому починаючи з 2020 року структура видатків зазнала суттєвих зрушень у бік фінансування за рахунок коштів державного бюджету, тобто держава поклала на себе основне навантаження із фінансового забезпечення медичної галузі. Роль місцевих органів влади значно зменшилася.</w:t>
      </w:r>
    </w:p>
    <w:p w14:paraId="3BE08730"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Найвагомішою часткою видатків, як і в попередні роки, залишається фінансування Програми медичних гарантій. Обсяг коштів, спрямованих на її реалізацію, у 2025 році становить 175,5 млрд грн.</w:t>
      </w:r>
      <w:r>
        <w:rPr>
          <w:rFonts w:ascii="Microsoft YaHei" w:eastAsia="Microsoft YaHei" w:hAnsi="Microsoft YaHei" w:cs="Microsoft YaHei"/>
        </w:rPr>
        <w:t xml:space="preserve"> </w:t>
      </w:r>
      <w:r>
        <w:rPr>
          <w:rFonts w:ascii="Times New Roman" w:eastAsia="Microsoft YaHei" w:hAnsi="Times New Roman" w:cs="Times New Roman"/>
          <w:sz w:val="28"/>
          <w:szCs w:val="28"/>
        </w:rPr>
        <w:t xml:space="preserve">Окремо передбачені видатки на організацію та забезпечення функціонування системи державних </w:t>
      </w:r>
      <w:r>
        <w:rPr>
          <w:rFonts w:ascii="Times New Roman" w:eastAsia="Microsoft YaHei" w:hAnsi="Times New Roman" w:cs="Times New Roman"/>
          <w:sz w:val="28"/>
          <w:szCs w:val="28"/>
        </w:rPr>
        <w:lastRenderedPageBreak/>
        <w:t>фінансових гарантій, якими опікується Національна служба здоров’я України. На ці потреби у бюджеті закладено 206,3 млн грн. На централізовані державні закупівлі лікарських засобів та медичних виробів у бюджеті передбачено 11,8 млрд грн. Інші напрями фінансування охорони здоров’я також суттєво збільшились у порівнянні із 2024 роком. Але витрати медичних закладів перевищують бюджетне фінансування та потребують більших надходжень.</w:t>
      </w:r>
    </w:p>
    <w:p w14:paraId="3BE08731"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 Однією із основних складових організаційно-економічного механізму у галузі медицини є кадровий потенціал.</w:t>
      </w:r>
      <w:r>
        <w:rPr>
          <w:rFonts w:ascii="Microsoft YaHei" w:eastAsia="Microsoft YaHei" w:hAnsi="Microsoft YaHei" w:cs="Microsoft YaHei"/>
        </w:rPr>
        <w:t xml:space="preserve"> </w:t>
      </w:r>
      <w:r>
        <w:rPr>
          <w:rFonts w:ascii="Times New Roman" w:eastAsia="Microsoft YaHei" w:hAnsi="Times New Roman" w:cs="Times New Roman"/>
          <w:sz w:val="28"/>
          <w:szCs w:val="28"/>
        </w:rPr>
        <w:t>В умовах нестабільності та невизначеності залишаються невирішеними такі кадрові проблеми у медичній галузі, як брак кваліфікованих медичних кадрів, недостатня мотивація медичного персоналу та недосконала система оплати праці, регіональні диспропорції у забезпеченні населення країни медичними кадрами, недостатня зайнятість лікарських вакансій за конкретними спеціальностями, зростання середнього віку медичних працівників, нестача коштів на фінансування медичної галузі, консервативна нормативно-правова база, що регулює кадрову політику. Збереження дефіциту кадрів неминуче матиме довгострокові негативні наслідки для здоров’я населення. Основною причиною цього є відсутність цілісної державної політики щодо формування та управління кадровим потенціалом у період реформування системи охорони здоров’я. Процеси підготовки, відтворення та розподілу медичних працівників залишаються недостатньо керованими та потребують системного вдосконалення.</w:t>
      </w:r>
    </w:p>
    <w:p w14:paraId="3BE08732"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В контексті вдосконалення організаційно-економічного механізму охорони здоров’я</w:t>
      </w:r>
      <w:r>
        <w:rPr>
          <w:rFonts w:ascii="Microsoft YaHei" w:eastAsia="Microsoft YaHei" w:hAnsi="Microsoft YaHei" w:cs="Microsoft YaHei"/>
        </w:rPr>
        <w:t xml:space="preserve"> </w:t>
      </w:r>
      <w:r>
        <w:rPr>
          <w:rFonts w:ascii="Times New Roman" w:eastAsia="Microsoft YaHei" w:hAnsi="Times New Roman" w:cs="Times New Roman"/>
          <w:sz w:val="28"/>
          <w:szCs w:val="28"/>
        </w:rPr>
        <w:t>важливо забезпечити ефективне планування та розподіл фінансових ресурсів; розширити доступ населення до послуг охорони здоров’я;  підвищити якість і доступність первинної медичної допомоги шляхом оновлення обладнання та забезпечення кваліфікованими кадрами; покращити результативність роботи медичного персоналу.</w:t>
      </w:r>
    </w:p>
    <w:p w14:paraId="3BE08733" w14:textId="77777777" w:rsidR="00052C0B" w:rsidRDefault="00052C0B">
      <w:pPr>
        <w:spacing w:line="360" w:lineRule="auto"/>
        <w:ind w:firstLine="709"/>
        <w:jc w:val="both"/>
        <w:rPr>
          <w:rFonts w:ascii="Times New Roman" w:eastAsia="Microsoft YaHei" w:hAnsi="Times New Roman" w:cs="Times New Roman"/>
          <w:sz w:val="28"/>
          <w:szCs w:val="28"/>
        </w:rPr>
      </w:pPr>
    </w:p>
    <w:p w14:paraId="3BE08734" w14:textId="77777777" w:rsidR="00052C0B" w:rsidRDefault="00052C0B">
      <w:pPr>
        <w:spacing w:line="360" w:lineRule="auto"/>
        <w:ind w:firstLine="709"/>
        <w:jc w:val="both"/>
        <w:rPr>
          <w:rFonts w:ascii="Times New Roman" w:eastAsia="Times New Roman" w:hAnsi="Times New Roman" w:cs="Times New Roman"/>
          <w:color w:val="auto"/>
          <w:lang w:bidi="ar-SA"/>
        </w:rPr>
      </w:pPr>
    </w:p>
    <w:p w14:paraId="3BE08735" w14:textId="77777777" w:rsidR="00052C0B" w:rsidRDefault="006E6CE8">
      <w:pPr>
        <w:spacing w:line="360" w:lineRule="auto"/>
        <w:ind w:firstLine="709"/>
        <w:jc w:val="center"/>
        <w:rPr>
          <w:rFonts w:ascii="Times New Roman" w:eastAsia="Microsoft YaHei" w:hAnsi="Times New Roman" w:cs="Times New Roman"/>
          <w:b/>
          <w:sz w:val="28"/>
          <w:szCs w:val="28"/>
        </w:rPr>
      </w:pPr>
      <w:r>
        <w:rPr>
          <w:rFonts w:ascii="Times New Roman" w:eastAsia="Times New Roman" w:hAnsi="Times New Roman" w:cs="Times New Roman"/>
          <w:color w:val="auto"/>
          <w:lang w:bidi="ar-SA"/>
        </w:rPr>
        <w:lastRenderedPageBreak/>
        <w:t> </w:t>
      </w:r>
      <w:r>
        <w:rPr>
          <w:rFonts w:ascii="Times New Roman" w:eastAsia="Microsoft YaHei" w:hAnsi="Times New Roman" w:cs="Times New Roman"/>
          <w:b/>
          <w:sz w:val="28"/>
          <w:szCs w:val="28"/>
        </w:rPr>
        <w:t>РОЗДІЛ 2</w:t>
      </w:r>
    </w:p>
    <w:p w14:paraId="3BE08736" w14:textId="77777777" w:rsidR="00052C0B" w:rsidRDefault="006E6CE8">
      <w:pPr>
        <w:spacing w:line="360" w:lineRule="auto"/>
        <w:ind w:firstLine="709"/>
        <w:jc w:val="center"/>
        <w:rPr>
          <w:rFonts w:ascii="Times New Roman" w:eastAsia="Microsoft YaHei" w:hAnsi="Times New Roman" w:cs="Times New Roman"/>
          <w:b/>
          <w:sz w:val="28"/>
          <w:szCs w:val="28"/>
        </w:rPr>
      </w:pPr>
      <w:r>
        <w:rPr>
          <w:rFonts w:ascii="Times New Roman" w:eastAsia="Microsoft YaHei" w:hAnsi="Times New Roman" w:cs="Times New Roman"/>
          <w:b/>
          <w:sz w:val="28"/>
          <w:szCs w:val="28"/>
        </w:rPr>
        <w:t>ДОСЛІДЖЕННЯ ВПЛИВУ ОРГАНІЗАЦІЙНО-ЕКОНОМІЧНИХ МЕХАНІЗМІВ ДЕРЖАВНОГО УПРАВЛІННЯ НА ДІЯЛЬНІСТЬ МЕДИЧНИХ ЗАКЛАДІВ МІСТА ОДЕСИ</w:t>
      </w:r>
    </w:p>
    <w:p w14:paraId="3BE08737" w14:textId="77777777" w:rsidR="00052C0B" w:rsidRDefault="00052C0B">
      <w:pPr>
        <w:spacing w:line="360" w:lineRule="auto"/>
        <w:ind w:firstLine="709"/>
        <w:jc w:val="both"/>
        <w:rPr>
          <w:rFonts w:ascii="Times New Roman" w:eastAsia="Microsoft YaHei" w:hAnsi="Times New Roman" w:cs="Times New Roman"/>
          <w:b/>
          <w:sz w:val="28"/>
          <w:szCs w:val="28"/>
        </w:rPr>
      </w:pPr>
    </w:p>
    <w:p w14:paraId="3BE08738" w14:textId="77777777" w:rsidR="00052C0B" w:rsidRDefault="006E6CE8">
      <w:pPr>
        <w:spacing w:line="360" w:lineRule="auto"/>
        <w:ind w:firstLine="709"/>
        <w:jc w:val="both"/>
        <w:rPr>
          <w:rFonts w:ascii="Times New Roman" w:eastAsia="Microsoft YaHei" w:hAnsi="Times New Roman" w:cs="Times New Roman"/>
          <w:b/>
          <w:sz w:val="28"/>
          <w:szCs w:val="28"/>
        </w:rPr>
      </w:pPr>
      <w:r>
        <w:rPr>
          <w:rFonts w:ascii="Times New Roman" w:eastAsia="Microsoft YaHei" w:hAnsi="Times New Roman" w:cs="Times New Roman"/>
          <w:b/>
          <w:sz w:val="28"/>
          <w:szCs w:val="28"/>
        </w:rPr>
        <w:t>2.1. Роль Департаменту охорони здоров’я Одеської міської ради в реалізації державної політики та забезпеченні ефективності бюджетних програм у сфері охорони здоров’я</w:t>
      </w:r>
    </w:p>
    <w:p w14:paraId="3BE08739"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Охорона здоров’я традиційно залишається одним із ключових напрямів державної політики, а формування та реалізація відповідної стратегії здійснюється державою як безпосередньо, так і через органи місцевого самоврядування. Важливою складовою цієї політики є місцеві та регіональні комплексні програми, які розробляються і впроваджуються на рівні територіальних громад.</w:t>
      </w:r>
    </w:p>
    <w:p w14:paraId="3BE0873A"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Департамент охорони здоров’я Одеської міської ради виконує функції виконавчого органу міської влади, відповідального за забезпечення медичного обслуговування населення та реалізацію державних і муніципальних рішень у галузі охорони здоров’я. У 2024 році основним пріоритетом діяльності у місті було збереження та зміцнення здоров’я одеситів, виконання програми медичних гарантій, організація медичної допомоги постраждалим від воєнної агресії росії, а також підтримка внутрішньо переміщених осіб.</w:t>
      </w:r>
    </w:p>
    <w:p w14:paraId="3BE0873B" w14:textId="77777777" w:rsidR="00052C0B" w:rsidRDefault="006E6CE8">
      <w:pPr>
        <w:tabs>
          <w:tab w:val="left" w:pos="993"/>
        </w:tabs>
        <w:spacing w:line="360" w:lineRule="auto"/>
        <w:ind w:firstLine="709"/>
        <w:jc w:val="both"/>
        <w:rPr>
          <w:rFonts w:ascii="Times New Roman" w:eastAsia="Microsoft YaHei" w:hAnsi="Times New Roman" w:cs="Times New Roman"/>
          <w:i/>
        </w:rPr>
      </w:pPr>
      <w:r>
        <w:rPr>
          <w:rFonts w:ascii="Times New Roman" w:eastAsia="Microsoft YaHei" w:hAnsi="Times New Roman" w:cs="Times New Roman"/>
          <w:sz w:val="28"/>
          <w:szCs w:val="28"/>
        </w:rPr>
        <w:t>Функціонування мережі медичних закладів і надання медичної допомоги забезпечувалося за рахунок коштів, отриманих від Національної служби здоров’я України, фінансування з місцевого бюджету, а також субвенцій з державного бюджету. Загальний обсяг фінансових надходжень із державного бюджету у вигляді субвенцій становив 27 238,9 тис. грн, а з місцевого бюджету  562 756,9 тис. грн, що разом склало 589 995,8 тис. грн. (рис. 2.1). Таким чином, частка</w:t>
      </w:r>
      <w:r>
        <w:rPr>
          <w:rFonts w:ascii="Microsoft YaHei" w:eastAsia="Microsoft YaHei" w:hAnsi="Microsoft YaHei" w:cs="Microsoft YaHei"/>
        </w:rPr>
        <w:t xml:space="preserve"> </w:t>
      </w:r>
      <w:r>
        <w:rPr>
          <w:rFonts w:ascii="Times New Roman" w:eastAsia="Microsoft YaHei" w:hAnsi="Times New Roman" w:cs="Times New Roman"/>
          <w:sz w:val="28"/>
          <w:szCs w:val="28"/>
        </w:rPr>
        <w:t xml:space="preserve">надходжень із державного бюджету склала 4,6% від загального обсягу фінансування, основне навантаження полягає на місцевий бюджет, за рахунок коштів якого здійснюється бюджетне </w:t>
      </w:r>
      <w:r>
        <w:rPr>
          <w:rFonts w:ascii="Times New Roman" w:eastAsia="Microsoft YaHei" w:hAnsi="Times New Roman" w:cs="Times New Roman"/>
          <w:sz w:val="28"/>
          <w:szCs w:val="28"/>
        </w:rPr>
        <w:lastRenderedPageBreak/>
        <w:t>забезпечення медичних закладів міста [31].</w:t>
      </w:r>
    </w:p>
    <w:p w14:paraId="3BE0873C" w14:textId="77777777" w:rsidR="00052C0B" w:rsidRDefault="00052C0B">
      <w:pPr>
        <w:spacing w:line="360" w:lineRule="auto"/>
        <w:ind w:firstLine="709"/>
        <w:jc w:val="both"/>
        <w:rPr>
          <w:rFonts w:ascii="Times New Roman" w:eastAsia="Microsoft YaHei" w:hAnsi="Times New Roman" w:cs="Times New Roman"/>
          <w:sz w:val="28"/>
          <w:szCs w:val="28"/>
        </w:rPr>
      </w:pPr>
    </w:p>
    <w:p w14:paraId="3BE0873D" w14:textId="77777777" w:rsidR="00052C0B" w:rsidRDefault="006E6CE8">
      <w:pPr>
        <w:spacing w:line="360" w:lineRule="auto"/>
        <w:ind w:firstLine="709"/>
        <w:jc w:val="center"/>
        <w:rPr>
          <w:rFonts w:ascii="Times New Roman" w:eastAsia="Microsoft YaHei" w:hAnsi="Times New Roman" w:cs="Times New Roman"/>
          <w:sz w:val="28"/>
          <w:szCs w:val="28"/>
          <w:lang w:val="en-US"/>
        </w:rPr>
      </w:pPr>
      <w:r>
        <w:rPr>
          <w:rFonts w:ascii="Microsoft YaHei" w:eastAsia="Microsoft YaHei" w:hAnsi="Microsoft YaHei" w:cs="Microsoft YaHei"/>
          <w:noProof/>
          <w:lang w:bidi="ar-SA"/>
        </w:rPr>
        <w:drawing>
          <wp:inline distT="0" distB="0" distL="0" distR="0" wp14:anchorId="3BE0895E" wp14:editId="3BE0895F">
            <wp:extent cx="4572000" cy="2743200"/>
            <wp:effectExtent l="0" t="0" r="0" b="0"/>
            <wp:docPr id="6" name="Діагра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3BE0873E" w14:textId="77777777" w:rsidR="00052C0B" w:rsidRDefault="006E6CE8">
      <w:pPr>
        <w:spacing w:line="360" w:lineRule="auto"/>
        <w:ind w:firstLine="709"/>
        <w:jc w:val="both"/>
        <w:rPr>
          <w:rFonts w:ascii="Times New Roman" w:eastAsia="Microsoft YaHei" w:hAnsi="Times New Roman" w:cs="Times New Roman"/>
          <w:b/>
          <w:sz w:val="28"/>
          <w:szCs w:val="28"/>
        </w:rPr>
      </w:pPr>
      <w:r>
        <w:rPr>
          <w:rFonts w:ascii="Times New Roman" w:eastAsia="Microsoft YaHei" w:hAnsi="Times New Roman" w:cs="Times New Roman"/>
          <w:b/>
          <w:sz w:val="28"/>
          <w:szCs w:val="28"/>
        </w:rPr>
        <w:t xml:space="preserve">Рис. 2.1. Структура бюджетних надходжень, виділених на фінансування закладів охорони здоров’я м. Одеси у 2024 році, тис. грн </w:t>
      </w:r>
    </w:p>
    <w:p w14:paraId="3BE0873F" w14:textId="77777777" w:rsidR="00052C0B" w:rsidRDefault="006E6CE8">
      <w:pPr>
        <w:spacing w:line="360" w:lineRule="auto"/>
        <w:ind w:firstLine="709"/>
        <w:jc w:val="both"/>
        <w:rPr>
          <w:rFonts w:ascii="Times New Roman" w:eastAsia="Microsoft YaHei" w:hAnsi="Times New Roman" w:cs="Times New Roman"/>
          <w:i/>
        </w:rPr>
      </w:pPr>
      <w:r>
        <w:rPr>
          <w:rFonts w:ascii="Times New Roman" w:eastAsia="Microsoft YaHei" w:hAnsi="Times New Roman" w:cs="Times New Roman"/>
          <w:i/>
        </w:rPr>
        <w:t xml:space="preserve">Джерело: побудовано на основі </w:t>
      </w:r>
      <w:r>
        <w:rPr>
          <w:rFonts w:ascii="Times New Roman" w:eastAsia="Microsoft YaHei" w:hAnsi="Times New Roman" w:cs="Times New Roman"/>
          <w:i/>
          <w:lang w:val="en-US"/>
        </w:rPr>
        <w:t>[</w:t>
      </w:r>
      <w:r>
        <w:rPr>
          <w:rFonts w:ascii="Times New Roman" w:eastAsia="Microsoft YaHei" w:hAnsi="Times New Roman" w:cs="Times New Roman"/>
          <w:i/>
        </w:rPr>
        <w:t>32</w:t>
      </w:r>
      <w:r>
        <w:rPr>
          <w:rFonts w:ascii="Times New Roman" w:eastAsia="Microsoft YaHei" w:hAnsi="Times New Roman" w:cs="Times New Roman"/>
          <w:i/>
          <w:lang w:val="en-US"/>
        </w:rPr>
        <w:t>]</w:t>
      </w:r>
    </w:p>
    <w:p w14:paraId="3BE08740" w14:textId="77777777" w:rsidR="00052C0B" w:rsidRDefault="00052C0B">
      <w:pPr>
        <w:spacing w:line="360" w:lineRule="auto"/>
        <w:ind w:firstLine="709"/>
        <w:jc w:val="both"/>
        <w:rPr>
          <w:rFonts w:ascii="Times New Roman" w:eastAsia="Microsoft YaHei" w:hAnsi="Times New Roman" w:cs="Times New Roman"/>
          <w:i/>
        </w:rPr>
      </w:pPr>
    </w:p>
    <w:p w14:paraId="3BE08741"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У рамках медичної реформи у 2024 році в м. Одесі діяло 1 комунальна установа та 31 комунальне некомерційне підприємство, із яких 28 уклали договори з НСЗУ (рис. 2.2). Загальна сума коштів, отриманих за цими договорами, становила 2 312,7 млн грн. </w:t>
      </w:r>
    </w:p>
    <w:p w14:paraId="3BE08742" w14:textId="77777777" w:rsidR="00052C0B" w:rsidRDefault="006E6CE8">
      <w:pPr>
        <w:spacing w:line="360" w:lineRule="auto"/>
        <w:ind w:firstLine="709"/>
        <w:jc w:val="center"/>
        <w:rPr>
          <w:rFonts w:ascii="Times New Roman" w:eastAsia="Microsoft YaHei" w:hAnsi="Times New Roman" w:cs="Times New Roman"/>
          <w:sz w:val="28"/>
          <w:szCs w:val="28"/>
        </w:rPr>
      </w:pPr>
      <w:r>
        <w:rPr>
          <w:rFonts w:ascii="Microsoft YaHei" w:eastAsia="Microsoft YaHei" w:hAnsi="Microsoft YaHei" w:cs="Microsoft YaHei"/>
          <w:noProof/>
          <w:lang w:bidi="ar-SA"/>
        </w:rPr>
        <w:drawing>
          <wp:inline distT="0" distB="0" distL="0" distR="0" wp14:anchorId="3BE08960" wp14:editId="3BE08961">
            <wp:extent cx="3970020" cy="2430780"/>
            <wp:effectExtent l="0" t="0" r="11430" b="7620"/>
            <wp:docPr id="7" name="Діагра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3BE08743" w14:textId="77777777" w:rsidR="00052C0B" w:rsidRDefault="006E6CE8">
      <w:pPr>
        <w:spacing w:line="360" w:lineRule="auto"/>
        <w:ind w:firstLine="709"/>
        <w:jc w:val="both"/>
        <w:rPr>
          <w:rFonts w:ascii="Times New Roman" w:eastAsia="Microsoft YaHei" w:hAnsi="Times New Roman" w:cs="Times New Roman"/>
          <w:b/>
          <w:sz w:val="28"/>
          <w:szCs w:val="28"/>
        </w:rPr>
      </w:pPr>
      <w:r>
        <w:rPr>
          <w:rFonts w:ascii="Times New Roman" w:eastAsia="Microsoft YaHei" w:hAnsi="Times New Roman" w:cs="Times New Roman"/>
          <w:b/>
          <w:sz w:val="28"/>
          <w:szCs w:val="28"/>
        </w:rPr>
        <w:t>Рис. 2.2. Співпраця КНП та комунальної установи з НСЗУ у 2024 році</w:t>
      </w:r>
    </w:p>
    <w:p w14:paraId="3BE08744" w14:textId="77777777" w:rsidR="00052C0B" w:rsidRDefault="006E6CE8">
      <w:pPr>
        <w:spacing w:line="360" w:lineRule="auto"/>
        <w:ind w:firstLine="709"/>
        <w:jc w:val="both"/>
        <w:rPr>
          <w:rFonts w:ascii="Times New Roman" w:eastAsia="Microsoft YaHei" w:hAnsi="Times New Roman" w:cs="Times New Roman"/>
          <w:i/>
        </w:rPr>
      </w:pPr>
      <w:r>
        <w:rPr>
          <w:rFonts w:ascii="Times New Roman" w:eastAsia="Microsoft YaHei" w:hAnsi="Times New Roman" w:cs="Times New Roman"/>
          <w:i/>
        </w:rPr>
        <w:t xml:space="preserve">Джерело: побудовано на основі </w:t>
      </w:r>
      <w:r>
        <w:rPr>
          <w:rFonts w:ascii="Times New Roman" w:eastAsia="Microsoft YaHei" w:hAnsi="Times New Roman" w:cs="Times New Roman"/>
          <w:i/>
          <w:lang w:val="en-US"/>
        </w:rPr>
        <w:t>[</w:t>
      </w:r>
      <w:r>
        <w:rPr>
          <w:rFonts w:ascii="Times New Roman" w:eastAsia="Microsoft YaHei" w:hAnsi="Times New Roman" w:cs="Times New Roman"/>
          <w:i/>
        </w:rPr>
        <w:t>32</w:t>
      </w:r>
      <w:r>
        <w:rPr>
          <w:rFonts w:ascii="Times New Roman" w:eastAsia="Microsoft YaHei" w:hAnsi="Times New Roman" w:cs="Times New Roman"/>
          <w:i/>
          <w:lang w:val="en-US"/>
        </w:rPr>
        <w:t>]</w:t>
      </w:r>
    </w:p>
    <w:p w14:paraId="3BE08745"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lastRenderedPageBreak/>
        <w:t>Департамент, як головний розпорядник бюджетних коштів, здійснював фінансування за низкою бюджетних програм, що охоплюють стаціонарну, амбулаторну, спеціалізовану, стоматологічну допомогу, програми пільгового забезпечення населення ліками, лікарсько-акушерську допомогу, реабілітацію, інформаційно-методичну діяльність та інші напрями.</w:t>
      </w:r>
    </w:p>
    <w:p w14:paraId="3BE08746"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Серед ключових завдань Департаменту у 2024 році були: </w:t>
      </w:r>
    </w:p>
    <w:p w14:paraId="3BE08747" w14:textId="77777777" w:rsidR="00052C0B" w:rsidRDefault="006E6CE8">
      <w:pPr>
        <w:numPr>
          <w:ilvl w:val="0"/>
          <w:numId w:val="16"/>
        </w:numPr>
        <w:tabs>
          <w:tab w:val="left" w:pos="851"/>
        </w:tabs>
        <w:spacing w:line="360" w:lineRule="auto"/>
        <w:ind w:left="0"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забезпечення медичної допомоги військовослужбовцям, які обороняють Україну; </w:t>
      </w:r>
    </w:p>
    <w:p w14:paraId="3BE08748" w14:textId="77777777" w:rsidR="00052C0B" w:rsidRDefault="006E6CE8">
      <w:pPr>
        <w:numPr>
          <w:ilvl w:val="0"/>
          <w:numId w:val="16"/>
        </w:numPr>
        <w:tabs>
          <w:tab w:val="left" w:pos="851"/>
        </w:tabs>
        <w:spacing w:line="360" w:lineRule="auto"/>
        <w:ind w:left="0"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організація повного спектра медичних та реабілітаційних послуг у комунальних закладах охорони здоров’я міста; </w:t>
      </w:r>
    </w:p>
    <w:p w14:paraId="3BE08749" w14:textId="77777777" w:rsidR="00052C0B" w:rsidRDefault="006E6CE8">
      <w:pPr>
        <w:numPr>
          <w:ilvl w:val="0"/>
          <w:numId w:val="16"/>
        </w:numPr>
        <w:tabs>
          <w:tab w:val="left" w:pos="851"/>
        </w:tabs>
        <w:spacing w:line="360" w:lineRule="auto"/>
        <w:ind w:left="0"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виконання державних та місцевих цільових програм; забезпечення охорони материнства та дитинства; </w:t>
      </w:r>
    </w:p>
    <w:p w14:paraId="3BE0874A" w14:textId="77777777" w:rsidR="00052C0B" w:rsidRDefault="006E6CE8">
      <w:pPr>
        <w:numPr>
          <w:ilvl w:val="0"/>
          <w:numId w:val="16"/>
        </w:numPr>
        <w:tabs>
          <w:tab w:val="left" w:pos="851"/>
        </w:tabs>
        <w:spacing w:line="360" w:lineRule="auto"/>
        <w:ind w:left="0"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пільгове забезпечення населення лікарськими засобами та медичними виробами.</w:t>
      </w:r>
    </w:p>
    <w:p w14:paraId="3BE0874B"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Виконання бюджету у сфері охорони здоров’я відбувалося в умовах воєнного стану, що вимагало особливого підходу до фінансування. Пріоритетними були видатки для формування резервів медикаментів, витратних матеріалів, інфузійних розчинів, харчування для пацієнтів, закупівлі білизни та інших ресурсів, необхідних для оперативного реагування на можливий масовий прийом постраждалих</w:t>
      </w:r>
      <w:r>
        <w:t xml:space="preserve"> </w:t>
      </w:r>
      <w:r>
        <w:rPr>
          <w:rFonts w:ascii="Times New Roman" w:eastAsia="Microsoft YaHei" w:hAnsi="Times New Roman" w:cs="Times New Roman"/>
          <w:sz w:val="28"/>
          <w:szCs w:val="28"/>
        </w:rPr>
        <w:t>[32].</w:t>
      </w:r>
    </w:p>
    <w:p w14:paraId="3BE0874C"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Станом на 01.01.2025 року витрати загального фонду на охорону здоров’я становили 589 995,8 тис. грн, а капітальні видатки на розвиток матеріально-технічної бази медичних закладів - 249 290,5 тис. грн. На медикаменти у 2024 році спрямовано 78 772,4 тис. грн. Особливу увагу було приділено забезпеченню препаратами пацієнтів з тяжкими та рідкісними захворюваннями: хворих на ювенільний ревматоїдний артрит профінансовано на 4 485,9 тис. грн, а пацієнтів з іншими орфанними патологіями - на 9 426,3 тис. грн. </w:t>
      </w:r>
    </w:p>
    <w:p w14:paraId="3BE0874D"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На витратні матеріали для високотехнологічних втручань у кардіології та ендоваскулярній хірургії було спрямовано 11 999,5 тис. грн. Реалізація </w:t>
      </w:r>
      <w:r>
        <w:rPr>
          <w:rFonts w:ascii="Times New Roman" w:eastAsia="Microsoft YaHei" w:hAnsi="Times New Roman" w:cs="Times New Roman"/>
          <w:sz w:val="28"/>
          <w:szCs w:val="28"/>
        </w:rPr>
        <w:lastRenderedPageBreak/>
        <w:t>міської програми «Здоров’я» передбачала також фінансування покращеного харчування військовослужбовців, що перебували на лікуванні у закладах охорони здоров’я міста, загальним обсягом 22 397,7 тис. грн. Для забезпечення роботи медичних комісій, які проводили огляди громадян на придатність до військової служби, витрачено 18 500,8 тис. грн.</w:t>
      </w:r>
    </w:p>
    <w:p w14:paraId="3BE0874E"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Стоматологічна допомога військовослужбовцям була профінансована у сумі 3 286,2 тис. грн, при цьому 443 захисники отримали стоматологічне лікування, а 118 - протезування. Загальні витрати на медичне обслуговування військових склали 44 184,7 тис. грн. [32].</w:t>
      </w:r>
    </w:p>
    <w:p w14:paraId="3BE0874F"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Медичні огляди працівників медичної та освітньої сфер фінансувалися на рівні 4 554,4 тис. грн. Консультативно-методичне відділення з питань туберкульозу отримало фінансування у розмірі 811,8 тис. грн. У 2024 році пільгові категорії населення були забезпечені необхідними лікарськими препаратами та технічними засобами реабілітації на суму 53 408,2 тис. грн.</w:t>
      </w:r>
    </w:p>
    <w:p w14:paraId="3BE08750"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У межах підтримки пацієнтів, які потребують слухопротезування та ендопротезування, закуплено слухові апарати для 12 дітей і 50 дорослих на суму 764,7 тис. грн, а також імпланти для ендопротезування на 5 977,6 тис. грн. Діти пільгових категорій отримали стоматологічну допомогу на суму 8 522,4 тис. грн. Невідкладна стоматологічна допомога була надана 10 314 пацієнтам, серед яких 1 252 дитини; фінансування цього напряму становило 10 013,8 тис. грн. На надання стоматологічної допомоги пільговим категоріям населення витрачено  21 344,0 тис. грн.</w:t>
      </w:r>
    </w:p>
    <w:p w14:paraId="3BE08751"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Усі пацієнти комунальних медичних закладів були забезпечені лікувальним харчуванням, включно зі спеціалізованим безбілковим харчуванням для хворих на фенілкетонурію, на що спрямовано 4 846,8 тис. грн. Завдяки цьому діти з таким діагнозом отримали можливість повноцінного харчування, необхідного для правильного фізичного та психічного розвитку.</w:t>
      </w:r>
    </w:p>
    <w:p w14:paraId="3BE08752"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З бюджету розвитку у 2024 році придбано сучасне медичне обладнання на суму 247 190,5 тис. грн. Фінансування роботи апарату Департаменту за відповідними бюджетними програмами склало 19 541,2 тис. грн та 10,05 тис. </w:t>
      </w:r>
      <w:r>
        <w:rPr>
          <w:rFonts w:ascii="Times New Roman" w:eastAsia="Microsoft YaHei" w:hAnsi="Times New Roman" w:cs="Times New Roman"/>
          <w:sz w:val="28"/>
          <w:szCs w:val="28"/>
        </w:rPr>
        <w:lastRenderedPageBreak/>
        <w:t>грн відповідно (рис. 2.3).</w:t>
      </w:r>
    </w:p>
    <w:p w14:paraId="3BE08753"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Microsoft YaHei" w:eastAsia="Microsoft YaHei" w:hAnsi="Microsoft YaHei" w:cs="Microsoft YaHei"/>
          <w:noProof/>
          <w:lang w:bidi="ar-SA"/>
        </w:rPr>
        <w:drawing>
          <wp:inline distT="0" distB="0" distL="0" distR="0" wp14:anchorId="3BE08962" wp14:editId="3BE08963">
            <wp:extent cx="4572000" cy="2537460"/>
            <wp:effectExtent l="0" t="0" r="0" b="15240"/>
            <wp:docPr id="8"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3BE08754" w14:textId="77777777" w:rsidR="00052C0B" w:rsidRDefault="006E6CE8">
      <w:pPr>
        <w:spacing w:line="360" w:lineRule="auto"/>
        <w:ind w:firstLine="709"/>
        <w:jc w:val="both"/>
        <w:rPr>
          <w:rFonts w:ascii="Times New Roman" w:eastAsia="Microsoft YaHei" w:hAnsi="Times New Roman" w:cs="Times New Roman"/>
          <w:b/>
          <w:sz w:val="28"/>
          <w:szCs w:val="28"/>
        </w:rPr>
      </w:pPr>
      <w:r>
        <w:rPr>
          <w:rFonts w:ascii="Times New Roman" w:eastAsia="Microsoft YaHei" w:hAnsi="Times New Roman" w:cs="Times New Roman"/>
          <w:b/>
          <w:sz w:val="28"/>
          <w:szCs w:val="28"/>
        </w:rPr>
        <w:t>Рис. 2.3. Основні напрями фінансового забезпечення медичних закладів м. Одеси у 2024 році, тис грн</w:t>
      </w:r>
    </w:p>
    <w:p w14:paraId="3BE08755" w14:textId="77777777" w:rsidR="00052C0B" w:rsidRDefault="006E6CE8">
      <w:pPr>
        <w:spacing w:line="360" w:lineRule="auto"/>
        <w:ind w:firstLine="709"/>
        <w:jc w:val="both"/>
        <w:rPr>
          <w:rFonts w:ascii="Times New Roman" w:eastAsia="Microsoft YaHei" w:hAnsi="Times New Roman" w:cs="Times New Roman"/>
          <w:i/>
        </w:rPr>
      </w:pPr>
      <w:r>
        <w:rPr>
          <w:rFonts w:ascii="Times New Roman" w:eastAsia="Microsoft YaHei" w:hAnsi="Times New Roman" w:cs="Times New Roman"/>
          <w:i/>
        </w:rPr>
        <w:t>Джерело: побудовано на основі [32]</w:t>
      </w:r>
    </w:p>
    <w:p w14:paraId="3BE08756" w14:textId="77777777" w:rsidR="00052C0B" w:rsidRDefault="00052C0B">
      <w:pPr>
        <w:spacing w:line="360" w:lineRule="auto"/>
        <w:ind w:firstLine="709"/>
        <w:jc w:val="both"/>
        <w:rPr>
          <w:rFonts w:ascii="Times New Roman" w:eastAsia="Microsoft YaHei" w:hAnsi="Times New Roman" w:cs="Times New Roman"/>
          <w:i/>
        </w:rPr>
      </w:pPr>
    </w:p>
    <w:p w14:paraId="3BE08757"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Завдяки реалізованим заходам у 2024 році вдалося забезпечити стабільну роботу медичної галузі Одеси, безперебійне надання медичної та реабілітаційної допомоги у плановому та ургентному режимах, впровадження сучасних технологій, розвиток матеріально-технічної бази, а також подальше удосконалення системи охорони здоров’я та її відповідність завданням державної політики навіть в умовах воєнного стану.</w:t>
      </w:r>
    </w:p>
    <w:p w14:paraId="3BE08758" w14:textId="77777777" w:rsidR="00052C0B" w:rsidRDefault="00052C0B">
      <w:pPr>
        <w:spacing w:line="360" w:lineRule="auto"/>
        <w:ind w:firstLine="709"/>
        <w:jc w:val="both"/>
        <w:rPr>
          <w:rFonts w:ascii="Times New Roman" w:eastAsia="Microsoft YaHei" w:hAnsi="Times New Roman" w:cs="Times New Roman"/>
          <w:sz w:val="28"/>
          <w:szCs w:val="28"/>
        </w:rPr>
      </w:pPr>
    </w:p>
    <w:p w14:paraId="3BE08759" w14:textId="77777777" w:rsidR="00052C0B" w:rsidRDefault="006E6CE8">
      <w:pPr>
        <w:tabs>
          <w:tab w:val="left" w:pos="1418"/>
          <w:tab w:val="left" w:pos="1985"/>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b/>
          <w:sz w:val="28"/>
          <w:szCs w:val="28"/>
        </w:rPr>
        <w:t>2.2. Дослідження організаційно-економічних інструментів забезпечення діяльності комунальних закладів охорони здоров’я територіальної громади м. Одеси</w:t>
      </w:r>
      <w:r>
        <w:rPr>
          <w:rFonts w:ascii="Times New Roman" w:eastAsia="Microsoft YaHei" w:hAnsi="Times New Roman" w:cs="Times New Roman"/>
          <w:sz w:val="28"/>
          <w:szCs w:val="28"/>
        </w:rPr>
        <w:t xml:space="preserve"> </w:t>
      </w:r>
    </w:p>
    <w:p w14:paraId="3BE0875A"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Основною метою діяльності закладів охорони здоров’я є забезпечення їхнього стабільного, результативного та ефективного функціонування. Це повною мірою стосується і приватних медичних установ, незалежно від їхньої орієнтації на отримання прибутку. Навіть комерційні заклади можуть досягати успіху лише тоді, коли їхня робота ґрунтується на раціональному використанні ресурсів та спрямована на розвиток, модернізацію та підвищення якості послуг.</w:t>
      </w:r>
    </w:p>
    <w:p w14:paraId="3BE0875B"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lastRenderedPageBreak/>
        <w:t>Специфіка медичної сфери зумовлює те, що фінансові результати мають цінність лише за умови їхнього подальшого вкладення у вдосконалення інфраструктури, технологій, кадрового забезпечення та медичних процесів. Ефективне фінансування стає фундаментом для розширення можливостей закладу, формування якісних медичних послуг і підвищення доступності медичної допомоги. У кінцевому підсумку це позитивно впливає на стан здоров’я населення, рівень і тривалість життя, що відповідає основній місії функціонування будь-якого закладу охорони здоров’я в контексті впровадження організаційно-економічного механізму управління [33].</w:t>
      </w:r>
    </w:p>
    <w:p w14:paraId="3BE0875C"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Департамент охорони здоров’я Одеської міської ради, який є виконавчим органом міської влади, забезпечує реалізацію державної політики у сфері охорони здоров’я та організацію надання медичної допомоги в закладах комунальної форми власності. Діяльність департаменту здійснювалася відповідно до чинного законодавства та річного плану роботи, а також відбувалася в умовах воєнного стану. Попри складну ситуацію, медичні установи міста стабільно забезпечували необхідний обсяг допомоги жителям Одеси, внутрішньо переміщеним особам та військовослужбовцям.</w:t>
      </w:r>
    </w:p>
    <w:p w14:paraId="3BE0875D"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У 2024 році департамент продовжив роботу над збереженням і зміцненням здоров’я населення, виконанням Програми медичних гарантій та наданням допомоги постраждалим внаслідок воєнної агресії росії. Фінансування медичної галузі надходило з Національної служби здоров’я України та бюджету територіальної громади. У 2024 році медзаклади отримали від НСЗУ 2 312,6 млн грн, що на 270,1 млн грн більше, ніж у попередньому році. Додатково з міського бюджету було спрямовано 839,3 млн грн, що також перевищує показники 2023 року. Загальний обсяг фінансових ресурсів становив 3151,9 млн грн, а видатки - 3207,8 млн грн, із яких 249,3 млн грн використано на капітальні інвестиції. Значна частина фінансування була спрямована на надання медичної допомоги військовослужбовцям, на що місто виділило 57,6 млн грн. [32].</w:t>
      </w:r>
    </w:p>
    <w:p w14:paraId="3BE0875E"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Упродовж року активно модернізувалася матеріально-технічна база </w:t>
      </w:r>
      <w:r>
        <w:rPr>
          <w:rFonts w:ascii="Times New Roman" w:eastAsia="Microsoft YaHei" w:hAnsi="Times New Roman" w:cs="Times New Roman"/>
          <w:sz w:val="28"/>
          <w:szCs w:val="28"/>
        </w:rPr>
        <w:lastRenderedPageBreak/>
        <w:t>медичних закладів. Проведено обсяг ремонтних та інфраструктурних робіт у міських лікарнях і поліклініках, включаючи реконструкцію відділень, оновлення дитячого інфекційного корпусу, облаштування укриттів та розробку проектної документації для нових амбулаторій. Усі роботи виконувалися з урахуванням вимог доступності та інклюзивності для маломобільних груп населення (табл. 2.1).</w:t>
      </w:r>
    </w:p>
    <w:p w14:paraId="3BE0875F" w14:textId="77777777" w:rsidR="00052C0B" w:rsidRDefault="006E6CE8">
      <w:pPr>
        <w:spacing w:line="360" w:lineRule="auto"/>
        <w:ind w:firstLine="709"/>
        <w:jc w:val="right"/>
        <w:rPr>
          <w:rFonts w:ascii="Times New Roman" w:eastAsia="Microsoft YaHei" w:hAnsi="Times New Roman" w:cs="Times New Roman"/>
          <w:sz w:val="28"/>
          <w:szCs w:val="28"/>
        </w:rPr>
      </w:pPr>
      <w:r>
        <w:rPr>
          <w:rFonts w:ascii="Times New Roman" w:eastAsia="Microsoft YaHei" w:hAnsi="Times New Roman" w:cs="Times New Roman"/>
          <w:sz w:val="28"/>
          <w:szCs w:val="28"/>
        </w:rPr>
        <w:t>Таблиця 2.1</w:t>
      </w:r>
    </w:p>
    <w:p w14:paraId="3BE08760" w14:textId="77777777" w:rsidR="00052C0B" w:rsidRDefault="006E6CE8">
      <w:pPr>
        <w:spacing w:line="360" w:lineRule="auto"/>
        <w:ind w:firstLine="709"/>
        <w:jc w:val="center"/>
        <w:rPr>
          <w:rFonts w:ascii="Times New Roman" w:eastAsia="Microsoft YaHei" w:hAnsi="Times New Roman" w:cs="Times New Roman"/>
          <w:b/>
          <w:sz w:val="28"/>
          <w:szCs w:val="28"/>
        </w:rPr>
      </w:pPr>
      <w:r>
        <w:rPr>
          <w:rFonts w:ascii="Times New Roman" w:eastAsia="Microsoft YaHei" w:hAnsi="Times New Roman" w:cs="Times New Roman"/>
          <w:b/>
          <w:sz w:val="28"/>
          <w:szCs w:val="28"/>
        </w:rPr>
        <w:t>Заходи щодо проведення капітальних ремонтів у медичних закладах у 2024 році</w:t>
      </w:r>
    </w:p>
    <w:tbl>
      <w:tblPr>
        <w:tblStyle w:val="34"/>
        <w:tblW w:w="0" w:type="auto"/>
        <w:tblLook w:val="04A0" w:firstRow="1" w:lastRow="0" w:firstColumn="1" w:lastColumn="0" w:noHBand="0" w:noVBand="1"/>
      </w:tblPr>
      <w:tblGrid>
        <w:gridCol w:w="3457"/>
        <w:gridCol w:w="5887"/>
      </w:tblGrid>
      <w:tr w:rsidR="00052C0B" w14:paraId="3BE08763" w14:textId="77777777">
        <w:tc>
          <w:tcPr>
            <w:tcW w:w="3539" w:type="dxa"/>
            <w:shd w:val="clear" w:color="auto" w:fill="C6D9F1" w:themeFill="text2" w:themeFillTint="33"/>
          </w:tcPr>
          <w:p w14:paraId="3BE08761" w14:textId="77777777" w:rsidR="00052C0B" w:rsidRDefault="006E6CE8">
            <w:pPr>
              <w:widowControl/>
              <w:jc w:val="center"/>
              <w:rPr>
                <w:rFonts w:ascii="Times New Roman" w:eastAsia="Times New Roman" w:hAnsi="Times New Roman" w:cs="Times New Roman"/>
                <w:bCs/>
                <w:color w:val="auto"/>
                <w:lang w:bidi="ar-SA"/>
              </w:rPr>
            </w:pPr>
            <w:r>
              <w:rPr>
                <w:rFonts w:ascii="Times New Roman" w:eastAsia="Times New Roman" w:hAnsi="Times New Roman" w:cs="Times New Roman"/>
                <w:bCs/>
                <w:color w:val="auto"/>
                <w:lang w:bidi="ar-SA"/>
              </w:rPr>
              <w:t>Заклад охорони здоров’я</w:t>
            </w:r>
          </w:p>
        </w:tc>
        <w:tc>
          <w:tcPr>
            <w:tcW w:w="6090" w:type="dxa"/>
            <w:shd w:val="clear" w:color="auto" w:fill="C6D9F1" w:themeFill="text2" w:themeFillTint="33"/>
          </w:tcPr>
          <w:p w14:paraId="3BE08762" w14:textId="77777777" w:rsidR="00052C0B" w:rsidRDefault="006E6CE8">
            <w:pPr>
              <w:widowControl/>
              <w:jc w:val="center"/>
              <w:rPr>
                <w:rFonts w:ascii="Times New Roman" w:eastAsia="Times New Roman" w:hAnsi="Times New Roman" w:cs="Times New Roman"/>
                <w:bCs/>
                <w:color w:val="auto"/>
                <w:lang w:bidi="ar-SA"/>
              </w:rPr>
            </w:pPr>
            <w:r>
              <w:rPr>
                <w:rFonts w:ascii="Times New Roman" w:eastAsia="Times New Roman" w:hAnsi="Times New Roman" w:cs="Times New Roman"/>
                <w:bCs/>
                <w:color w:val="auto"/>
                <w:lang w:bidi="ar-SA"/>
              </w:rPr>
              <w:t>Проведені роботи / заходи</w:t>
            </w:r>
          </w:p>
        </w:tc>
      </w:tr>
      <w:tr w:rsidR="00052C0B" w14:paraId="3BE08766" w14:textId="77777777">
        <w:tc>
          <w:tcPr>
            <w:tcW w:w="3539" w:type="dxa"/>
            <w:shd w:val="clear" w:color="auto" w:fill="F2DBDB" w:themeFill="accent2" w:themeFillTint="33"/>
            <w:vAlign w:val="center"/>
          </w:tcPr>
          <w:p w14:paraId="3BE08764"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bCs/>
                <w:color w:val="auto"/>
                <w:lang w:bidi="ar-SA"/>
              </w:rPr>
              <w:t>КНП «Міська клінічна лікарня № 11» ОМР</w:t>
            </w:r>
          </w:p>
        </w:tc>
        <w:tc>
          <w:tcPr>
            <w:tcW w:w="6090" w:type="dxa"/>
            <w:shd w:val="clear" w:color="auto" w:fill="FDE9D9" w:themeFill="accent6" w:themeFillTint="33"/>
            <w:vAlign w:val="center"/>
          </w:tcPr>
          <w:p w14:paraId="3BE08765"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Ремонт відділення серцево-судинної хірургії та кардіології</w:t>
            </w:r>
          </w:p>
        </w:tc>
      </w:tr>
      <w:tr w:rsidR="00052C0B" w14:paraId="3BE08769" w14:textId="77777777">
        <w:tc>
          <w:tcPr>
            <w:tcW w:w="3539" w:type="dxa"/>
            <w:shd w:val="clear" w:color="auto" w:fill="F2DBDB" w:themeFill="accent2" w:themeFillTint="33"/>
            <w:vAlign w:val="center"/>
          </w:tcPr>
          <w:p w14:paraId="3BE08767"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bCs/>
                <w:color w:val="auto"/>
                <w:lang w:bidi="ar-SA"/>
              </w:rPr>
              <w:t>КНП «Дитяча міська клінічна лікарня № 3» ОМР</w:t>
            </w:r>
          </w:p>
        </w:tc>
        <w:tc>
          <w:tcPr>
            <w:tcW w:w="6090" w:type="dxa"/>
            <w:shd w:val="clear" w:color="auto" w:fill="FDE9D9" w:themeFill="accent6" w:themeFillTint="33"/>
            <w:vAlign w:val="center"/>
          </w:tcPr>
          <w:p w14:paraId="3BE08768"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Реконструкція першого поверху для педіатричного відділення з інфекційними ліжками та приймально-діагностичного відділення</w:t>
            </w:r>
          </w:p>
        </w:tc>
      </w:tr>
      <w:tr w:rsidR="00052C0B" w14:paraId="3BE0876C" w14:textId="77777777">
        <w:tc>
          <w:tcPr>
            <w:tcW w:w="3539" w:type="dxa"/>
            <w:shd w:val="clear" w:color="auto" w:fill="F2DBDB" w:themeFill="accent2" w:themeFillTint="33"/>
            <w:vAlign w:val="center"/>
          </w:tcPr>
          <w:p w14:paraId="3BE0876A"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bCs/>
                <w:color w:val="auto"/>
                <w:lang w:bidi="ar-SA"/>
              </w:rPr>
              <w:t>КНП «Міська клінічна лікарня № 1» ОМР</w:t>
            </w:r>
          </w:p>
        </w:tc>
        <w:tc>
          <w:tcPr>
            <w:tcW w:w="6090" w:type="dxa"/>
            <w:shd w:val="clear" w:color="auto" w:fill="FDE9D9" w:themeFill="accent6" w:themeFillTint="33"/>
            <w:vAlign w:val="center"/>
          </w:tcPr>
          <w:p w14:paraId="3BE0876B"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Завершення ремонту хірургічного та нейрохірургічного відділень головного корпусу (літ. «Г»)</w:t>
            </w:r>
          </w:p>
        </w:tc>
      </w:tr>
      <w:tr w:rsidR="00052C0B" w14:paraId="3BE0876F" w14:textId="77777777">
        <w:tc>
          <w:tcPr>
            <w:tcW w:w="3539" w:type="dxa"/>
            <w:shd w:val="clear" w:color="auto" w:fill="F2DBDB" w:themeFill="accent2" w:themeFillTint="33"/>
            <w:vAlign w:val="center"/>
          </w:tcPr>
          <w:p w14:paraId="3BE0876D"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bCs/>
                <w:color w:val="auto"/>
                <w:lang w:bidi="ar-SA"/>
              </w:rPr>
              <w:t>Перинатальний центр КНП «Міська клінічна лікарня № 10» ОМР</w:t>
            </w:r>
          </w:p>
        </w:tc>
        <w:tc>
          <w:tcPr>
            <w:tcW w:w="6090" w:type="dxa"/>
            <w:shd w:val="clear" w:color="auto" w:fill="FDE9D9" w:themeFill="accent6" w:themeFillTint="33"/>
            <w:vAlign w:val="center"/>
          </w:tcPr>
          <w:p w14:paraId="3BE0876E"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Ремонт операційного блоку</w:t>
            </w:r>
          </w:p>
        </w:tc>
      </w:tr>
      <w:tr w:rsidR="00052C0B" w14:paraId="3BE08772" w14:textId="77777777">
        <w:tc>
          <w:tcPr>
            <w:tcW w:w="3539" w:type="dxa"/>
            <w:shd w:val="clear" w:color="auto" w:fill="F2DBDB" w:themeFill="accent2" w:themeFillTint="33"/>
            <w:vAlign w:val="center"/>
          </w:tcPr>
          <w:p w14:paraId="3BE08770"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bCs/>
                <w:color w:val="auto"/>
                <w:lang w:bidi="ar-SA"/>
              </w:rPr>
              <w:t>КНП «Міська клінічна лікарня № 10» ОМР</w:t>
            </w:r>
          </w:p>
        </w:tc>
        <w:tc>
          <w:tcPr>
            <w:tcW w:w="6090" w:type="dxa"/>
            <w:shd w:val="clear" w:color="auto" w:fill="FDE9D9" w:themeFill="accent6" w:themeFillTint="33"/>
            <w:vAlign w:val="center"/>
          </w:tcPr>
          <w:p w14:paraId="3BE08771"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Ремонт приміщень відділення стаціонарної післягострої та довготривалої реабілітаційної допомоги</w:t>
            </w:r>
          </w:p>
        </w:tc>
      </w:tr>
      <w:tr w:rsidR="00052C0B" w14:paraId="3BE08775" w14:textId="77777777">
        <w:tc>
          <w:tcPr>
            <w:tcW w:w="3539" w:type="dxa"/>
            <w:shd w:val="clear" w:color="auto" w:fill="F2DBDB" w:themeFill="accent2" w:themeFillTint="33"/>
            <w:vAlign w:val="center"/>
          </w:tcPr>
          <w:p w14:paraId="3BE08773"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bCs/>
                <w:color w:val="auto"/>
                <w:lang w:bidi="ar-SA"/>
              </w:rPr>
              <w:t>КНП «ЦПМСД № 4» ОМР</w:t>
            </w:r>
          </w:p>
        </w:tc>
        <w:tc>
          <w:tcPr>
            <w:tcW w:w="6090" w:type="dxa"/>
            <w:shd w:val="clear" w:color="auto" w:fill="FDE9D9" w:themeFill="accent6" w:themeFillTint="33"/>
            <w:vAlign w:val="center"/>
          </w:tcPr>
          <w:p w14:paraId="3BE08774"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Виконання проектних робіт з ремонту приміщень амбулаторії сімейної медицини (вул. Акад. Філатова, 10/1)</w:t>
            </w:r>
          </w:p>
        </w:tc>
      </w:tr>
      <w:tr w:rsidR="00052C0B" w14:paraId="3BE08778" w14:textId="77777777">
        <w:tc>
          <w:tcPr>
            <w:tcW w:w="3539" w:type="dxa"/>
            <w:shd w:val="clear" w:color="auto" w:fill="F2DBDB" w:themeFill="accent2" w:themeFillTint="33"/>
            <w:vAlign w:val="center"/>
          </w:tcPr>
          <w:p w14:paraId="3BE08776"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bCs/>
                <w:color w:val="auto"/>
                <w:lang w:bidi="ar-SA"/>
              </w:rPr>
              <w:t>КНП «Міська клінічна інфекційна лікарня» ОМР</w:t>
            </w:r>
          </w:p>
        </w:tc>
        <w:tc>
          <w:tcPr>
            <w:tcW w:w="6090" w:type="dxa"/>
            <w:shd w:val="clear" w:color="auto" w:fill="FDE9D9" w:themeFill="accent6" w:themeFillTint="33"/>
            <w:vAlign w:val="center"/>
          </w:tcPr>
          <w:p w14:paraId="3BE08777"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Продовження капітального ремонту дитячого корпусу</w:t>
            </w:r>
          </w:p>
        </w:tc>
      </w:tr>
      <w:tr w:rsidR="00052C0B" w14:paraId="3BE0877B" w14:textId="77777777">
        <w:tc>
          <w:tcPr>
            <w:tcW w:w="3539" w:type="dxa"/>
            <w:shd w:val="clear" w:color="auto" w:fill="F2DBDB" w:themeFill="accent2" w:themeFillTint="33"/>
            <w:vAlign w:val="center"/>
          </w:tcPr>
          <w:p w14:paraId="3BE08779"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bCs/>
                <w:color w:val="auto"/>
                <w:lang w:bidi="ar-SA"/>
              </w:rPr>
              <w:t>КНП «Дитячий консультативно-діагностичний центр ім. Б.Я. Резніка» ОМР</w:t>
            </w:r>
          </w:p>
        </w:tc>
        <w:tc>
          <w:tcPr>
            <w:tcW w:w="6090" w:type="dxa"/>
            <w:shd w:val="clear" w:color="auto" w:fill="FDE9D9" w:themeFill="accent6" w:themeFillTint="33"/>
            <w:vAlign w:val="center"/>
          </w:tcPr>
          <w:p w14:paraId="3BE0877A"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Продовження капітального ремонту приміщень для дитячого амбулаторного відділення</w:t>
            </w:r>
          </w:p>
        </w:tc>
      </w:tr>
      <w:tr w:rsidR="00052C0B" w14:paraId="3BE0877E" w14:textId="77777777">
        <w:tc>
          <w:tcPr>
            <w:tcW w:w="3539" w:type="dxa"/>
            <w:shd w:val="clear" w:color="auto" w:fill="F2DBDB" w:themeFill="accent2" w:themeFillTint="33"/>
            <w:vAlign w:val="center"/>
          </w:tcPr>
          <w:p w14:paraId="3BE0877C"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bCs/>
                <w:color w:val="auto"/>
                <w:lang w:bidi="ar-SA"/>
              </w:rPr>
              <w:t>КНП «Пологовий будинок № 5» ОМР</w:t>
            </w:r>
          </w:p>
        </w:tc>
        <w:tc>
          <w:tcPr>
            <w:tcW w:w="6090" w:type="dxa"/>
            <w:shd w:val="clear" w:color="auto" w:fill="FDE9D9" w:themeFill="accent6" w:themeFillTint="33"/>
            <w:vAlign w:val="center"/>
          </w:tcPr>
          <w:p w14:paraId="3BE0877D"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Ремонт захисної споруди цивільного захисту (бомбосховища) та підвальних приміщень для забезпечення безпеки під час надзвичайних ситуацій</w:t>
            </w:r>
          </w:p>
        </w:tc>
      </w:tr>
    </w:tbl>
    <w:p w14:paraId="3BE0877F" w14:textId="77777777" w:rsidR="00052C0B" w:rsidRDefault="006E6CE8">
      <w:pPr>
        <w:spacing w:line="360" w:lineRule="auto"/>
        <w:ind w:firstLine="709"/>
        <w:jc w:val="both"/>
        <w:rPr>
          <w:rFonts w:ascii="Times New Roman" w:eastAsia="Times New Roman" w:hAnsi="Times New Roman" w:cs="Times New Roman"/>
          <w:i/>
          <w:color w:val="auto"/>
          <w:lang w:bidi="ar-SA"/>
        </w:rPr>
      </w:pPr>
      <w:r>
        <w:rPr>
          <w:rFonts w:ascii="Times New Roman" w:eastAsia="Times New Roman" w:hAnsi="Times New Roman" w:cs="Times New Roman"/>
          <w:i/>
          <w:color w:val="auto"/>
          <w:lang w:bidi="ar-SA"/>
        </w:rPr>
        <w:t xml:space="preserve">Джерело: складено на основі [32] </w:t>
      </w:r>
    </w:p>
    <w:p w14:paraId="3BE08780" w14:textId="77777777" w:rsidR="00052C0B" w:rsidRDefault="00052C0B">
      <w:pPr>
        <w:spacing w:line="360" w:lineRule="auto"/>
        <w:ind w:firstLine="709"/>
        <w:jc w:val="both"/>
        <w:rPr>
          <w:rFonts w:ascii="Times New Roman" w:eastAsia="Microsoft YaHei" w:hAnsi="Times New Roman" w:cs="Times New Roman"/>
          <w:sz w:val="28"/>
          <w:szCs w:val="28"/>
        </w:rPr>
      </w:pPr>
    </w:p>
    <w:p w14:paraId="3BE08781"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За рік комунальні медичні заклади надали близько 5 мільйонів медичних послуг, у тому числі майже 40 тисяч внутрішньо переміщеним особам і 17 тисяч - військовослужбовцям. У стаціонарі проліковано понад 104 тисячі пацієнтів, із них більше шести тисяч - військових. Стоматологічну допомогу </w:t>
      </w:r>
      <w:r>
        <w:rPr>
          <w:rFonts w:ascii="Times New Roman" w:eastAsia="Microsoft YaHei" w:hAnsi="Times New Roman" w:cs="Times New Roman"/>
          <w:sz w:val="28"/>
          <w:szCs w:val="28"/>
        </w:rPr>
        <w:lastRenderedPageBreak/>
        <w:t>отримали 151 264 особи. Значну увагу приділяли організації реабілітаційної допомоги: у 2024 році стаціонарні реабілітаційні послуги отримали 1589 пацієнтів, амбулаторні - 6324. У місті функціонує 120 реабілітаційних ліжок, а на базі МЛ №5 створюється Міський реабілітаційний центр. У багатьох лікарнях облаштовані «Палати Героя» для тяжкопоранених захисників.</w:t>
      </w:r>
    </w:p>
    <w:p w14:paraId="3BE08782"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Психологічну допомогу надавали 15 міських закладів, і протягом року її отримали понад 68 тисяч осіб, серед яких 415 військових. Паралельно розвивалася система адаптивного спорту для людей з інвалідністю та ветеранів - у місті впроваджували заняття гольфом, баскетболом на візках, тайським боксом, плаванням, настільним тенісом та іншими видами спорту, а місцева команда з баскетболу представляла Одесу на змаганнях різного рівня.</w:t>
      </w:r>
    </w:p>
    <w:p w14:paraId="3BE08783"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У медичних установах приділялася увага безбар’єрності: встановлювалися пандуси, ліфти, тактильні елементи, навігація для людей із порушеннями зору, спеціальні санітарні кімнати, створювалися інклюзивні палати та додаткові кабінети на перших поверхах. Також місто працювало над підвищенням автономності закладів - пробурено артезіанські свердловини, встановлено генератори та сонячні електростанції</w:t>
      </w:r>
      <w:r>
        <w:t xml:space="preserve"> </w:t>
      </w:r>
      <w:r>
        <w:rPr>
          <w:rFonts w:ascii="Times New Roman" w:eastAsia="Microsoft YaHei" w:hAnsi="Times New Roman" w:cs="Times New Roman"/>
          <w:sz w:val="28"/>
          <w:szCs w:val="28"/>
        </w:rPr>
        <w:t>[32].</w:t>
      </w:r>
    </w:p>
    <w:p w14:paraId="3BE08784"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Завдяки проекту «Донор Одеса» від початку повномасштабної війни проведено понад 8,5 тисячі донацій крові. У межах розвитку кардіологічної допомоги в МКЛ №11 встановлено сучасний ангіограф, що дає змогу проводити ургентні втручання при інфарктах та інсультах.</w:t>
      </w:r>
    </w:p>
    <w:p w14:paraId="3BE08785"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Окремим напрямом стала охорона здоров’я дітей. У місті розвивається система раннього втручання для дітей до 4 років: працюють спеціалізовані кабінети, проводиться навчання фахівців та освітні програми для батьків. Також відкрито тренінгово-ресурсний центр моделі домашнього відвідування. Профілактичні заходи та онкоскринінги охопили близько 41 тисячі мешканців, а вакцинацію проти вірусу папіломи людини отримали понад 3 тисячі дітей. Загалом у 2024 році виконано понад 52 тисячі планових щеплень, що становить понад 93% від запланованого обсягу.</w:t>
      </w:r>
    </w:p>
    <w:p w14:paraId="3BE08786"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Допомога внутрішньо переміщеним особам надавалася на всіх рівнях: </w:t>
      </w:r>
      <w:r>
        <w:rPr>
          <w:rFonts w:ascii="Times New Roman" w:eastAsia="Microsoft YaHei" w:hAnsi="Times New Roman" w:cs="Times New Roman"/>
          <w:sz w:val="28"/>
          <w:szCs w:val="28"/>
        </w:rPr>
        <w:lastRenderedPageBreak/>
        <w:t>амбулаторну допомогу отримали понад 3,4 тисячі осіб, стаціонарну - майже 3,8 тисячі, стоматологічну - понад 2,3 тисячі. Також виписано понад 6,5 тисячі пільгових рецептів, а в пологових будинках міста народилося 506 дітей у сім’ях ВПО.</w:t>
      </w:r>
    </w:p>
    <w:p w14:paraId="3BE08787"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Основні заходи Міської програми «Здоров’я» на 2024–2026 роки профінансовано на 98,1% від плану, що склало 798,2 млн грн. Значна частина коштів спрямовувалася на забезпечення пацієнтів медикаментами та пільговими рецептами - загалом ними скористалися понад 9 тисяч осіб. Програма також охоплює пацієнтів із хронічними захворюваннями, онкопатологіями, рідкісними генетичними станами, а також військовослужбовців і пацієнтів після трансплантацій [31; 32].</w:t>
      </w:r>
    </w:p>
    <w:p w14:paraId="3BE08788"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У першому півріччі 2025 року комунальні заклади охорони здоров’я територіальної громади м. Одеси продовжували працювати в умовах воєнного стану, виконуючи ключову роль у забезпеченні здоров’я мешканців міста як важливої складової національної стійкості. За цей період проведено комплекс заходів, спрямованих на задоволення медичних потреб населення, покращення якості та тривалості життя громадян шляхом стабільного функціонування міської системи охорони здоров’я. Це дозволило забезпечити якісну, доступну й своєчасну медичну допомогу одеситам, внутрішньо переміщеним особам і військовослужбовцям на рівні первинної та спеціалізованої медичної допомоги.</w:t>
      </w:r>
    </w:p>
    <w:p w14:paraId="3BE08789"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Медична допомога надавалася 32 медичними закладами міста, серед яких: 4 кластерні лікарні (1 - дитяча), 3 загальні лікарні, 4 консультативно-діагностичні центри (у тому числі один дитячий), 6 центрів первинної медико-санітарної допомоги, 7 дитячих поліклінік, 2 будинки дитини, пологовий будинок, стоматологічна поліклініка, Центр профілактики та боротьби з ВІЛ/СНІДом, психіатричний диспансер, міські Центри здоров’я та невідкладної медичної допомоги (рис. 2.4).</w:t>
      </w:r>
    </w:p>
    <w:p w14:paraId="3BE0878A" w14:textId="77777777" w:rsidR="00052C0B" w:rsidRDefault="006E6CE8">
      <w:pPr>
        <w:spacing w:line="360" w:lineRule="auto"/>
        <w:ind w:firstLine="709"/>
        <w:jc w:val="center"/>
        <w:rPr>
          <w:rFonts w:ascii="Times New Roman" w:eastAsia="Microsoft YaHei" w:hAnsi="Times New Roman" w:cs="Times New Roman"/>
          <w:sz w:val="28"/>
          <w:szCs w:val="28"/>
        </w:rPr>
      </w:pPr>
      <w:r>
        <w:rPr>
          <w:rFonts w:ascii="Microsoft YaHei" w:eastAsia="Microsoft YaHei" w:hAnsi="Microsoft YaHei" w:cs="Microsoft YaHei"/>
          <w:noProof/>
          <w:lang w:bidi="ar-SA"/>
        </w:rPr>
        <w:lastRenderedPageBreak/>
        <w:drawing>
          <wp:inline distT="0" distB="0" distL="0" distR="0" wp14:anchorId="3BE08964" wp14:editId="3BE08965">
            <wp:extent cx="5052060" cy="2423160"/>
            <wp:effectExtent l="0" t="0" r="15240" b="15240"/>
            <wp:docPr id="9"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3BE0878B" w14:textId="77777777" w:rsidR="00052C0B" w:rsidRDefault="006E6CE8">
      <w:pPr>
        <w:spacing w:line="360" w:lineRule="auto"/>
        <w:ind w:firstLine="709"/>
        <w:jc w:val="both"/>
        <w:rPr>
          <w:rFonts w:ascii="Times New Roman" w:eastAsia="Microsoft YaHei" w:hAnsi="Times New Roman" w:cs="Times New Roman"/>
          <w:b/>
          <w:sz w:val="28"/>
          <w:szCs w:val="28"/>
        </w:rPr>
      </w:pPr>
      <w:r>
        <w:rPr>
          <w:rFonts w:ascii="Times New Roman" w:eastAsia="Microsoft YaHei" w:hAnsi="Times New Roman" w:cs="Times New Roman"/>
          <w:b/>
          <w:sz w:val="28"/>
          <w:szCs w:val="28"/>
        </w:rPr>
        <w:t>Рис. 2.4. Структура медичних закладів м. Одеси у 2025 році</w:t>
      </w:r>
    </w:p>
    <w:p w14:paraId="3BE0878C" w14:textId="77777777" w:rsidR="00052C0B" w:rsidRDefault="006E6CE8">
      <w:pPr>
        <w:spacing w:line="360" w:lineRule="auto"/>
        <w:ind w:firstLine="709"/>
        <w:jc w:val="both"/>
        <w:rPr>
          <w:rFonts w:ascii="Times New Roman" w:eastAsia="Microsoft YaHei" w:hAnsi="Times New Roman" w:cs="Times New Roman"/>
          <w:i/>
        </w:rPr>
      </w:pPr>
      <w:r>
        <w:rPr>
          <w:rFonts w:ascii="Times New Roman" w:eastAsia="Microsoft YaHei" w:hAnsi="Times New Roman" w:cs="Times New Roman"/>
          <w:i/>
        </w:rPr>
        <w:t>Джерело: побудовано на основі [31]</w:t>
      </w:r>
    </w:p>
    <w:p w14:paraId="3BE0878D" w14:textId="77777777" w:rsidR="00052C0B" w:rsidRDefault="00052C0B">
      <w:pPr>
        <w:spacing w:line="360" w:lineRule="auto"/>
        <w:ind w:firstLine="709"/>
        <w:jc w:val="both"/>
        <w:rPr>
          <w:rFonts w:ascii="Times New Roman" w:eastAsia="Microsoft YaHei" w:hAnsi="Times New Roman" w:cs="Times New Roman"/>
          <w:i/>
        </w:rPr>
      </w:pPr>
    </w:p>
    <w:p w14:paraId="3BE0878E"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Попри складні умови, Департамент охорони здоров’я забезпечив повне та безперебійне фінансування галузі. Основний обсяг коштів спрямовувався на надання медичної допомоги населенню, постраждалим від російської збройної агресії, внутрішнім переселенцям та військовим, що лікувались у міських закладах. Збережено програми забезпечення пільгових категорій населення медикаментами, технічними засобами реабілітації, ортопедичними й стоматологічними протезами.</w:t>
      </w:r>
    </w:p>
    <w:p w14:paraId="3BE0878F"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Фінансування медичних закладів Одеси у 2025 році здійснювалося з різних джерел:</w:t>
      </w:r>
    </w:p>
    <w:p w14:paraId="3BE08790"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кошти НСЗУ за програмою медичних гарантій - 1159,1 млн грн, що на 13,4 млн грн більше, ніж за аналогічний період 2024 року;</w:t>
      </w:r>
    </w:p>
    <w:p w14:paraId="3BE08791"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кошти бюджету територіальної громади - 482,4 млн грн, що на 143,6 млн грн більше, ніж минулого року (рис. 2.5).</w:t>
      </w:r>
    </w:p>
    <w:tbl>
      <w:tblPr>
        <w:tblStyle w:val="3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39"/>
        <w:gridCol w:w="4415"/>
      </w:tblGrid>
      <w:tr w:rsidR="00052C0B" w14:paraId="3BE08794" w14:textId="77777777">
        <w:tc>
          <w:tcPr>
            <w:tcW w:w="4721" w:type="dxa"/>
          </w:tcPr>
          <w:p w14:paraId="3BE08792" w14:textId="77777777" w:rsidR="00052C0B" w:rsidRDefault="006E6CE8">
            <w:pPr>
              <w:spacing w:line="360" w:lineRule="auto"/>
              <w:jc w:val="both"/>
              <w:rPr>
                <w:rFonts w:ascii="Times New Roman" w:eastAsia="Calibri" w:hAnsi="Times New Roman" w:cs="Times New Roman"/>
                <w:sz w:val="28"/>
                <w:szCs w:val="28"/>
              </w:rPr>
            </w:pPr>
            <w:r>
              <w:rPr>
                <w:rFonts w:ascii="Microsoft YaHei" w:eastAsia="Calibri" w:hAnsi="Microsoft YaHei" w:cs="Microsoft YaHei"/>
                <w:noProof/>
                <w:lang w:bidi="ar-SA"/>
              </w:rPr>
              <w:lastRenderedPageBreak/>
              <w:drawing>
                <wp:inline distT="0" distB="0" distL="0" distR="0" wp14:anchorId="3BE08966" wp14:editId="3BE08967">
                  <wp:extent cx="3070860" cy="3009900"/>
                  <wp:effectExtent l="0" t="0" r="15240" b="0"/>
                  <wp:docPr id="10"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tc>
        <w:tc>
          <w:tcPr>
            <w:tcW w:w="4633" w:type="dxa"/>
          </w:tcPr>
          <w:p w14:paraId="3BE08793" w14:textId="77777777" w:rsidR="00052C0B" w:rsidRDefault="006E6CE8">
            <w:pPr>
              <w:spacing w:line="360" w:lineRule="auto"/>
              <w:jc w:val="both"/>
              <w:rPr>
                <w:rFonts w:ascii="Times New Roman" w:eastAsia="Calibri" w:hAnsi="Times New Roman" w:cs="Times New Roman"/>
                <w:sz w:val="28"/>
                <w:szCs w:val="28"/>
              </w:rPr>
            </w:pPr>
            <w:r>
              <w:rPr>
                <w:rFonts w:ascii="Microsoft YaHei" w:eastAsia="Calibri" w:hAnsi="Microsoft YaHei" w:cs="Microsoft YaHei"/>
                <w:noProof/>
                <w:lang w:bidi="ar-SA"/>
              </w:rPr>
              <w:drawing>
                <wp:inline distT="0" distB="0" distL="0" distR="0" wp14:anchorId="3BE08968" wp14:editId="3BE08969">
                  <wp:extent cx="2727960" cy="3009900"/>
                  <wp:effectExtent l="0" t="0" r="15240" b="0"/>
                  <wp:docPr id="11" name="Діагра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tc>
      </w:tr>
    </w:tbl>
    <w:p w14:paraId="3BE08795" w14:textId="77777777" w:rsidR="00052C0B" w:rsidRDefault="006E6CE8">
      <w:pPr>
        <w:spacing w:line="360" w:lineRule="auto"/>
        <w:ind w:firstLine="709"/>
        <w:jc w:val="both"/>
        <w:rPr>
          <w:rFonts w:ascii="Times New Roman" w:eastAsia="Microsoft YaHei" w:hAnsi="Times New Roman" w:cs="Times New Roman"/>
          <w:b/>
          <w:sz w:val="28"/>
          <w:szCs w:val="28"/>
        </w:rPr>
      </w:pPr>
      <w:r>
        <w:rPr>
          <w:rFonts w:ascii="Times New Roman" w:eastAsia="Microsoft YaHei" w:hAnsi="Times New Roman" w:cs="Times New Roman"/>
          <w:b/>
          <w:sz w:val="28"/>
          <w:szCs w:val="28"/>
        </w:rPr>
        <w:t>Рис. 2.5. Джерела фінансування медичних закладів Одеси у 2025 році в порівнянні із 2024 роком</w:t>
      </w:r>
    </w:p>
    <w:p w14:paraId="3BE08796" w14:textId="77777777" w:rsidR="00052C0B" w:rsidRDefault="006E6CE8">
      <w:pPr>
        <w:spacing w:line="360" w:lineRule="auto"/>
        <w:ind w:firstLine="709"/>
        <w:jc w:val="both"/>
        <w:rPr>
          <w:rFonts w:ascii="Times New Roman" w:eastAsia="Microsoft YaHei" w:hAnsi="Times New Roman" w:cs="Times New Roman"/>
          <w:i/>
        </w:rPr>
      </w:pPr>
      <w:r>
        <w:rPr>
          <w:rFonts w:ascii="Times New Roman" w:eastAsia="Microsoft YaHei" w:hAnsi="Times New Roman" w:cs="Times New Roman"/>
          <w:i/>
        </w:rPr>
        <w:t>Джерело: побудовано на основі [31]</w:t>
      </w:r>
    </w:p>
    <w:p w14:paraId="3BE08797" w14:textId="77777777" w:rsidR="00052C0B" w:rsidRDefault="00052C0B">
      <w:pPr>
        <w:spacing w:line="360" w:lineRule="auto"/>
        <w:ind w:firstLine="709"/>
        <w:jc w:val="both"/>
        <w:rPr>
          <w:rFonts w:ascii="Times New Roman" w:eastAsia="Microsoft YaHei" w:hAnsi="Times New Roman" w:cs="Times New Roman"/>
          <w:b/>
          <w:sz w:val="28"/>
          <w:szCs w:val="28"/>
        </w:rPr>
      </w:pPr>
    </w:p>
    <w:p w14:paraId="3BE08798"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Усього у І півріччі 2025 року заклади охорони здоров’я отримали 1641,5 млн грн, що на 157 млн грн перевищує минулорічні надходження.</w:t>
      </w:r>
    </w:p>
    <w:p w14:paraId="3BE08799"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Видатки галузі склали 1658,6 млн грн, з яких 148,9 млн грн - капітальні інвестиції в розвиток матеріально-технічної бази.</w:t>
      </w:r>
    </w:p>
    <w:p w14:paraId="3BE0879A"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Медична допомога військовослужбовцям характеризується наступними показниками. У першому півріччі 2025 року з бюджету громади на потреби військових спрямовано 42,8 млн грн, у тому числі:</w:t>
      </w:r>
    </w:p>
    <w:p w14:paraId="3BE0879B"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поліпшене харчування - 11,6 млн грн;</w:t>
      </w:r>
    </w:p>
    <w:p w14:paraId="3BE0879C"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стоматологічна допомога - 7 млн грн;</w:t>
      </w:r>
    </w:p>
    <w:p w14:paraId="3BE0879D"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проведення медичних комісій - 9,2 млн грн;</w:t>
      </w:r>
    </w:p>
    <w:p w14:paraId="3BE0879E"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ремонти реабілітаційних відділень кластерних лікарень - 15 млн грн (рис. 2.6).</w:t>
      </w:r>
    </w:p>
    <w:p w14:paraId="3BE0879F" w14:textId="77777777" w:rsidR="00052C0B" w:rsidRDefault="006E6CE8">
      <w:pPr>
        <w:spacing w:line="360" w:lineRule="auto"/>
        <w:ind w:firstLine="709"/>
        <w:jc w:val="center"/>
        <w:rPr>
          <w:rFonts w:ascii="Times New Roman" w:eastAsia="Microsoft YaHei" w:hAnsi="Times New Roman" w:cs="Times New Roman"/>
          <w:sz w:val="28"/>
          <w:szCs w:val="28"/>
        </w:rPr>
      </w:pPr>
      <w:r>
        <w:rPr>
          <w:rFonts w:ascii="Microsoft YaHei" w:eastAsia="Microsoft YaHei" w:hAnsi="Microsoft YaHei" w:cs="Microsoft YaHei"/>
          <w:noProof/>
          <w:lang w:bidi="ar-SA"/>
        </w:rPr>
        <w:lastRenderedPageBreak/>
        <w:drawing>
          <wp:inline distT="0" distB="0" distL="0" distR="0" wp14:anchorId="3BE0896A" wp14:editId="3BE0896B">
            <wp:extent cx="4892040" cy="3051810"/>
            <wp:effectExtent l="0" t="0" r="3810" b="15240"/>
            <wp:docPr id="12" name="Діагра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3BE087A0" w14:textId="77777777" w:rsidR="00052C0B" w:rsidRDefault="006E6CE8">
      <w:pPr>
        <w:spacing w:line="360" w:lineRule="auto"/>
        <w:ind w:firstLine="709"/>
        <w:jc w:val="both"/>
        <w:rPr>
          <w:rFonts w:ascii="Times New Roman" w:eastAsia="Microsoft YaHei" w:hAnsi="Times New Roman" w:cs="Times New Roman"/>
          <w:b/>
          <w:sz w:val="28"/>
          <w:szCs w:val="28"/>
        </w:rPr>
      </w:pPr>
      <w:r>
        <w:rPr>
          <w:rFonts w:ascii="Times New Roman" w:eastAsia="Microsoft YaHei" w:hAnsi="Times New Roman" w:cs="Times New Roman"/>
          <w:b/>
          <w:sz w:val="28"/>
          <w:szCs w:val="28"/>
        </w:rPr>
        <w:t>Рис. 2.6. Медична допомога військовослужбовцям у першому півріччі 2025 року з бюджету громади</w:t>
      </w:r>
    </w:p>
    <w:p w14:paraId="3BE087A1" w14:textId="77777777" w:rsidR="00052C0B" w:rsidRDefault="006E6CE8">
      <w:pPr>
        <w:spacing w:line="360" w:lineRule="auto"/>
        <w:ind w:firstLine="709"/>
        <w:jc w:val="both"/>
        <w:rPr>
          <w:rFonts w:ascii="Times New Roman" w:eastAsia="Microsoft YaHei" w:hAnsi="Times New Roman" w:cs="Times New Roman"/>
          <w:i/>
        </w:rPr>
      </w:pPr>
      <w:r>
        <w:rPr>
          <w:rFonts w:ascii="Times New Roman" w:eastAsia="Microsoft YaHei" w:hAnsi="Times New Roman" w:cs="Times New Roman"/>
          <w:i/>
        </w:rPr>
        <w:t>Джерело: побудовано на основі [31]</w:t>
      </w:r>
    </w:p>
    <w:p w14:paraId="3BE087A2" w14:textId="77777777" w:rsidR="00052C0B" w:rsidRDefault="00052C0B">
      <w:pPr>
        <w:spacing w:line="360" w:lineRule="auto"/>
        <w:ind w:firstLine="709"/>
        <w:jc w:val="both"/>
        <w:rPr>
          <w:rFonts w:ascii="Times New Roman" w:eastAsia="Microsoft YaHei" w:hAnsi="Times New Roman" w:cs="Times New Roman"/>
          <w:sz w:val="28"/>
          <w:szCs w:val="28"/>
        </w:rPr>
      </w:pPr>
    </w:p>
    <w:p w14:paraId="3BE087A3" w14:textId="77777777" w:rsidR="00052C0B" w:rsidRDefault="006E6CE8">
      <w:pPr>
        <w:spacing w:line="360" w:lineRule="auto"/>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          У медичних закладах Одеси проводились ремонтні роботи. Завершено значні реконструкції у:</w:t>
      </w:r>
    </w:p>
    <w:p w14:paraId="3BE087A4"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МКЛ №11 - капремонт будівлі й відкриття відділень кардіології та кардіохірургії;</w:t>
      </w:r>
    </w:p>
    <w:p w14:paraId="3BE087A5"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ДМКЛ №3 - реконструкція першого поверху під педіатричне та приймально-діагностичне відділення;</w:t>
      </w:r>
    </w:p>
    <w:p w14:paraId="3BE087A6"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ДКДЦ ім. Резніка - капітальний ремонт для відкриття дитячого амбулаторного відділення;</w:t>
      </w:r>
    </w:p>
    <w:p w14:paraId="3BE087A7"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ЦПМСД №4 - ремонт вестибюля.</w:t>
      </w:r>
    </w:p>
    <w:p w14:paraId="3BE087A8"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Тривають масштабні роботи в МКЛ №1, МКІЛ, Пологовому будинку №5.</w:t>
      </w:r>
    </w:p>
    <w:p w14:paraId="3BE087A9"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У межах програми «Безбар’єрна Одеса» облаштовано 6 інклюзивних палат з сучасними функціональними ліжками.</w:t>
      </w:r>
    </w:p>
    <w:p w14:paraId="3BE087AA"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Показники медичної статистики у І півріччі 2025 року характеризуються наступними цифрами:</w:t>
      </w:r>
    </w:p>
    <w:p w14:paraId="3BE087AB"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госпіталізовано - 49 654 осіб, з них 3164 військових;</w:t>
      </w:r>
    </w:p>
    <w:p w14:paraId="3BE087AC"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lastRenderedPageBreak/>
        <w:t>- здійснено 2 178 962 амбулаторних відвідувань;</w:t>
      </w:r>
    </w:p>
    <w:p w14:paraId="3BE087AD"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надано 66 914 стоматологічних послуг, з них 2798 - військовим.</w:t>
      </w:r>
    </w:p>
    <w:p w14:paraId="3BE087AE"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Стаціонарну реабілітацію отримали 464 пацієнти; амбулаторну - 2824 осіб, включно з дітьми, ВПО та військовими.</w:t>
      </w:r>
    </w:p>
    <w:p w14:paraId="3BE087AF"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У чотирьох лікарнях діють «Палати Героя» для довготривалого догляду поранених захисників.</w:t>
      </w:r>
    </w:p>
    <w:p w14:paraId="3BE087B0"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Психологічні послуги надають 16 міських закладів. За пів року проведено 23 100 консультацій, у тому числі військовим.</w:t>
      </w:r>
    </w:p>
    <w:p w14:paraId="3BE087B1"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Триває співпраця з НУО щодо впровадження адаптивних видів спорту: баскетбол на візках, гольфспорт, тайський бокс, теніс, плавання, дайвінг.</w:t>
      </w:r>
    </w:p>
    <w:p w14:paraId="3BE087B2"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У медичних установах облаштовуються пандуси, тактильні елементи, навігація, ліфти, санітарні кімнати для осіб з інвалідністю</w:t>
      </w:r>
      <w:r>
        <w:t xml:space="preserve"> </w:t>
      </w:r>
      <w:r>
        <w:rPr>
          <w:rFonts w:ascii="Times New Roman" w:eastAsia="Microsoft YaHei" w:hAnsi="Times New Roman" w:cs="Times New Roman"/>
          <w:sz w:val="28"/>
          <w:szCs w:val="28"/>
        </w:rPr>
        <w:t>[31].</w:t>
      </w:r>
    </w:p>
    <w:p w14:paraId="3BE087B3"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У МКЛ №11 відкрито сучасне відділення кардіології та кардіохірургії та введено ангіограф.</w:t>
      </w:r>
    </w:p>
    <w:p w14:paraId="3BE087B4"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Проведено:</w:t>
      </w:r>
    </w:p>
    <w:p w14:paraId="3BE087B5"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- 212 коронарографій,</w:t>
      </w:r>
    </w:p>
    <w:p w14:paraId="3BE087B6"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- 19 ангіографій церебральних артерій,</w:t>
      </w:r>
    </w:p>
    <w:p w14:paraId="3BE087B7"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- 4 ангіографії кінцівок,</w:t>
      </w:r>
    </w:p>
    <w:p w14:paraId="3BE087B8"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- 122 коронарні стентування,</w:t>
      </w:r>
    </w:p>
    <w:p w14:paraId="3BE087B9"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- 126 ендоваскулярних втручань загалом.</w:t>
      </w:r>
    </w:p>
    <w:p w14:paraId="3BE087BA"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У межах програми «Безбар’єрна Одеса»:</w:t>
      </w:r>
    </w:p>
    <w:p w14:paraId="3BE087BB"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здійснено 2051 взаємодію з родинами,</w:t>
      </w:r>
    </w:p>
    <w:p w14:paraId="3BE087BC"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до послуг раннього втручання залучено 153 сім’ї,</w:t>
      </w:r>
    </w:p>
    <w:p w14:paraId="3BE087BD"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проведено 337 виїздів додому, 645 амбулаторних консультацій,</w:t>
      </w:r>
    </w:p>
    <w:p w14:paraId="3BE087BE"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позитивну динаміку зафіксовано у 98 дітей.</w:t>
      </w:r>
    </w:p>
    <w:p w14:paraId="3BE087BF"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За допомогою онкоскринінгів:</w:t>
      </w:r>
    </w:p>
    <w:p w14:paraId="3BE087C0"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 обстежено понад 5000 жінок  - виявлено 18 онкопатологій; </w:t>
      </w:r>
    </w:p>
    <w:p w14:paraId="3BE087C1"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оглянуто понад 3000 чоловіків - у 12 виявлено підозру на рак простати;</w:t>
      </w:r>
    </w:p>
    <w:p w14:paraId="3BE087C2"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у гінекологічних кабінетах ПМД виявлено 73 підозри на онкопатологію.</w:t>
      </w:r>
    </w:p>
    <w:p w14:paraId="3BE087C3"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lastRenderedPageBreak/>
        <w:t>Вакцинація проти ВПЛ: введено 1488 доз.</w:t>
      </w:r>
    </w:p>
    <w:p w14:paraId="3BE087C4"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В межах імунопрофілактики виконано 22 949 щеплень, що становить 100,1% плану.</w:t>
      </w:r>
    </w:p>
    <w:p w14:paraId="3BE087C5"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Надано медичні послуги внутрішньо переміщеним особам:</w:t>
      </w:r>
    </w:p>
    <w:p w14:paraId="3BE087C6"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- 17 317 амбулаторних консультацій,</w:t>
      </w:r>
    </w:p>
    <w:p w14:paraId="3BE087C7"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- 1485 стаціонарних пацієнтів,</w:t>
      </w:r>
    </w:p>
    <w:p w14:paraId="3BE087C8"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- 428 стоматологічних звернень,</w:t>
      </w:r>
    </w:p>
    <w:p w14:paraId="3BE087C9"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- 4361 пільговий рецепт,</w:t>
      </w:r>
    </w:p>
    <w:p w14:paraId="3BE087CA" w14:textId="77777777" w:rsidR="00052C0B" w:rsidRDefault="006E6CE8">
      <w:pPr>
        <w:spacing w:line="360" w:lineRule="auto"/>
        <w:ind w:firstLine="709"/>
        <w:jc w:val="both"/>
        <w:rPr>
          <w:rFonts w:ascii="Times New Roman" w:eastAsia="Microsoft YaHei" w:hAnsi="Times New Roman" w:cs="Times New Roman"/>
          <w:i/>
        </w:rPr>
      </w:pPr>
      <w:r>
        <w:rPr>
          <w:rFonts w:ascii="Times New Roman" w:eastAsia="Microsoft YaHei" w:hAnsi="Times New Roman" w:cs="Times New Roman"/>
          <w:sz w:val="28"/>
          <w:szCs w:val="28"/>
        </w:rPr>
        <w:t>- 253 пологів у ВПО</w:t>
      </w:r>
      <w:r>
        <w:rPr>
          <w:rFonts w:ascii="Times New Roman" w:eastAsia="Microsoft YaHei" w:hAnsi="Times New Roman" w:cs="Times New Roman"/>
          <w:i/>
        </w:rPr>
        <w:t xml:space="preserve"> </w:t>
      </w:r>
      <w:r>
        <w:rPr>
          <w:rFonts w:ascii="Times New Roman" w:eastAsia="Microsoft YaHei" w:hAnsi="Times New Roman" w:cs="Times New Roman"/>
          <w:sz w:val="28"/>
          <w:szCs w:val="28"/>
        </w:rPr>
        <w:t>[31].</w:t>
      </w:r>
    </w:p>
    <w:p w14:paraId="3BE087CB"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В рамках міської програми «Здоров’я» профінансовано заходів на                  459,6 млн грн.</w:t>
      </w:r>
    </w:p>
    <w:p w14:paraId="3BE087CC"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Пільгове забезпечення склало:</w:t>
      </w:r>
    </w:p>
    <w:p w14:paraId="3BE087CD"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лікарські засоби отримали 6549 осіб;</w:t>
      </w:r>
    </w:p>
    <w:p w14:paraId="3BE087CE"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технічні засоби реабілітації - 2034 особи, включно з дітьми.</w:t>
      </w:r>
    </w:p>
    <w:p w14:paraId="3BE087CF"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Надано суттєву підтримку орфанним хворим, людя з онкологією, діабетом, муковісцидозом.</w:t>
      </w:r>
    </w:p>
    <w:p w14:paraId="3BE087D0"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Закуплено інсулінові помпи та витратні матеріали - лікування отримують 46 дітей.</w:t>
      </w:r>
    </w:p>
    <w:p w14:paraId="3BE087D1"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За даними невідкладної допомоги зареєстровано:</w:t>
      </w:r>
    </w:p>
    <w:p w14:paraId="3BE087D2"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- 27 150 звернень телефоном,</w:t>
      </w:r>
    </w:p>
    <w:p w14:paraId="3BE087D3"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- 11 078 виїздів бригад,</w:t>
      </w:r>
    </w:p>
    <w:p w14:paraId="3BE087D4"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перевезено 453 хворих і 584 військових,</w:t>
      </w:r>
    </w:p>
    <w:p w14:paraId="3BE087D5"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здійснено 801 госпіталізацію.</w:t>
      </w:r>
    </w:p>
    <w:p w14:paraId="3BE087D6"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У процесі структурної реорганізації закладів охорони здоров’я було забезпечено збереження кадрового потенціалу медичних працівників, що дозволило уникнути втрат кваліфікованих спеціалістів та підтримати стабільність функціонування системи охорони здоров’я міста.</w:t>
      </w:r>
    </w:p>
    <w:p w14:paraId="3BE087D7"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Серед ключових пріоритетів діяльності Департаменту охорони здоров’я Одеської міської ради на 2025 рік визначено такі напрями:</w:t>
      </w:r>
    </w:p>
    <w:p w14:paraId="3BE087D8"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 продовження впровадження медичної реформи, зокрема реорганізація </w:t>
      </w:r>
      <w:r>
        <w:rPr>
          <w:rFonts w:ascii="Times New Roman" w:eastAsia="Microsoft YaHei" w:hAnsi="Times New Roman" w:cs="Times New Roman"/>
          <w:sz w:val="28"/>
          <w:szCs w:val="28"/>
        </w:rPr>
        <w:lastRenderedPageBreak/>
        <w:t>будинків дитини м. Одеси у центри медичної реабілітації та паліативної допомоги дітям;</w:t>
      </w:r>
    </w:p>
    <w:p w14:paraId="3BE087D9"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розвиток кардіологічної служби міста, включно з відкриттям кардіологічного відділення на базі міської лікарні;</w:t>
      </w:r>
    </w:p>
    <w:p w14:paraId="3BE087DA"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забезпечення доступності скринінгу онкопатологій та серцево-судинних захворювань, а також впровадження сучасних високотехнологічних методів діагностики та лікування серцево-судинних і судинно-мозкових хвороб;</w:t>
      </w:r>
    </w:p>
    <w:p w14:paraId="3BE087DB"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створення центрів слуху для дорослого та дитячого населення, а також відкриття центру розсіяного склерозу для розширення можливостей надання комплексної спеціалізованої медичної допомоги;</w:t>
      </w:r>
    </w:p>
    <w:p w14:paraId="3BE087DC"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реалізація пілотного проекту «Одеса контролює здорову вагу» як інструменту профілактики хронічних неінфекційних захворювань;</w:t>
      </w:r>
    </w:p>
    <w:p w14:paraId="3BE087DD"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продовження розбудови системи медичної реабілітації на базі стаціонарних і амбулаторних медичних закладів міста;</w:t>
      </w:r>
    </w:p>
    <w:p w14:paraId="3BE087DE"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розвиток психологічної допомоги в медичних установах у межах Всеукраїнської програми ментального здоров’я «Ти як?» [31].</w:t>
      </w:r>
    </w:p>
    <w:p w14:paraId="3BE087DF"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Отже, застосування організаційно-економічних інструментів забезпечення діяльності комунальних закладів охорони здоров’я територіальної громади м. Одеси позитивно вплинуло на їх функціонування та результати роботи. Комплексне поєднання фінансових, управлінських, нормативних та ресурсних механізмів сприяло підвищенню ефективності використання бюджетних коштів, зміцненню матеріально-технічної бази, забезпеченню доступності медичної допомоги та розширенню можливостей закладів щодо впровадження сучасних медичних технологій. Раціональний розподіл фінансування, своєчасне оновлення обладнання, удосконалення системи внутрішнього контролю й аудитів, а також орієнтація на потреби пацієнтів дозволили закладам охорони здоров’я міста стабільно працювати в умовах воєнного стану та відповідати зростаючим вимогам до якості медичних послуг. У сукупності це забезпечило підвищення результативності галузі, </w:t>
      </w:r>
      <w:r>
        <w:rPr>
          <w:rFonts w:ascii="Times New Roman" w:eastAsia="Microsoft YaHei" w:hAnsi="Times New Roman" w:cs="Times New Roman"/>
          <w:sz w:val="28"/>
          <w:szCs w:val="28"/>
        </w:rPr>
        <w:lastRenderedPageBreak/>
        <w:t>зміцнення спроможності комунальних медичних установ та створило підґрунтя для їх подальшого розвитку й модернізації.</w:t>
      </w:r>
    </w:p>
    <w:p w14:paraId="3BE087E0" w14:textId="77777777" w:rsidR="00052C0B" w:rsidRDefault="00052C0B">
      <w:pPr>
        <w:spacing w:line="360" w:lineRule="auto"/>
        <w:ind w:firstLine="709"/>
        <w:jc w:val="both"/>
        <w:rPr>
          <w:rFonts w:ascii="Times New Roman" w:eastAsia="Microsoft YaHei" w:hAnsi="Times New Roman" w:cs="Times New Roman"/>
          <w:sz w:val="28"/>
          <w:szCs w:val="28"/>
        </w:rPr>
      </w:pPr>
    </w:p>
    <w:p w14:paraId="3BE087E1"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b/>
          <w:sz w:val="28"/>
          <w:szCs w:val="28"/>
        </w:rPr>
        <w:t>2.3. Аналіз і оцінка фінансового стану та ефективності організаційно-економічних механізмів КНП «Міська клінічна лікарня         № 11» ОМР</w:t>
      </w:r>
    </w:p>
    <w:p w14:paraId="3BE087E2" w14:textId="77777777" w:rsidR="00052C0B" w:rsidRDefault="006E6CE8">
      <w:pPr>
        <w:pBdr>
          <w:top w:val="none" w:sz="4" w:space="0" w:color="000000"/>
          <w:left w:val="none" w:sz="4" w:space="0" w:color="000000"/>
          <w:bottom w:val="none" w:sz="4" w:space="0" w:color="000000"/>
          <w:right w:val="none" w:sz="4" w:space="0" w:color="000000"/>
        </w:pBdr>
        <w:spacing w:line="360" w:lineRule="auto"/>
        <w:ind w:firstLine="709"/>
        <w:jc w:val="both"/>
        <w:rPr>
          <w:rFonts w:ascii="Microsoft YaHei" w:eastAsia="Microsoft YaHei" w:hAnsi="Microsoft YaHei" w:cs="Microsoft YaHei"/>
        </w:rPr>
      </w:pPr>
      <w:r>
        <w:rPr>
          <w:rFonts w:ascii="Times New Roman" w:eastAsia="Times New Roman" w:hAnsi="Times New Roman" w:cs="Times New Roman"/>
          <w:sz w:val="28"/>
        </w:rPr>
        <w:t>Одеське комунальне некомерційне підприємство «Міська клінічна лікарня № 11» – це провідний лікувально-профілактичний центр регіону, який відіграє стратегічну роль у системі охорони здоров’я області.</w:t>
      </w:r>
    </w:p>
    <w:p w14:paraId="3BE087E3" w14:textId="77777777" w:rsidR="00052C0B" w:rsidRDefault="006E6CE8">
      <w:pPr>
        <w:pBdr>
          <w:top w:val="none" w:sz="4" w:space="0" w:color="000000"/>
          <w:left w:val="none" w:sz="4" w:space="0" w:color="000000"/>
          <w:bottom w:val="none" w:sz="4" w:space="0" w:color="000000"/>
          <w:right w:val="none" w:sz="4" w:space="0" w:color="000000"/>
        </w:pBdr>
        <w:spacing w:line="360" w:lineRule="auto"/>
        <w:ind w:firstLine="709"/>
        <w:jc w:val="both"/>
        <w:rPr>
          <w:rFonts w:ascii="Microsoft YaHei" w:eastAsia="Microsoft YaHei" w:hAnsi="Microsoft YaHei" w:cs="Microsoft YaHei"/>
        </w:rPr>
      </w:pPr>
      <w:r>
        <w:rPr>
          <w:rFonts w:ascii="Times New Roman" w:eastAsia="Times New Roman" w:hAnsi="Times New Roman" w:cs="Times New Roman"/>
          <w:sz w:val="28"/>
        </w:rPr>
        <w:t>Заклад є однією з основних клінічних баз Одеського національного медичного університету, де проходять підготовку лікарі-інтерни, підвищують кваліфікацію практикуючі фахівці та здійснюється навчально-методична робота кафедр.</w:t>
      </w:r>
    </w:p>
    <w:p w14:paraId="3BE087E4" w14:textId="77777777" w:rsidR="00052C0B" w:rsidRDefault="006E6CE8">
      <w:pPr>
        <w:pBdr>
          <w:top w:val="none" w:sz="4" w:space="0" w:color="000000"/>
          <w:left w:val="none" w:sz="4" w:space="0" w:color="000000"/>
          <w:bottom w:val="none" w:sz="4" w:space="0" w:color="000000"/>
          <w:right w:val="none" w:sz="4" w:space="0" w:color="000000"/>
        </w:pBdr>
        <w:spacing w:line="360" w:lineRule="auto"/>
        <w:ind w:firstLine="709"/>
        <w:jc w:val="both"/>
        <w:rPr>
          <w:rFonts w:ascii="Microsoft YaHei" w:eastAsia="Microsoft YaHei" w:hAnsi="Microsoft YaHei" w:cs="Microsoft YaHei"/>
        </w:rPr>
      </w:pPr>
      <w:r>
        <w:rPr>
          <w:rFonts w:ascii="Times New Roman" w:eastAsia="Times New Roman" w:hAnsi="Times New Roman" w:cs="Times New Roman"/>
          <w:sz w:val="28"/>
        </w:rPr>
        <w:t>Лікарня має високий рівень організації медичної допомоги та охоплює широкий спектр напрямів: від екстреної медицини й сучасної діагностики до оперативних втручань і комплексних реабілітаційних програм. Завдяки можливості надавати спеціалізовану та високотехнологічну медичну допомогу заклад відіграє важливу роль у забезпеченні здоров’я жителів Одеської області (рис.2.7) [34].</w:t>
      </w:r>
    </w:p>
    <w:p w14:paraId="3BE087E5" w14:textId="77777777" w:rsidR="00052C0B" w:rsidRDefault="006E6CE8">
      <w:pPr>
        <w:pBdr>
          <w:top w:val="none" w:sz="4" w:space="0" w:color="000000"/>
          <w:left w:val="none" w:sz="4" w:space="0" w:color="000000"/>
          <w:bottom w:val="none" w:sz="4" w:space="0" w:color="000000"/>
          <w:right w:val="none" w:sz="4" w:space="0" w:color="000000"/>
        </w:pBdr>
        <w:spacing w:line="360" w:lineRule="auto"/>
        <w:jc w:val="center"/>
        <w:rPr>
          <w:rFonts w:ascii="Microsoft YaHei" w:eastAsia="Microsoft YaHei" w:hAnsi="Microsoft YaHei" w:cs="Microsoft YaHei"/>
        </w:rPr>
      </w:pPr>
      <w:r>
        <w:rPr>
          <w:rFonts w:ascii="Microsoft YaHei" w:eastAsia="Microsoft YaHei" w:hAnsi="Microsoft YaHei" w:cs="Microsoft YaHei"/>
          <w:noProof/>
          <w:lang w:bidi="ar-SA"/>
        </w:rPr>
        <mc:AlternateContent>
          <mc:Choice Requires="wpg">
            <w:drawing>
              <wp:inline distT="0" distB="0" distL="0" distR="0" wp14:anchorId="3BE0896C" wp14:editId="3BE0896D">
                <wp:extent cx="2371725" cy="1171575"/>
                <wp:effectExtent l="0" t="0" r="0" b="0"/>
                <wp:docPr id="13"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4351342" name=""/>
                        <pic:cNvPicPr>
                          <a:picLocks noChangeAspect="1"/>
                        </pic:cNvPicPr>
                      </pic:nvPicPr>
                      <pic:blipFill rotWithShape="1">
                        <a:blip r:embed="rId26"/>
                        <a:stretch/>
                      </pic:blipFill>
                      <pic:spPr bwMode="auto">
                        <a:xfrm>
                          <a:off x="0" y="0"/>
                          <a:ext cx="2371724" cy="1171575"/>
                        </a:xfrm>
                        <a:prstGeom prst="rect">
                          <a:avLst/>
                        </a:prstGeom>
                      </pic:spPr>
                    </pic:pic>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a="http://schemas.openxmlformats.org/drawingml/2006/main">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 o:spid="_x0000_s1" type="#_x0000_t75" style="width:186.75pt;height:92.25pt;mso-wrap-distance-left:0.00pt;mso-wrap-distance-top:0.00pt;mso-wrap-distance-right:0.00pt;mso-wrap-distance-bottom:0.00pt;z-index:1;" stroked="false">
                <v:imagedata r:id="rId27" o:title=""/>
                <o:lock v:ext="edit" rotation="t"/>
              </v:shape>
            </w:pict>
          </mc:Fallback>
        </mc:AlternateContent>
      </w:r>
      <w:r>
        <w:rPr>
          <w:rFonts w:ascii="Microsoft YaHei" w:eastAsia="Microsoft YaHei" w:hAnsi="Microsoft YaHei" w:cs="Microsoft YaHei"/>
        </w:rPr>
        <w:t xml:space="preserve">             </w:t>
      </w:r>
      <w:r>
        <w:rPr>
          <w:rFonts w:ascii="Microsoft YaHei" w:eastAsia="Microsoft YaHei" w:hAnsi="Microsoft YaHei" w:cs="Microsoft YaHei"/>
          <w:noProof/>
          <w:lang w:bidi="ar-SA"/>
        </w:rPr>
        <mc:AlternateContent>
          <mc:Choice Requires="wpg">
            <w:drawing>
              <wp:inline distT="0" distB="0" distL="0" distR="0" wp14:anchorId="3BE0896E" wp14:editId="3BE0896F">
                <wp:extent cx="2447925" cy="1104900"/>
                <wp:effectExtent l="0" t="0" r="0" b="0"/>
                <wp:docPr id="14"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583747" name=""/>
                        <pic:cNvPicPr>
                          <a:picLocks noChangeAspect="1"/>
                        </pic:cNvPicPr>
                      </pic:nvPicPr>
                      <pic:blipFill rotWithShape="1">
                        <a:blip r:embed="rId28"/>
                        <a:stretch/>
                      </pic:blipFill>
                      <pic:spPr bwMode="auto">
                        <a:xfrm>
                          <a:off x="0" y="0"/>
                          <a:ext cx="2447924" cy="1104899"/>
                        </a:xfrm>
                        <a:prstGeom prst="rect">
                          <a:avLst/>
                        </a:prstGeom>
                      </pic:spPr>
                    </pic:pic>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a="http://schemas.openxmlformats.org/drawingml/2006/main">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 o:spid="_x0000_s2" type="#_x0000_t75" style="width:192.75pt;height:87.00pt;mso-wrap-distance-left:0.00pt;mso-wrap-distance-top:0.00pt;mso-wrap-distance-right:0.00pt;mso-wrap-distance-bottom:0.00pt;z-index:1;" stroked="false">
                <v:imagedata r:id="rId29" o:title=""/>
                <o:lock v:ext="edit" rotation="t"/>
              </v:shape>
            </w:pict>
          </mc:Fallback>
        </mc:AlternateContent>
      </w:r>
      <w:r>
        <w:rPr>
          <w:rFonts w:ascii="Microsoft YaHei" w:eastAsia="Microsoft YaHei" w:hAnsi="Microsoft YaHei" w:cs="Microsoft YaHei"/>
          <w:noProof/>
          <w:lang w:bidi="ar-SA"/>
        </w:rPr>
        <mc:AlternateContent>
          <mc:Choice Requires="wpg">
            <w:drawing>
              <wp:inline distT="0" distB="0" distL="0" distR="0" wp14:anchorId="3BE08970" wp14:editId="3BE08971">
                <wp:extent cx="2571750" cy="1066800"/>
                <wp:effectExtent l="0" t="0" r="0" b="0"/>
                <wp:docPr id="15"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1771943" name=""/>
                        <pic:cNvPicPr>
                          <a:picLocks noChangeAspect="1"/>
                        </pic:cNvPicPr>
                      </pic:nvPicPr>
                      <pic:blipFill rotWithShape="1">
                        <a:blip r:embed="rId30"/>
                        <a:stretch/>
                      </pic:blipFill>
                      <pic:spPr bwMode="auto">
                        <a:xfrm>
                          <a:off x="0" y="0"/>
                          <a:ext cx="2571750" cy="1066799"/>
                        </a:xfrm>
                        <a:prstGeom prst="rect">
                          <a:avLst/>
                        </a:prstGeom>
                      </pic:spPr>
                    </pic:pic>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a="http://schemas.openxmlformats.org/drawingml/2006/main">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3" o:spid="_x0000_s3" type="#_x0000_t75" style="width:202.50pt;height:84.00pt;mso-wrap-distance-left:0.00pt;mso-wrap-distance-top:0.00pt;mso-wrap-distance-right:0.00pt;mso-wrap-distance-bottom:0.00pt;z-index:1;" stroked="false">
                <v:imagedata r:id="rId31" o:title=""/>
                <o:lock v:ext="edit" rotation="t"/>
              </v:shape>
            </w:pict>
          </mc:Fallback>
        </mc:AlternateContent>
      </w:r>
    </w:p>
    <w:p w14:paraId="3BE087E6" w14:textId="77777777" w:rsidR="00052C0B" w:rsidRDefault="006E6CE8">
      <w:pPr>
        <w:pBdr>
          <w:top w:val="none" w:sz="4" w:space="0" w:color="000000"/>
          <w:left w:val="none" w:sz="4" w:space="0" w:color="000000"/>
          <w:bottom w:val="none" w:sz="4" w:space="0" w:color="000000"/>
          <w:right w:val="none" w:sz="4" w:space="0" w:color="000000"/>
        </w:pBdr>
        <w:spacing w:line="480" w:lineRule="auto"/>
        <w:ind w:firstLine="709"/>
        <w:jc w:val="both"/>
        <w:rPr>
          <w:rFonts w:ascii="Microsoft YaHei" w:eastAsia="Microsoft YaHei" w:hAnsi="Microsoft YaHei" w:cs="Microsoft YaHei"/>
        </w:rPr>
      </w:pPr>
      <w:r>
        <w:rPr>
          <w:rFonts w:ascii="Times New Roman" w:eastAsia="Times New Roman" w:hAnsi="Times New Roman" w:cs="Times New Roman"/>
          <w:b/>
          <w:sz w:val="28"/>
        </w:rPr>
        <w:t>Рис. 2.7. Переваги КНП «МКЛ №11» ОМР</w:t>
      </w:r>
    </w:p>
    <w:p w14:paraId="3BE087E7" w14:textId="77777777" w:rsidR="00052C0B" w:rsidRDefault="006E6CE8">
      <w:pPr>
        <w:pBdr>
          <w:top w:val="none" w:sz="4" w:space="0" w:color="000000"/>
          <w:left w:val="none" w:sz="4" w:space="0" w:color="000000"/>
          <w:bottom w:val="none" w:sz="4" w:space="0" w:color="000000"/>
          <w:right w:val="none" w:sz="4" w:space="0" w:color="000000"/>
        </w:pBdr>
        <w:spacing w:line="480" w:lineRule="auto"/>
        <w:ind w:firstLine="709"/>
        <w:jc w:val="both"/>
        <w:rPr>
          <w:rFonts w:ascii="Microsoft YaHei" w:eastAsia="Microsoft YaHei" w:hAnsi="Microsoft YaHei" w:cs="Microsoft YaHei"/>
        </w:rPr>
      </w:pPr>
      <w:r>
        <w:rPr>
          <w:rFonts w:ascii="Times New Roman" w:eastAsia="Times New Roman" w:hAnsi="Times New Roman" w:cs="Times New Roman"/>
          <w:i/>
        </w:rPr>
        <w:t>Джерело:</w:t>
      </w:r>
      <w:r>
        <w:t xml:space="preserve"> </w:t>
      </w:r>
      <w:r>
        <w:rPr>
          <w:rFonts w:ascii="Times New Roman" w:eastAsia="Times New Roman" w:hAnsi="Times New Roman" w:cs="Times New Roman"/>
          <w:i/>
        </w:rPr>
        <w:t>[34]</w:t>
      </w:r>
    </w:p>
    <w:p w14:paraId="3BE087E8"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lastRenderedPageBreak/>
        <w:t xml:space="preserve">Фінансові й економічні показники діяльності лікарні демонструють достатньо високий рівень управлінської ефективності та раціональне використання ресурсів (табл. 2.2). </w:t>
      </w:r>
    </w:p>
    <w:p w14:paraId="3BE087E9" w14:textId="77777777" w:rsidR="00052C0B" w:rsidRDefault="006E6CE8">
      <w:pPr>
        <w:spacing w:line="360" w:lineRule="auto"/>
        <w:ind w:firstLine="709"/>
        <w:jc w:val="right"/>
        <w:rPr>
          <w:rFonts w:ascii="Times New Roman" w:eastAsia="Times New Roman" w:hAnsi="Times New Roman" w:cs="Times New Roman"/>
          <w:color w:val="auto"/>
          <w:lang w:bidi="ar-SA"/>
        </w:rPr>
      </w:pPr>
      <w:r>
        <w:rPr>
          <w:rFonts w:ascii="Times New Roman" w:eastAsia="Times New Roman" w:hAnsi="Times New Roman" w:cs="Times New Roman"/>
          <w:sz w:val="28"/>
          <w:szCs w:val="28"/>
          <w:lang w:bidi="ar-SA"/>
        </w:rPr>
        <w:t>Таблиця 2.2</w:t>
      </w:r>
    </w:p>
    <w:p w14:paraId="3BE087EA" w14:textId="77777777" w:rsidR="00052C0B" w:rsidRDefault="006E6CE8">
      <w:pPr>
        <w:spacing w:line="360" w:lineRule="auto"/>
        <w:ind w:firstLine="709"/>
        <w:jc w:val="center"/>
        <w:rPr>
          <w:rFonts w:ascii="Times New Roman" w:eastAsia="Times New Roman" w:hAnsi="Times New Roman" w:cs="Times New Roman"/>
          <w:color w:val="auto"/>
          <w:lang w:bidi="ar-SA"/>
        </w:rPr>
      </w:pPr>
      <w:r>
        <w:rPr>
          <w:rFonts w:ascii="Times New Roman" w:eastAsia="Times New Roman" w:hAnsi="Times New Roman" w:cs="Times New Roman"/>
          <w:b/>
          <w:bCs/>
          <w:sz w:val="28"/>
          <w:szCs w:val="28"/>
          <w:lang w:bidi="ar-SA"/>
        </w:rPr>
        <w:t>Показники господарської діяльності</w:t>
      </w:r>
      <w:r>
        <w:rPr>
          <w:rFonts w:ascii="Times New Roman" w:eastAsia="Times New Roman" w:hAnsi="Times New Roman" w:cs="Times New Roman"/>
          <w:color w:val="auto"/>
          <w:lang w:bidi="ar-SA"/>
        </w:rPr>
        <w:t xml:space="preserve"> </w:t>
      </w:r>
    </w:p>
    <w:p w14:paraId="3BE087EB" w14:textId="77777777" w:rsidR="00052C0B" w:rsidRDefault="006E6CE8">
      <w:pPr>
        <w:spacing w:line="360" w:lineRule="auto"/>
        <w:ind w:firstLine="709"/>
        <w:jc w:val="center"/>
        <w:rPr>
          <w:rFonts w:ascii="Times New Roman" w:eastAsia="Times New Roman" w:hAnsi="Times New Roman" w:cs="Times New Roman"/>
          <w:color w:val="auto"/>
          <w:lang w:bidi="ar-SA"/>
        </w:rPr>
      </w:pPr>
      <w:r>
        <w:rPr>
          <w:rFonts w:ascii="Times New Roman" w:eastAsia="Times New Roman" w:hAnsi="Times New Roman" w:cs="Times New Roman"/>
          <w:b/>
          <w:bCs/>
          <w:sz w:val="28"/>
          <w:szCs w:val="28"/>
          <w:lang w:bidi="ar-SA"/>
        </w:rPr>
        <w:t>КНП «МКЛ №11» OMP за 2021 – 2023</w:t>
      </w:r>
    </w:p>
    <w:tbl>
      <w:tblPr>
        <w:tblStyle w:val="34"/>
        <w:tblW w:w="0" w:type="auto"/>
        <w:tblLook w:val="04A0" w:firstRow="1" w:lastRow="0" w:firstColumn="1" w:lastColumn="0" w:noHBand="0" w:noVBand="1"/>
      </w:tblPr>
      <w:tblGrid>
        <w:gridCol w:w="489"/>
        <w:gridCol w:w="1658"/>
        <w:gridCol w:w="1493"/>
        <w:gridCol w:w="1436"/>
        <w:gridCol w:w="1530"/>
        <w:gridCol w:w="1436"/>
        <w:gridCol w:w="1302"/>
      </w:tblGrid>
      <w:tr w:rsidR="00052C0B" w14:paraId="3BE087F9" w14:textId="77777777">
        <w:tc>
          <w:tcPr>
            <w:tcW w:w="490" w:type="dxa"/>
            <w:shd w:val="clear" w:color="auto" w:fill="FDE9D9" w:themeFill="accent6" w:themeFillTint="33"/>
          </w:tcPr>
          <w:p w14:paraId="3BE087EC" w14:textId="77777777" w:rsidR="00052C0B" w:rsidRDefault="006E6CE8">
            <w:pPr>
              <w:widowControl/>
              <w:jc w:val="both"/>
              <w:rPr>
                <w:rFonts w:ascii="Times New Roman" w:eastAsia="Times New Roman" w:hAnsi="Times New Roman" w:cs="Times New Roman"/>
                <w:color w:val="auto"/>
                <w:lang w:bidi="ar-SA"/>
              </w:rPr>
            </w:pPr>
            <w:r>
              <w:rPr>
                <w:rFonts w:ascii="Times New Roman" w:eastAsia="Times New Roman" w:hAnsi="Times New Roman" w:cs="Times New Roman"/>
                <w:lang w:bidi="ar-SA"/>
              </w:rPr>
              <w:t>№</w:t>
            </w:r>
          </w:p>
        </w:tc>
        <w:tc>
          <w:tcPr>
            <w:tcW w:w="1632" w:type="dxa"/>
            <w:shd w:val="clear" w:color="auto" w:fill="FDE9D9" w:themeFill="accent6" w:themeFillTint="33"/>
          </w:tcPr>
          <w:p w14:paraId="3BE087ED" w14:textId="77777777" w:rsidR="00052C0B" w:rsidRDefault="006E6CE8">
            <w:pPr>
              <w:jc w:val="center"/>
              <w:rPr>
                <w:rFonts w:ascii="Times New Roman" w:eastAsia="Times New Roman" w:hAnsi="Times New Roman" w:cs="Times New Roman"/>
                <w:color w:val="auto"/>
                <w:lang w:bidi="ar-SA"/>
              </w:rPr>
            </w:pPr>
            <w:r>
              <w:rPr>
                <w:rFonts w:ascii="Times New Roman" w:eastAsia="Times New Roman" w:hAnsi="Times New Roman" w:cs="Times New Roman"/>
                <w:lang w:bidi="ar-SA"/>
              </w:rPr>
              <w:t>Показники господарської діяльності</w:t>
            </w:r>
          </w:p>
        </w:tc>
        <w:tc>
          <w:tcPr>
            <w:tcW w:w="1506" w:type="dxa"/>
            <w:shd w:val="clear" w:color="auto" w:fill="FDE9D9" w:themeFill="accent6" w:themeFillTint="33"/>
            <w:vAlign w:val="center"/>
          </w:tcPr>
          <w:p w14:paraId="3BE087EE" w14:textId="77777777" w:rsidR="00052C0B" w:rsidRDefault="006E6CE8">
            <w:pPr>
              <w:widowControl/>
              <w:jc w:val="center"/>
              <w:rPr>
                <w:rFonts w:ascii="Times New Roman" w:eastAsia="Times New Roman" w:hAnsi="Times New Roman" w:cs="Times New Roman"/>
                <w:color w:val="auto"/>
                <w:lang w:bidi="ar-SA"/>
              </w:rPr>
            </w:pPr>
            <w:r>
              <w:rPr>
                <w:rFonts w:ascii="Times New Roman" w:eastAsia="Times New Roman" w:hAnsi="Times New Roman" w:cs="Times New Roman"/>
                <w:i/>
                <w:iCs/>
                <w:lang w:bidi="ar-SA"/>
              </w:rPr>
              <w:t>2020</w:t>
            </w:r>
          </w:p>
        </w:tc>
        <w:tc>
          <w:tcPr>
            <w:tcW w:w="1436" w:type="dxa"/>
            <w:shd w:val="clear" w:color="auto" w:fill="FDE9D9" w:themeFill="accent6" w:themeFillTint="33"/>
            <w:vAlign w:val="center"/>
          </w:tcPr>
          <w:p w14:paraId="3BE087EF" w14:textId="77777777" w:rsidR="00052C0B" w:rsidRDefault="00052C0B">
            <w:pPr>
              <w:widowControl/>
              <w:jc w:val="center"/>
              <w:rPr>
                <w:rFonts w:ascii="Times New Roman" w:eastAsia="Times New Roman" w:hAnsi="Times New Roman" w:cs="Times New Roman"/>
                <w:color w:val="auto"/>
                <w:lang w:bidi="ar-SA"/>
              </w:rPr>
            </w:pPr>
          </w:p>
          <w:p w14:paraId="3BE087F0" w14:textId="77777777" w:rsidR="00052C0B" w:rsidRDefault="006E6CE8">
            <w:pPr>
              <w:widowControl/>
              <w:jc w:val="center"/>
              <w:rPr>
                <w:rFonts w:ascii="Times New Roman" w:eastAsia="Times New Roman" w:hAnsi="Times New Roman" w:cs="Times New Roman"/>
                <w:color w:val="auto"/>
                <w:lang w:bidi="ar-SA"/>
              </w:rPr>
            </w:pPr>
            <w:r>
              <w:rPr>
                <w:rFonts w:ascii="Times New Roman" w:eastAsia="Times New Roman" w:hAnsi="Times New Roman" w:cs="Times New Roman"/>
                <w:i/>
                <w:iCs/>
                <w:lang w:bidi="ar-SA"/>
              </w:rPr>
              <w:t>2021</w:t>
            </w:r>
          </w:p>
          <w:p w14:paraId="3BE087F1" w14:textId="77777777" w:rsidR="00052C0B" w:rsidRDefault="00052C0B">
            <w:pPr>
              <w:widowControl/>
              <w:jc w:val="center"/>
              <w:rPr>
                <w:rFonts w:ascii="Times New Roman" w:eastAsia="Times New Roman" w:hAnsi="Times New Roman" w:cs="Times New Roman"/>
                <w:color w:val="auto"/>
                <w:lang w:bidi="ar-SA"/>
              </w:rPr>
            </w:pPr>
          </w:p>
        </w:tc>
        <w:tc>
          <w:tcPr>
            <w:tcW w:w="1532" w:type="dxa"/>
            <w:shd w:val="clear" w:color="auto" w:fill="FDE9D9" w:themeFill="accent6" w:themeFillTint="33"/>
            <w:vAlign w:val="center"/>
          </w:tcPr>
          <w:p w14:paraId="3BE087F2" w14:textId="77777777" w:rsidR="00052C0B" w:rsidRDefault="00052C0B">
            <w:pPr>
              <w:widowControl/>
              <w:jc w:val="center"/>
              <w:rPr>
                <w:rFonts w:ascii="Times New Roman" w:eastAsia="Times New Roman" w:hAnsi="Times New Roman" w:cs="Times New Roman"/>
                <w:color w:val="auto"/>
                <w:lang w:bidi="ar-SA"/>
              </w:rPr>
            </w:pPr>
          </w:p>
          <w:p w14:paraId="3BE087F3" w14:textId="77777777" w:rsidR="00052C0B" w:rsidRDefault="006E6CE8">
            <w:pPr>
              <w:widowControl/>
              <w:jc w:val="center"/>
              <w:rPr>
                <w:rFonts w:ascii="Times New Roman" w:eastAsia="Times New Roman" w:hAnsi="Times New Roman" w:cs="Times New Roman"/>
                <w:color w:val="auto"/>
                <w:lang w:bidi="ar-SA"/>
              </w:rPr>
            </w:pPr>
            <w:r>
              <w:rPr>
                <w:rFonts w:ascii="Times New Roman" w:eastAsia="Times New Roman" w:hAnsi="Times New Roman" w:cs="Times New Roman"/>
                <w:i/>
                <w:iCs/>
                <w:lang w:bidi="ar-SA"/>
              </w:rPr>
              <w:t>2022</w:t>
            </w:r>
          </w:p>
          <w:p w14:paraId="3BE087F4" w14:textId="77777777" w:rsidR="00052C0B" w:rsidRDefault="00052C0B">
            <w:pPr>
              <w:widowControl/>
              <w:jc w:val="center"/>
              <w:rPr>
                <w:rFonts w:ascii="Times New Roman" w:eastAsia="Times New Roman" w:hAnsi="Times New Roman" w:cs="Times New Roman"/>
                <w:color w:val="auto"/>
                <w:lang w:bidi="ar-SA"/>
              </w:rPr>
            </w:pPr>
          </w:p>
        </w:tc>
        <w:tc>
          <w:tcPr>
            <w:tcW w:w="1436" w:type="dxa"/>
            <w:shd w:val="clear" w:color="auto" w:fill="FDE9D9" w:themeFill="accent6" w:themeFillTint="33"/>
            <w:vAlign w:val="center"/>
          </w:tcPr>
          <w:p w14:paraId="3BE087F5" w14:textId="77777777" w:rsidR="00052C0B" w:rsidRDefault="00052C0B">
            <w:pPr>
              <w:widowControl/>
              <w:jc w:val="center"/>
              <w:rPr>
                <w:rFonts w:ascii="Times New Roman" w:eastAsia="Times New Roman" w:hAnsi="Times New Roman" w:cs="Times New Roman"/>
                <w:color w:val="auto"/>
                <w:lang w:bidi="ar-SA"/>
              </w:rPr>
            </w:pPr>
          </w:p>
          <w:p w14:paraId="3BE087F6" w14:textId="77777777" w:rsidR="00052C0B" w:rsidRDefault="006E6CE8">
            <w:pPr>
              <w:widowControl/>
              <w:jc w:val="center"/>
              <w:rPr>
                <w:rFonts w:ascii="Times New Roman" w:eastAsia="Times New Roman" w:hAnsi="Times New Roman" w:cs="Times New Roman"/>
                <w:color w:val="auto"/>
                <w:lang w:bidi="ar-SA"/>
              </w:rPr>
            </w:pPr>
            <w:r>
              <w:rPr>
                <w:rFonts w:ascii="Times New Roman" w:eastAsia="Times New Roman" w:hAnsi="Times New Roman" w:cs="Times New Roman"/>
                <w:i/>
                <w:iCs/>
                <w:lang w:bidi="ar-SA"/>
              </w:rPr>
              <w:t>2023</w:t>
            </w:r>
          </w:p>
          <w:p w14:paraId="3BE087F7" w14:textId="77777777" w:rsidR="00052C0B" w:rsidRDefault="00052C0B">
            <w:pPr>
              <w:widowControl/>
              <w:jc w:val="center"/>
              <w:rPr>
                <w:rFonts w:ascii="Times New Roman" w:eastAsia="Times New Roman" w:hAnsi="Times New Roman" w:cs="Times New Roman"/>
                <w:color w:val="auto"/>
                <w:lang w:bidi="ar-SA"/>
              </w:rPr>
            </w:pPr>
          </w:p>
        </w:tc>
        <w:tc>
          <w:tcPr>
            <w:tcW w:w="1312" w:type="dxa"/>
            <w:shd w:val="clear" w:color="auto" w:fill="FDE9D9" w:themeFill="accent6" w:themeFillTint="33"/>
            <w:vAlign w:val="center"/>
          </w:tcPr>
          <w:p w14:paraId="3BE087F8" w14:textId="77777777" w:rsidR="00052C0B" w:rsidRDefault="006E6CE8">
            <w:pPr>
              <w:widowControl/>
              <w:jc w:val="center"/>
              <w:rPr>
                <w:rFonts w:ascii="Times New Roman" w:eastAsia="Times New Roman" w:hAnsi="Times New Roman" w:cs="Times New Roman"/>
                <w:color w:val="auto"/>
                <w:lang w:bidi="ar-SA"/>
              </w:rPr>
            </w:pPr>
            <w:r>
              <w:rPr>
                <w:rFonts w:ascii="Times New Roman" w:eastAsia="Times New Roman" w:hAnsi="Times New Roman" w:cs="Times New Roman"/>
                <w:i/>
                <w:iCs/>
                <w:lang w:bidi="ar-SA"/>
              </w:rPr>
              <w:t>2024</w:t>
            </w:r>
          </w:p>
        </w:tc>
      </w:tr>
      <w:tr w:rsidR="00052C0B" w14:paraId="3BE08801" w14:textId="77777777">
        <w:tc>
          <w:tcPr>
            <w:tcW w:w="490" w:type="dxa"/>
            <w:shd w:val="clear" w:color="auto" w:fill="FDE9D9" w:themeFill="accent6" w:themeFillTint="33"/>
          </w:tcPr>
          <w:p w14:paraId="3BE087FA" w14:textId="77777777" w:rsidR="00052C0B" w:rsidRDefault="006E6CE8">
            <w:pPr>
              <w:widowControl/>
              <w:jc w:val="center"/>
              <w:rPr>
                <w:rFonts w:ascii="Times New Roman" w:eastAsia="Times New Roman" w:hAnsi="Times New Roman" w:cs="Times New Roman"/>
                <w:color w:val="auto"/>
                <w:lang w:bidi="ar-SA"/>
              </w:rPr>
            </w:pPr>
            <w:r>
              <w:rPr>
                <w:rFonts w:ascii="Times New Roman" w:eastAsia="Times New Roman" w:hAnsi="Times New Roman" w:cs="Times New Roman"/>
                <w:lang w:bidi="ar-SA"/>
              </w:rPr>
              <w:t>1</w:t>
            </w:r>
          </w:p>
        </w:tc>
        <w:tc>
          <w:tcPr>
            <w:tcW w:w="1632" w:type="dxa"/>
            <w:shd w:val="clear" w:color="auto" w:fill="E5DFEC" w:themeFill="accent4" w:themeFillTint="33"/>
          </w:tcPr>
          <w:p w14:paraId="3BE087FB" w14:textId="77777777" w:rsidR="00052C0B" w:rsidRDefault="006E6CE8">
            <w:pPr>
              <w:widowControl/>
              <w:jc w:val="both"/>
              <w:rPr>
                <w:rFonts w:ascii="Times New Roman" w:eastAsia="Times New Roman" w:hAnsi="Times New Roman" w:cs="Times New Roman"/>
                <w:color w:val="auto"/>
                <w:lang w:bidi="ar-SA"/>
              </w:rPr>
            </w:pPr>
            <w:r>
              <w:rPr>
                <w:rFonts w:ascii="Times New Roman" w:eastAsia="Times New Roman" w:hAnsi="Times New Roman" w:cs="Times New Roman"/>
                <w:lang w:bidi="ar-SA"/>
              </w:rPr>
              <w:t>Дохід</w:t>
            </w:r>
          </w:p>
        </w:tc>
        <w:tc>
          <w:tcPr>
            <w:tcW w:w="1506" w:type="dxa"/>
            <w:shd w:val="clear" w:color="auto" w:fill="DBE5F1" w:themeFill="accent1" w:themeFillTint="33"/>
            <w:vAlign w:val="center"/>
          </w:tcPr>
          <w:p w14:paraId="3BE087FC" w14:textId="77777777" w:rsidR="00052C0B" w:rsidRDefault="006E6CE8">
            <w:pPr>
              <w:widowControl/>
              <w:jc w:val="center"/>
              <w:rPr>
                <w:rFonts w:ascii="Times New Roman" w:eastAsia="Times New Roman" w:hAnsi="Times New Roman" w:cs="Times New Roman"/>
                <w:color w:val="auto"/>
                <w:lang w:bidi="ar-SA"/>
              </w:rPr>
            </w:pPr>
            <w:r>
              <w:rPr>
                <w:rFonts w:ascii="Times New Roman" w:eastAsia="Times New Roman" w:hAnsi="Times New Roman" w:cs="Times New Roman"/>
                <w:lang w:bidi="ar-SA"/>
              </w:rPr>
              <w:t>159 449 500</w:t>
            </w:r>
          </w:p>
        </w:tc>
        <w:tc>
          <w:tcPr>
            <w:tcW w:w="1436" w:type="dxa"/>
            <w:shd w:val="clear" w:color="auto" w:fill="DBE5F1" w:themeFill="accent1" w:themeFillTint="33"/>
            <w:vAlign w:val="center"/>
          </w:tcPr>
          <w:p w14:paraId="3BE087FD" w14:textId="77777777" w:rsidR="00052C0B" w:rsidRDefault="006E6CE8">
            <w:pPr>
              <w:widowControl/>
              <w:jc w:val="center"/>
              <w:rPr>
                <w:rFonts w:ascii="Times New Roman" w:eastAsia="Times New Roman" w:hAnsi="Times New Roman" w:cs="Times New Roman"/>
                <w:color w:val="auto"/>
                <w:lang w:bidi="ar-SA"/>
              </w:rPr>
            </w:pPr>
            <w:r>
              <w:rPr>
                <w:rFonts w:ascii="Times New Roman" w:eastAsia="Times New Roman" w:hAnsi="Times New Roman" w:cs="Times New Roman"/>
                <w:lang w:bidi="ar-SA"/>
              </w:rPr>
              <w:t>175 375 400</w:t>
            </w:r>
          </w:p>
        </w:tc>
        <w:tc>
          <w:tcPr>
            <w:tcW w:w="1532" w:type="dxa"/>
            <w:shd w:val="clear" w:color="auto" w:fill="DBE5F1" w:themeFill="accent1" w:themeFillTint="33"/>
            <w:vAlign w:val="center"/>
          </w:tcPr>
          <w:p w14:paraId="3BE087FE" w14:textId="77777777" w:rsidR="00052C0B" w:rsidRDefault="006E6CE8">
            <w:pPr>
              <w:widowControl/>
              <w:jc w:val="center"/>
              <w:rPr>
                <w:rFonts w:ascii="Times New Roman" w:eastAsia="Times New Roman" w:hAnsi="Times New Roman" w:cs="Times New Roman"/>
                <w:color w:val="auto"/>
                <w:lang w:bidi="ar-SA"/>
              </w:rPr>
            </w:pPr>
            <w:r>
              <w:rPr>
                <w:rFonts w:ascii="Times New Roman" w:eastAsia="Times New Roman" w:hAnsi="Times New Roman" w:cs="Times New Roman"/>
                <w:lang w:bidi="ar-SA"/>
              </w:rPr>
              <w:t>225 046 200</w:t>
            </w:r>
          </w:p>
        </w:tc>
        <w:tc>
          <w:tcPr>
            <w:tcW w:w="1436" w:type="dxa"/>
            <w:shd w:val="clear" w:color="auto" w:fill="DBE5F1" w:themeFill="accent1" w:themeFillTint="33"/>
            <w:vAlign w:val="center"/>
          </w:tcPr>
          <w:p w14:paraId="3BE087FF" w14:textId="77777777" w:rsidR="00052C0B" w:rsidRDefault="006E6CE8">
            <w:pPr>
              <w:widowControl/>
              <w:jc w:val="center"/>
              <w:rPr>
                <w:rFonts w:ascii="Times New Roman" w:eastAsia="Times New Roman" w:hAnsi="Times New Roman" w:cs="Times New Roman"/>
                <w:color w:val="auto"/>
                <w:lang w:bidi="ar-SA"/>
              </w:rPr>
            </w:pPr>
            <w:r>
              <w:rPr>
                <w:rFonts w:ascii="Times New Roman" w:eastAsia="Times New Roman" w:hAnsi="Times New Roman" w:cs="Times New Roman"/>
                <w:lang w:bidi="ar-SA"/>
              </w:rPr>
              <w:t>249 239 000</w:t>
            </w:r>
          </w:p>
        </w:tc>
        <w:tc>
          <w:tcPr>
            <w:tcW w:w="1312" w:type="dxa"/>
            <w:shd w:val="clear" w:color="auto" w:fill="DBE5F1" w:themeFill="accent1" w:themeFillTint="33"/>
            <w:vAlign w:val="center"/>
          </w:tcPr>
          <w:p w14:paraId="3BE08800" w14:textId="77777777" w:rsidR="00052C0B" w:rsidRDefault="006E6CE8">
            <w:pPr>
              <w:widowControl/>
              <w:ind w:left="-162"/>
              <w:jc w:val="center"/>
              <w:rPr>
                <w:rFonts w:ascii="Times New Roman" w:eastAsia="Times New Roman" w:hAnsi="Times New Roman" w:cs="Times New Roman"/>
                <w:color w:val="auto"/>
                <w:lang w:bidi="ar-SA"/>
              </w:rPr>
            </w:pPr>
            <w:r>
              <w:rPr>
                <w:rFonts w:ascii="Times New Roman" w:eastAsia="Times New Roman" w:hAnsi="Times New Roman" w:cs="Times New Roman"/>
                <w:lang w:bidi="ar-SA"/>
              </w:rPr>
              <w:t>363 416</w:t>
            </w:r>
          </w:p>
        </w:tc>
      </w:tr>
      <w:tr w:rsidR="00052C0B" w14:paraId="3BE08809" w14:textId="77777777">
        <w:tc>
          <w:tcPr>
            <w:tcW w:w="490" w:type="dxa"/>
            <w:shd w:val="clear" w:color="auto" w:fill="FDE9D9" w:themeFill="accent6" w:themeFillTint="33"/>
          </w:tcPr>
          <w:p w14:paraId="3BE08802" w14:textId="77777777" w:rsidR="00052C0B" w:rsidRDefault="006E6CE8">
            <w:pPr>
              <w:widowControl/>
              <w:jc w:val="center"/>
              <w:rPr>
                <w:rFonts w:ascii="Times New Roman" w:eastAsia="Times New Roman" w:hAnsi="Times New Roman" w:cs="Times New Roman"/>
                <w:color w:val="auto"/>
                <w:lang w:bidi="ar-SA"/>
              </w:rPr>
            </w:pPr>
            <w:r>
              <w:rPr>
                <w:rFonts w:ascii="Times New Roman" w:eastAsia="Times New Roman" w:hAnsi="Times New Roman" w:cs="Times New Roman"/>
                <w:lang w:bidi="ar-SA"/>
              </w:rPr>
              <w:t>2</w:t>
            </w:r>
          </w:p>
        </w:tc>
        <w:tc>
          <w:tcPr>
            <w:tcW w:w="1632" w:type="dxa"/>
            <w:shd w:val="clear" w:color="auto" w:fill="E5DFEC" w:themeFill="accent4" w:themeFillTint="33"/>
          </w:tcPr>
          <w:p w14:paraId="3BE08803" w14:textId="77777777" w:rsidR="00052C0B" w:rsidRDefault="006E6CE8">
            <w:pPr>
              <w:widowControl/>
              <w:jc w:val="both"/>
              <w:rPr>
                <w:rFonts w:ascii="Times New Roman" w:eastAsia="Times New Roman" w:hAnsi="Times New Roman" w:cs="Times New Roman"/>
                <w:color w:val="auto"/>
                <w:lang w:bidi="ar-SA"/>
              </w:rPr>
            </w:pPr>
            <w:r>
              <w:rPr>
                <w:rFonts w:ascii="Times New Roman" w:eastAsia="Times New Roman" w:hAnsi="Times New Roman" w:cs="Times New Roman"/>
                <w:lang w:bidi="ar-SA"/>
              </w:rPr>
              <w:t>Чистий прибуток</w:t>
            </w:r>
          </w:p>
        </w:tc>
        <w:tc>
          <w:tcPr>
            <w:tcW w:w="1506" w:type="dxa"/>
            <w:shd w:val="clear" w:color="auto" w:fill="DBE5F1" w:themeFill="accent1" w:themeFillTint="33"/>
            <w:vAlign w:val="center"/>
          </w:tcPr>
          <w:p w14:paraId="3BE08804" w14:textId="77777777" w:rsidR="00052C0B" w:rsidRDefault="006E6CE8">
            <w:pPr>
              <w:widowControl/>
              <w:jc w:val="center"/>
              <w:rPr>
                <w:rFonts w:ascii="Times New Roman" w:eastAsia="Times New Roman" w:hAnsi="Times New Roman" w:cs="Times New Roman"/>
                <w:color w:val="auto"/>
                <w:lang w:bidi="ar-SA"/>
              </w:rPr>
            </w:pPr>
            <w:r>
              <w:rPr>
                <w:rFonts w:ascii="Times New Roman" w:eastAsia="Times New Roman" w:hAnsi="Times New Roman" w:cs="Times New Roman"/>
                <w:lang w:bidi="ar-SA"/>
              </w:rPr>
              <w:t>31 966 100</w:t>
            </w:r>
          </w:p>
        </w:tc>
        <w:tc>
          <w:tcPr>
            <w:tcW w:w="1436" w:type="dxa"/>
            <w:shd w:val="clear" w:color="auto" w:fill="DBE5F1" w:themeFill="accent1" w:themeFillTint="33"/>
            <w:vAlign w:val="center"/>
          </w:tcPr>
          <w:p w14:paraId="3BE08805" w14:textId="77777777" w:rsidR="00052C0B" w:rsidRDefault="006E6CE8">
            <w:pPr>
              <w:widowControl/>
              <w:jc w:val="center"/>
              <w:rPr>
                <w:rFonts w:ascii="Times New Roman" w:eastAsia="Times New Roman" w:hAnsi="Times New Roman" w:cs="Times New Roman"/>
                <w:color w:val="auto"/>
                <w:lang w:bidi="ar-SA"/>
              </w:rPr>
            </w:pPr>
            <w:r>
              <w:rPr>
                <w:rFonts w:ascii="Times New Roman" w:eastAsia="Times New Roman" w:hAnsi="Times New Roman" w:cs="Times New Roman"/>
                <w:lang w:bidi="ar-SA"/>
              </w:rPr>
              <w:t>-588 200</w:t>
            </w:r>
          </w:p>
        </w:tc>
        <w:tc>
          <w:tcPr>
            <w:tcW w:w="1532" w:type="dxa"/>
            <w:shd w:val="clear" w:color="auto" w:fill="DBE5F1" w:themeFill="accent1" w:themeFillTint="33"/>
            <w:vAlign w:val="center"/>
          </w:tcPr>
          <w:p w14:paraId="3BE08806" w14:textId="77777777" w:rsidR="00052C0B" w:rsidRDefault="006E6CE8">
            <w:pPr>
              <w:widowControl/>
              <w:jc w:val="center"/>
              <w:rPr>
                <w:rFonts w:ascii="Times New Roman" w:eastAsia="Times New Roman" w:hAnsi="Times New Roman" w:cs="Times New Roman"/>
                <w:color w:val="auto"/>
                <w:lang w:bidi="ar-SA"/>
              </w:rPr>
            </w:pPr>
            <w:r>
              <w:rPr>
                <w:rFonts w:ascii="Times New Roman" w:eastAsia="Times New Roman" w:hAnsi="Times New Roman" w:cs="Times New Roman"/>
                <w:lang w:bidi="ar-SA"/>
              </w:rPr>
              <w:t>11 914 800</w:t>
            </w:r>
          </w:p>
        </w:tc>
        <w:tc>
          <w:tcPr>
            <w:tcW w:w="1436" w:type="dxa"/>
            <w:shd w:val="clear" w:color="auto" w:fill="DBE5F1" w:themeFill="accent1" w:themeFillTint="33"/>
            <w:vAlign w:val="center"/>
          </w:tcPr>
          <w:p w14:paraId="3BE08807" w14:textId="77777777" w:rsidR="00052C0B" w:rsidRDefault="006E6CE8">
            <w:pPr>
              <w:widowControl/>
              <w:jc w:val="center"/>
              <w:rPr>
                <w:rFonts w:ascii="Times New Roman" w:eastAsia="Times New Roman" w:hAnsi="Times New Roman" w:cs="Times New Roman"/>
                <w:color w:val="auto"/>
                <w:lang w:bidi="ar-SA"/>
              </w:rPr>
            </w:pPr>
            <w:r>
              <w:rPr>
                <w:rFonts w:ascii="Times New Roman" w:eastAsia="Times New Roman" w:hAnsi="Times New Roman" w:cs="Times New Roman"/>
                <w:lang w:bidi="ar-SA"/>
              </w:rPr>
              <w:t>33 733 000</w:t>
            </w:r>
          </w:p>
        </w:tc>
        <w:tc>
          <w:tcPr>
            <w:tcW w:w="1312" w:type="dxa"/>
            <w:shd w:val="clear" w:color="auto" w:fill="DBE5F1" w:themeFill="accent1" w:themeFillTint="33"/>
            <w:vAlign w:val="center"/>
          </w:tcPr>
          <w:p w14:paraId="3BE08808" w14:textId="77777777" w:rsidR="00052C0B" w:rsidRDefault="006E6CE8">
            <w:pPr>
              <w:widowControl/>
              <w:ind w:left="-162"/>
              <w:jc w:val="center"/>
              <w:rPr>
                <w:rFonts w:ascii="Times New Roman" w:eastAsia="Times New Roman" w:hAnsi="Times New Roman" w:cs="Times New Roman"/>
                <w:color w:val="auto"/>
                <w:lang w:bidi="ar-SA"/>
              </w:rPr>
            </w:pPr>
            <w:r>
              <w:rPr>
                <w:rFonts w:ascii="Times New Roman" w:eastAsia="Times New Roman" w:hAnsi="Times New Roman" w:cs="Times New Roman"/>
                <w:lang w:bidi="ar-SA"/>
              </w:rPr>
              <w:t>44 113</w:t>
            </w:r>
          </w:p>
        </w:tc>
      </w:tr>
      <w:tr w:rsidR="00052C0B" w14:paraId="3BE08811" w14:textId="77777777">
        <w:tc>
          <w:tcPr>
            <w:tcW w:w="490" w:type="dxa"/>
            <w:shd w:val="clear" w:color="auto" w:fill="FDE9D9" w:themeFill="accent6" w:themeFillTint="33"/>
          </w:tcPr>
          <w:p w14:paraId="3BE0880A" w14:textId="77777777" w:rsidR="00052C0B" w:rsidRDefault="006E6CE8">
            <w:pPr>
              <w:widowControl/>
              <w:jc w:val="center"/>
              <w:rPr>
                <w:rFonts w:ascii="Times New Roman" w:eastAsia="Times New Roman" w:hAnsi="Times New Roman" w:cs="Times New Roman"/>
                <w:color w:val="auto"/>
                <w:lang w:bidi="ar-SA"/>
              </w:rPr>
            </w:pPr>
            <w:r>
              <w:rPr>
                <w:rFonts w:ascii="Times New Roman" w:eastAsia="Times New Roman" w:hAnsi="Times New Roman" w:cs="Times New Roman"/>
                <w:lang w:bidi="ar-SA"/>
              </w:rPr>
              <w:t>3</w:t>
            </w:r>
          </w:p>
        </w:tc>
        <w:tc>
          <w:tcPr>
            <w:tcW w:w="1632" w:type="dxa"/>
            <w:shd w:val="clear" w:color="auto" w:fill="E5DFEC" w:themeFill="accent4" w:themeFillTint="33"/>
          </w:tcPr>
          <w:p w14:paraId="3BE0880B" w14:textId="77777777" w:rsidR="00052C0B" w:rsidRDefault="006E6CE8">
            <w:pPr>
              <w:widowControl/>
              <w:jc w:val="both"/>
              <w:rPr>
                <w:rFonts w:ascii="Times New Roman" w:eastAsia="Times New Roman" w:hAnsi="Times New Roman" w:cs="Times New Roman"/>
                <w:color w:val="auto"/>
                <w:lang w:bidi="ar-SA"/>
              </w:rPr>
            </w:pPr>
            <w:r>
              <w:rPr>
                <w:rFonts w:ascii="Times New Roman" w:eastAsia="Times New Roman" w:hAnsi="Times New Roman" w:cs="Times New Roman"/>
                <w:lang w:bidi="ar-SA"/>
              </w:rPr>
              <w:t>Активи</w:t>
            </w:r>
          </w:p>
        </w:tc>
        <w:tc>
          <w:tcPr>
            <w:tcW w:w="1506" w:type="dxa"/>
            <w:shd w:val="clear" w:color="auto" w:fill="DBE5F1" w:themeFill="accent1" w:themeFillTint="33"/>
            <w:vAlign w:val="center"/>
          </w:tcPr>
          <w:p w14:paraId="3BE0880C" w14:textId="77777777" w:rsidR="00052C0B" w:rsidRDefault="006E6CE8">
            <w:pPr>
              <w:widowControl/>
              <w:jc w:val="center"/>
              <w:rPr>
                <w:rFonts w:ascii="Times New Roman" w:eastAsia="Times New Roman" w:hAnsi="Times New Roman" w:cs="Times New Roman"/>
                <w:color w:val="auto"/>
                <w:lang w:bidi="ar-SA"/>
              </w:rPr>
            </w:pPr>
            <w:r>
              <w:rPr>
                <w:rFonts w:ascii="Times New Roman" w:eastAsia="Times New Roman" w:hAnsi="Times New Roman" w:cs="Times New Roman"/>
                <w:lang w:bidi="ar-SA"/>
              </w:rPr>
              <w:t>121 275 000</w:t>
            </w:r>
          </w:p>
        </w:tc>
        <w:tc>
          <w:tcPr>
            <w:tcW w:w="1436" w:type="dxa"/>
            <w:shd w:val="clear" w:color="auto" w:fill="DBE5F1" w:themeFill="accent1" w:themeFillTint="33"/>
            <w:vAlign w:val="center"/>
          </w:tcPr>
          <w:p w14:paraId="3BE0880D" w14:textId="77777777" w:rsidR="00052C0B" w:rsidRDefault="006E6CE8">
            <w:pPr>
              <w:widowControl/>
              <w:jc w:val="center"/>
              <w:rPr>
                <w:rFonts w:ascii="Times New Roman" w:eastAsia="Times New Roman" w:hAnsi="Times New Roman" w:cs="Times New Roman"/>
                <w:color w:val="auto"/>
                <w:lang w:bidi="ar-SA"/>
              </w:rPr>
            </w:pPr>
            <w:r>
              <w:rPr>
                <w:rFonts w:ascii="Times New Roman" w:eastAsia="Times New Roman" w:hAnsi="Times New Roman" w:cs="Times New Roman"/>
                <w:lang w:bidi="ar-SA"/>
              </w:rPr>
              <w:t>225 503 000</w:t>
            </w:r>
          </w:p>
        </w:tc>
        <w:tc>
          <w:tcPr>
            <w:tcW w:w="1532" w:type="dxa"/>
            <w:shd w:val="clear" w:color="auto" w:fill="DBE5F1" w:themeFill="accent1" w:themeFillTint="33"/>
            <w:vAlign w:val="center"/>
          </w:tcPr>
          <w:p w14:paraId="3BE0880E" w14:textId="77777777" w:rsidR="00052C0B" w:rsidRDefault="006E6CE8">
            <w:pPr>
              <w:widowControl/>
              <w:jc w:val="center"/>
              <w:rPr>
                <w:rFonts w:ascii="Times New Roman" w:eastAsia="Times New Roman" w:hAnsi="Times New Roman" w:cs="Times New Roman"/>
                <w:color w:val="auto"/>
                <w:lang w:bidi="ar-SA"/>
              </w:rPr>
            </w:pPr>
            <w:r>
              <w:rPr>
                <w:rFonts w:ascii="Times New Roman" w:eastAsia="Times New Roman" w:hAnsi="Times New Roman" w:cs="Times New Roman"/>
                <w:lang w:bidi="ar-SA"/>
              </w:rPr>
              <w:t>295 068 200</w:t>
            </w:r>
          </w:p>
        </w:tc>
        <w:tc>
          <w:tcPr>
            <w:tcW w:w="1436" w:type="dxa"/>
            <w:shd w:val="clear" w:color="auto" w:fill="DBE5F1" w:themeFill="accent1" w:themeFillTint="33"/>
            <w:vAlign w:val="center"/>
          </w:tcPr>
          <w:p w14:paraId="3BE0880F" w14:textId="77777777" w:rsidR="00052C0B" w:rsidRDefault="006E6CE8">
            <w:pPr>
              <w:widowControl/>
              <w:jc w:val="center"/>
              <w:rPr>
                <w:rFonts w:ascii="Times New Roman" w:eastAsia="Times New Roman" w:hAnsi="Times New Roman" w:cs="Times New Roman"/>
                <w:color w:val="auto"/>
                <w:lang w:bidi="ar-SA"/>
              </w:rPr>
            </w:pPr>
            <w:r>
              <w:rPr>
                <w:rFonts w:ascii="Times New Roman" w:eastAsia="Times New Roman" w:hAnsi="Times New Roman" w:cs="Times New Roman"/>
                <w:lang w:bidi="ar-SA"/>
              </w:rPr>
              <w:t>399 688 000</w:t>
            </w:r>
          </w:p>
        </w:tc>
        <w:tc>
          <w:tcPr>
            <w:tcW w:w="1312" w:type="dxa"/>
            <w:shd w:val="clear" w:color="auto" w:fill="DBE5F1" w:themeFill="accent1" w:themeFillTint="33"/>
            <w:vAlign w:val="center"/>
          </w:tcPr>
          <w:p w14:paraId="3BE08810" w14:textId="77777777" w:rsidR="00052C0B" w:rsidRDefault="006E6CE8">
            <w:pPr>
              <w:widowControl/>
              <w:ind w:left="-162"/>
              <w:jc w:val="center"/>
              <w:rPr>
                <w:rFonts w:ascii="Times New Roman" w:eastAsia="Times New Roman" w:hAnsi="Times New Roman" w:cs="Times New Roman"/>
                <w:color w:val="auto"/>
                <w:lang w:bidi="ar-SA"/>
              </w:rPr>
            </w:pPr>
            <w:r>
              <w:rPr>
                <w:rFonts w:ascii="Times New Roman" w:eastAsia="Times New Roman" w:hAnsi="Times New Roman" w:cs="Times New Roman"/>
                <w:lang w:bidi="ar-SA"/>
              </w:rPr>
              <w:t>537 641 000</w:t>
            </w:r>
          </w:p>
        </w:tc>
      </w:tr>
      <w:tr w:rsidR="00052C0B" w14:paraId="3BE08819" w14:textId="77777777">
        <w:tc>
          <w:tcPr>
            <w:tcW w:w="490" w:type="dxa"/>
            <w:shd w:val="clear" w:color="auto" w:fill="FDE9D9" w:themeFill="accent6" w:themeFillTint="33"/>
          </w:tcPr>
          <w:p w14:paraId="3BE08812" w14:textId="77777777" w:rsidR="00052C0B" w:rsidRDefault="006E6CE8">
            <w:pPr>
              <w:widowControl/>
              <w:jc w:val="center"/>
              <w:rPr>
                <w:rFonts w:ascii="Times New Roman" w:eastAsia="Times New Roman" w:hAnsi="Times New Roman" w:cs="Times New Roman"/>
                <w:color w:val="auto"/>
                <w:lang w:bidi="ar-SA"/>
              </w:rPr>
            </w:pPr>
            <w:r>
              <w:rPr>
                <w:rFonts w:ascii="Times New Roman" w:eastAsia="Times New Roman" w:hAnsi="Times New Roman" w:cs="Times New Roman"/>
                <w:lang w:bidi="ar-SA"/>
              </w:rPr>
              <w:t>4</w:t>
            </w:r>
          </w:p>
        </w:tc>
        <w:tc>
          <w:tcPr>
            <w:tcW w:w="1632" w:type="dxa"/>
            <w:shd w:val="clear" w:color="auto" w:fill="E5DFEC" w:themeFill="accent4" w:themeFillTint="33"/>
          </w:tcPr>
          <w:p w14:paraId="3BE08813" w14:textId="77777777" w:rsidR="00052C0B" w:rsidRDefault="006E6CE8">
            <w:pPr>
              <w:widowControl/>
              <w:jc w:val="both"/>
              <w:rPr>
                <w:rFonts w:ascii="Times New Roman" w:eastAsia="Times New Roman" w:hAnsi="Times New Roman" w:cs="Times New Roman"/>
                <w:color w:val="auto"/>
                <w:lang w:bidi="ar-SA"/>
              </w:rPr>
            </w:pPr>
            <w:r>
              <w:rPr>
                <w:rFonts w:ascii="Times New Roman" w:eastAsia="Times New Roman" w:hAnsi="Times New Roman" w:cs="Times New Roman"/>
                <w:lang w:bidi="ar-SA"/>
              </w:rPr>
              <w:t>Зобов’язання</w:t>
            </w:r>
          </w:p>
        </w:tc>
        <w:tc>
          <w:tcPr>
            <w:tcW w:w="1506" w:type="dxa"/>
            <w:shd w:val="clear" w:color="auto" w:fill="DBE5F1" w:themeFill="accent1" w:themeFillTint="33"/>
            <w:vAlign w:val="center"/>
          </w:tcPr>
          <w:p w14:paraId="3BE08814" w14:textId="77777777" w:rsidR="00052C0B" w:rsidRDefault="006E6CE8">
            <w:pPr>
              <w:widowControl/>
              <w:jc w:val="center"/>
              <w:rPr>
                <w:rFonts w:ascii="Times New Roman" w:eastAsia="Times New Roman" w:hAnsi="Times New Roman" w:cs="Times New Roman"/>
                <w:color w:val="auto"/>
                <w:lang w:bidi="ar-SA"/>
              </w:rPr>
            </w:pPr>
            <w:r>
              <w:rPr>
                <w:rFonts w:ascii="Times New Roman" w:eastAsia="Times New Roman" w:hAnsi="Times New Roman" w:cs="Times New Roman"/>
                <w:lang w:bidi="ar-SA"/>
              </w:rPr>
              <w:t>42 787 900</w:t>
            </w:r>
          </w:p>
        </w:tc>
        <w:tc>
          <w:tcPr>
            <w:tcW w:w="1436" w:type="dxa"/>
            <w:shd w:val="clear" w:color="auto" w:fill="DBE5F1" w:themeFill="accent1" w:themeFillTint="33"/>
            <w:vAlign w:val="center"/>
          </w:tcPr>
          <w:p w14:paraId="3BE08815" w14:textId="77777777" w:rsidR="00052C0B" w:rsidRDefault="006E6CE8">
            <w:pPr>
              <w:widowControl/>
              <w:jc w:val="center"/>
              <w:rPr>
                <w:rFonts w:ascii="Times New Roman" w:eastAsia="Times New Roman" w:hAnsi="Times New Roman" w:cs="Times New Roman"/>
                <w:color w:val="auto"/>
                <w:lang w:bidi="ar-SA"/>
              </w:rPr>
            </w:pPr>
            <w:r>
              <w:rPr>
                <w:rFonts w:ascii="Times New Roman" w:eastAsia="Times New Roman" w:hAnsi="Times New Roman" w:cs="Times New Roman"/>
                <w:lang w:bidi="ar-SA"/>
              </w:rPr>
              <w:t>127 386 900</w:t>
            </w:r>
          </w:p>
        </w:tc>
        <w:tc>
          <w:tcPr>
            <w:tcW w:w="1532" w:type="dxa"/>
            <w:shd w:val="clear" w:color="auto" w:fill="DBE5F1" w:themeFill="accent1" w:themeFillTint="33"/>
            <w:vAlign w:val="center"/>
          </w:tcPr>
          <w:p w14:paraId="3BE08816" w14:textId="77777777" w:rsidR="00052C0B" w:rsidRDefault="006E6CE8">
            <w:pPr>
              <w:widowControl/>
              <w:jc w:val="center"/>
              <w:rPr>
                <w:rFonts w:ascii="Times New Roman" w:eastAsia="Times New Roman" w:hAnsi="Times New Roman" w:cs="Times New Roman"/>
                <w:color w:val="auto"/>
                <w:lang w:bidi="ar-SA"/>
              </w:rPr>
            </w:pPr>
            <w:r>
              <w:rPr>
                <w:rFonts w:ascii="Times New Roman" w:eastAsia="Times New Roman" w:hAnsi="Times New Roman" w:cs="Times New Roman"/>
                <w:lang w:bidi="ar-SA"/>
              </w:rPr>
              <w:t>125 031 800</w:t>
            </w:r>
          </w:p>
        </w:tc>
        <w:tc>
          <w:tcPr>
            <w:tcW w:w="1436" w:type="dxa"/>
            <w:shd w:val="clear" w:color="auto" w:fill="DBE5F1" w:themeFill="accent1" w:themeFillTint="33"/>
            <w:vAlign w:val="center"/>
          </w:tcPr>
          <w:p w14:paraId="3BE08817" w14:textId="77777777" w:rsidR="00052C0B" w:rsidRDefault="006E6CE8">
            <w:pPr>
              <w:widowControl/>
              <w:jc w:val="center"/>
              <w:rPr>
                <w:rFonts w:ascii="Times New Roman" w:eastAsia="Times New Roman" w:hAnsi="Times New Roman" w:cs="Times New Roman"/>
                <w:color w:val="auto"/>
                <w:lang w:bidi="ar-SA"/>
              </w:rPr>
            </w:pPr>
            <w:r>
              <w:rPr>
                <w:rFonts w:ascii="Times New Roman" w:eastAsia="Times New Roman" w:hAnsi="Times New Roman" w:cs="Times New Roman"/>
                <w:lang w:bidi="ar-SA"/>
              </w:rPr>
              <w:t>162 965 000</w:t>
            </w:r>
          </w:p>
        </w:tc>
        <w:tc>
          <w:tcPr>
            <w:tcW w:w="1312" w:type="dxa"/>
            <w:shd w:val="clear" w:color="auto" w:fill="DBE5F1" w:themeFill="accent1" w:themeFillTint="33"/>
            <w:vAlign w:val="center"/>
          </w:tcPr>
          <w:p w14:paraId="3BE08818" w14:textId="77777777" w:rsidR="00052C0B" w:rsidRDefault="006E6CE8">
            <w:pPr>
              <w:widowControl/>
              <w:ind w:left="-162"/>
              <w:jc w:val="center"/>
              <w:rPr>
                <w:rFonts w:ascii="Times New Roman" w:eastAsia="Times New Roman" w:hAnsi="Times New Roman" w:cs="Times New Roman"/>
                <w:color w:val="auto"/>
                <w:lang w:bidi="ar-SA"/>
              </w:rPr>
            </w:pPr>
            <w:r>
              <w:rPr>
                <w:rFonts w:ascii="Times New Roman" w:eastAsia="Times New Roman" w:hAnsi="Times New Roman" w:cs="Times New Roman"/>
                <w:lang w:bidi="ar-SA"/>
              </w:rPr>
              <w:t>233 842 000</w:t>
            </w:r>
          </w:p>
        </w:tc>
      </w:tr>
    </w:tbl>
    <w:p w14:paraId="3BE0881A" w14:textId="77777777" w:rsidR="00052C0B" w:rsidRDefault="006E6CE8">
      <w:pPr>
        <w:widowControl/>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i/>
          <w:iCs/>
          <w:lang w:bidi="ar-SA"/>
        </w:rPr>
        <w:t xml:space="preserve">Джерело: </w:t>
      </w:r>
      <w:hyperlink r:id="rId32" w:tooltip="https://opendatabot.ua/c/02774415" w:history="1">
        <w:r>
          <w:rPr>
            <w:rFonts w:ascii="Times New Roman" w:eastAsia="Times New Roman" w:hAnsi="Times New Roman" w:cs="Times New Roman"/>
            <w:i/>
            <w:iCs/>
            <w:lang w:bidi="ar-SA"/>
          </w:rPr>
          <w:t>[35]</w:t>
        </w:r>
      </w:hyperlink>
      <w:r>
        <w:rPr>
          <w:rFonts w:ascii="Times New Roman" w:eastAsia="Times New Roman" w:hAnsi="Times New Roman" w:cs="Times New Roman"/>
          <w:sz w:val="28"/>
          <w:szCs w:val="28"/>
          <w:lang w:bidi="ar-SA"/>
        </w:rPr>
        <w:t> </w:t>
      </w:r>
    </w:p>
    <w:p w14:paraId="3BE0881B" w14:textId="77777777" w:rsidR="00052C0B" w:rsidRDefault="00052C0B">
      <w:pPr>
        <w:spacing w:line="360" w:lineRule="auto"/>
        <w:ind w:firstLine="709"/>
        <w:jc w:val="both"/>
        <w:rPr>
          <w:rFonts w:ascii="Times New Roman" w:eastAsia="Microsoft YaHei" w:hAnsi="Times New Roman" w:cs="Times New Roman"/>
          <w:sz w:val="28"/>
          <w:szCs w:val="28"/>
        </w:rPr>
      </w:pPr>
    </w:p>
    <w:p w14:paraId="3BE0881C"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Протягом досліджуваного періоду лікарня характеризується стабільним зростанням доходів і чистого прибутку, що підтверджує результативність організації роботи та створює передумови для розвитку кадрових мотиваційних програм - зокрема, преміювання, формування соціальних пакетів, підтримки професійного зростання та профілактики професійного вигорання. Винятком є 2024 рік, коли фінансові показники погіршились під впливом низки зовнішніх і внутрішніх чинників.</w:t>
      </w:r>
    </w:p>
    <w:p w14:paraId="3BE0881D"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До зовнішніх факторів відносяться:</w:t>
      </w:r>
    </w:p>
    <w:p w14:paraId="3BE0881E" w14:textId="77777777" w:rsidR="00052C0B" w:rsidRDefault="006E6CE8">
      <w:pPr>
        <w:numPr>
          <w:ilvl w:val="0"/>
          <w:numId w:val="16"/>
        </w:numPr>
        <w:tabs>
          <w:tab w:val="left" w:pos="993"/>
        </w:tabs>
        <w:spacing w:line="360" w:lineRule="auto"/>
        <w:ind w:left="0"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Зміни у стратегії фінансування НСЗУ -</w:t>
      </w:r>
      <w:r>
        <w:rPr>
          <w:rFonts w:ascii="Microsoft YaHei" w:eastAsia="Microsoft YaHei" w:hAnsi="Microsoft YaHei" w:cs="Microsoft YaHei"/>
          <w:sz w:val="28"/>
          <w:szCs w:val="28"/>
        </w:rPr>
        <w:t xml:space="preserve"> </w:t>
      </w:r>
      <w:r>
        <w:rPr>
          <w:rFonts w:ascii="Times New Roman" w:eastAsia="Microsoft YaHei" w:hAnsi="Times New Roman" w:cs="Times New Roman"/>
          <w:sz w:val="28"/>
          <w:szCs w:val="28"/>
        </w:rPr>
        <w:t>у 2024 році відбулося скорочення надходжень за договорами з Національною службою здоров’я України через коригування тарифів і перегляд умов фінансування окремих пакетів медичних послуг.</w:t>
      </w:r>
    </w:p>
    <w:p w14:paraId="3BE0881F" w14:textId="77777777" w:rsidR="00052C0B" w:rsidRDefault="006E6CE8">
      <w:pPr>
        <w:numPr>
          <w:ilvl w:val="0"/>
          <w:numId w:val="16"/>
        </w:numPr>
        <w:tabs>
          <w:tab w:val="left" w:pos="993"/>
        </w:tabs>
        <w:spacing w:line="360" w:lineRule="auto"/>
        <w:ind w:left="0" w:firstLine="709"/>
        <w:contextualSpacing/>
        <w:jc w:val="both"/>
        <w:rPr>
          <w:rFonts w:ascii="Times New Roman" w:eastAsia="Times New Roman" w:hAnsi="Times New Roman" w:cs="Times New Roman"/>
          <w:color w:val="auto"/>
          <w:sz w:val="28"/>
          <w:szCs w:val="28"/>
          <w:lang w:bidi="ar-SA"/>
        </w:rPr>
      </w:pPr>
      <w:r>
        <w:rPr>
          <w:rFonts w:ascii="Times New Roman" w:eastAsia="Microsoft YaHei" w:hAnsi="Times New Roman" w:cs="Times New Roman"/>
          <w:sz w:val="28"/>
          <w:szCs w:val="28"/>
        </w:rPr>
        <w:t xml:space="preserve">Зменшення обсягів медичних послуг, профінансованих за Програмою медичних гарантій </w:t>
      </w:r>
      <w:r>
        <w:rPr>
          <w:rFonts w:ascii="Times New Roman" w:eastAsia="Times New Roman" w:hAnsi="Times New Roman" w:cs="Times New Roman"/>
          <w:sz w:val="28"/>
          <w:szCs w:val="28"/>
          <w:lang w:bidi="ar-SA"/>
        </w:rPr>
        <w:t>- недовиконання планових показників через зменшення кількості госпіталізацій, особливо за напрямами планового лікування.</w:t>
      </w:r>
    </w:p>
    <w:p w14:paraId="3BE08820" w14:textId="77777777" w:rsidR="00052C0B" w:rsidRDefault="006E6CE8">
      <w:pPr>
        <w:numPr>
          <w:ilvl w:val="0"/>
          <w:numId w:val="16"/>
        </w:numPr>
        <w:tabs>
          <w:tab w:val="left" w:pos="993"/>
        </w:tabs>
        <w:spacing w:line="360" w:lineRule="auto"/>
        <w:ind w:left="0" w:firstLine="709"/>
        <w:contextualSpacing/>
        <w:jc w:val="both"/>
        <w:rPr>
          <w:rFonts w:ascii="Times New Roman" w:eastAsia="Times New Roman" w:hAnsi="Times New Roman" w:cs="Times New Roman"/>
          <w:color w:val="auto"/>
          <w:sz w:val="28"/>
          <w:szCs w:val="28"/>
          <w:lang w:bidi="ar-SA"/>
        </w:rPr>
      </w:pPr>
      <w:r>
        <w:rPr>
          <w:rFonts w:ascii="Times New Roman" w:eastAsia="Microsoft YaHei" w:hAnsi="Times New Roman" w:cs="Times New Roman"/>
          <w:sz w:val="28"/>
          <w:szCs w:val="28"/>
        </w:rPr>
        <w:t xml:space="preserve">Демографічні та соціально-економічні чинники - </w:t>
      </w:r>
      <w:r>
        <w:rPr>
          <w:rFonts w:ascii="Times New Roman" w:eastAsia="Times New Roman" w:hAnsi="Times New Roman" w:cs="Times New Roman"/>
          <w:sz w:val="28"/>
          <w:szCs w:val="28"/>
          <w:lang w:bidi="ar-SA"/>
        </w:rPr>
        <w:t xml:space="preserve">зниження кількості звернень за медичною допомогою через </w:t>
      </w:r>
      <w:r>
        <w:rPr>
          <w:rFonts w:ascii="Times New Roman" w:eastAsia="Microsoft YaHei" w:hAnsi="Times New Roman" w:cs="Times New Roman"/>
          <w:sz w:val="28"/>
          <w:szCs w:val="28"/>
        </w:rPr>
        <w:t>скорочення</w:t>
      </w:r>
      <w:r>
        <w:rPr>
          <w:rFonts w:ascii="Times New Roman" w:eastAsia="Times New Roman" w:hAnsi="Times New Roman" w:cs="Times New Roman"/>
          <w:sz w:val="28"/>
          <w:szCs w:val="28"/>
          <w:lang w:bidi="ar-SA"/>
        </w:rPr>
        <w:t xml:space="preserve"> чисельності населення, </w:t>
      </w:r>
      <w:r>
        <w:rPr>
          <w:rFonts w:ascii="Times New Roman" w:eastAsia="Times New Roman" w:hAnsi="Times New Roman" w:cs="Times New Roman"/>
          <w:sz w:val="28"/>
          <w:szCs w:val="28"/>
          <w:lang w:bidi="ar-SA"/>
        </w:rPr>
        <w:lastRenderedPageBreak/>
        <w:t>міграційні процеси, а також вплив воєнного стану.</w:t>
      </w:r>
    </w:p>
    <w:p w14:paraId="3BE08821" w14:textId="77777777" w:rsidR="00052C0B" w:rsidRDefault="006E6CE8">
      <w:pPr>
        <w:tabs>
          <w:tab w:val="left" w:pos="993"/>
        </w:tabs>
        <w:spacing w:line="360" w:lineRule="auto"/>
        <w:ind w:firstLine="709"/>
        <w:contextualSpacing/>
        <w:jc w:val="both"/>
        <w:rPr>
          <w:rFonts w:ascii="Times New Roman" w:eastAsia="Times New Roman" w:hAnsi="Times New Roman" w:cs="Times New Roman"/>
          <w:lang w:bidi="ar-SA"/>
        </w:rPr>
      </w:pPr>
      <w:r>
        <w:rPr>
          <w:rFonts w:ascii="Times New Roman" w:eastAsia="Times New Roman" w:hAnsi="Times New Roman" w:cs="Times New Roman"/>
          <w:sz w:val="28"/>
          <w:szCs w:val="28"/>
          <w:lang w:bidi="ar-SA"/>
        </w:rPr>
        <w:t>Внутрішніми чинниками є:</w:t>
      </w:r>
      <w:r>
        <w:rPr>
          <w:rFonts w:ascii="Times New Roman" w:eastAsia="Times New Roman" w:hAnsi="Times New Roman" w:cs="Times New Roman"/>
          <w:lang w:bidi="ar-SA"/>
        </w:rPr>
        <w:t xml:space="preserve"> </w:t>
      </w:r>
    </w:p>
    <w:p w14:paraId="3BE08822" w14:textId="77777777" w:rsidR="00052C0B" w:rsidRDefault="006E6CE8">
      <w:pPr>
        <w:numPr>
          <w:ilvl w:val="0"/>
          <w:numId w:val="16"/>
        </w:numPr>
        <w:tabs>
          <w:tab w:val="left" w:pos="993"/>
        </w:tabs>
        <w:spacing w:line="360" w:lineRule="auto"/>
        <w:ind w:left="0" w:firstLine="709"/>
        <w:contextualSpacing/>
        <w:jc w:val="both"/>
        <w:rPr>
          <w:rFonts w:ascii="Times New Roman" w:eastAsia="Times New Roman" w:hAnsi="Times New Roman" w:cs="Times New Roman"/>
          <w:sz w:val="28"/>
          <w:szCs w:val="28"/>
          <w:lang w:bidi="ar-SA"/>
        </w:rPr>
      </w:pPr>
      <w:r>
        <w:rPr>
          <w:rFonts w:ascii="Times New Roman" w:eastAsia="Times New Roman" w:hAnsi="Times New Roman" w:cs="Times New Roman"/>
          <w:sz w:val="28"/>
          <w:szCs w:val="28"/>
          <w:lang w:bidi="ar-SA"/>
        </w:rPr>
        <w:t>Тимчасові обмеження у діяльності закладу через капітальні ремонти приміщень лікарні у межах реалізації державного проекту Президента України «Велике Будівництво» у 2024 році, що тимчасово обмежувало роботу окремих відділень</w:t>
      </w:r>
    </w:p>
    <w:p w14:paraId="3BE08823" w14:textId="77777777" w:rsidR="00052C0B" w:rsidRDefault="006E6CE8">
      <w:pPr>
        <w:numPr>
          <w:ilvl w:val="0"/>
          <w:numId w:val="16"/>
        </w:numPr>
        <w:tabs>
          <w:tab w:val="left" w:pos="993"/>
        </w:tabs>
        <w:spacing w:line="360" w:lineRule="auto"/>
        <w:ind w:left="0" w:firstLine="709"/>
        <w:contextualSpacing/>
        <w:jc w:val="both"/>
        <w:rPr>
          <w:rFonts w:ascii="Times New Roman" w:eastAsia="Times New Roman" w:hAnsi="Times New Roman" w:cs="Times New Roman"/>
          <w:sz w:val="28"/>
          <w:szCs w:val="28"/>
          <w:lang w:bidi="ar-SA"/>
        </w:rPr>
      </w:pPr>
      <w:r>
        <w:rPr>
          <w:rFonts w:ascii="Times New Roman" w:eastAsia="Times New Roman" w:hAnsi="Times New Roman" w:cs="Times New Roman"/>
          <w:sz w:val="28"/>
          <w:szCs w:val="28"/>
          <w:lang w:bidi="ar-SA"/>
        </w:rPr>
        <w:t>Кадровий дефіцит - зменшення можливості надання повного обсягу медичних послуг через нестачу медичних кадрів у ряді підрозділів.</w:t>
      </w:r>
    </w:p>
    <w:p w14:paraId="3BE08824" w14:textId="77777777" w:rsidR="00052C0B" w:rsidRDefault="006E6CE8">
      <w:pPr>
        <w:numPr>
          <w:ilvl w:val="0"/>
          <w:numId w:val="16"/>
        </w:numPr>
        <w:tabs>
          <w:tab w:val="left" w:pos="993"/>
        </w:tabs>
        <w:spacing w:line="360" w:lineRule="auto"/>
        <w:ind w:left="0" w:firstLine="709"/>
        <w:contextualSpacing/>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sz w:val="28"/>
          <w:szCs w:val="28"/>
          <w:lang w:bidi="ar-SA"/>
        </w:rPr>
        <w:t>Зростання вартості ресурсного забезпечення - збільшення собівартості медичних послуг і зниження чистого доходу через підвищення цін на енергоносії, медикаменти, витратні матеріали та комунальні послуги.</w:t>
      </w:r>
    </w:p>
    <w:p w14:paraId="3BE08825"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Зовнішні фактори були пов’язані зі змінами політики фінансування НСЗУ та скороченням обсягів послуг, профінансованих за Програмою медичних гарантій. Додатково на показники вплинули соціально-демографічні зміни й воєнний стан, що спричинили зменшення звернень пацієнтів. Серед внутрішніх причин - проведення масштабних ремонтних робіт у межах проекту «Велике Будівництво», кадровий дефіцит та зростання вартості ресурсного забезпечення.</w:t>
      </w:r>
    </w:p>
    <w:p w14:paraId="3BE08826"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Для стабілізації фінансової ситуації у 2025 році доцільно забезпечити повне виконання умов договорів із НСЗУ, оптимізувати використання ресурсів, розширити перелік платних послуг, диверсифікувати джерела фінансування, підтримувати безперервність роботи під час ремонтів і посилити кадрову політику.</w:t>
      </w:r>
    </w:p>
    <w:p w14:paraId="3BE08827"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В офіційних джерелах наведено</w:t>
      </w:r>
      <w:r>
        <w:rPr>
          <w:rFonts w:ascii="Microsoft YaHei" w:eastAsia="Microsoft YaHei" w:hAnsi="Microsoft YaHei" w:cs="Microsoft YaHei"/>
        </w:rPr>
        <w:t xml:space="preserve"> </w:t>
      </w:r>
      <w:r>
        <w:rPr>
          <w:rFonts w:ascii="Times New Roman" w:eastAsia="Microsoft YaHei" w:hAnsi="Times New Roman" w:cs="Times New Roman"/>
          <w:sz w:val="28"/>
          <w:szCs w:val="28"/>
        </w:rPr>
        <w:t xml:space="preserve">показники фінансового стану КНП «МКЛ №11» OMP, аналіз яких дозволяє оцінити ефективність організаційно-економічних механізмів державного управління лікарнею </w:t>
      </w:r>
      <w:r>
        <w:rPr>
          <w:rFonts w:ascii="Times New Roman" w:eastAsia="Microsoft YaHei" w:hAnsi="Times New Roman" w:cs="Times New Roman"/>
          <w:color w:val="auto"/>
          <w:sz w:val="28"/>
          <w:szCs w:val="28"/>
          <w:lang w:val="en-US"/>
        </w:rPr>
        <w:t>[</w:t>
      </w:r>
      <w:hyperlink r:id="rId33" w:tooltip="https://opendatabot.ua/c/02774415" w:history="1">
        <w:r>
          <w:rPr>
            <w:rFonts w:ascii="Times New Roman" w:eastAsia="Microsoft YaHei" w:hAnsi="Times New Roman" w:cs="Times New Roman"/>
            <w:color w:val="auto"/>
            <w:sz w:val="28"/>
            <w:szCs w:val="28"/>
          </w:rPr>
          <w:t>35</w:t>
        </w:r>
      </w:hyperlink>
      <w:r>
        <w:rPr>
          <w:rFonts w:ascii="Times New Roman" w:eastAsia="Microsoft YaHei" w:hAnsi="Times New Roman" w:cs="Times New Roman"/>
          <w:color w:val="auto"/>
          <w:sz w:val="28"/>
          <w:szCs w:val="28"/>
          <w:lang w:val="en-US"/>
        </w:rPr>
        <w:t>]</w:t>
      </w:r>
      <w:r>
        <w:rPr>
          <w:rFonts w:ascii="Times New Roman" w:eastAsia="Microsoft YaHei" w:hAnsi="Times New Roman" w:cs="Times New Roman"/>
          <w:color w:val="auto"/>
          <w:sz w:val="28"/>
          <w:szCs w:val="28"/>
        </w:rPr>
        <w:t>.</w:t>
      </w:r>
    </w:p>
    <w:p w14:paraId="3BE08828"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Фінансові показники свідчать, що лікарня має значну частку основних засобів (60,79 %), що характерно для капіталомістких медичних закладів з великою матеріально-технічною базою. Разом із тим низький рівень поточної ліквідності (0,56) та високі показники фінансової залежності (2,71) і </w:t>
      </w:r>
      <w:r>
        <w:rPr>
          <w:rFonts w:ascii="Times New Roman" w:eastAsia="Microsoft YaHei" w:hAnsi="Times New Roman" w:cs="Times New Roman"/>
          <w:sz w:val="28"/>
          <w:szCs w:val="28"/>
        </w:rPr>
        <w:lastRenderedPageBreak/>
        <w:t>співвідношення позикових і власних коштів (1,71) свідчать про потребу в підвищенні фінансової стійкості.</w:t>
      </w:r>
    </w:p>
    <w:p w14:paraId="3BE08829"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Негативне значення поточної платоспроможності (-298 330 грн) підтверджує дефіцит ліквідних активів і вимагає коригувальних дій - оптимізації оборотних активів, прискорення погашення дебіторської заборгованості та модернізації управління грошовими потоками. Разом із тим рентабельність продукції на рівні 21,98 % вказує на достатню ефективність використання коштів і економічну життєздатність закладу.</w:t>
      </w:r>
    </w:p>
    <w:p w14:paraId="3BE0882A"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Структура фінансування лікарні у 2025 році має виражений бюджетний характер, адже основну частину надходжень становлять капітальні трансферти. Поточні трансферти, комунальні платежі та інші статті фінансування займають значно меншу частку. Це підкреслює залежність від бюджету та необхідність раціонального використання фінансових ресурсів.</w:t>
      </w:r>
    </w:p>
    <w:p w14:paraId="3BE0882B"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Аналіз участі лікарні у тендерних закупівлях за 2022–2025 роки свідчить про значні обсяги придбання матеріалів, обладнання та послуг, а також про розширення взаємодії з інвестиційними та грантовими програмами. Динаміка продажів і закупівель є нестабільною, проте підтверджує активну участь закладу в системі публічних закупівель </w:t>
      </w:r>
      <w:r>
        <w:rPr>
          <w:rFonts w:ascii="Times New Roman" w:eastAsia="Microsoft YaHei" w:hAnsi="Times New Roman" w:cs="Times New Roman"/>
          <w:color w:val="auto"/>
          <w:sz w:val="28"/>
          <w:szCs w:val="28"/>
          <w:lang w:val="en-US"/>
        </w:rPr>
        <w:t>[</w:t>
      </w:r>
      <w:hyperlink r:id="rId34" w:tooltip="https://opendatabot.ua/c/02774415" w:history="1">
        <w:r>
          <w:rPr>
            <w:rFonts w:ascii="Times New Roman" w:eastAsia="Microsoft YaHei" w:hAnsi="Times New Roman" w:cs="Times New Roman"/>
            <w:color w:val="auto"/>
            <w:sz w:val="28"/>
            <w:szCs w:val="28"/>
          </w:rPr>
          <w:t>35</w:t>
        </w:r>
      </w:hyperlink>
      <w:r>
        <w:rPr>
          <w:rFonts w:ascii="Times New Roman" w:eastAsia="Microsoft YaHei" w:hAnsi="Times New Roman" w:cs="Times New Roman"/>
          <w:color w:val="auto"/>
          <w:sz w:val="28"/>
          <w:szCs w:val="28"/>
          <w:lang w:val="en-US"/>
        </w:rPr>
        <w:t>]</w:t>
      </w:r>
      <w:r>
        <w:rPr>
          <w:rFonts w:ascii="Times New Roman" w:eastAsia="Microsoft YaHei" w:hAnsi="Times New Roman" w:cs="Times New Roman"/>
          <w:color w:val="auto"/>
          <w:sz w:val="28"/>
          <w:szCs w:val="28"/>
        </w:rPr>
        <w:t>.</w:t>
      </w:r>
    </w:p>
    <w:p w14:paraId="3BE0882C"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Узагальнюючи, можна дійти висновку, що КНП «МКЛ №11» ОМР характеризується ефективними організаційно-економічними механізмами та здатністю генерувати прибуток, однак потребує посилення фінансової стійкості. Оптимізація структури активів, посилення ліквідності та зниження залежності від позикових ресурсів є ключовими напрямами для зміцнення фінансового становища. Загалом фінансовий стан лікарні можна оцінити як задовільний, із необхідністю реалізації управлінських заходів з мінімізації ризиків.</w:t>
      </w:r>
    </w:p>
    <w:p w14:paraId="3BE0882D" w14:textId="77777777" w:rsidR="00052C0B" w:rsidRDefault="00052C0B">
      <w:pPr>
        <w:spacing w:line="360" w:lineRule="auto"/>
        <w:ind w:firstLine="709"/>
        <w:jc w:val="both"/>
        <w:rPr>
          <w:rFonts w:ascii="Times New Roman" w:eastAsia="Microsoft YaHei" w:hAnsi="Times New Roman" w:cs="Times New Roman"/>
          <w:sz w:val="28"/>
          <w:szCs w:val="28"/>
        </w:rPr>
      </w:pPr>
    </w:p>
    <w:p w14:paraId="3BE0882E" w14:textId="77777777" w:rsidR="00052C0B" w:rsidRDefault="006E6CE8">
      <w:pPr>
        <w:spacing w:line="360" w:lineRule="auto"/>
        <w:ind w:firstLine="709"/>
        <w:rPr>
          <w:rFonts w:ascii="Times New Roman" w:eastAsia="Microsoft YaHei" w:hAnsi="Times New Roman" w:cs="Times New Roman"/>
          <w:b/>
          <w:sz w:val="28"/>
          <w:szCs w:val="28"/>
        </w:rPr>
      </w:pPr>
      <w:r>
        <w:rPr>
          <w:rFonts w:ascii="Times New Roman" w:eastAsia="Microsoft YaHei" w:hAnsi="Times New Roman" w:cs="Times New Roman"/>
          <w:b/>
          <w:sz w:val="28"/>
          <w:szCs w:val="28"/>
        </w:rPr>
        <w:t>Висновок до розділу 2</w:t>
      </w:r>
    </w:p>
    <w:p w14:paraId="3BE0882F"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Дослідження впливу організаційно-економічних механізмів державного управління на діяльність медичних закладів міста Одеси проведено на основі </w:t>
      </w:r>
      <w:r>
        <w:rPr>
          <w:rFonts w:ascii="Times New Roman" w:eastAsia="Microsoft YaHei" w:hAnsi="Times New Roman" w:cs="Times New Roman"/>
          <w:sz w:val="28"/>
          <w:szCs w:val="28"/>
        </w:rPr>
        <w:lastRenderedPageBreak/>
        <w:t>аналізу діяльності</w:t>
      </w:r>
      <w:r>
        <w:rPr>
          <w:rFonts w:ascii="Microsoft YaHei" w:eastAsia="Microsoft YaHei" w:hAnsi="Microsoft YaHei" w:cs="Microsoft YaHei"/>
        </w:rPr>
        <w:t xml:space="preserve"> </w:t>
      </w:r>
      <w:r>
        <w:rPr>
          <w:rFonts w:ascii="Times New Roman" w:eastAsia="Microsoft YaHei" w:hAnsi="Times New Roman" w:cs="Times New Roman"/>
          <w:sz w:val="28"/>
          <w:szCs w:val="28"/>
        </w:rPr>
        <w:t>Департаменту охорони здоров’я Одеської міської ради та КНП «Міська клінічна лікарня № 11» ОМР.</w:t>
      </w:r>
    </w:p>
    <w:p w14:paraId="3BE08830"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Департамент охорони здоров’я Одеської міської ради виконує функції виконавчого органу міської влади, відповідального за забезпечення медичного обслуговування населення та реалізацію державних і муніципальних рішень у галузі охорони здоров’я.</w:t>
      </w:r>
      <w:r>
        <w:rPr>
          <w:rFonts w:ascii="Microsoft YaHei" w:eastAsia="Microsoft YaHei" w:hAnsi="Microsoft YaHei" w:cs="Microsoft YaHei"/>
        </w:rPr>
        <w:t xml:space="preserve"> </w:t>
      </w:r>
      <w:r>
        <w:rPr>
          <w:rFonts w:ascii="Times New Roman" w:eastAsia="Microsoft YaHei" w:hAnsi="Times New Roman" w:cs="Times New Roman"/>
          <w:sz w:val="28"/>
          <w:szCs w:val="28"/>
        </w:rPr>
        <w:t>Функціонування мережі медичних закладів і надання медичної допомоги забезпечувалося за рахунок коштів, отриманих від Національної служби здоров’я України, фінансування з місцевого бюджету, а також субвенцій з державного бюджету. Загальний обсяг фінансових надходжень із державного бюджету у вигляді субвенцій становив 27 238,9 тис. грн, а з місцевого бюджету  562 756,9 тис. грн, що разом склало 589 995,8 тис. грн.</w:t>
      </w:r>
    </w:p>
    <w:p w14:paraId="3BE08831"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У рамках медичної реформи у 2024 році в м. Одесі діяло 1 комунальна установа та 31 комунальне некомерційне підприємство, із яких 28 уклали договори з НСЗУ. Загальна сума коштів, отриманих за цими договорами, становила 2 312,7 млн грн.</w:t>
      </w:r>
      <w:r>
        <w:rPr>
          <w:rFonts w:ascii="Microsoft YaHei" w:eastAsia="Microsoft YaHei" w:hAnsi="Microsoft YaHei" w:cs="Microsoft YaHei"/>
        </w:rPr>
        <w:t xml:space="preserve"> </w:t>
      </w:r>
      <w:r>
        <w:rPr>
          <w:rFonts w:ascii="Times New Roman" w:eastAsia="Microsoft YaHei" w:hAnsi="Times New Roman" w:cs="Times New Roman"/>
          <w:sz w:val="28"/>
          <w:szCs w:val="28"/>
        </w:rPr>
        <w:t>Департамент, як головний розпорядник бюджетних коштів, здійснював фінансування за низкою бюджетних програм, що охоплюють стаціонарну, амбулаторну, спеціалізовану, стоматологічну допомогу, програми пільгового забезпечення населення ліками, лікарсько-акушерську допомогу, реабілітацію, інформаційно-методичну діяльність та інші напрями.</w:t>
      </w:r>
    </w:p>
    <w:p w14:paraId="3BE08832"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Виконання бюджету у сфері охорони здоров’я відбувалося в умовах воєнного стану, що вимагало особливого підходу до фінансування. Пріоритетними були видатки для формування резервів медикаментів, витратних матеріалів, інфузійних розчинів, харчування для пацієнтів, закупівлі білизни та інших ресурсів, необхідних для оперативного реагування на можливий масовий прийом постраждалих.</w:t>
      </w:r>
    </w:p>
    <w:p w14:paraId="3BE08833"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Завдяки реалізованим заходам у 2024 році вдалося забезпечити стабільну роботу медичної галузі Одеси, безперебійне надання медичної та реабілітаційної допомоги у плановому та ургентному режимах, впровадження </w:t>
      </w:r>
      <w:r>
        <w:rPr>
          <w:rFonts w:ascii="Times New Roman" w:eastAsia="Microsoft YaHei" w:hAnsi="Times New Roman" w:cs="Times New Roman"/>
          <w:sz w:val="28"/>
          <w:szCs w:val="28"/>
        </w:rPr>
        <w:lastRenderedPageBreak/>
        <w:t>сучасних технологій, розвиток матеріально-технічної бази, а також подальше удосконалення системи охорони здоров’я та її відповідність завданням державної політики навіть в умовах воєнного стану.</w:t>
      </w:r>
    </w:p>
    <w:p w14:paraId="3BE08834"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У 2025 році медична допомога надавалася 32 медичними закладами міста, серед яких: 4 кластерні лікарні (1 - дитяча), 3 загальні лікарні, 4 консультативно-діагностичні центри (у тому числі один дитячий), 6 центрів первинної медико-санітарної допомоги, 7 дитячих поліклінік, 2 будинки дитини, пологовий будинок, стоматологічна поліклініка, Центр профілактики та боротьби з ВІЛ/СНІДом, психіатричний диспансер, міські Центри здоров’я та невідкладної медичної допомоги.</w:t>
      </w:r>
    </w:p>
    <w:p w14:paraId="3BE08835"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Фінансування медичних закладів Одеси у 2025 році здійснювалося з різних джерел: за рахунок коштів НСЗУ за програмою медичних гарантій, коштів бюджету територіальної громади.</w:t>
      </w:r>
    </w:p>
    <w:p w14:paraId="3BE08836"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У медичних закладах Одеси проводились ремонтні роботи. Завершено значні реконструкції у МКЛ №11, ДМКЛ №3, ДКДЦ ім. Резніка, ЦПМСД №4. Тривають масштабні роботи в МКЛ №1, МКІЛ, Пологовому будинку №5.</w:t>
      </w:r>
    </w:p>
    <w:p w14:paraId="3BE08837"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У межах програми «Безбар’єрна Одеса» облаштовано 6 інклюзивних палат з сучасними функціональними ліжками.</w:t>
      </w:r>
      <w:r>
        <w:rPr>
          <w:rFonts w:ascii="Microsoft YaHei" w:eastAsia="Microsoft YaHei" w:hAnsi="Microsoft YaHei" w:cs="Microsoft YaHei"/>
        </w:rPr>
        <w:t xml:space="preserve"> </w:t>
      </w:r>
      <w:r>
        <w:rPr>
          <w:rFonts w:ascii="Times New Roman" w:eastAsia="Microsoft YaHei" w:hAnsi="Times New Roman" w:cs="Times New Roman"/>
          <w:sz w:val="28"/>
          <w:szCs w:val="28"/>
        </w:rPr>
        <w:t xml:space="preserve">В рамках міської програми «Здоров’я» профінансовано заходів на 459,6 млн грн. </w:t>
      </w:r>
    </w:p>
    <w:p w14:paraId="3BE08838"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У процесі структурної реорганізації закладів охорони здоров’я було забезпечено збереження кадрового потенціалу медичних працівників, що дозволило уникнути втрат кваліфікованих спеціалістів та підтримати стабільність функціонування системи охорони здоров’я міста.</w:t>
      </w:r>
    </w:p>
    <w:p w14:paraId="3BE08839"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Отже, застосування організаційно-економічних інструментів забезпечення діяльності комунальних закладів охорони здоров’я територіальної громади м. Одеси позитивно вплинуло на їх функціонування та результати роботи. Комплексне поєднання фінансових, управлінських, нормативних та ресурсних механізмів сприяло підвищенню ефективності використання бюджетних коштів, зміцненню матеріально-технічної бази, забезпеченню доступності медичної допомоги та розширенню можливостей </w:t>
      </w:r>
      <w:r>
        <w:rPr>
          <w:rFonts w:ascii="Times New Roman" w:eastAsia="Microsoft YaHei" w:hAnsi="Times New Roman" w:cs="Times New Roman"/>
          <w:sz w:val="28"/>
          <w:szCs w:val="28"/>
        </w:rPr>
        <w:lastRenderedPageBreak/>
        <w:t>закладів щодо впровадження сучасних медичних технологій.</w:t>
      </w:r>
    </w:p>
    <w:p w14:paraId="3BE0883A"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Одеське комунальне некомерційне підприємство «Міська клінічна лікарня № 11» є однією з основних клінічних баз Одеського національного медичного університету, де проходять підготовку лікарі-інтерни, підвищують кваліфікацію практикуючі фахівці та здійснюється навчально-методична робота кафедр.</w:t>
      </w:r>
      <w:r>
        <w:rPr>
          <w:rFonts w:ascii="Microsoft YaHei" w:eastAsia="Microsoft YaHei" w:hAnsi="Microsoft YaHei" w:cs="Microsoft YaHei"/>
        </w:rPr>
        <w:t xml:space="preserve"> </w:t>
      </w:r>
      <w:r>
        <w:rPr>
          <w:rFonts w:ascii="Times New Roman" w:eastAsia="Microsoft YaHei" w:hAnsi="Times New Roman" w:cs="Times New Roman"/>
          <w:sz w:val="28"/>
          <w:szCs w:val="28"/>
        </w:rPr>
        <w:t xml:space="preserve">Фінансові й економічні показники діяльності лікарні демонструють достатньо високий рівень управлінської ефективності та раціональне використання ресурсів. </w:t>
      </w:r>
    </w:p>
    <w:p w14:paraId="3BE0883B"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Протягом досліджуваного періоду лікарня характеризується стабільним зростанням доходів і чистого прибутку, що підтверджує результативність організації роботи та створює передумови для розвитку кадрових мотиваційних програм - зокрема, преміювання, формування соціальних пакетів, підтримки професійного зростання та профілактики професійного вигорання.</w:t>
      </w:r>
      <w:r>
        <w:rPr>
          <w:rFonts w:ascii="Microsoft YaHei" w:eastAsia="Microsoft YaHei" w:hAnsi="Microsoft YaHei" w:cs="Microsoft YaHei"/>
        </w:rPr>
        <w:t xml:space="preserve"> </w:t>
      </w:r>
      <w:r>
        <w:rPr>
          <w:rFonts w:ascii="Times New Roman" w:eastAsia="Microsoft YaHei" w:hAnsi="Times New Roman" w:cs="Times New Roman"/>
          <w:sz w:val="28"/>
          <w:szCs w:val="28"/>
        </w:rPr>
        <w:t>Для стабілізації фінансової ситуації у 2025 році доцільно забезпечити повне виконання умов договорів із НСЗУ, оптимізувати використання ресурсів, розширити перелік платних послуг, диверсифікувати джерела фінансування, підтримувати безперервність роботи під час ремонтів і посилити кадрову політику.</w:t>
      </w:r>
    </w:p>
    <w:p w14:paraId="3BE0883C"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Проведений аналіз дозволяє дійти висновку, що КНП «МКЛ №11» ОМР характеризується ефективними організаційно-економічними механізмами та здатністю генерувати прибуток, однак потребує посилення фінансової стійкості. Оптимізація структури активів, посилення ліквідності та зниження залежності від позикових ресурсів є ключовими напрямами для зміцнення фінансового становища. Загалом фінансовий стан лікарні можна оцінити як задовільний, із необхідністю реалізації управлінських заходів з мінімізації ризиків.</w:t>
      </w:r>
    </w:p>
    <w:p w14:paraId="3BE0883D" w14:textId="77777777" w:rsidR="00052C0B" w:rsidRDefault="00052C0B">
      <w:pPr>
        <w:spacing w:line="360" w:lineRule="auto"/>
        <w:ind w:firstLine="709"/>
        <w:jc w:val="both"/>
        <w:rPr>
          <w:rFonts w:ascii="Times New Roman" w:eastAsia="Microsoft YaHei" w:hAnsi="Times New Roman" w:cs="Times New Roman"/>
          <w:sz w:val="28"/>
          <w:szCs w:val="28"/>
        </w:rPr>
      </w:pPr>
    </w:p>
    <w:p w14:paraId="3BE0883E" w14:textId="77777777" w:rsidR="00052C0B" w:rsidRDefault="00052C0B">
      <w:pPr>
        <w:tabs>
          <w:tab w:val="left" w:pos="1134"/>
        </w:tabs>
        <w:spacing w:line="360" w:lineRule="auto"/>
        <w:ind w:firstLine="709"/>
        <w:jc w:val="center"/>
        <w:rPr>
          <w:rFonts w:ascii="Times New Roman" w:eastAsia="Microsoft YaHei" w:hAnsi="Times New Roman" w:cs="Times New Roman"/>
          <w:b/>
          <w:sz w:val="28"/>
          <w:szCs w:val="28"/>
        </w:rPr>
      </w:pPr>
    </w:p>
    <w:p w14:paraId="3BE0883F" w14:textId="77777777" w:rsidR="00052C0B" w:rsidRDefault="00052C0B">
      <w:pPr>
        <w:tabs>
          <w:tab w:val="left" w:pos="1134"/>
        </w:tabs>
        <w:spacing w:line="360" w:lineRule="auto"/>
        <w:ind w:firstLine="709"/>
        <w:jc w:val="center"/>
        <w:rPr>
          <w:rFonts w:ascii="Times New Roman" w:eastAsia="Microsoft YaHei" w:hAnsi="Times New Roman" w:cs="Times New Roman"/>
          <w:b/>
          <w:sz w:val="28"/>
          <w:szCs w:val="28"/>
        </w:rPr>
      </w:pPr>
    </w:p>
    <w:p w14:paraId="3BE08840" w14:textId="77777777" w:rsidR="00052C0B" w:rsidRDefault="00052C0B">
      <w:pPr>
        <w:tabs>
          <w:tab w:val="left" w:pos="1134"/>
        </w:tabs>
        <w:spacing w:line="360" w:lineRule="auto"/>
        <w:ind w:firstLine="709"/>
        <w:jc w:val="center"/>
        <w:rPr>
          <w:rFonts w:ascii="Times New Roman" w:eastAsia="Microsoft YaHei" w:hAnsi="Times New Roman" w:cs="Times New Roman"/>
          <w:b/>
          <w:sz w:val="28"/>
          <w:szCs w:val="28"/>
        </w:rPr>
      </w:pPr>
    </w:p>
    <w:p w14:paraId="3BE08841" w14:textId="77777777" w:rsidR="00052C0B" w:rsidRDefault="006E6CE8">
      <w:pPr>
        <w:tabs>
          <w:tab w:val="left" w:pos="1134"/>
        </w:tabs>
        <w:spacing w:line="360" w:lineRule="auto"/>
        <w:ind w:firstLine="709"/>
        <w:jc w:val="center"/>
        <w:rPr>
          <w:rFonts w:ascii="Times New Roman" w:eastAsia="Microsoft YaHei" w:hAnsi="Times New Roman" w:cs="Times New Roman"/>
          <w:b/>
          <w:sz w:val="28"/>
          <w:szCs w:val="28"/>
        </w:rPr>
      </w:pPr>
      <w:r>
        <w:rPr>
          <w:rFonts w:ascii="Times New Roman" w:eastAsia="Microsoft YaHei" w:hAnsi="Times New Roman" w:cs="Times New Roman"/>
          <w:b/>
          <w:sz w:val="28"/>
          <w:szCs w:val="28"/>
        </w:rPr>
        <w:lastRenderedPageBreak/>
        <w:t>РОЗДІЛ 3</w:t>
      </w:r>
    </w:p>
    <w:p w14:paraId="3BE08842" w14:textId="77777777" w:rsidR="00052C0B" w:rsidRDefault="006E6CE8">
      <w:pPr>
        <w:tabs>
          <w:tab w:val="left" w:pos="1134"/>
        </w:tabs>
        <w:spacing w:line="360" w:lineRule="auto"/>
        <w:ind w:firstLine="709"/>
        <w:jc w:val="center"/>
        <w:rPr>
          <w:rFonts w:ascii="Times New Roman" w:eastAsia="Microsoft YaHei" w:hAnsi="Times New Roman" w:cs="Times New Roman"/>
          <w:b/>
          <w:sz w:val="28"/>
          <w:szCs w:val="28"/>
        </w:rPr>
      </w:pPr>
      <w:r>
        <w:rPr>
          <w:rFonts w:ascii="Times New Roman" w:eastAsia="Microsoft YaHei" w:hAnsi="Times New Roman" w:cs="Times New Roman"/>
          <w:b/>
          <w:sz w:val="28"/>
          <w:szCs w:val="28"/>
        </w:rPr>
        <w:t>ІННОВАЦІЙНІ ПІДХОДИ ДО ВДОСКОНАЛЕННЯ ОРГАНІЗАЦІЙНО-ЕКОНОМІЧНИХ МЕХАНІЗМІВ ДЕРЖАВНОГО РЕГУЛЮВАННЯ СФЕРИ ОХОРОНИ ЗДОРОВ’Я В УМОВАХ СУЧАСНИХ ТРАНСФОРМАЦІЙ</w:t>
      </w:r>
    </w:p>
    <w:p w14:paraId="3BE08843" w14:textId="77777777" w:rsidR="00052C0B" w:rsidRDefault="00052C0B">
      <w:pPr>
        <w:tabs>
          <w:tab w:val="left" w:pos="1134"/>
        </w:tabs>
        <w:spacing w:line="360" w:lineRule="auto"/>
        <w:ind w:firstLine="709"/>
        <w:jc w:val="both"/>
        <w:rPr>
          <w:rFonts w:ascii="Times New Roman" w:eastAsia="Microsoft YaHei" w:hAnsi="Times New Roman" w:cs="Times New Roman"/>
          <w:b/>
          <w:sz w:val="28"/>
          <w:szCs w:val="28"/>
        </w:rPr>
      </w:pPr>
    </w:p>
    <w:p w14:paraId="3BE08844" w14:textId="77777777" w:rsidR="00052C0B" w:rsidRDefault="006E6CE8">
      <w:pPr>
        <w:tabs>
          <w:tab w:val="left" w:pos="1134"/>
        </w:tabs>
        <w:spacing w:line="360" w:lineRule="auto"/>
        <w:ind w:firstLine="709"/>
        <w:jc w:val="both"/>
        <w:rPr>
          <w:rFonts w:ascii="Times New Roman" w:eastAsia="Microsoft YaHei" w:hAnsi="Times New Roman" w:cs="Times New Roman"/>
          <w:b/>
          <w:sz w:val="28"/>
          <w:szCs w:val="28"/>
        </w:rPr>
      </w:pPr>
      <w:r>
        <w:rPr>
          <w:rFonts w:ascii="Times New Roman" w:eastAsia="Microsoft YaHei" w:hAnsi="Times New Roman" w:cs="Times New Roman"/>
          <w:b/>
          <w:sz w:val="28"/>
          <w:szCs w:val="28"/>
        </w:rPr>
        <w:t>3.1. Ключові проблеми і чинники, що обмежують ефективність наявних організаційно-економічних механізмів, та шляхи їх подолання</w:t>
      </w:r>
    </w:p>
    <w:p w14:paraId="3BE08845" w14:textId="77777777" w:rsidR="00052C0B" w:rsidRDefault="006E6CE8">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Ефективність чинних організаційно-економічних механізмів у сфері охорони здоров’я значною мірою обмежується низкою системних проблем, серед яких особливо помітними є фінансові дисбаланси, невдалі управлінські рішення, кадрові виклики та недостатній рівень технологічного розвитку. Ключові бар’єри формують комплекс факторів, що знижують якість медичних послуг, стримують модернізацію галузі та ускладнюють становлення сучасної моделі системи охорони здоров’я (рис. 3.1).</w:t>
      </w:r>
    </w:p>
    <w:p w14:paraId="3BE08846" w14:textId="77777777" w:rsidR="00052C0B" w:rsidRDefault="006E6CE8">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noProof/>
          <w:sz w:val="28"/>
          <w:szCs w:val="28"/>
          <w:lang w:bidi="ar-SA"/>
        </w:rPr>
        <mc:AlternateContent>
          <mc:Choice Requires="wps">
            <w:drawing>
              <wp:anchor distT="0" distB="0" distL="114300" distR="114300" simplePos="0" relativeHeight="251659264" behindDoc="0" locked="0" layoutInCell="1" allowOverlap="1" wp14:anchorId="3BE08972" wp14:editId="3BE08973">
                <wp:simplePos x="0" y="0"/>
                <wp:positionH relativeFrom="column">
                  <wp:posOffset>1744345</wp:posOffset>
                </wp:positionH>
                <wp:positionV relativeFrom="paragraph">
                  <wp:posOffset>226060</wp:posOffset>
                </wp:positionV>
                <wp:extent cx="2438400" cy="723900"/>
                <wp:effectExtent l="0" t="0" r="19050" b="19050"/>
                <wp:wrapNone/>
                <wp:docPr id="16" name="Прямокутник із двома округленими протилежними кутами 16"/>
                <wp:cNvGraphicFramePr/>
                <a:graphic xmlns:a="http://schemas.openxmlformats.org/drawingml/2006/main">
                  <a:graphicData uri="http://schemas.microsoft.com/office/word/2010/wordprocessingShape">
                    <wps:wsp>
                      <wps:cNvSpPr/>
                      <wps:spPr bwMode="auto">
                        <a:xfrm>
                          <a:off x="0" y="0"/>
                          <a:ext cx="2438400" cy="723900"/>
                        </a:xfrm>
                        <a:prstGeom prst="round2DiagRect">
                          <a:avLst>
                            <a:gd name="adj1" fmla="val 16667"/>
                            <a:gd name="adj2" fmla="val 0"/>
                          </a:avLst>
                        </a:prstGeom>
                        <a:solidFill>
                          <a:srgbClr val="FFC000">
                            <a:lumMod val="20000"/>
                            <a:lumOff val="80000"/>
                          </a:srgbClr>
                        </a:solidFill>
                        <a:ln w="12700" cap="flat" cmpd="sng" algn="ctr">
                          <a:solidFill>
                            <a:srgbClr val="5B9BD5">
                              <a:shade val="50000"/>
                            </a:srgbClr>
                          </a:solidFill>
                          <a:prstDash val="solid"/>
                          <a:miter lim="800000"/>
                        </a:ln>
                        <a:effectLst/>
                      </wps:spPr>
                      <wps:txbx>
                        <w:txbxContent>
                          <w:p w14:paraId="3BE0898D" w14:textId="77777777" w:rsidR="006E6CE8" w:rsidRDefault="006E6CE8">
                            <w:pPr>
                              <w:jc w:val="center"/>
                              <w:rPr>
                                <w:rFonts w:ascii="Times New Roman" w:hAnsi="Times New Roman" w:cs="Times New Roman"/>
                                <w:b/>
                              </w:rPr>
                            </w:pPr>
                            <w:r>
                              <w:rPr>
                                <w:rFonts w:ascii="Times New Roman" w:hAnsi="Times New Roman" w:cs="Times New Roman"/>
                                <w:b/>
                              </w:rPr>
                              <w:t>Фінансові фактори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E08972" id="Прямокутник із двома округленими протилежними кутами 16" o:spid="_x0000_s1026" style="position:absolute;left:0;text-align:left;margin-left:137.35pt;margin-top:17.8pt;width:192pt;height:5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438400,7239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" adj="-11796480,,5400" path="m120652,l2438400,r,l2438400,603248v,66634,-54018,120652,-120652,120652l,723900r,l,120652c,54018,54018,,120652,xe" fillcolor="#fff2cc" strokecolor="#41719c" strokeweight="1pt">
                <v:stroke joinstyle="miter"/>
                <v:formulas/>
                <v:path arrowok="t" o:connecttype="custom" o:connectlocs="120652,0;2438400,0;2438400,0;2438400,603248;2317748,723900;0,723900;0,723900;0,120652;120652,0" o:connectangles="0,0,0,0,0,0,0,0,0" textboxrect="0,0,2438400,723900"/>
                <v:textbox>
                  <w:txbxContent>
                    <w:p w14:paraId="3BE0898D" w14:textId="77777777" w:rsidR="006E6CE8" w:rsidRDefault="006E6CE8">
                      <w:pPr>
                        <w:jc w:val="center"/>
                        <w:rPr>
                          <w:rFonts w:ascii="Times New Roman" w:hAnsi="Times New Roman" w:cs="Times New Roman"/>
                          <w:b/>
                        </w:rPr>
                      </w:pPr>
                      <w:r>
                        <w:rPr>
                          <w:rFonts w:ascii="Times New Roman" w:hAnsi="Times New Roman" w:cs="Times New Roman"/>
                          <w:b/>
                        </w:rPr>
                        <w:t>Фінансові фактори</w:t>
                      </w:r>
                    </w:p>
                  </w:txbxContent>
                </v:textbox>
              </v:shape>
            </w:pict>
          </mc:Fallback>
        </mc:AlternateContent>
      </w:r>
    </w:p>
    <w:p w14:paraId="3BE08847" w14:textId="77777777" w:rsidR="00052C0B" w:rsidRDefault="006E6CE8">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noProof/>
          <w:sz w:val="28"/>
          <w:szCs w:val="28"/>
          <w:lang w:bidi="ar-SA"/>
        </w:rPr>
        <mc:AlternateContent>
          <mc:Choice Requires="wpg">
            <w:drawing>
              <wp:anchor distT="0" distB="0" distL="114300" distR="114300" simplePos="0" relativeHeight="251669504" behindDoc="0" locked="0" layoutInCell="1" allowOverlap="1" wp14:anchorId="3BE08974" wp14:editId="3BE08975">
                <wp:simplePos x="0" y="0"/>
                <wp:positionH relativeFrom="column">
                  <wp:posOffset>1218565</wp:posOffset>
                </wp:positionH>
                <wp:positionV relativeFrom="paragraph">
                  <wp:posOffset>207645</wp:posOffset>
                </wp:positionV>
                <wp:extent cx="525780" cy="365760"/>
                <wp:effectExtent l="0" t="38100" r="45720" b="34290"/>
                <wp:wrapNone/>
                <wp:docPr id="17" name="Пряма зі стрілкою 17"/>
                <wp:cNvGraphicFramePr/>
                <a:graphic xmlns:a="http://schemas.openxmlformats.org/drawingml/2006/main">
                  <a:graphicData uri="http://schemas.microsoft.com/office/word/2010/wordprocessingShape">
                    <wps:wsp>
                      <wps:cNvCnPr/>
                      <wps:spPr bwMode="auto">
                        <a:xfrm flipV="1">
                          <a:off x="0" y="0"/>
                          <a:ext cx="525780" cy="365760"/>
                        </a:xfrm>
                        <a:prstGeom prst="straightConnector1">
                          <a:avLst/>
                        </a:prstGeom>
                        <a:noFill/>
                        <a:ln w="6350" cap="flat" cmpd="sng" algn="ctr">
                          <a:solidFill>
                            <a:srgbClr val="5B9BD5"/>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http://schemas.openxmlformats.org/drawingml/2006/main">
            <w:pict>
              <v:shape id="shape 5" o:spid="_x0000_s5" o:spt="32" type="#_x0000_t32" style="position:absolute;z-index:251669504;o:allowoverlap:true;o:allowincell:true;mso-position-horizontal-relative:text;margin-left:95.95pt;mso-position-horizontal:absolute;mso-position-vertical-relative:text;margin-top:16.35pt;mso-position-vertical:absolute;width:41.40pt;height:28.80pt;mso-wrap-distance-left:9.00pt;mso-wrap-distance-top:0.00pt;mso-wrap-distance-right:9.00pt;mso-wrap-distance-bottom:0.00pt;flip:y;visibility:visible;" filled="f" strokecolor="#5B9BD5" strokeweight="0.50pt">
                <v:stroke dashstyle="solid"/>
              </v:shape>
            </w:pict>
          </mc:Fallback>
        </mc:AlternateContent>
      </w:r>
    </w:p>
    <w:p w14:paraId="3BE08848" w14:textId="77777777" w:rsidR="00052C0B" w:rsidRDefault="006E6CE8">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noProof/>
          <w:sz w:val="28"/>
          <w:szCs w:val="28"/>
          <w:lang w:bidi="ar-SA"/>
        </w:rPr>
        <mc:AlternateContent>
          <mc:Choice Requires="wps">
            <w:drawing>
              <wp:anchor distT="0" distB="0" distL="114300" distR="114300" simplePos="0" relativeHeight="251660288" behindDoc="0" locked="0" layoutInCell="1" allowOverlap="1" wp14:anchorId="3BE08976" wp14:editId="3BE08977">
                <wp:simplePos x="0" y="0"/>
                <wp:positionH relativeFrom="column">
                  <wp:posOffset>2910205</wp:posOffset>
                </wp:positionH>
                <wp:positionV relativeFrom="paragraph">
                  <wp:posOffset>177165</wp:posOffset>
                </wp:positionV>
                <wp:extent cx="2476500" cy="716280"/>
                <wp:effectExtent l="0" t="0" r="19050" b="26670"/>
                <wp:wrapNone/>
                <wp:docPr id="18" name="Прямокутник із двома округленими протилежними кутами 18"/>
                <wp:cNvGraphicFramePr/>
                <a:graphic xmlns:a="http://schemas.openxmlformats.org/drawingml/2006/main">
                  <a:graphicData uri="http://schemas.microsoft.com/office/word/2010/wordprocessingShape">
                    <wps:wsp>
                      <wps:cNvSpPr/>
                      <wps:spPr bwMode="auto">
                        <a:xfrm>
                          <a:off x="0" y="0"/>
                          <a:ext cx="2476500" cy="716280"/>
                        </a:xfrm>
                        <a:prstGeom prst="round2DiagRect">
                          <a:avLst>
                            <a:gd name="adj1" fmla="val 16667"/>
                            <a:gd name="adj2" fmla="val 0"/>
                          </a:avLst>
                        </a:prstGeom>
                        <a:solidFill>
                          <a:srgbClr val="FFC000">
                            <a:lumMod val="20000"/>
                            <a:lumOff val="80000"/>
                          </a:srgbClr>
                        </a:solidFill>
                        <a:ln w="12700" cap="flat" cmpd="sng" algn="ctr">
                          <a:solidFill>
                            <a:srgbClr val="5B9BD5">
                              <a:shade val="50000"/>
                            </a:srgbClr>
                          </a:solidFill>
                          <a:prstDash val="solid"/>
                          <a:miter lim="800000"/>
                        </a:ln>
                        <a:effectLst/>
                      </wps:spPr>
                      <wps:txbx>
                        <w:txbxContent>
                          <w:p w14:paraId="3BE0898E" w14:textId="77777777" w:rsidR="006E6CE8" w:rsidRDefault="006E6CE8">
                            <w:pPr>
                              <w:jc w:val="center"/>
                              <w:rPr>
                                <w:rFonts w:ascii="Times New Roman" w:hAnsi="Times New Roman" w:cs="Times New Roman"/>
                                <w:b/>
                              </w:rPr>
                            </w:pPr>
                            <w:r>
                              <w:rPr>
                                <w:rFonts w:ascii="Times New Roman" w:hAnsi="Times New Roman" w:cs="Times New Roman"/>
                                <w:b/>
                              </w:rPr>
                              <w:t>Організаційно-управлінські проблеми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E08976" id="Прямокутник із двома округленими протилежними кутами 18" o:spid="_x0000_s1027" style="position:absolute;left:0;text-align:left;margin-left:229.15pt;margin-top:13.95pt;width:195pt;height:56.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476500,71628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" adj="-11796480,,5400" path="m119382,l2476500,r,l2476500,596898v,65933,-53449,119382,-119382,119382l,716280r,l,119382c,53449,53449,,119382,xe" fillcolor="#fff2cc" strokecolor="#41719c" strokeweight="1pt">
                <v:stroke joinstyle="miter"/>
                <v:formulas/>
                <v:path arrowok="t" o:connecttype="custom" o:connectlocs="119382,0;2476500,0;2476500,0;2476500,596898;2357118,716280;0,716280;0,716280;0,119382;119382,0" o:connectangles="0,0,0,0,0,0,0,0,0" textboxrect="0,0,2476500,716280"/>
                <v:textbox>
                  <w:txbxContent>
                    <w:p w14:paraId="3BE0898E" w14:textId="77777777" w:rsidR="006E6CE8" w:rsidRDefault="006E6CE8">
                      <w:pPr>
                        <w:jc w:val="center"/>
                        <w:rPr>
                          <w:rFonts w:ascii="Times New Roman" w:hAnsi="Times New Roman" w:cs="Times New Roman"/>
                          <w:b/>
                        </w:rPr>
                      </w:pPr>
                      <w:r>
                        <w:rPr>
                          <w:rFonts w:ascii="Times New Roman" w:hAnsi="Times New Roman" w:cs="Times New Roman"/>
                          <w:b/>
                        </w:rPr>
                        <w:t>Організаційно-управлінські проблеми</w:t>
                      </w:r>
                    </w:p>
                  </w:txbxContent>
                </v:textbox>
              </v:shape>
            </w:pict>
          </mc:Fallback>
        </mc:AlternateContent>
      </w:r>
      <w:r>
        <w:rPr>
          <w:rFonts w:ascii="Times New Roman" w:eastAsia="Microsoft YaHei" w:hAnsi="Times New Roman" w:cs="Times New Roman"/>
          <w:noProof/>
          <w:sz w:val="28"/>
          <w:szCs w:val="28"/>
          <w:lang w:bidi="ar-SA"/>
        </w:rPr>
        <mc:AlternateContent>
          <mc:Choice Requires="wps">
            <w:drawing>
              <wp:anchor distT="0" distB="0" distL="114300" distR="114300" simplePos="0" relativeHeight="251664384" behindDoc="0" locked="0" layoutInCell="1" allowOverlap="1" wp14:anchorId="3BE08978" wp14:editId="3BE08979">
                <wp:simplePos x="0" y="0"/>
                <wp:positionH relativeFrom="column">
                  <wp:posOffset>433705</wp:posOffset>
                </wp:positionH>
                <wp:positionV relativeFrom="paragraph">
                  <wp:posOffset>262890</wp:posOffset>
                </wp:positionV>
                <wp:extent cx="2247900" cy="1943100"/>
                <wp:effectExtent l="0" t="0" r="19050" b="19050"/>
                <wp:wrapNone/>
                <wp:docPr id="19" name="Прямокутник із двома округленими протилежними кутами 19"/>
                <wp:cNvGraphicFramePr/>
                <a:graphic xmlns:a="http://schemas.openxmlformats.org/drawingml/2006/main">
                  <a:graphicData uri="http://schemas.microsoft.com/office/word/2010/wordprocessingShape">
                    <wps:wsp>
                      <wps:cNvSpPr/>
                      <wps:spPr bwMode="auto">
                        <a:xfrm>
                          <a:off x="0" y="0"/>
                          <a:ext cx="2247900" cy="1943100"/>
                        </a:xfrm>
                        <a:prstGeom prst="round2DiagRect">
                          <a:avLst>
                            <a:gd name="adj1" fmla="val 16667"/>
                            <a:gd name="adj2" fmla="val 0"/>
                          </a:avLst>
                        </a:prstGeom>
                        <a:solidFill>
                          <a:srgbClr val="FFC000"/>
                        </a:solidFill>
                        <a:ln w="12700" cap="flat" cmpd="sng" algn="ctr">
                          <a:solidFill>
                            <a:srgbClr val="5B9BD5">
                              <a:shade val="50000"/>
                            </a:srgbClr>
                          </a:solidFill>
                          <a:prstDash val="solid"/>
                          <a:miter lim="800000"/>
                        </a:ln>
                        <a:effectLst/>
                      </wps:spPr>
                      <wps:txbx>
                        <w:txbxContent>
                          <w:p w14:paraId="3BE0898F" w14:textId="77777777" w:rsidR="006E6CE8" w:rsidRDefault="006E6CE8">
                            <w:pPr>
                              <w:jc w:val="center"/>
                              <w:rPr>
                                <w:rFonts w:ascii="Times New Roman" w:hAnsi="Times New Roman" w:cs="Times New Roman"/>
                                <w:b/>
                                <w:color w:val="F7CAAC"/>
                                <w14:textOutline w14:w="11112" w14:cap="flat" w14:cmpd="sng" w14:algn="ctr">
                                  <w14:solidFill>
                                    <w14:srgbClr w14:val="ED7D31"/>
                                  </w14:solidFill>
                                  <w14:prstDash w14:val="solid"/>
                                  <w14:round/>
                                </w14:textOutline>
                              </w:rPr>
                            </w:pPr>
                            <w:r>
                              <w:rPr>
                                <w:rFonts w:ascii="Times New Roman" w:hAnsi="Times New Roman" w:cs="Times New Roman"/>
                                <w:b/>
                              </w:rPr>
                              <w:t>Проблеми і чинники, що обмежують ефективність наявних організаційно-економічних механізмів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E08978" id="Прямокутник із двома округленими протилежними кутами 19" o:spid="_x0000_s1028" style="position:absolute;left:0;text-align:left;margin-left:34.15pt;margin-top:20.7pt;width:177pt;height:153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247900,19431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" adj="-11796480,,5400" path="m323856,l2247900,r,l2247900,1619244v,178861,-144995,323856,-323856,323856l,1943100r,l,323856c,144995,144995,,323856,xe" fillcolor="#ffc000" strokecolor="#41719c" strokeweight="1pt">
                <v:stroke joinstyle="miter"/>
                <v:formulas/>
                <v:path arrowok="t" o:connecttype="custom" o:connectlocs="323856,0;2247900,0;2247900,0;2247900,1619244;1924044,1943100;0,1943100;0,1943100;0,323856;323856,0" o:connectangles="0,0,0,0,0,0,0,0,0" textboxrect="0,0,2247900,1943100"/>
                <v:textbox>
                  <w:txbxContent>
                    <w:p w14:paraId="3BE0898F" w14:textId="77777777" w:rsidR="006E6CE8" w:rsidRDefault="006E6CE8">
                      <w:pPr>
                        <w:jc w:val="center"/>
                        <w:rPr>
                          <w:rFonts w:ascii="Times New Roman" w:hAnsi="Times New Roman" w:cs="Times New Roman"/>
                          <w:b/>
                          <w:color w:val="F7CAAC"/>
                          <w14:textOutline w14:w="11112" w14:cap="flat" w14:cmpd="sng" w14:algn="ctr">
                            <w14:solidFill>
                              <w14:srgbClr w14:val="ED7D31"/>
                            </w14:solidFill>
                            <w14:prstDash w14:val="solid"/>
                            <w14:round/>
                          </w14:textOutline>
                        </w:rPr>
                      </w:pPr>
                      <w:r>
                        <w:rPr>
                          <w:rFonts w:ascii="Times New Roman" w:hAnsi="Times New Roman" w:cs="Times New Roman"/>
                          <w:b/>
                        </w:rPr>
                        <w:t>Проблеми і чинники, що обмежують ефективність наявних організаційно-економічних механізмів</w:t>
                      </w:r>
                    </w:p>
                  </w:txbxContent>
                </v:textbox>
              </v:shape>
            </w:pict>
          </mc:Fallback>
        </mc:AlternateContent>
      </w:r>
    </w:p>
    <w:p w14:paraId="3BE08849" w14:textId="77777777" w:rsidR="00052C0B" w:rsidRDefault="006E6CE8">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noProof/>
          <w:sz w:val="28"/>
          <w:szCs w:val="28"/>
          <w:lang w:bidi="ar-SA"/>
        </w:rPr>
        <mc:AlternateContent>
          <mc:Choice Requires="wpg">
            <w:drawing>
              <wp:anchor distT="0" distB="0" distL="114300" distR="114300" simplePos="0" relativeHeight="251665408" behindDoc="0" locked="0" layoutInCell="1" allowOverlap="1" wp14:anchorId="3BE0897A" wp14:editId="3BE0897B">
                <wp:simplePos x="0" y="0"/>
                <wp:positionH relativeFrom="column">
                  <wp:posOffset>2681605</wp:posOffset>
                </wp:positionH>
                <wp:positionV relativeFrom="paragraph">
                  <wp:posOffset>165735</wp:posOffset>
                </wp:positionV>
                <wp:extent cx="228600" cy="160020"/>
                <wp:effectExtent l="0" t="38100" r="57150" b="30480"/>
                <wp:wrapNone/>
                <wp:docPr id="20" name="Пряма зі стрілкою 20"/>
                <wp:cNvGraphicFramePr/>
                <a:graphic xmlns:a="http://schemas.openxmlformats.org/drawingml/2006/main">
                  <a:graphicData uri="http://schemas.microsoft.com/office/word/2010/wordprocessingShape">
                    <wps:wsp>
                      <wps:cNvCnPr/>
                      <wps:spPr bwMode="auto">
                        <a:xfrm flipV="1">
                          <a:off x="0" y="0"/>
                          <a:ext cx="228600" cy="160020"/>
                        </a:xfrm>
                        <a:prstGeom prst="straightConnector1">
                          <a:avLst/>
                        </a:prstGeom>
                        <a:noFill/>
                        <a:ln w="6350" cap="flat" cmpd="sng" algn="ctr">
                          <a:solidFill>
                            <a:srgbClr val="5B9BD5"/>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http://schemas.openxmlformats.org/drawingml/2006/main">
            <w:pict>
              <v:shape id="shape 8" o:spid="_x0000_s8" o:spt="32" type="#_x0000_t32" style="position:absolute;z-index:251665408;o:allowoverlap:true;o:allowincell:true;mso-position-horizontal-relative:text;margin-left:211.15pt;mso-position-horizontal:absolute;mso-position-vertical-relative:text;margin-top:13.05pt;mso-position-vertical:absolute;width:18.00pt;height:12.60pt;mso-wrap-distance-left:9.00pt;mso-wrap-distance-top:0.00pt;mso-wrap-distance-right:9.00pt;mso-wrap-distance-bottom:0.00pt;flip:y;visibility:visible;" filled="f" strokecolor="#5B9BD5" strokeweight="0.50pt">
                <v:stroke dashstyle="solid"/>
              </v:shape>
            </w:pict>
          </mc:Fallback>
        </mc:AlternateContent>
      </w:r>
    </w:p>
    <w:p w14:paraId="3BE0884A" w14:textId="77777777" w:rsidR="00052C0B" w:rsidRDefault="006E6CE8">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noProof/>
          <w:sz w:val="28"/>
          <w:szCs w:val="28"/>
          <w:lang w:bidi="ar-SA"/>
        </w:rPr>
        <mc:AlternateContent>
          <mc:Choice Requires="wps">
            <w:drawing>
              <wp:anchor distT="0" distB="0" distL="114300" distR="114300" simplePos="0" relativeHeight="251661312" behindDoc="0" locked="0" layoutInCell="1" allowOverlap="1" wp14:anchorId="3BE0897C" wp14:editId="3BE0897D">
                <wp:simplePos x="0" y="0"/>
                <wp:positionH relativeFrom="column">
                  <wp:posOffset>3519805</wp:posOffset>
                </wp:positionH>
                <wp:positionV relativeFrom="paragraph">
                  <wp:posOffset>278130</wp:posOffset>
                </wp:positionV>
                <wp:extent cx="2438400" cy="655320"/>
                <wp:effectExtent l="0" t="0" r="19050" b="11430"/>
                <wp:wrapNone/>
                <wp:docPr id="21" name="Прямокутник із двома округленими протилежними кутами 21"/>
                <wp:cNvGraphicFramePr/>
                <a:graphic xmlns:a="http://schemas.openxmlformats.org/drawingml/2006/main">
                  <a:graphicData uri="http://schemas.microsoft.com/office/word/2010/wordprocessingShape">
                    <wps:wsp>
                      <wps:cNvSpPr/>
                      <wps:spPr bwMode="auto">
                        <a:xfrm>
                          <a:off x="0" y="0"/>
                          <a:ext cx="2438400" cy="655320"/>
                        </a:xfrm>
                        <a:prstGeom prst="round2DiagRect">
                          <a:avLst>
                            <a:gd name="adj1" fmla="val 16667"/>
                            <a:gd name="adj2" fmla="val 0"/>
                          </a:avLst>
                        </a:prstGeom>
                        <a:solidFill>
                          <a:srgbClr val="FFC000">
                            <a:lumMod val="20000"/>
                            <a:lumOff val="80000"/>
                          </a:srgbClr>
                        </a:solidFill>
                        <a:ln w="12700" cap="flat" cmpd="sng" algn="ctr">
                          <a:solidFill>
                            <a:srgbClr val="5B9BD5">
                              <a:shade val="50000"/>
                            </a:srgbClr>
                          </a:solidFill>
                          <a:prstDash val="solid"/>
                          <a:miter lim="800000"/>
                        </a:ln>
                        <a:effectLst/>
                      </wps:spPr>
                      <wps:txbx>
                        <w:txbxContent>
                          <w:p w14:paraId="3BE08990" w14:textId="77777777" w:rsidR="006E6CE8" w:rsidRDefault="006E6CE8">
                            <w:pPr>
                              <w:jc w:val="center"/>
                              <w:rPr>
                                <w:rFonts w:ascii="Times New Roman" w:hAnsi="Times New Roman" w:cs="Times New Roman"/>
                                <w:b/>
                              </w:rPr>
                            </w:pPr>
                            <w:r>
                              <w:rPr>
                                <w:rFonts w:ascii="Times New Roman" w:hAnsi="Times New Roman" w:cs="Times New Roman"/>
                                <w:b/>
                              </w:rPr>
                              <w:t>Правове та інформаційне забезпечення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E0897C" id="Прямокутник із двома округленими протилежними кутами 21" o:spid="_x0000_s1029" style="position:absolute;left:0;text-align:left;margin-left:277.15pt;margin-top:21.9pt;width:192pt;height:51.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438400,65532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" adj="-11796480,,5400" path="m109222,l2438400,r,l2438400,546098v,60322,-48900,109222,-109222,109222l,655320r,l,109222c,48900,48900,,109222,xe" fillcolor="#fff2cc" strokecolor="#41719c" strokeweight="1pt">
                <v:stroke joinstyle="miter"/>
                <v:formulas/>
                <v:path arrowok="t" o:connecttype="custom" o:connectlocs="109222,0;2438400,0;2438400,0;2438400,546098;2329178,655320;0,655320;0,655320;0,109222;109222,0" o:connectangles="0,0,0,0,0,0,0,0,0" textboxrect="0,0,2438400,655320"/>
                <v:textbox>
                  <w:txbxContent>
                    <w:p w14:paraId="3BE08990" w14:textId="77777777" w:rsidR="006E6CE8" w:rsidRDefault="006E6CE8">
                      <w:pPr>
                        <w:jc w:val="center"/>
                        <w:rPr>
                          <w:rFonts w:ascii="Times New Roman" w:hAnsi="Times New Roman" w:cs="Times New Roman"/>
                          <w:b/>
                        </w:rPr>
                      </w:pPr>
                      <w:r>
                        <w:rPr>
                          <w:rFonts w:ascii="Times New Roman" w:hAnsi="Times New Roman" w:cs="Times New Roman"/>
                          <w:b/>
                        </w:rPr>
                        <w:t>Правове та інформаційне забезпечення</w:t>
                      </w:r>
                    </w:p>
                  </w:txbxContent>
                </v:textbox>
              </v:shape>
            </w:pict>
          </mc:Fallback>
        </mc:AlternateContent>
      </w:r>
    </w:p>
    <w:p w14:paraId="3BE0884B" w14:textId="77777777" w:rsidR="00052C0B" w:rsidRDefault="006E6CE8">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noProof/>
          <w:sz w:val="28"/>
          <w:szCs w:val="28"/>
          <w:lang w:bidi="ar-SA"/>
        </w:rPr>
        <mc:AlternateContent>
          <mc:Choice Requires="wpg">
            <w:drawing>
              <wp:anchor distT="0" distB="0" distL="114300" distR="114300" simplePos="0" relativeHeight="251666432" behindDoc="0" locked="0" layoutInCell="1" allowOverlap="1" wp14:anchorId="3BE0897E" wp14:editId="3BE0897F">
                <wp:simplePos x="0" y="0"/>
                <wp:positionH relativeFrom="column">
                  <wp:posOffset>2681605</wp:posOffset>
                </wp:positionH>
                <wp:positionV relativeFrom="paragraph">
                  <wp:posOffset>268605</wp:posOffset>
                </wp:positionV>
                <wp:extent cx="861060" cy="76200"/>
                <wp:effectExtent l="0" t="57150" r="15240" b="19050"/>
                <wp:wrapNone/>
                <wp:docPr id="22" name="Пряма зі стрілкою 22"/>
                <wp:cNvGraphicFramePr/>
                <a:graphic xmlns:a="http://schemas.openxmlformats.org/drawingml/2006/main">
                  <a:graphicData uri="http://schemas.microsoft.com/office/word/2010/wordprocessingShape">
                    <wps:wsp>
                      <wps:cNvCnPr/>
                      <wps:spPr bwMode="auto">
                        <a:xfrm flipV="1">
                          <a:off x="0" y="0"/>
                          <a:ext cx="861060" cy="76200"/>
                        </a:xfrm>
                        <a:prstGeom prst="straightConnector1">
                          <a:avLst/>
                        </a:prstGeom>
                        <a:noFill/>
                        <a:ln w="6350" cap="flat" cmpd="sng" algn="ctr">
                          <a:solidFill>
                            <a:srgbClr val="5B9BD5"/>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http://schemas.openxmlformats.org/drawingml/2006/main">
            <w:pict>
              <v:shape id="shape 10" o:spid="_x0000_s10" o:spt="32" type="#_x0000_t32" style="position:absolute;z-index:251666432;o:allowoverlap:true;o:allowincell:true;mso-position-horizontal-relative:text;margin-left:211.15pt;mso-position-horizontal:absolute;mso-position-vertical-relative:text;margin-top:21.15pt;mso-position-vertical:absolute;width:67.80pt;height:6.00pt;mso-wrap-distance-left:9.00pt;mso-wrap-distance-top:0.00pt;mso-wrap-distance-right:9.00pt;mso-wrap-distance-bottom:0.00pt;flip:y;visibility:visible;" filled="f" strokecolor="#5B9BD5" strokeweight="0.50pt">
                <v:stroke dashstyle="solid"/>
              </v:shape>
            </w:pict>
          </mc:Fallback>
        </mc:AlternateContent>
      </w:r>
    </w:p>
    <w:p w14:paraId="3BE0884C" w14:textId="77777777" w:rsidR="00052C0B" w:rsidRDefault="00052C0B">
      <w:pPr>
        <w:tabs>
          <w:tab w:val="left" w:pos="1134"/>
        </w:tabs>
        <w:spacing w:line="360" w:lineRule="auto"/>
        <w:ind w:firstLine="709"/>
        <w:jc w:val="both"/>
        <w:rPr>
          <w:rFonts w:ascii="Times New Roman" w:eastAsia="Microsoft YaHei" w:hAnsi="Times New Roman" w:cs="Times New Roman"/>
          <w:sz w:val="28"/>
          <w:szCs w:val="28"/>
        </w:rPr>
      </w:pPr>
    </w:p>
    <w:p w14:paraId="3BE0884D" w14:textId="77777777" w:rsidR="00052C0B" w:rsidRDefault="006E6CE8">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noProof/>
          <w:sz w:val="28"/>
          <w:szCs w:val="28"/>
          <w:lang w:bidi="ar-SA"/>
        </w:rPr>
        <mc:AlternateContent>
          <mc:Choice Requires="wps">
            <w:drawing>
              <wp:anchor distT="0" distB="0" distL="114300" distR="114300" simplePos="0" relativeHeight="251662336" behindDoc="0" locked="0" layoutInCell="1" allowOverlap="1" wp14:anchorId="3BE08980" wp14:editId="3BE08981">
                <wp:simplePos x="0" y="0"/>
                <wp:positionH relativeFrom="column">
                  <wp:posOffset>2872105</wp:posOffset>
                </wp:positionH>
                <wp:positionV relativeFrom="paragraph">
                  <wp:posOffset>14605</wp:posOffset>
                </wp:positionV>
                <wp:extent cx="2438400" cy="678180"/>
                <wp:effectExtent l="0" t="0" r="19050" b="26670"/>
                <wp:wrapNone/>
                <wp:docPr id="23" name="Прямокутник із двома округленими протилежними кутами 23"/>
                <wp:cNvGraphicFramePr/>
                <a:graphic xmlns:a="http://schemas.openxmlformats.org/drawingml/2006/main">
                  <a:graphicData uri="http://schemas.microsoft.com/office/word/2010/wordprocessingShape">
                    <wps:wsp>
                      <wps:cNvSpPr/>
                      <wps:spPr bwMode="auto">
                        <a:xfrm>
                          <a:off x="0" y="0"/>
                          <a:ext cx="2438400" cy="678180"/>
                        </a:xfrm>
                        <a:prstGeom prst="round2DiagRect">
                          <a:avLst>
                            <a:gd name="adj1" fmla="val 16667"/>
                            <a:gd name="adj2" fmla="val 0"/>
                          </a:avLst>
                        </a:prstGeom>
                        <a:solidFill>
                          <a:srgbClr val="FFC000">
                            <a:lumMod val="20000"/>
                            <a:lumOff val="80000"/>
                          </a:srgbClr>
                        </a:solidFill>
                        <a:ln w="12700" cap="flat" cmpd="sng" algn="ctr">
                          <a:solidFill>
                            <a:srgbClr val="5B9BD5">
                              <a:shade val="50000"/>
                            </a:srgbClr>
                          </a:solidFill>
                          <a:prstDash val="solid"/>
                          <a:miter lim="800000"/>
                        </a:ln>
                        <a:effectLst/>
                      </wps:spPr>
                      <wps:txbx>
                        <w:txbxContent>
                          <w:p w14:paraId="3BE08991" w14:textId="77777777" w:rsidR="006E6CE8" w:rsidRDefault="006E6CE8">
                            <w:pPr>
                              <w:jc w:val="center"/>
                              <w:rPr>
                                <w:rFonts w:ascii="Times New Roman" w:hAnsi="Times New Roman" w:cs="Times New Roman"/>
                                <w:b/>
                              </w:rPr>
                            </w:pPr>
                            <w:r>
                              <w:rPr>
                                <w:rFonts w:ascii="Times New Roman" w:hAnsi="Times New Roman" w:cs="Times New Roman"/>
                                <w:b/>
                              </w:rPr>
                              <w:t>Кадровий потенціал</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E08980" id="Прямокутник із двома округленими протилежними кутами 23" o:spid="_x0000_s1030" style="position:absolute;left:0;text-align:left;margin-left:226.15pt;margin-top:1.15pt;width:192pt;height:53.4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438400,67818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" adj="-11796480,,5400" path="m113032,l2438400,r,l2438400,565148v,62426,-50606,113032,-113032,113032l,678180r,l,113032c,50606,50606,,113032,xe" fillcolor="#fff2cc" strokecolor="#41719c" strokeweight="1pt">
                <v:stroke joinstyle="miter"/>
                <v:formulas/>
                <v:path arrowok="t" o:connecttype="custom" o:connectlocs="113032,0;2438400,0;2438400,0;2438400,565148;2325368,678180;0,678180;0,678180;0,113032;113032,0" o:connectangles="0,0,0,0,0,0,0,0,0" textboxrect="0,0,2438400,678180"/>
                <v:textbox>
                  <w:txbxContent>
                    <w:p w14:paraId="3BE08991" w14:textId="77777777" w:rsidR="006E6CE8" w:rsidRDefault="006E6CE8">
                      <w:pPr>
                        <w:jc w:val="center"/>
                        <w:rPr>
                          <w:rFonts w:ascii="Times New Roman" w:hAnsi="Times New Roman" w:cs="Times New Roman"/>
                          <w:b/>
                        </w:rPr>
                      </w:pPr>
                      <w:r>
                        <w:rPr>
                          <w:rFonts w:ascii="Times New Roman" w:hAnsi="Times New Roman" w:cs="Times New Roman"/>
                          <w:b/>
                        </w:rPr>
                        <w:t>Кадровий потенціал</w:t>
                      </w:r>
                    </w:p>
                  </w:txbxContent>
                </v:textbox>
              </v:shape>
            </w:pict>
          </mc:Fallback>
        </mc:AlternateContent>
      </w:r>
    </w:p>
    <w:p w14:paraId="3BE0884E" w14:textId="77777777" w:rsidR="00052C0B" w:rsidRDefault="006E6CE8">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noProof/>
          <w:sz w:val="28"/>
          <w:szCs w:val="28"/>
          <w:lang w:bidi="ar-SA"/>
        </w:rPr>
        <mc:AlternateContent>
          <mc:Choice Requires="wps">
            <w:drawing>
              <wp:anchor distT="0" distB="0" distL="114300" distR="114300" simplePos="0" relativeHeight="251663360" behindDoc="0" locked="0" layoutInCell="1" allowOverlap="1" wp14:anchorId="3BE08982" wp14:editId="3BE08983">
                <wp:simplePos x="0" y="0"/>
                <wp:positionH relativeFrom="column">
                  <wp:posOffset>1950085</wp:posOffset>
                </wp:positionH>
                <wp:positionV relativeFrom="paragraph">
                  <wp:posOffset>293370</wp:posOffset>
                </wp:positionV>
                <wp:extent cx="2438400" cy="754380"/>
                <wp:effectExtent l="0" t="0" r="19050" b="26670"/>
                <wp:wrapNone/>
                <wp:docPr id="24" name="Прямокутник із двома округленими протилежними кутами 26"/>
                <wp:cNvGraphicFramePr/>
                <a:graphic xmlns:a="http://schemas.openxmlformats.org/drawingml/2006/main">
                  <a:graphicData uri="http://schemas.microsoft.com/office/word/2010/wordprocessingShape">
                    <wps:wsp>
                      <wps:cNvSpPr/>
                      <wps:spPr bwMode="auto">
                        <a:xfrm>
                          <a:off x="0" y="0"/>
                          <a:ext cx="2438400" cy="754379"/>
                        </a:xfrm>
                        <a:prstGeom prst="round2DiagRect">
                          <a:avLst>
                            <a:gd name="adj1" fmla="val 16667"/>
                            <a:gd name="adj2" fmla="val 0"/>
                          </a:avLst>
                        </a:prstGeom>
                        <a:solidFill>
                          <a:srgbClr val="FFC000">
                            <a:lumMod val="20000"/>
                            <a:lumOff val="80000"/>
                          </a:srgbClr>
                        </a:solidFill>
                        <a:ln w="12700" cap="flat" cmpd="sng" algn="ctr">
                          <a:solidFill>
                            <a:srgbClr val="5B9BD5">
                              <a:shade val="50000"/>
                            </a:srgbClr>
                          </a:solidFill>
                          <a:prstDash val="solid"/>
                          <a:miter lim="800000"/>
                        </a:ln>
                        <a:effectLst/>
                      </wps:spPr>
                      <wps:txbx>
                        <w:txbxContent>
                          <w:p w14:paraId="3BE08992" w14:textId="77777777" w:rsidR="006E6CE8" w:rsidRDefault="006E6CE8">
                            <w:pPr>
                              <w:jc w:val="center"/>
                              <w:rPr>
                                <w:rFonts w:ascii="Times New Roman" w:hAnsi="Times New Roman" w:cs="Times New Roman"/>
                                <w:b/>
                              </w:rPr>
                            </w:pPr>
                            <w:r>
                              <w:rPr>
                                <w:rFonts w:ascii="Times New Roman" w:hAnsi="Times New Roman" w:cs="Times New Roman"/>
                                <w:b/>
                              </w:rPr>
                              <w:t>Доступність і якість медичної допомоги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E08982" id="Прямокутник із двома округленими протилежними кутами 26" o:spid="_x0000_s1031" style="position:absolute;left:0;text-align:left;margin-left:153.55pt;margin-top:23.1pt;width:192pt;height:59.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438400,754379"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" adj="-11796480,,5400" path="m125732,l2438400,r,l2438400,628647v,69440,-56292,125732,-125732,125732l,754379r,l,125732c,56292,56292,,125732,xe" fillcolor="#fff2cc" strokecolor="#41719c" strokeweight="1pt">
                <v:stroke joinstyle="miter"/>
                <v:formulas/>
                <v:path arrowok="t" o:connecttype="custom" o:connectlocs="125732,0;2438400,0;2438400,0;2438400,628647;2312668,754379;0,754379;0,754379;0,125732;125732,0" o:connectangles="0,0,0,0,0,0,0,0,0" textboxrect="0,0,2438400,754379"/>
                <v:textbox>
                  <w:txbxContent>
                    <w:p w14:paraId="3BE08992" w14:textId="77777777" w:rsidR="006E6CE8" w:rsidRDefault="006E6CE8">
                      <w:pPr>
                        <w:jc w:val="center"/>
                        <w:rPr>
                          <w:rFonts w:ascii="Times New Roman" w:hAnsi="Times New Roman" w:cs="Times New Roman"/>
                          <w:b/>
                        </w:rPr>
                      </w:pPr>
                      <w:r>
                        <w:rPr>
                          <w:rFonts w:ascii="Times New Roman" w:hAnsi="Times New Roman" w:cs="Times New Roman"/>
                          <w:b/>
                        </w:rPr>
                        <w:t>Доступність і якість медичної допомоги</w:t>
                      </w:r>
                    </w:p>
                  </w:txbxContent>
                </v:textbox>
              </v:shape>
            </w:pict>
          </mc:Fallback>
        </mc:AlternateContent>
      </w:r>
      <w:r>
        <w:rPr>
          <w:rFonts w:ascii="Times New Roman" w:eastAsia="Microsoft YaHei" w:hAnsi="Times New Roman" w:cs="Times New Roman"/>
          <w:noProof/>
          <w:sz w:val="28"/>
          <w:szCs w:val="28"/>
          <w:lang w:bidi="ar-SA"/>
        </w:rPr>
        <mc:AlternateContent>
          <mc:Choice Requires="wpg">
            <w:drawing>
              <wp:anchor distT="0" distB="0" distL="114300" distR="114300" simplePos="0" relativeHeight="251667456" behindDoc="0" locked="0" layoutInCell="1" allowOverlap="1" wp14:anchorId="3BE08984" wp14:editId="3BE08985">
                <wp:simplePos x="0" y="0"/>
                <wp:positionH relativeFrom="column">
                  <wp:posOffset>2681605</wp:posOffset>
                </wp:positionH>
                <wp:positionV relativeFrom="paragraph">
                  <wp:posOffset>57150</wp:posOffset>
                </wp:positionV>
                <wp:extent cx="228600" cy="167005"/>
                <wp:effectExtent l="0" t="0" r="76200" b="61594"/>
                <wp:wrapNone/>
                <wp:docPr id="25" name="Пряма зі стрілкою 24"/>
                <wp:cNvGraphicFramePr/>
                <a:graphic xmlns:a="http://schemas.openxmlformats.org/drawingml/2006/main">
                  <a:graphicData uri="http://schemas.microsoft.com/office/word/2010/wordprocessingShape">
                    <wps:wsp>
                      <wps:cNvCnPr/>
                      <wps:spPr bwMode="auto">
                        <a:xfrm>
                          <a:off x="0" y="0"/>
                          <a:ext cx="228600" cy="167005"/>
                        </a:xfrm>
                        <a:prstGeom prst="straightConnector1">
                          <a:avLst/>
                        </a:prstGeom>
                        <a:noFill/>
                        <a:ln w="6350" cap="flat" cmpd="sng" algn="ctr">
                          <a:solidFill>
                            <a:srgbClr val="5B9BD5"/>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http://schemas.openxmlformats.org/drawingml/2006/main">
            <w:pict>
              <v:shape id="shape 13" o:spid="_x0000_s13" o:spt="32" type="#_x0000_t32" style="position:absolute;z-index:251667456;o:allowoverlap:true;o:allowincell:true;mso-position-horizontal-relative:text;margin-left:211.15pt;mso-position-horizontal:absolute;mso-position-vertical-relative:text;margin-top:4.50pt;mso-position-vertical:absolute;width:18.00pt;height:13.15pt;mso-wrap-distance-left:9.00pt;mso-wrap-distance-top:0.00pt;mso-wrap-distance-right:9.00pt;mso-wrap-distance-bottom:0.00pt;visibility:visible;" filled="f" strokecolor="#5B9BD5" strokeweight="0.50pt">
                <v:stroke dashstyle="solid"/>
              </v:shape>
            </w:pict>
          </mc:Fallback>
        </mc:AlternateContent>
      </w:r>
    </w:p>
    <w:p w14:paraId="3BE0884F" w14:textId="77777777" w:rsidR="00052C0B" w:rsidRDefault="006E6CE8">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noProof/>
          <w:sz w:val="28"/>
          <w:szCs w:val="28"/>
          <w:lang w:bidi="ar-SA"/>
        </w:rPr>
        <mc:AlternateContent>
          <mc:Choice Requires="wpg">
            <w:drawing>
              <wp:anchor distT="0" distB="0" distL="114300" distR="114300" simplePos="0" relativeHeight="251668480" behindDoc="0" locked="0" layoutInCell="1" allowOverlap="1" wp14:anchorId="3BE08986" wp14:editId="3BE08987">
                <wp:simplePos x="0" y="0"/>
                <wp:positionH relativeFrom="column">
                  <wp:posOffset>1340485</wp:posOffset>
                </wp:positionH>
                <wp:positionV relativeFrom="paragraph">
                  <wp:posOffset>62865</wp:posOffset>
                </wp:positionV>
                <wp:extent cx="457200" cy="518160"/>
                <wp:effectExtent l="0" t="0" r="76200" b="53340"/>
                <wp:wrapNone/>
                <wp:docPr id="26" name="Пряма зі стрілкою 25"/>
                <wp:cNvGraphicFramePr/>
                <a:graphic xmlns:a="http://schemas.openxmlformats.org/drawingml/2006/main">
                  <a:graphicData uri="http://schemas.microsoft.com/office/word/2010/wordprocessingShape">
                    <wps:wsp>
                      <wps:cNvCnPr/>
                      <wps:spPr bwMode="auto">
                        <a:xfrm>
                          <a:off x="0" y="0"/>
                          <a:ext cx="457200" cy="518160"/>
                        </a:xfrm>
                        <a:prstGeom prst="straightConnector1">
                          <a:avLst/>
                        </a:prstGeom>
                        <a:noFill/>
                        <a:ln w="6350" cap="flat" cmpd="sng" algn="ctr">
                          <a:solidFill>
                            <a:srgbClr val="5B9BD5"/>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http://schemas.openxmlformats.org/drawingml/2006/main">
            <w:pict>
              <v:shape id="shape 14" o:spid="_x0000_s14" o:spt="32" type="#_x0000_t32" style="position:absolute;z-index:251668480;o:allowoverlap:true;o:allowincell:true;mso-position-horizontal-relative:text;margin-left:105.55pt;mso-position-horizontal:absolute;mso-position-vertical-relative:text;margin-top:4.95pt;mso-position-vertical:absolute;width:36.00pt;height:40.80pt;mso-wrap-distance-left:9.00pt;mso-wrap-distance-top:0.00pt;mso-wrap-distance-right:9.00pt;mso-wrap-distance-bottom:0.00pt;visibility:visible;" filled="f" strokecolor="#5B9BD5" strokeweight="0.50pt">
                <v:stroke dashstyle="solid"/>
              </v:shape>
            </w:pict>
          </mc:Fallback>
        </mc:AlternateContent>
      </w:r>
    </w:p>
    <w:p w14:paraId="3BE08850" w14:textId="77777777" w:rsidR="00052C0B" w:rsidRDefault="00052C0B">
      <w:pPr>
        <w:tabs>
          <w:tab w:val="left" w:pos="1134"/>
        </w:tabs>
        <w:spacing w:line="360" w:lineRule="auto"/>
        <w:ind w:firstLine="709"/>
        <w:jc w:val="both"/>
        <w:rPr>
          <w:rFonts w:ascii="Times New Roman" w:eastAsia="Microsoft YaHei" w:hAnsi="Times New Roman" w:cs="Times New Roman"/>
          <w:sz w:val="28"/>
          <w:szCs w:val="28"/>
        </w:rPr>
      </w:pPr>
    </w:p>
    <w:p w14:paraId="3BE08851" w14:textId="77777777" w:rsidR="00052C0B" w:rsidRDefault="00052C0B">
      <w:pPr>
        <w:tabs>
          <w:tab w:val="left" w:pos="1134"/>
        </w:tabs>
        <w:spacing w:line="360" w:lineRule="auto"/>
        <w:ind w:firstLine="709"/>
        <w:jc w:val="both"/>
        <w:rPr>
          <w:rFonts w:ascii="Times New Roman" w:eastAsia="Microsoft YaHei" w:hAnsi="Times New Roman" w:cs="Times New Roman"/>
          <w:sz w:val="28"/>
          <w:szCs w:val="28"/>
        </w:rPr>
      </w:pPr>
    </w:p>
    <w:p w14:paraId="3BE08852" w14:textId="77777777" w:rsidR="00052C0B" w:rsidRDefault="006E6CE8">
      <w:pPr>
        <w:tabs>
          <w:tab w:val="left" w:pos="1134"/>
        </w:tabs>
        <w:spacing w:line="360" w:lineRule="auto"/>
        <w:ind w:firstLine="709"/>
        <w:jc w:val="both"/>
        <w:rPr>
          <w:rFonts w:ascii="Times New Roman" w:eastAsia="Microsoft YaHei" w:hAnsi="Times New Roman" w:cs="Times New Roman"/>
          <w:b/>
          <w:sz w:val="28"/>
          <w:szCs w:val="28"/>
        </w:rPr>
      </w:pPr>
      <w:r>
        <w:rPr>
          <w:rFonts w:ascii="Times New Roman" w:eastAsia="Microsoft YaHei" w:hAnsi="Times New Roman" w:cs="Times New Roman"/>
          <w:b/>
          <w:sz w:val="28"/>
          <w:szCs w:val="28"/>
        </w:rPr>
        <w:t>Рис. 3.1. Проблеми і чинники, що обмежують ефективність наявних організаційно-економічних механізмів</w:t>
      </w:r>
    </w:p>
    <w:p w14:paraId="3BE08853" w14:textId="77777777" w:rsidR="00052C0B" w:rsidRDefault="006E6CE8">
      <w:pPr>
        <w:tabs>
          <w:tab w:val="left" w:pos="1134"/>
        </w:tabs>
        <w:spacing w:line="360" w:lineRule="auto"/>
        <w:ind w:firstLine="709"/>
        <w:jc w:val="both"/>
        <w:rPr>
          <w:rFonts w:ascii="Times New Roman" w:eastAsia="Microsoft YaHei" w:hAnsi="Times New Roman" w:cs="Times New Roman"/>
          <w:i/>
        </w:rPr>
      </w:pPr>
      <w:r>
        <w:rPr>
          <w:rFonts w:ascii="Times New Roman" w:eastAsia="Microsoft YaHei" w:hAnsi="Times New Roman" w:cs="Times New Roman"/>
          <w:i/>
        </w:rPr>
        <w:t>Джерело: складено автором</w:t>
      </w:r>
    </w:p>
    <w:p w14:paraId="3BE08854" w14:textId="77777777" w:rsidR="00052C0B" w:rsidRDefault="006E6CE8">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lastRenderedPageBreak/>
        <w:t>Головний блок проблем формується під впливом фінансових факторів. Система охорони здоров’я значною мірою залишається залежною від бюджетного фінансування, обсяг якого часто є недостатнім для повноцінного забезпечення потреб закладів. Наявні моделі фінансування не завжди відповідають потребам часу: процес переходу до страхових механізмів відбувається повільно, що обмежує гнучкість і сталість фінансових потоків</w:t>
      </w:r>
      <w:r>
        <w:rPr>
          <w:rFonts w:ascii="Times New Roman" w:eastAsia="Microsoft YaHei" w:hAnsi="Times New Roman" w:cs="Times New Roman"/>
          <w:color w:val="auto"/>
          <w:sz w:val="28"/>
          <w:szCs w:val="28"/>
          <w:lang w:val="en-US"/>
        </w:rPr>
        <w:t xml:space="preserve"> [</w:t>
      </w:r>
      <w:hyperlink r:id="rId35" w:tooltip="https://opendatabot.ua/c/02774415" w:history="1">
        <w:r>
          <w:rPr>
            <w:rFonts w:ascii="Times New Roman" w:eastAsia="Microsoft YaHei" w:hAnsi="Times New Roman" w:cs="Times New Roman"/>
            <w:color w:val="auto"/>
            <w:sz w:val="28"/>
            <w:szCs w:val="28"/>
          </w:rPr>
          <w:t>36;</w:t>
        </w:r>
      </w:hyperlink>
      <w:r>
        <w:rPr>
          <w:rFonts w:ascii="Times New Roman" w:eastAsia="Microsoft YaHei" w:hAnsi="Times New Roman" w:cs="Times New Roman"/>
          <w:color w:val="auto"/>
          <w:sz w:val="28"/>
          <w:szCs w:val="28"/>
        </w:rPr>
        <w:t xml:space="preserve"> 37</w:t>
      </w:r>
      <w:r>
        <w:rPr>
          <w:rFonts w:ascii="Times New Roman" w:eastAsia="Microsoft YaHei" w:hAnsi="Times New Roman" w:cs="Times New Roman"/>
          <w:color w:val="auto"/>
          <w:sz w:val="28"/>
          <w:szCs w:val="28"/>
          <w:lang w:val="en-US"/>
        </w:rPr>
        <w:t>]</w:t>
      </w:r>
      <w:r>
        <w:rPr>
          <w:rFonts w:ascii="Times New Roman" w:eastAsia="Microsoft YaHei" w:hAnsi="Times New Roman" w:cs="Times New Roman"/>
          <w:color w:val="auto"/>
          <w:sz w:val="28"/>
          <w:szCs w:val="28"/>
        </w:rPr>
        <w:t>.</w:t>
      </w:r>
    </w:p>
    <w:p w14:paraId="3BE08855" w14:textId="77777777" w:rsidR="00052C0B" w:rsidRDefault="006E6CE8">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Не менш суттєві вади представляють собою організаційно-управлінські проблеми. Неефективне управління ресурсами, кадровою політикою та матеріально-технічною базою суттєво знижує результативність роботи медичних закладів. Застаріле обладнання, недостатнє технічне оснащення та повільне впровадження інноваційних технологій гальмують надання сучасної медичної допомоги. Додатковою проблемою є невизначеність і нерівномірність застосування медичних стандартів та клінічних протоколів</w:t>
      </w:r>
      <w:r>
        <w:rPr>
          <w:rFonts w:ascii="Times New Roman" w:eastAsia="Microsoft YaHei" w:hAnsi="Times New Roman" w:cs="Times New Roman"/>
          <w:color w:val="auto"/>
          <w:sz w:val="28"/>
          <w:szCs w:val="28"/>
          <w:lang w:val="en-US"/>
        </w:rPr>
        <w:t xml:space="preserve"> [</w:t>
      </w:r>
      <w:hyperlink r:id="rId36" w:tooltip="https://opendatabot.ua/c/02774415" w:history="1">
        <w:r>
          <w:rPr>
            <w:rFonts w:ascii="Times New Roman" w:eastAsia="Microsoft YaHei" w:hAnsi="Times New Roman" w:cs="Times New Roman"/>
            <w:color w:val="auto"/>
            <w:sz w:val="28"/>
            <w:szCs w:val="28"/>
          </w:rPr>
          <w:t>38;</w:t>
        </w:r>
      </w:hyperlink>
      <w:r>
        <w:rPr>
          <w:rFonts w:ascii="Times New Roman" w:eastAsia="Microsoft YaHei" w:hAnsi="Times New Roman" w:cs="Times New Roman"/>
          <w:color w:val="auto"/>
          <w:sz w:val="28"/>
          <w:szCs w:val="28"/>
        </w:rPr>
        <w:t xml:space="preserve"> 39</w:t>
      </w:r>
      <w:r>
        <w:rPr>
          <w:rFonts w:ascii="Times New Roman" w:eastAsia="Microsoft YaHei" w:hAnsi="Times New Roman" w:cs="Times New Roman"/>
          <w:color w:val="auto"/>
          <w:sz w:val="28"/>
          <w:szCs w:val="28"/>
          <w:lang w:val="en-US"/>
        </w:rPr>
        <w:t>]</w:t>
      </w:r>
      <w:r>
        <w:rPr>
          <w:rFonts w:ascii="Times New Roman" w:eastAsia="Microsoft YaHei" w:hAnsi="Times New Roman" w:cs="Times New Roman"/>
          <w:color w:val="auto"/>
          <w:sz w:val="28"/>
          <w:szCs w:val="28"/>
        </w:rPr>
        <w:t>.</w:t>
      </w:r>
    </w:p>
    <w:p w14:paraId="3BE08856" w14:textId="77777777" w:rsidR="00052C0B" w:rsidRDefault="006E6CE8">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Правове та інформаційне забезпечення медичної галузі також потребує належної уваги. Недосконалість нормативно-правової бази створює прогалини у регулюванні й викликає правову невизначеність як для пацієнтів, так і для медичних закладів. Водночас низький рівень інформатизації - недостатній розвиток електронних систем, слабкий обмін даними та відсутність сучасної цифрової інфраструктури - істотно ускладнюють управлінські процеси</w:t>
      </w:r>
      <w:r>
        <w:rPr>
          <w:rFonts w:ascii="Times New Roman" w:eastAsia="Microsoft YaHei" w:hAnsi="Times New Roman" w:cs="Times New Roman"/>
          <w:color w:val="auto"/>
          <w:sz w:val="28"/>
          <w:szCs w:val="28"/>
          <w:lang w:val="en-US"/>
        </w:rPr>
        <w:t xml:space="preserve"> [</w:t>
      </w:r>
      <w:r>
        <w:rPr>
          <w:rFonts w:ascii="Times New Roman" w:hAnsi="Times New Roman" w:cs="Times New Roman"/>
          <w:color w:val="auto"/>
          <w:sz w:val="28"/>
          <w:szCs w:val="28"/>
        </w:rPr>
        <w:t>40</w:t>
      </w:r>
      <w:r>
        <w:rPr>
          <w:rFonts w:ascii="Times New Roman" w:eastAsia="Microsoft YaHei" w:hAnsi="Times New Roman" w:cs="Times New Roman"/>
          <w:color w:val="auto"/>
          <w:sz w:val="28"/>
          <w:szCs w:val="28"/>
          <w:lang w:val="en-US"/>
        </w:rPr>
        <w:t>]</w:t>
      </w:r>
      <w:r>
        <w:rPr>
          <w:rFonts w:ascii="Times New Roman" w:eastAsia="Microsoft YaHei" w:hAnsi="Times New Roman" w:cs="Times New Roman"/>
          <w:color w:val="auto"/>
          <w:sz w:val="28"/>
          <w:szCs w:val="28"/>
        </w:rPr>
        <w:t>.</w:t>
      </w:r>
    </w:p>
    <w:p w14:paraId="3BE08857" w14:textId="77777777" w:rsidR="00052C0B" w:rsidRDefault="006E6CE8">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Недостатній кадровий потенціал - гострий дефіцит медичних працівників, зумовлений міграцією фахівців та недостатньою кількістю молодих кадрів - негативно впливає на якість медичних послуг. Існуюча система професійної підготовки не завжди відповідає потребам сучасної медицини, що посилює дисбаланс між вимогами ринку та реальним кадровим забезпеченням</w:t>
      </w:r>
      <w:r>
        <w:rPr>
          <w:rFonts w:ascii="Times New Roman" w:eastAsia="Microsoft YaHei" w:hAnsi="Times New Roman" w:cs="Times New Roman"/>
          <w:color w:val="auto"/>
          <w:sz w:val="28"/>
          <w:szCs w:val="28"/>
          <w:lang w:val="en-US"/>
        </w:rPr>
        <w:t xml:space="preserve"> [</w:t>
      </w:r>
      <w:r>
        <w:rPr>
          <w:rFonts w:ascii="Times New Roman" w:hAnsi="Times New Roman" w:cs="Times New Roman"/>
          <w:color w:val="auto"/>
          <w:sz w:val="28"/>
          <w:szCs w:val="28"/>
        </w:rPr>
        <w:t>41</w:t>
      </w:r>
      <w:r>
        <w:rPr>
          <w:rFonts w:ascii="Times New Roman" w:eastAsia="Microsoft YaHei" w:hAnsi="Times New Roman" w:cs="Times New Roman"/>
          <w:color w:val="auto"/>
          <w:sz w:val="28"/>
          <w:szCs w:val="28"/>
          <w:lang w:val="en-US"/>
        </w:rPr>
        <w:t>]</w:t>
      </w:r>
      <w:r>
        <w:rPr>
          <w:rFonts w:ascii="Times New Roman" w:eastAsia="Microsoft YaHei" w:hAnsi="Times New Roman" w:cs="Times New Roman"/>
          <w:color w:val="auto"/>
          <w:sz w:val="28"/>
          <w:szCs w:val="28"/>
        </w:rPr>
        <w:t>.</w:t>
      </w:r>
    </w:p>
    <w:p w14:paraId="3BE08858" w14:textId="77777777" w:rsidR="00052C0B" w:rsidRDefault="006E6CE8">
      <w:pPr>
        <w:tabs>
          <w:tab w:val="left" w:pos="709"/>
          <w:tab w:val="left" w:pos="993"/>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Ситуація ускладнюється нерівномірним доступом населення до якісних медичних послуг, особливо у віддалених та сільських територіях. Наявні механізми не забезпечують достатнього рівня якості медичної допомоги, що </w:t>
      </w:r>
      <w:r>
        <w:rPr>
          <w:rFonts w:ascii="Times New Roman" w:eastAsia="Microsoft YaHei" w:hAnsi="Times New Roman" w:cs="Times New Roman"/>
          <w:sz w:val="28"/>
          <w:szCs w:val="28"/>
        </w:rPr>
        <w:lastRenderedPageBreak/>
        <w:t>відображається на стані здоров’я населення та загальній ефективності системи</w:t>
      </w:r>
      <w:r>
        <w:rPr>
          <w:rFonts w:ascii="Times New Roman" w:eastAsia="Microsoft YaHei" w:hAnsi="Times New Roman" w:cs="Times New Roman"/>
          <w:color w:val="auto"/>
          <w:sz w:val="28"/>
          <w:szCs w:val="28"/>
          <w:lang w:val="en-US"/>
        </w:rPr>
        <w:t xml:space="preserve"> [</w:t>
      </w:r>
      <w:hyperlink r:id="rId37" w:tooltip="https://opendatabot.ua/c/02774415" w:history="1">
        <w:r>
          <w:rPr>
            <w:rFonts w:ascii="Times New Roman" w:eastAsia="Microsoft YaHei" w:hAnsi="Times New Roman" w:cs="Times New Roman"/>
            <w:color w:val="auto"/>
            <w:sz w:val="28"/>
            <w:szCs w:val="28"/>
          </w:rPr>
          <w:t>42</w:t>
        </w:r>
      </w:hyperlink>
      <w:r>
        <w:rPr>
          <w:rFonts w:ascii="Times New Roman" w:eastAsia="Microsoft YaHei" w:hAnsi="Times New Roman" w:cs="Times New Roman"/>
          <w:color w:val="auto"/>
          <w:sz w:val="28"/>
          <w:szCs w:val="28"/>
          <w:lang w:val="en-US"/>
        </w:rPr>
        <w:t>]</w:t>
      </w:r>
      <w:r>
        <w:rPr>
          <w:rFonts w:ascii="Times New Roman" w:eastAsia="Microsoft YaHei" w:hAnsi="Times New Roman" w:cs="Times New Roman"/>
          <w:color w:val="auto"/>
          <w:sz w:val="28"/>
          <w:szCs w:val="28"/>
        </w:rPr>
        <w:t>.</w:t>
      </w:r>
    </w:p>
    <w:p w14:paraId="3BE08859" w14:textId="77777777" w:rsidR="00052C0B" w:rsidRDefault="006E6CE8">
      <w:pPr>
        <w:widowControl/>
        <w:tabs>
          <w:tab w:val="left" w:pos="709"/>
          <w:tab w:val="left" w:pos="993"/>
          <w:tab w:val="left" w:pos="1134"/>
        </w:tabs>
        <w:spacing w:line="360" w:lineRule="auto"/>
        <w:ind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Подолання системних бар’єрів у сфері охорони здоров’я потребує комплексних трансформацій, спрямованих на фінансову стабільність, управлінську ефективність, кадрове зміцнення та інноваційний розвиток медичних закладів. Удосконалення організаційно-економічних механізмів можливе за умови реалізації таких стратегічних напрямів:</w:t>
      </w:r>
    </w:p>
    <w:p w14:paraId="3BE0885A" w14:textId="77777777" w:rsidR="00052C0B" w:rsidRDefault="006E6CE8">
      <w:pPr>
        <w:widowControl/>
        <w:tabs>
          <w:tab w:val="left" w:pos="709"/>
          <w:tab w:val="left" w:pos="993"/>
          <w:tab w:val="left" w:pos="1134"/>
        </w:tabs>
        <w:spacing w:line="360" w:lineRule="auto"/>
        <w:ind w:firstLine="709"/>
        <w:jc w:val="both"/>
        <w:outlineLvl w:val="3"/>
        <w:rPr>
          <w:rFonts w:ascii="Times New Roman" w:eastAsia="Times New Roman" w:hAnsi="Times New Roman" w:cs="Times New Roman"/>
          <w:bCs/>
          <w:color w:val="auto"/>
          <w:sz w:val="28"/>
          <w:szCs w:val="28"/>
          <w:lang w:bidi="ar-SA"/>
        </w:rPr>
      </w:pPr>
      <w:r>
        <w:rPr>
          <w:rFonts w:ascii="Times New Roman" w:eastAsia="Times New Roman" w:hAnsi="Times New Roman" w:cs="Times New Roman"/>
          <w:bCs/>
          <w:color w:val="auto"/>
          <w:sz w:val="28"/>
          <w:szCs w:val="28"/>
          <w:lang w:bidi="ar-SA"/>
        </w:rPr>
        <w:t>1. Оптимізація фінансової політики та диверсифікація джерел фінансування:</w:t>
      </w:r>
    </w:p>
    <w:p w14:paraId="3BE0885B" w14:textId="77777777" w:rsidR="00052C0B" w:rsidRDefault="006E6CE8">
      <w:pPr>
        <w:widowControl/>
        <w:numPr>
          <w:ilvl w:val="0"/>
          <w:numId w:val="17"/>
        </w:numPr>
        <w:tabs>
          <w:tab w:val="clear" w:pos="720"/>
          <w:tab w:val="left" w:pos="709"/>
          <w:tab w:val="left" w:pos="993"/>
          <w:tab w:val="left" w:pos="1134"/>
        </w:tabs>
        <w:spacing w:line="360" w:lineRule="auto"/>
        <w:ind w:left="0"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bCs/>
          <w:color w:val="auto"/>
          <w:sz w:val="28"/>
          <w:szCs w:val="28"/>
          <w:lang w:bidi="ar-SA"/>
        </w:rPr>
        <w:t>1. Запровадження змішаних моделей фінансування</w:t>
      </w:r>
      <w:r>
        <w:rPr>
          <w:rFonts w:ascii="Times New Roman" w:eastAsia="Times New Roman" w:hAnsi="Times New Roman" w:cs="Times New Roman"/>
          <w:color w:val="auto"/>
          <w:sz w:val="28"/>
          <w:szCs w:val="28"/>
          <w:lang w:bidi="ar-SA"/>
        </w:rPr>
        <w:t>, що поєднують державні кошти, страхові внески, грантову підтримку й партнерські проекти із бізнесом. Це забезпечить стійкість фінансових потоків та зменшить залежність від бюджетних обмежень.</w:t>
      </w:r>
    </w:p>
    <w:p w14:paraId="3BE0885C" w14:textId="77777777" w:rsidR="00052C0B" w:rsidRDefault="006E6CE8">
      <w:pPr>
        <w:widowControl/>
        <w:numPr>
          <w:ilvl w:val="1"/>
          <w:numId w:val="18"/>
        </w:numPr>
        <w:tabs>
          <w:tab w:val="left" w:pos="709"/>
          <w:tab w:val="left" w:pos="1134"/>
          <w:tab w:val="left" w:pos="1276"/>
        </w:tabs>
        <w:spacing w:line="360" w:lineRule="auto"/>
        <w:ind w:left="0" w:firstLine="709"/>
        <w:contextualSpacing/>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bCs/>
          <w:color w:val="auto"/>
          <w:sz w:val="28"/>
          <w:szCs w:val="28"/>
          <w:lang w:bidi="ar-SA"/>
        </w:rPr>
        <w:t xml:space="preserve"> Розвиток механізмів медичного страхування</w:t>
      </w:r>
      <w:r>
        <w:rPr>
          <w:rFonts w:ascii="Times New Roman" w:eastAsia="Times New Roman" w:hAnsi="Times New Roman" w:cs="Times New Roman"/>
          <w:color w:val="auto"/>
          <w:sz w:val="28"/>
          <w:szCs w:val="28"/>
          <w:lang w:bidi="ar-SA"/>
        </w:rPr>
        <w:t>, зокрема добровільних страхових пакетів для підвищення доступності спеціалізованих послуг та формування додаткового фінансового ресурсу.</w:t>
      </w:r>
    </w:p>
    <w:p w14:paraId="3BE0885D" w14:textId="77777777" w:rsidR="00052C0B" w:rsidRDefault="006E6CE8">
      <w:pPr>
        <w:widowControl/>
        <w:numPr>
          <w:ilvl w:val="1"/>
          <w:numId w:val="18"/>
        </w:numPr>
        <w:tabs>
          <w:tab w:val="left" w:pos="709"/>
          <w:tab w:val="left" w:pos="1134"/>
          <w:tab w:val="left" w:pos="1276"/>
        </w:tabs>
        <w:spacing w:line="360" w:lineRule="auto"/>
        <w:ind w:left="0" w:firstLine="709"/>
        <w:contextualSpacing/>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bCs/>
          <w:color w:val="auto"/>
          <w:sz w:val="28"/>
          <w:szCs w:val="28"/>
          <w:lang w:bidi="ar-SA"/>
        </w:rPr>
        <w:t xml:space="preserve"> Впровадження сучасних інструментів фінансового менеджменту</w:t>
      </w:r>
      <w:r>
        <w:rPr>
          <w:rFonts w:ascii="Times New Roman" w:eastAsia="Times New Roman" w:hAnsi="Times New Roman" w:cs="Times New Roman"/>
          <w:color w:val="auto"/>
          <w:sz w:val="28"/>
          <w:szCs w:val="28"/>
          <w:lang w:bidi="ar-SA"/>
        </w:rPr>
        <w:t xml:space="preserve"> (кластерний аналіз витрат, центрів прибутковості та відповідальності), які дадуть змогу використовувати кошти більш раціонально</w:t>
      </w:r>
      <w:r>
        <w:rPr>
          <w:rFonts w:ascii="Times New Roman" w:eastAsia="Microsoft YaHei" w:hAnsi="Times New Roman" w:cs="Times New Roman"/>
          <w:color w:val="auto"/>
          <w:sz w:val="28"/>
          <w:szCs w:val="28"/>
          <w:lang w:val="en-US"/>
        </w:rPr>
        <w:t xml:space="preserve"> [</w:t>
      </w:r>
      <w:hyperlink r:id="rId38" w:tooltip="https://opendatabot.ua/c/02774415" w:history="1">
        <w:r>
          <w:rPr>
            <w:rFonts w:ascii="Times New Roman" w:eastAsia="Microsoft YaHei" w:hAnsi="Times New Roman" w:cs="Times New Roman"/>
            <w:color w:val="auto"/>
            <w:sz w:val="28"/>
            <w:szCs w:val="28"/>
          </w:rPr>
          <w:t>42</w:t>
        </w:r>
      </w:hyperlink>
      <w:r>
        <w:rPr>
          <w:rFonts w:ascii="Times New Roman" w:eastAsia="Microsoft YaHei" w:hAnsi="Times New Roman" w:cs="Times New Roman"/>
          <w:color w:val="auto"/>
          <w:sz w:val="28"/>
          <w:szCs w:val="28"/>
          <w:lang w:val="en-US"/>
        </w:rPr>
        <w:t>]</w:t>
      </w:r>
      <w:r>
        <w:rPr>
          <w:rFonts w:ascii="Times New Roman" w:eastAsia="Microsoft YaHei" w:hAnsi="Times New Roman" w:cs="Times New Roman"/>
          <w:color w:val="auto"/>
          <w:sz w:val="28"/>
          <w:szCs w:val="28"/>
        </w:rPr>
        <w:t>.</w:t>
      </w:r>
    </w:p>
    <w:p w14:paraId="3BE0885E" w14:textId="77777777" w:rsidR="00052C0B" w:rsidRDefault="006E6CE8">
      <w:pPr>
        <w:widowControl/>
        <w:tabs>
          <w:tab w:val="left" w:pos="709"/>
          <w:tab w:val="left" w:pos="1134"/>
          <w:tab w:val="left" w:pos="1276"/>
        </w:tabs>
        <w:spacing w:line="360" w:lineRule="auto"/>
        <w:ind w:firstLine="709"/>
        <w:jc w:val="both"/>
        <w:outlineLvl w:val="3"/>
        <w:rPr>
          <w:rFonts w:ascii="Times New Roman" w:eastAsia="Times New Roman" w:hAnsi="Times New Roman" w:cs="Times New Roman"/>
          <w:bCs/>
          <w:color w:val="auto"/>
          <w:sz w:val="28"/>
          <w:szCs w:val="28"/>
          <w:lang w:bidi="ar-SA"/>
        </w:rPr>
      </w:pPr>
      <w:r>
        <w:rPr>
          <w:rFonts w:ascii="Times New Roman" w:eastAsia="Times New Roman" w:hAnsi="Times New Roman" w:cs="Times New Roman"/>
          <w:bCs/>
          <w:color w:val="auto"/>
          <w:sz w:val="28"/>
          <w:szCs w:val="28"/>
          <w:lang w:bidi="ar-SA"/>
        </w:rPr>
        <w:t>2. Підвищення ефективності управління та організаційної структури:</w:t>
      </w:r>
    </w:p>
    <w:p w14:paraId="3BE0885F" w14:textId="77777777" w:rsidR="00052C0B" w:rsidRDefault="006E6CE8">
      <w:pPr>
        <w:widowControl/>
        <w:numPr>
          <w:ilvl w:val="1"/>
          <w:numId w:val="19"/>
        </w:numPr>
        <w:tabs>
          <w:tab w:val="left" w:pos="709"/>
          <w:tab w:val="left" w:pos="1134"/>
          <w:tab w:val="left" w:pos="1276"/>
        </w:tabs>
        <w:spacing w:line="360" w:lineRule="auto"/>
        <w:ind w:left="0" w:firstLine="709"/>
        <w:contextualSpacing/>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bCs/>
          <w:color w:val="auto"/>
          <w:sz w:val="28"/>
          <w:szCs w:val="28"/>
          <w:lang w:bidi="ar-SA"/>
        </w:rPr>
        <w:t>Перехід до моделі управління, заснованої на даних (data-driven management)</w:t>
      </w:r>
      <w:r>
        <w:rPr>
          <w:rFonts w:ascii="Times New Roman" w:eastAsia="Times New Roman" w:hAnsi="Times New Roman" w:cs="Times New Roman"/>
          <w:color w:val="auto"/>
          <w:sz w:val="28"/>
          <w:szCs w:val="28"/>
          <w:lang w:bidi="ar-SA"/>
        </w:rPr>
        <w:t>, із застосуванням аналітичних систем для прогнозування навантаження, керування потоками пацієнтів і планування ресурсів.</w:t>
      </w:r>
    </w:p>
    <w:p w14:paraId="3BE08860" w14:textId="77777777" w:rsidR="00052C0B" w:rsidRDefault="006E6CE8">
      <w:pPr>
        <w:widowControl/>
        <w:numPr>
          <w:ilvl w:val="1"/>
          <w:numId w:val="19"/>
        </w:numPr>
        <w:tabs>
          <w:tab w:val="left" w:pos="709"/>
          <w:tab w:val="left" w:pos="1134"/>
          <w:tab w:val="left" w:pos="1276"/>
        </w:tabs>
        <w:spacing w:line="360" w:lineRule="auto"/>
        <w:ind w:left="0" w:firstLine="709"/>
        <w:contextualSpacing/>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bCs/>
          <w:color w:val="auto"/>
          <w:sz w:val="28"/>
          <w:szCs w:val="28"/>
          <w:lang w:bidi="ar-SA"/>
        </w:rPr>
        <w:t>Удосконалення системи внутрішнього контролю та аудиту</w:t>
      </w:r>
      <w:r>
        <w:rPr>
          <w:rFonts w:ascii="Times New Roman" w:eastAsia="Times New Roman" w:hAnsi="Times New Roman" w:cs="Times New Roman"/>
          <w:color w:val="auto"/>
          <w:sz w:val="28"/>
          <w:szCs w:val="28"/>
          <w:lang w:bidi="ar-SA"/>
        </w:rPr>
        <w:t>, що передбачає регулярний моніторинг якості медичних процесів, прозорість процедур та оперативне виявлення відхилень.</w:t>
      </w:r>
    </w:p>
    <w:p w14:paraId="3BE08861" w14:textId="77777777" w:rsidR="00052C0B" w:rsidRDefault="006E6CE8">
      <w:pPr>
        <w:widowControl/>
        <w:numPr>
          <w:ilvl w:val="1"/>
          <w:numId w:val="19"/>
        </w:numPr>
        <w:tabs>
          <w:tab w:val="left" w:pos="709"/>
          <w:tab w:val="left" w:pos="1134"/>
          <w:tab w:val="left" w:pos="1276"/>
        </w:tabs>
        <w:spacing w:line="360" w:lineRule="auto"/>
        <w:ind w:left="0" w:firstLine="709"/>
        <w:contextualSpacing/>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bCs/>
          <w:color w:val="auto"/>
          <w:sz w:val="28"/>
          <w:szCs w:val="28"/>
          <w:lang w:bidi="ar-SA"/>
        </w:rPr>
        <w:t>Стандартизація та уніфікація клінічних протоколів</w:t>
      </w:r>
      <w:r>
        <w:rPr>
          <w:rFonts w:ascii="Times New Roman" w:eastAsia="Times New Roman" w:hAnsi="Times New Roman" w:cs="Times New Roman"/>
          <w:color w:val="auto"/>
          <w:sz w:val="28"/>
          <w:szCs w:val="28"/>
          <w:lang w:bidi="ar-SA"/>
        </w:rPr>
        <w:t>, забезпечення їх обов’язкового виконання відповідно до сучасних рекомендацій доказової медицини.</w:t>
      </w:r>
    </w:p>
    <w:p w14:paraId="3BE08862" w14:textId="77777777" w:rsidR="00052C0B" w:rsidRDefault="006E6CE8">
      <w:pPr>
        <w:widowControl/>
        <w:numPr>
          <w:ilvl w:val="1"/>
          <w:numId w:val="19"/>
        </w:numPr>
        <w:tabs>
          <w:tab w:val="left" w:pos="709"/>
          <w:tab w:val="left" w:pos="1134"/>
          <w:tab w:val="left" w:pos="1276"/>
        </w:tabs>
        <w:spacing w:line="360" w:lineRule="auto"/>
        <w:ind w:left="0" w:firstLine="709"/>
        <w:contextualSpacing/>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bCs/>
          <w:color w:val="auto"/>
          <w:sz w:val="28"/>
          <w:szCs w:val="28"/>
          <w:lang w:bidi="ar-SA"/>
        </w:rPr>
        <w:lastRenderedPageBreak/>
        <w:t>Розвиток державно-приватного партнерства</w:t>
      </w:r>
      <w:r>
        <w:rPr>
          <w:rFonts w:ascii="Times New Roman" w:eastAsia="Times New Roman" w:hAnsi="Times New Roman" w:cs="Times New Roman"/>
          <w:color w:val="auto"/>
          <w:sz w:val="28"/>
          <w:szCs w:val="28"/>
          <w:lang w:bidi="ar-SA"/>
        </w:rPr>
        <w:t>, особливо в напрямах модернізації обладнання, будівництва інфраструктури та розвитку інноваційних медичних сервісів</w:t>
      </w:r>
      <w:r>
        <w:rPr>
          <w:rFonts w:ascii="Times New Roman" w:eastAsia="Microsoft YaHei" w:hAnsi="Times New Roman" w:cs="Times New Roman"/>
          <w:color w:val="auto"/>
          <w:sz w:val="28"/>
          <w:szCs w:val="28"/>
          <w:lang w:val="en-US"/>
        </w:rPr>
        <w:t xml:space="preserve"> [</w:t>
      </w:r>
      <w:hyperlink r:id="rId39" w:tooltip="https://opendatabot.ua/c/02774415" w:history="1">
        <w:r>
          <w:rPr>
            <w:rFonts w:ascii="Times New Roman" w:eastAsia="Microsoft YaHei" w:hAnsi="Times New Roman" w:cs="Times New Roman"/>
            <w:color w:val="auto"/>
            <w:sz w:val="28"/>
            <w:szCs w:val="28"/>
          </w:rPr>
          <w:t>43</w:t>
        </w:r>
      </w:hyperlink>
      <w:r>
        <w:rPr>
          <w:rFonts w:ascii="Times New Roman" w:eastAsia="Microsoft YaHei" w:hAnsi="Times New Roman" w:cs="Times New Roman"/>
          <w:color w:val="auto"/>
          <w:sz w:val="28"/>
          <w:szCs w:val="28"/>
          <w:lang w:val="en-US"/>
        </w:rPr>
        <w:t>]</w:t>
      </w:r>
      <w:r>
        <w:rPr>
          <w:rFonts w:ascii="Times New Roman" w:eastAsia="Microsoft YaHei" w:hAnsi="Times New Roman" w:cs="Times New Roman"/>
          <w:color w:val="auto"/>
          <w:sz w:val="28"/>
          <w:szCs w:val="28"/>
        </w:rPr>
        <w:t>.</w:t>
      </w:r>
    </w:p>
    <w:p w14:paraId="3BE08863" w14:textId="77777777" w:rsidR="00052C0B" w:rsidRDefault="006E6CE8">
      <w:pPr>
        <w:widowControl/>
        <w:tabs>
          <w:tab w:val="left" w:pos="709"/>
          <w:tab w:val="left" w:pos="1134"/>
          <w:tab w:val="left" w:pos="1276"/>
        </w:tabs>
        <w:spacing w:line="360" w:lineRule="auto"/>
        <w:ind w:firstLine="709"/>
        <w:jc w:val="both"/>
        <w:outlineLvl w:val="3"/>
        <w:rPr>
          <w:rFonts w:ascii="Times New Roman" w:eastAsia="Times New Roman" w:hAnsi="Times New Roman" w:cs="Times New Roman"/>
          <w:bCs/>
          <w:color w:val="auto"/>
          <w:sz w:val="28"/>
          <w:szCs w:val="28"/>
          <w:lang w:bidi="ar-SA"/>
        </w:rPr>
      </w:pPr>
      <w:r>
        <w:rPr>
          <w:rFonts w:ascii="Times New Roman" w:eastAsia="Times New Roman" w:hAnsi="Times New Roman" w:cs="Times New Roman"/>
          <w:bCs/>
          <w:color w:val="auto"/>
          <w:sz w:val="28"/>
          <w:szCs w:val="28"/>
          <w:lang w:bidi="ar-SA"/>
        </w:rPr>
        <w:t>3. Модернізація матеріально-технічної бази та цифрова трансформація:</w:t>
      </w:r>
    </w:p>
    <w:p w14:paraId="3BE08864" w14:textId="77777777" w:rsidR="00052C0B" w:rsidRDefault="006E6CE8">
      <w:pPr>
        <w:widowControl/>
        <w:numPr>
          <w:ilvl w:val="1"/>
          <w:numId w:val="20"/>
        </w:numPr>
        <w:tabs>
          <w:tab w:val="left" w:pos="709"/>
          <w:tab w:val="left" w:pos="1134"/>
          <w:tab w:val="left" w:pos="1276"/>
        </w:tabs>
        <w:spacing w:line="360" w:lineRule="auto"/>
        <w:ind w:left="0" w:firstLine="709"/>
        <w:contextualSpacing/>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bCs/>
          <w:color w:val="auto"/>
          <w:sz w:val="28"/>
          <w:szCs w:val="28"/>
          <w:lang w:bidi="ar-SA"/>
        </w:rPr>
        <w:t xml:space="preserve"> Планове оновлення медичного обладнання</w:t>
      </w:r>
      <w:r>
        <w:rPr>
          <w:rFonts w:ascii="Times New Roman" w:eastAsia="Times New Roman" w:hAnsi="Times New Roman" w:cs="Times New Roman"/>
          <w:color w:val="auto"/>
          <w:sz w:val="28"/>
          <w:szCs w:val="28"/>
          <w:lang w:bidi="ar-SA"/>
        </w:rPr>
        <w:t xml:space="preserve"> через багаторічні інвестиційні програми, а також лізингові й грантові інструменти.</w:t>
      </w:r>
    </w:p>
    <w:p w14:paraId="3BE08865" w14:textId="77777777" w:rsidR="00052C0B" w:rsidRDefault="006E6CE8">
      <w:pPr>
        <w:widowControl/>
        <w:numPr>
          <w:ilvl w:val="1"/>
          <w:numId w:val="20"/>
        </w:numPr>
        <w:tabs>
          <w:tab w:val="left" w:pos="709"/>
          <w:tab w:val="left" w:pos="1134"/>
          <w:tab w:val="left" w:pos="1276"/>
        </w:tabs>
        <w:spacing w:line="360" w:lineRule="auto"/>
        <w:ind w:left="0" w:firstLine="709"/>
        <w:contextualSpacing/>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bCs/>
          <w:color w:val="auto"/>
          <w:sz w:val="28"/>
          <w:szCs w:val="28"/>
          <w:lang w:bidi="ar-SA"/>
        </w:rPr>
        <w:t xml:space="preserve"> Впровадження електронних баз даних, телемедицини, електронної картки пацієнта та систем інтеграції між закладами</w:t>
      </w:r>
      <w:r>
        <w:rPr>
          <w:rFonts w:ascii="Times New Roman" w:eastAsia="Times New Roman" w:hAnsi="Times New Roman" w:cs="Times New Roman"/>
          <w:color w:val="auto"/>
          <w:sz w:val="28"/>
          <w:szCs w:val="28"/>
          <w:lang w:bidi="ar-SA"/>
        </w:rPr>
        <w:t>, що забезпечить оперативний обмін інформацією та оптимізує клінічні маршрути.</w:t>
      </w:r>
    </w:p>
    <w:p w14:paraId="3BE08866" w14:textId="77777777" w:rsidR="00052C0B" w:rsidRDefault="006E6CE8">
      <w:pPr>
        <w:widowControl/>
        <w:numPr>
          <w:ilvl w:val="1"/>
          <w:numId w:val="20"/>
        </w:numPr>
        <w:tabs>
          <w:tab w:val="left" w:pos="709"/>
          <w:tab w:val="left" w:pos="1134"/>
          <w:tab w:val="left" w:pos="1276"/>
        </w:tabs>
        <w:spacing w:line="360" w:lineRule="auto"/>
        <w:ind w:left="0" w:firstLine="709"/>
        <w:contextualSpacing/>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bCs/>
          <w:color w:val="auto"/>
          <w:sz w:val="28"/>
          <w:szCs w:val="28"/>
          <w:lang w:bidi="ar-SA"/>
        </w:rPr>
        <w:t xml:space="preserve"> Створення цифрових платформ для управління логістикою</w:t>
      </w:r>
      <w:r>
        <w:rPr>
          <w:rFonts w:ascii="Times New Roman" w:eastAsia="Times New Roman" w:hAnsi="Times New Roman" w:cs="Times New Roman"/>
          <w:color w:val="auto"/>
          <w:sz w:val="28"/>
          <w:szCs w:val="28"/>
          <w:lang w:bidi="ar-SA"/>
        </w:rPr>
        <w:t>, включно зі складським обліком, плануванням закупівель і контролем використання ресурсів</w:t>
      </w:r>
      <w:r>
        <w:rPr>
          <w:rFonts w:ascii="Times New Roman" w:eastAsia="Microsoft YaHei" w:hAnsi="Times New Roman" w:cs="Times New Roman"/>
          <w:color w:val="auto"/>
          <w:sz w:val="28"/>
          <w:szCs w:val="28"/>
          <w:lang w:val="en-US"/>
        </w:rPr>
        <w:t xml:space="preserve"> [</w:t>
      </w:r>
      <w:hyperlink r:id="rId40" w:tooltip="https://opendatabot.ua/c/02774415" w:history="1">
        <w:r>
          <w:rPr>
            <w:rFonts w:ascii="Times New Roman" w:eastAsia="Microsoft YaHei" w:hAnsi="Times New Roman" w:cs="Times New Roman"/>
            <w:color w:val="auto"/>
            <w:sz w:val="28"/>
            <w:szCs w:val="28"/>
          </w:rPr>
          <w:t>44</w:t>
        </w:r>
      </w:hyperlink>
      <w:r>
        <w:rPr>
          <w:rFonts w:ascii="Times New Roman" w:eastAsia="Microsoft YaHei" w:hAnsi="Times New Roman" w:cs="Times New Roman"/>
          <w:color w:val="auto"/>
          <w:sz w:val="28"/>
          <w:szCs w:val="28"/>
          <w:lang w:val="en-US"/>
        </w:rPr>
        <w:t>]</w:t>
      </w:r>
      <w:r>
        <w:rPr>
          <w:rFonts w:ascii="Times New Roman" w:eastAsia="Microsoft YaHei" w:hAnsi="Times New Roman" w:cs="Times New Roman"/>
          <w:color w:val="auto"/>
          <w:sz w:val="28"/>
          <w:szCs w:val="28"/>
        </w:rPr>
        <w:t>.</w:t>
      </w:r>
    </w:p>
    <w:p w14:paraId="3BE08867" w14:textId="77777777" w:rsidR="00052C0B" w:rsidRDefault="006E6CE8">
      <w:pPr>
        <w:widowControl/>
        <w:tabs>
          <w:tab w:val="left" w:pos="709"/>
          <w:tab w:val="left" w:pos="993"/>
          <w:tab w:val="left" w:pos="1134"/>
        </w:tabs>
        <w:spacing w:line="360" w:lineRule="auto"/>
        <w:ind w:firstLine="709"/>
        <w:jc w:val="both"/>
        <w:outlineLvl w:val="3"/>
        <w:rPr>
          <w:rFonts w:ascii="Times New Roman" w:eastAsia="Times New Roman" w:hAnsi="Times New Roman" w:cs="Times New Roman"/>
          <w:bCs/>
          <w:color w:val="auto"/>
          <w:sz w:val="28"/>
          <w:szCs w:val="28"/>
          <w:lang w:bidi="ar-SA"/>
        </w:rPr>
      </w:pPr>
      <w:r>
        <w:rPr>
          <w:rFonts w:ascii="Times New Roman" w:eastAsia="Times New Roman" w:hAnsi="Times New Roman" w:cs="Times New Roman"/>
          <w:bCs/>
          <w:color w:val="auto"/>
          <w:sz w:val="28"/>
          <w:szCs w:val="28"/>
          <w:lang w:bidi="ar-SA"/>
        </w:rPr>
        <w:t>4. Розвиток кадрового потенціалу та підвищення професійної мобільності:</w:t>
      </w:r>
    </w:p>
    <w:p w14:paraId="3BE08868" w14:textId="77777777" w:rsidR="00052C0B" w:rsidRDefault="006E6CE8">
      <w:pPr>
        <w:widowControl/>
        <w:numPr>
          <w:ilvl w:val="1"/>
          <w:numId w:val="21"/>
        </w:numPr>
        <w:tabs>
          <w:tab w:val="left" w:pos="709"/>
          <w:tab w:val="left" w:pos="993"/>
          <w:tab w:val="left" w:pos="1134"/>
        </w:tabs>
        <w:spacing w:line="360" w:lineRule="auto"/>
        <w:ind w:left="0" w:firstLine="709"/>
        <w:contextualSpacing/>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bCs/>
          <w:color w:val="auto"/>
          <w:sz w:val="28"/>
          <w:szCs w:val="28"/>
          <w:lang w:bidi="ar-SA"/>
        </w:rPr>
        <w:t>Запровадження безперервної системи професійного розвитку</w:t>
      </w:r>
      <w:r>
        <w:rPr>
          <w:rFonts w:ascii="Times New Roman" w:eastAsia="Times New Roman" w:hAnsi="Times New Roman" w:cs="Times New Roman"/>
          <w:color w:val="auto"/>
          <w:sz w:val="28"/>
          <w:szCs w:val="28"/>
          <w:lang w:bidi="ar-SA"/>
        </w:rPr>
        <w:t>, що базується на сучасних програмах підвищення кваліфікації, симуляційних тренінгах та міждисциплінарних платформах навчання.</w:t>
      </w:r>
    </w:p>
    <w:p w14:paraId="3BE08869" w14:textId="77777777" w:rsidR="00052C0B" w:rsidRDefault="006E6CE8">
      <w:pPr>
        <w:widowControl/>
        <w:numPr>
          <w:ilvl w:val="1"/>
          <w:numId w:val="21"/>
        </w:numPr>
        <w:tabs>
          <w:tab w:val="left" w:pos="709"/>
          <w:tab w:val="left" w:pos="993"/>
          <w:tab w:val="left" w:pos="1134"/>
        </w:tabs>
        <w:spacing w:line="360" w:lineRule="auto"/>
        <w:ind w:left="0" w:firstLine="709"/>
        <w:contextualSpacing/>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bCs/>
          <w:color w:val="auto"/>
          <w:sz w:val="28"/>
          <w:szCs w:val="28"/>
          <w:lang w:bidi="ar-SA"/>
        </w:rPr>
        <w:t>Стимулювання працівників через конкурентні системи мотивації</w:t>
      </w:r>
      <w:r>
        <w:rPr>
          <w:rFonts w:ascii="Times New Roman" w:eastAsia="Times New Roman" w:hAnsi="Times New Roman" w:cs="Times New Roman"/>
          <w:color w:val="auto"/>
          <w:sz w:val="28"/>
          <w:szCs w:val="28"/>
          <w:lang w:bidi="ar-SA"/>
        </w:rPr>
        <w:t>, зокрема преміювання за результативність, участь у проєктах та інноваційних ініціативах.</w:t>
      </w:r>
    </w:p>
    <w:p w14:paraId="3BE0886A" w14:textId="77777777" w:rsidR="00052C0B" w:rsidRDefault="006E6CE8">
      <w:pPr>
        <w:widowControl/>
        <w:numPr>
          <w:ilvl w:val="1"/>
          <w:numId w:val="21"/>
        </w:numPr>
        <w:tabs>
          <w:tab w:val="left" w:pos="709"/>
          <w:tab w:val="left" w:pos="993"/>
          <w:tab w:val="left" w:pos="1134"/>
        </w:tabs>
        <w:spacing w:line="360" w:lineRule="auto"/>
        <w:ind w:left="0" w:firstLine="709"/>
        <w:contextualSpacing/>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bCs/>
          <w:color w:val="auto"/>
          <w:sz w:val="28"/>
          <w:szCs w:val="28"/>
          <w:lang w:bidi="ar-SA"/>
        </w:rPr>
        <w:t>Залучення молодих фахівців</w:t>
      </w:r>
      <w:r>
        <w:rPr>
          <w:rFonts w:ascii="Times New Roman" w:eastAsia="Times New Roman" w:hAnsi="Times New Roman" w:cs="Times New Roman"/>
          <w:color w:val="auto"/>
          <w:sz w:val="28"/>
          <w:szCs w:val="28"/>
          <w:lang w:bidi="ar-SA"/>
        </w:rPr>
        <w:t xml:space="preserve"> шляхом створення комфортних умов праці, програм наставництва, стипендіальних ініціатив і можливостей швидкого професійного зростання.</w:t>
      </w:r>
    </w:p>
    <w:p w14:paraId="3BE0886B" w14:textId="77777777" w:rsidR="00052C0B" w:rsidRDefault="006E6CE8">
      <w:pPr>
        <w:widowControl/>
        <w:numPr>
          <w:ilvl w:val="1"/>
          <w:numId w:val="21"/>
        </w:numPr>
        <w:tabs>
          <w:tab w:val="left" w:pos="709"/>
          <w:tab w:val="left" w:pos="993"/>
          <w:tab w:val="left" w:pos="1134"/>
        </w:tabs>
        <w:spacing w:line="360" w:lineRule="auto"/>
        <w:ind w:left="0" w:firstLine="709"/>
        <w:contextualSpacing/>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bCs/>
          <w:color w:val="auto"/>
          <w:sz w:val="28"/>
          <w:szCs w:val="28"/>
          <w:lang w:bidi="ar-SA"/>
        </w:rPr>
        <w:t>Запровадження HR-аналітики</w:t>
      </w:r>
      <w:r>
        <w:rPr>
          <w:rFonts w:ascii="Times New Roman" w:eastAsia="Times New Roman" w:hAnsi="Times New Roman" w:cs="Times New Roman"/>
          <w:color w:val="auto"/>
          <w:sz w:val="28"/>
          <w:szCs w:val="28"/>
          <w:lang w:bidi="ar-SA"/>
        </w:rPr>
        <w:t xml:space="preserve"> для прогнозування кадрових потреб і вчасної корекції кадрової політики</w:t>
      </w:r>
      <w:r>
        <w:rPr>
          <w:rFonts w:ascii="Times New Roman" w:eastAsia="Microsoft YaHei" w:hAnsi="Times New Roman" w:cs="Times New Roman"/>
          <w:color w:val="auto"/>
          <w:sz w:val="28"/>
          <w:szCs w:val="28"/>
          <w:lang w:val="en-US"/>
        </w:rPr>
        <w:t xml:space="preserve"> [</w:t>
      </w:r>
      <w:hyperlink r:id="rId41" w:tooltip="https://opendatabot.ua/c/02774415" w:history="1">
        <w:r>
          <w:rPr>
            <w:rFonts w:ascii="Times New Roman" w:eastAsia="Microsoft YaHei" w:hAnsi="Times New Roman" w:cs="Times New Roman"/>
            <w:color w:val="auto"/>
            <w:sz w:val="28"/>
            <w:szCs w:val="28"/>
          </w:rPr>
          <w:t>45</w:t>
        </w:r>
      </w:hyperlink>
      <w:r>
        <w:rPr>
          <w:rFonts w:ascii="Times New Roman" w:eastAsia="Microsoft YaHei" w:hAnsi="Times New Roman" w:cs="Times New Roman"/>
          <w:color w:val="auto"/>
          <w:sz w:val="28"/>
          <w:szCs w:val="28"/>
          <w:lang w:val="en-US"/>
        </w:rPr>
        <w:t>]</w:t>
      </w:r>
      <w:r>
        <w:rPr>
          <w:rFonts w:ascii="Times New Roman" w:eastAsia="Microsoft YaHei" w:hAnsi="Times New Roman" w:cs="Times New Roman"/>
          <w:color w:val="auto"/>
          <w:sz w:val="28"/>
          <w:szCs w:val="28"/>
        </w:rPr>
        <w:t>.</w:t>
      </w:r>
    </w:p>
    <w:p w14:paraId="3BE0886C" w14:textId="77777777" w:rsidR="00052C0B" w:rsidRDefault="006E6CE8">
      <w:pPr>
        <w:widowControl/>
        <w:tabs>
          <w:tab w:val="left" w:pos="709"/>
          <w:tab w:val="left" w:pos="993"/>
          <w:tab w:val="left" w:pos="1134"/>
        </w:tabs>
        <w:spacing w:line="360" w:lineRule="auto"/>
        <w:ind w:firstLine="709"/>
        <w:jc w:val="both"/>
        <w:outlineLvl w:val="3"/>
        <w:rPr>
          <w:rFonts w:ascii="Times New Roman" w:eastAsia="Times New Roman" w:hAnsi="Times New Roman" w:cs="Times New Roman"/>
          <w:bCs/>
          <w:color w:val="auto"/>
          <w:sz w:val="28"/>
          <w:szCs w:val="28"/>
          <w:lang w:bidi="ar-SA"/>
        </w:rPr>
      </w:pPr>
      <w:r>
        <w:rPr>
          <w:rFonts w:ascii="Times New Roman" w:eastAsia="Times New Roman" w:hAnsi="Times New Roman" w:cs="Times New Roman"/>
          <w:bCs/>
          <w:color w:val="auto"/>
          <w:sz w:val="28"/>
          <w:szCs w:val="28"/>
          <w:lang w:bidi="ar-SA"/>
        </w:rPr>
        <w:t>5. Забезпечення доступності та підвищення якості медичних послуг:</w:t>
      </w:r>
    </w:p>
    <w:p w14:paraId="3BE0886D" w14:textId="77777777" w:rsidR="00052C0B" w:rsidRDefault="006E6CE8">
      <w:pPr>
        <w:widowControl/>
        <w:numPr>
          <w:ilvl w:val="1"/>
          <w:numId w:val="22"/>
        </w:numPr>
        <w:tabs>
          <w:tab w:val="left" w:pos="709"/>
          <w:tab w:val="left" w:pos="993"/>
          <w:tab w:val="left" w:pos="1134"/>
        </w:tabs>
        <w:spacing w:line="360" w:lineRule="auto"/>
        <w:ind w:left="0" w:firstLine="709"/>
        <w:contextualSpacing/>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bCs/>
          <w:color w:val="auto"/>
          <w:sz w:val="28"/>
          <w:szCs w:val="28"/>
          <w:lang w:bidi="ar-SA"/>
        </w:rPr>
        <w:t>Оптимізація медичної мережі</w:t>
      </w:r>
      <w:r>
        <w:rPr>
          <w:rFonts w:ascii="Times New Roman" w:eastAsia="Times New Roman" w:hAnsi="Times New Roman" w:cs="Times New Roman"/>
          <w:color w:val="auto"/>
          <w:sz w:val="28"/>
          <w:szCs w:val="28"/>
          <w:lang w:bidi="ar-SA"/>
        </w:rPr>
        <w:t xml:space="preserve"> через створення міжрегіональних центрів компетенцій, розвиток амбулаторних сервісів та розширення можливостей первинної ланки.</w:t>
      </w:r>
    </w:p>
    <w:p w14:paraId="3BE0886E" w14:textId="77777777" w:rsidR="00052C0B" w:rsidRDefault="006E6CE8">
      <w:pPr>
        <w:widowControl/>
        <w:numPr>
          <w:ilvl w:val="1"/>
          <w:numId w:val="22"/>
        </w:numPr>
        <w:tabs>
          <w:tab w:val="left" w:pos="709"/>
          <w:tab w:val="left" w:pos="993"/>
          <w:tab w:val="left" w:pos="1134"/>
        </w:tabs>
        <w:spacing w:line="360" w:lineRule="auto"/>
        <w:ind w:left="0" w:firstLine="709"/>
        <w:contextualSpacing/>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bCs/>
          <w:color w:val="auto"/>
          <w:sz w:val="28"/>
          <w:szCs w:val="28"/>
          <w:lang w:bidi="ar-SA"/>
        </w:rPr>
        <w:lastRenderedPageBreak/>
        <w:t>Створення систем оцінювання якості послуг</w:t>
      </w:r>
      <w:r>
        <w:rPr>
          <w:rFonts w:ascii="Times New Roman" w:eastAsia="Times New Roman" w:hAnsi="Times New Roman" w:cs="Times New Roman"/>
          <w:color w:val="auto"/>
          <w:sz w:val="28"/>
          <w:szCs w:val="28"/>
          <w:lang w:bidi="ar-SA"/>
        </w:rPr>
        <w:t xml:space="preserve"> (quality assessment systems), що базуються на індикаторах результативності, задоволеності пацієнтів і клінічній ефективності.</w:t>
      </w:r>
    </w:p>
    <w:p w14:paraId="3BE0886F" w14:textId="77777777" w:rsidR="00052C0B" w:rsidRDefault="006E6CE8">
      <w:pPr>
        <w:widowControl/>
        <w:numPr>
          <w:ilvl w:val="1"/>
          <w:numId w:val="22"/>
        </w:numPr>
        <w:tabs>
          <w:tab w:val="left" w:pos="709"/>
          <w:tab w:val="left" w:pos="993"/>
          <w:tab w:val="left" w:pos="1134"/>
        </w:tabs>
        <w:spacing w:line="360" w:lineRule="auto"/>
        <w:ind w:left="0" w:firstLine="709"/>
        <w:contextualSpacing/>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bCs/>
          <w:color w:val="auto"/>
          <w:sz w:val="28"/>
          <w:szCs w:val="28"/>
          <w:lang w:bidi="ar-SA"/>
        </w:rPr>
        <w:t>Розробка чітких маршрутів пацієнта</w:t>
      </w:r>
      <w:r>
        <w:rPr>
          <w:rFonts w:ascii="Times New Roman" w:eastAsia="Times New Roman" w:hAnsi="Times New Roman" w:cs="Times New Roman"/>
          <w:color w:val="auto"/>
          <w:sz w:val="28"/>
          <w:szCs w:val="28"/>
          <w:lang w:bidi="ar-SA"/>
        </w:rPr>
        <w:t>, що скорочують час доступу до послуг і підвищують ефективність роботи системи</w:t>
      </w:r>
      <w:r>
        <w:rPr>
          <w:rFonts w:ascii="Times New Roman" w:eastAsia="Microsoft YaHei" w:hAnsi="Times New Roman" w:cs="Times New Roman"/>
          <w:color w:val="auto"/>
          <w:sz w:val="28"/>
          <w:szCs w:val="28"/>
          <w:lang w:val="en-US"/>
        </w:rPr>
        <w:t xml:space="preserve"> [</w:t>
      </w:r>
      <w:hyperlink r:id="rId42" w:tooltip="https://opendatabot.ua/c/02774415" w:history="1">
        <w:r>
          <w:rPr>
            <w:rFonts w:ascii="Times New Roman" w:eastAsia="Microsoft YaHei" w:hAnsi="Times New Roman" w:cs="Times New Roman"/>
            <w:color w:val="auto"/>
            <w:sz w:val="28"/>
            <w:szCs w:val="28"/>
          </w:rPr>
          <w:t>46</w:t>
        </w:r>
      </w:hyperlink>
      <w:r>
        <w:rPr>
          <w:rFonts w:ascii="Times New Roman" w:eastAsia="Microsoft YaHei" w:hAnsi="Times New Roman" w:cs="Times New Roman"/>
          <w:color w:val="auto"/>
          <w:sz w:val="28"/>
          <w:szCs w:val="28"/>
          <w:lang w:val="en-US"/>
        </w:rPr>
        <w:t>]</w:t>
      </w:r>
      <w:r>
        <w:rPr>
          <w:rFonts w:ascii="Times New Roman" w:eastAsia="Microsoft YaHei" w:hAnsi="Times New Roman" w:cs="Times New Roman"/>
          <w:color w:val="auto"/>
          <w:sz w:val="28"/>
          <w:szCs w:val="28"/>
        </w:rPr>
        <w:t>.</w:t>
      </w:r>
    </w:p>
    <w:p w14:paraId="3BE08870" w14:textId="77777777" w:rsidR="00052C0B" w:rsidRDefault="006E6CE8">
      <w:pPr>
        <w:widowControl/>
        <w:tabs>
          <w:tab w:val="left" w:pos="709"/>
          <w:tab w:val="left" w:pos="993"/>
          <w:tab w:val="left" w:pos="1134"/>
        </w:tabs>
        <w:spacing w:line="360" w:lineRule="auto"/>
        <w:ind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Отже, підвищення ефективності організаційно-економічних механізмів закладів охорони здоров’я можливе лише через синергетичне поєднання фінансових, управлінських, технологічних та соціальних інновацій. Системний підхід, орієнтований на стратегічне планування, цифровізацію та розвиток людського потенціалу, формує основу для стійкого розвитку медичних установ і підвищення якості медичної допомоги.</w:t>
      </w:r>
    </w:p>
    <w:p w14:paraId="3BE08871" w14:textId="77777777" w:rsidR="00052C0B" w:rsidRDefault="00052C0B">
      <w:pPr>
        <w:widowControl/>
        <w:tabs>
          <w:tab w:val="left" w:pos="709"/>
          <w:tab w:val="left" w:pos="993"/>
          <w:tab w:val="left" w:pos="1134"/>
        </w:tabs>
        <w:spacing w:line="360" w:lineRule="auto"/>
        <w:ind w:firstLine="709"/>
        <w:jc w:val="both"/>
        <w:rPr>
          <w:rFonts w:ascii="Times New Roman" w:eastAsia="Times New Roman" w:hAnsi="Times New Roman" w:cs="Times New Roman"/>
          <w:color w:val="auto"/>
          <w:sz w:val="28"/>
          <w:szCs w:val="28"/>
          <w:lang w:bidi="ar-SA"/>
        </w:rPr>
      </w:pPr>
    </w:p>
    <w:p w14:paraId="3BE08872" w14:textId="76783C9F" w:rsidR="00052C0B" w:rsidRDefault="006E6CE8">
      <w:pPr>
        <w:widowControl/>
        <w:tabs>
          <w:tab w:val="left" w:pos="709"/>
          <w:tab w:val="left" w:pos="993"/>
          <w:tab w:val="left" w:pos="1134"/>
        </w:tabs>
        <w:spacing w:line="360" w:lineRule="auto"/>
        <w:ind w:firstLine="709"/>
        <w:jc w:val="both"/>
        <w:rPr>
          <w:rFonts w:ascii="Times New Roman" w:eastAsia="Times New Roman" w:hAnsi="Times New Roman" w:cs="Times New Roman"/>
          <w:b/>
          <w:color w:val="auto"/>
          <w:sz w:val="28"/>
          <w:szCs w:val="28"/>
          <w:lang w:bidi="ar-SA"/>
        </w:rPr>
      </w:pPr>
      <w:r>
        <w:rPr>
          <w:rFonts w:ascii="Times New Roman" w:eastAsia="Times New Roman" w:hAnsi="Times New Roman" w:cs="Times New Roman"/>
          <w:b/>
          <w:color w:val="auto"/>
          <w:sz w:val="28"/>
          <w:szCs w:val="28"/>
          <w:lang w:bidi="ar-SA"/>
        </w:rPr>
        <w:t xml:space="preserve">3.2. </w:t>
      </w:r>
      <w:r w:rsidRPr="006E6CE8">
        <w:rPr>
          <w:rFonts w:ascii="Times New Roman" w:eastAsia="Times New Roman" w:hAnsi="Times New Roman" w:cs="Times New Roman"/>
          <w:b/>
          <w:color w:val="auto"/>
          <w:sz w:val="28"/>
          <w:szCs w:val="28"/>
          <w:lang w:bidi="ar-SA"/>
        </w:rPr>
        <w:t>Впровадження нових підходів до управління організаційно-економічними механізмами в закладах охорони здоров’я в умовах ринкових перетворень</w:t>
      </w:r>
    </w:p>
    <w:p w14:paraId="3BE08873" w14:textId="63E36497" w:rsidR="00052C0B" w:rsidRDefault="006E6CE8">
      <w:pPr>
        <w:widowControl/>
        <w:tabs>
          <w:tab w:val="left" w:pos="709"/>
          <w:tab w:val="left" w:pos="993"/>
          <w:tab w:val="left" w:pos="1134"/>
        </w:tabs>
        <w:spacing w:line="360" w:lineRule="auto"/>
        <w:ind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Необхідність формування та в</w:t>
      </w:r>
      <w:r w:rsidRPr="006E6CE8">
        <w:rPr>
          <w:rFonts w:ascii="Times New Roman" w:eastAsia="Times New Roman" w:hAnsi="Times New Roman" w:cs="Times New Roman"/>
          <w:color w:val="auto"/>
          <w:sz w:val="28"/>
          <w:szCs w:val="28"/>
          <w:lang w:bidi="ar-SA"/>
        </w:rPr>
        <w:t xml:space="preserve">провадження нових підходів до управління організаційно-економічними механізмами в закладах охорони здоров’я </w:t>
      </w:r>
      <w:r>
        <w:rPr>
          <w:rFonts w:ascii="Times New Roman" w:eastAsia="Times New Roman" w:hAnsi="Times New Roman" w:cs="Times New Roman"/>
          <w:color w:val="auto"/>
          <w:sz w:val="28"/>
          <w:szCs w:val="28"/>
          <w:lang w:bidi="ar-SA"/>
        </w:rPr>
        <w:t>істотно зростає в умовах сучасних трансформацій вітчизняної медичної системи. Нестача бюджетних ресурсів, поглиблення ринкових процесів, підвищення вартості медичних послуг та одночасне зниження їх доступності й якості формують складне середовище, у якому традиційні управлінські моделі втрачають ефективність.</w:t>
      </w:r>
    </w:p>
    <w:p w14:paraId="3BE08874" w14:textId="77777777" w:rsidR="00052C0B" w:rsidRDefault="006E6CE8">
      <w:pPr>
        <w:widowControl/>
        <w:tabs>
          <w:tab w:val="left" w:pos="709"/>
          <w:tab w:val="left" w:pos="993"/>
          <w:tab w:val="left" w:pos="1134"/>
        </w:tabs>
        <w:spacing w:line="360" w:lineRule="auto"/>
        <w:ind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Необхідність масштабного оновлення української системи охорони здоров’я є очевидною, адже за показником витрат на медицину на одну особу країна посідає лише 89-те місце у світі, а за тривалістю життя - 108-ме. У цьому контексті забезпечення галузі достатніми фінансовими ресурсами стає одним із ключових чинників успішності реформ, оскільки обсяг та раціональність використання коштів безпосередньо визначають досягнення очікуваних результатів</w:t>
      </w:r>
      <w:r>
        <w:rPr>
          <w:rFonts w:ascii="Times New Roman" w:eastAsia="Microsoft YaHei" w:hAnsi="Times New Roman" w:cs="Times New Roman"/>
          <w:color w:val="auto"/>
          <w:sz w:val="28"/>
          <w:szCs w:val="28"/>
          <w:lang w:val="en-US"/>
        </w:rPr>
        <w:t xml:space="preserve"> [</w:t>
      </w:r>
      <w:hyperlink r:id="rId43" w:tooltip="https://opendatabot.ua/c/02774415" w:history="1">
        <w:r>
          <w:rPr>
            <w:rFonts w:ascii="Times New Roman" w:eastAsia="Microsoft YaHei" w:hAnsi="Times New Roman" w:cs="Times New Roman"/>
            <w:color w:val="auto"/>
            <w:sz w:val="28"/>
            <w:szCs w:val="28"/>
          </w:rPr>
          <w:t>47</w:t>
        </w:r>
      </w:hyperlink>
      <w:r>
        <w:rPr>
          <w:rFonts w:ascii="Times New Roman" w:eastAsia="Microsoft YaHei" w:hAnsi="Times New Roman" w:cs="Times New Roman"/>
          <w:color w:val="auto"/>
          <w:sz w:val="28"/>
          <w:szCs w:val="28"/>
          <w:lang w:val="en-US"/>
        </w:rPr>
        <w:t>]</w:t>
      </w:r>
      <w:r>
        <w:rPr>
          <w:rFonts w:ascii="Times New Roman" w:eastAsia="Microsoft YaHei" w:hAnsi="Times New Roman" w:cs="Times New Roman"/>
          <w:color w:val="auto"/>
          <w:sz w:val="28"/>
          <w:szCs w:val="28"/>
        </w:rPr>
        <w:t>.</w:t>
      </w:r>
    </w:p>
    <w:p w14:paraId="3BE08875" w14:textId="77777777" w:rsidR="00052C0B" w:rsidRDefault="006E6CE8">
      <w:pPr>
        <w:widowControl/>
        <w:tabs>
          <w:tab w:val="left" w:pos="709"/>
          <w:tab w:val="left" w:pos="993"/>
          <w:tab w:val="left" w:pos="1134"/>
        </w:tabs>
        <w:spacing w:line="360" w:lineRule="auto"/>
        <w:ind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lastRenderedPageBreak/>
        <w:t>Розглядаючи державний та місцеві бюджети як основні джерела фінансового забезпечення галузі, варто підкреслити, що бюджетне фінансування традиційно гарантувало рівний доступ до медичних послуг, можливість оптимізації системи охорони здоров’я у масштабах держави та відносну простоту організації фінансових потоків та оплати праці.</w:t>
      </w:r>
    </w:p>
    <w:p w14:paraId="3BE08876" w14:textId="77777777" w:rsidR="00052C0B" w:rsidRDefault="006E6CE8">
      <w:pPr>
        <w:widowControl/>
        <w:tabs>
          <w:tab w:val="left" w:pos="709"/>
          <w:tab w:val="left" w:pos="993"/>
          <w:tab w:val="left" w:pos="1134"/>
        </w:tabs>
        <w:spacing w:line="360" w:lineRule="auto"/>
        <w:ind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Однак реформування фінансової моделі передбачає перехід від утримання закладів до оплати реально наданих медичних послуг. Запровадження принципу «гроші йдуть за пацієнтом» означає, що держава фінансуватиме конкретний пакет допомоги, наданий громадянину, а не діяльність установи загалом</w:t>
      </w:r>
      <w:r>
        <w:rPr>
          <w:rFonts w:ascii="Times New Roman" w:eastAsia="Microsoft YaHei" w:hAnsi="Times New Roman" w:cs="Times New Roman"/>
          <w:color w:val="auto"/>
          <w:sz w:val="28"/>
          <w:szCs w:val="28"/>
          <w:lang w:val="en-US"/>
        </w:rPr>
        <w:t xml:space="preserve"> [</w:t>
      </w:r>
      <w:hyperlink r:id="rId44" w:tooltip="https://opendatabot.ua/c/02774415" w:history="1">
        <w:r>
          <w:rPr>
            <w:rFonts w:ascii="Times New Roman" w:eastAsia="Microsoft YaHei" w:hAnsi="Times New Roman" w:cs="Times New Roman"/>
            <w:color w:val="auto"/>
            <w:sz w:val="28"/>
            <w:szCs w:val="28"/>
          </w:rPr>
          <w:t>48</w:t>
        </w:r>
      </w:hyperlink>
      <w:r>
        <w:rPr>
          <w:rFonts w:ascii="Times New Roman" w:eastAsia="Microsoft YaHei" w:hAnsi="Times New Roman" w:cs="Times New Roman"/>
          <w:color w:val="auto"/>
          <w:sz w:val="28"/>
          <w:szCs w:val="28"/>
          <w:lang w:val="en-US"/>
        </w:rPr>
        <w:t>]</w:t>
      </w:r>
      <w:r>
        <w:rPr>
          <w:rFonts w:ascii="Times New Roman" w:eastAsia="Microsoft YaHei" w:hAnsi="Times New Roman" w:cs="Times New Roman"/>
          <w:color w:val="auto"/>
          <w:sz w:val="28"/>
          <w:szCs w:val="28"/>
        </w:rPr>
        <w:t>.</w:t>
      </w:r>
    </w:p>
    <w:p w14:paraId="3BE08877" w14:textId="77777777" w:rsidR="00052C0B" w:rsidRDefault="006E6CE8">
      <w:pPr>
        <w:widowControl/>
        <w:tabs>
          <w:tab w:val="left" w:pos="709"/>
          <w:tab w:val="left" w:pos="993"/>
          <w:tab w:val="left" w:pos="1134"/>
        </w:tabs>
        <w:spacing w:line="360" w:lineRule="auto"/>
        <w:ind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Для реалізації цієї моделі створено Національну службу здоров’я України (НСЗУ), яка укладає договори з медичними закладами та лікарями-ФОПами і здійснює оплату на основі кількості пацієнтів, що отримали послуги. Таким чином забезпечуються уніфіковані стандарти медичної допомоги та рівні можливості доступу до неї незалежно від місця проживання громадянина.</w:t>
      </w:r>
    </w:p>
    <w:p w14:paraId="3BE08878" w14:textId="77777777" w:rsidR="00052C0B" w:rsidRDefault="006E6CE8">
      <w:pPr>
        <w:widowControl/>
        <w:tabs>
          <w:tab w:val="left" w:pos="709"/>
          <w:tab w:val="left" w:pos="993"/>
          <w:tab w:val="left" w:pos="1134"/>
        </w:tabs>
        <w:spacing w:line="360" w:lineRule="auto"/>
        <w:ind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На перехідний період у вторинній і третинній ланках частково зберігається фінансування через медичну субвенцію. Очікується, що законодавчі зміни сприятимуть підвищенню ефективності використання бюджетних коштів, однак для забезпечення належного обсягу та якості медичної допомоги у сферах високотехнологічного лікування, соціально орієнтованих послуг та терапії тяжких хвороб необхідним залишається подальше розширення та диверсифікація джерел фінансування (табл. 3.1).</w:t>
      </w:r>
    </w:p>
    <w:p w14:paraId="3BE08879" w14:textId="77777777" w:rsidR="00052C0B" w:rsidRDefault="006E6CE8">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Для подальшого розвитку системи охорони здоров’я необхідним є формування моделі фінансування, яка одночасно враховуватиме реальні фінансові можливості громадян та забезпечуватиме їхні потреби в медичній допомозі. Оптимальним рішенням є поєднання кількох джерел надходжень, що дозволяє зміцнити фінансову базу галузі та підвищити якість надання медичних послуг. Збалансований розподіл фінансового навантаження між державою, роботодавцями та населенням сприятиме збільшенню доступних </w:t>
      </w:r>
      <w:r>
        <w:rPr>
          <w:rFonts w:ascii="Times New Roman" w:eastAsia="Microsoft YaHei" w:hAnsi="Times New Roman" w:cs="Times New Roman"/>
          <w:sz w:val="28"/>
          <w:szCs w:val="28"/>
        </w:rPr>
        <w:lastRenderedPageBreak/>
        <w:t>ресурсів і підвищенню ефективності системи</w:t>
      </w:r>
      <w:r>
        <w:rPr>
          <w:rFonts w:ascii="Times New Roman" w:eastAsia="Microsoft YaHei" w:hAnsi="Times New Roman" w:cs="Times New Roman"/>
          <w:color w:val="auto"/>
          <w:sz w:val="28"/>
          <w:szCs w:val="28"/>
          <w:lang w:val="en-US"/>
        </w:rPr>
        <w:t xml:space="preserve"> [</w:t>
      </w:r>
      <w:hyperlink r:id="rId45" w:tooltip="https://opendatabot.ua/c/02774415" w:history="1">
        <w:r>
          <w:rPr>
            <w:rFonts w:ascii="Times New Roman" w:eastAsia="Microsoft YaHei" w:hAnsi="Times New Roman" w:cs="Times New Roman"/>
            <w:color w:val="auto"/>
            <w:sz w:val="28"/>
            <w:szCs w:val="28"/>
          </w:rPr>
          <w:t>49</w:t>
        </w:r>
      </w:hyperlink>
      <w:r>
        <w:rPr>
          <w:rFonts w:ascii="Times New Roman" w:eastAsia="Microsoft YaHei" w:hAnsi="Times New Roman" w:cs="Times New Roman"/>
          <w:color w:val="auto"/>
          <w:sz w:val="28"/>
          <w:szCs w:val="28"/>
          <w:lang w:val="en-US"/>
        </w:rPr>
        <w:t>]</w:t>
      </w:r>
      <w:r>
        <w:rPr>
          <w:rFonts w:ascii="Times New Roman" w:eastAsia="Microsoft YaHei" w:hAnsi="Times New Roman" w:cs="Times New Roman"/>
          <w:color w:val="auto"/>
          <w:sz w:val="28"/>
          <w:szCs w:val="28"/>
        </w:rPr>
        <w:t>.</w:t>
      </w:r>
    </w:p>
    <w:p w14:paraId="3BE0887A" w14:textId="77777777" w:rsidR="00052C0B" w:rsidRDefault="006E6CE8">
      <w:pPr>
        <w:widowControl/>
        <w:tabs>
          <w:tab w:val="left" w:pos="709"/>
          <w:tab w:val="left" w:pos="993"/>
          <w:tab w:val="left" w:pos="1134"/>
        </w:tabs>
        <w:spacing w:line="360" w:lineRule="auto"/>
        <w:ind w:firstLine="709"/>
        <w:jc w:val="right"/>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Таблиця 3.1</w:t>
      </w:r>
    </w:p>
    <w:p w14:paraId="3BE0887B" w14:textId="77777777" w:rsidR="00052C0B" w:rsidRDefault="006E6CE8">
      <w:pPr>
        <w:widowControl/>
        <w:tabs>
          <w:tab w:val="left" w:pos="709"/>
          <w:tab w:val="left" w:pos="993"/>
          <w:tab w:val="left" w:pos="1134"/>
        </w:tabs>
        <w:spacing w:line="360" w:lineRule="auto"/>
        <w:ind w:firstLine="709"/>
        <w:jc w:val="center"/>
        <w:rPr>
          <w:rFonts w:ascii="Times New Roman" w:eastAsia="Times New Roman" w:hAnsi="Times New Roman" w:cs="Times New Roman"/>
          <w:b/>
          <w:bCs/>
          <w:color w:val="auto"/>
          <w:sz w:val="28"/>
          <w:szCs w:val="28"/>
        </w:rPr>
      </w:pPr>
      <w:r>
        <w:rPr>
          <w:rFonts w:ascii="Times New Roman" w:eastAsia="Times New Roman" w:hAnsi="Times New Roman" w:cs="Times New Roman"/>
          <w:b/>
          <w:bCs/>
          <w:color w:val="auto"/>
          <w:sz w:val="28"/>
          <w:szCs w:val="28"/>
          <w:lang w:bidi="ar-SA"/>
        </w:rPr>
        <w:t>Диверсифікація фінансових потоків у сфері охорони здоров’я</w:t>
      </w:r>
    </w:p>
    <w:tbl>
      <w:tblPr>
        <w:tblStyle w:val="44"/>
        <w:tblW w:w="0" w:type="auto"/>
        <w:tblLook w:val="04A0" w:firstRow="1" w:lastRow="0" w:firstColumn="1" w:lastColumn="0" w:noHBand="0" w:noVBand="1"/>
      </w:tblPr>
      <w:tblGrid>
        <w:gridCol w:w="3247"/>
        <w:gridCol w:w="6097"/>
      </w:tblGrid>
      <w:tr w:rsidR="00052C0B" w14:paraId="3BE0887E" w14:textId="77777777">
        <w:tc>
          <w:tcPr>
            <w:tcW w:w="0" w:type="auto"/>
            <w:shd w:val="clear" w:color="auto" w:fill="E2EFD9"/>
            <w:vAlign w:val="center"/>
          </w:tcPr>
          <w:p w14:paraId="3BE0887C" w14:textId="77777777" w:rsidR="00052C0B" w:rsidRDefault="006E6CE8">
            <w:pPr>
              <w:widowControl/>
              <w:jc w:val="center"/>
              <w:rPr>
                <w:rFonts w:ascii="Times New Roman" w:eastAsia="Times New Roman" w:hAnsi="Times New Roman" w:cs="Times New Roman"/>
                <w:bCs/>
                <w:color w:val="auto"/>
                <w:lang w:bidi="ar-SA"/>
              </w:rPr>
            </w:pPr>
            <w:r>
              <w:rPr>
                <w:rFonts w:ascii="Times New Roman" w:eastAsia="Times New Roman" w:hAnsi="Times New Roman" w:cs="Times New Roman"/>
                <w:bCs/>
                <w:color w:val="auto"/>
                <w:lang w:bidi="ar-SA"/>
              </w:rPr>
              <w:t>Джерело фінансових ресурсів</w:t>
            </w:r>
          </w:p>
        </w:tc>
        <w:tc>
          <w:tcPr>
            <w:tcW w:w="0" w:type="auto"/>
            <w:shd w:val="clear" w:color="auto" w:fill="E2EFD9"/>
            <w:vAlign w:val="center"/>
          </w:tcPr>
          <w:p w14:paraId="3BE0887D" w14:textId="77777777" w:rsidR="00052C0B" w:rsidRDefault="006E6CE8">
            <w:pPr>
              <w:widowControl/>
              <w:jc w:val="center"/>
              <w:rPr>
                <w:rFonts w:ascii="Times New Roman" w:eastAsia="Times New Roman" w:hAnsi="Times New Roman" w:cs="Times New Roman"/>
                <w:bCs/>
                <w:color w:val="auto"/>
                <w:lang w:bidi="ar-SA"/>
              </w:rPr>
            </w:pPr>
            <w:r>
              <w:rPr>
                <w:rFonts w:ascii="Times New Roman" w:eastAsia="Times New Roman" w:hAnsi="Times New Roman" w:cs="Times New Roman"/>
                <w:bCs/>
                <w:color w:val="auto"/>
                <w:lang w:bidi="ar-SA"/>
              </w:rPr>
              <w:t>Характеристика</w:t>
            </w:r>
          </w:p>
        </w:tc>
      </w:tr>
      <w:tr w:rsidR="00052C0B" w14:paraId="3BE08881" w14:textId="77777777">
        <w:tc>
          <w:tcPr>
            <w:tcW w:w="0" w:type="auto"/>
            <w:shd w:val="clear" w:color="auto" w:fill="DEEAF6"/>
            <w:vAlign w:val="center"/>
          </w:tcPr>
          <w:p w14:paraId="3BE0887F"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bCs/>
                <w:color w:val="auto"/>
                <w:lang w:bidi="ar-SA"/>
              </w:rPr>
              <w:t>Обов’язкове медичне страхування</w:t>
            </w:r>
          </w:p>
        </w:tc>
        <w:tc>
          <w:tcPr>
            <w:tcW w:w="0" w:type="auto"/>
            <w:shd w:val="clear" w:color="auto" w:fill="FFF2CC"/>
          </w:tcPr>
          <w:p w14:paraId="3BE08880"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Реалізація послуг у межах обов’язкового медичного страхування здійснюється страховими компаніями, які мають відповідні ліцензії. Ефективність такої моделі потребує формування страхових пулів – об’єднаних фондів, що забезпечують перерозподіл ризиків лікування між великою кількістю застрахованих осіб, мінімізуючи індивідуальні фінансові втрати.</w:t>
            </w:r>
          </w:p>
        </w:tc>
      </w:tr>
      <w:tr w:rsidR="00052C0B" w14:paraId="3BE08884" w14:textId="77777777">
        <w:tc>
          <w:tcPr>
            <w:tcW w:w="0" w:type="auto"/>
            <w:shd w:val="clear" w:color="auto" w:fill="DEEAF6"/>
            <w:vAlign w:val="center"/>
          </w:tcPr>
          <w:p w14:paraId="3BE08882"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bCs/>
                <w:color w:val="auto"/>
                <w:lang w:bidi="ar-SA"/>
              </w:rPr>
              <w:t>Кошти фондів добровільного медичного страхування</w:t>
            </w:r>
          </w:p>
        </w:tc>
        <w:tc>
          <w:tcPr>
            <w:tcW w:w="0" w:type="auto"/>
            <w:shd w:val="clear" w:color="auto" w:fill="FFF2CC"/>
          </w:tcPr>
          <w:p w14:paraId="3BE08883"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Добровільне страхування дозволяє покривати у повному чи частковому обсязі витрати на медичні та профілактичні послуги відповідно до умов договору. Однак цей інструмент є обмежено доступним для населення з низьким рівнем доходів і практично недосяжним для соціально вразливих груп.</w:t>
            </w:r>
          </w:p>
        </w:tc>
      </w:tr>
      <w:tr w:rsidR="00052C0B" w14:paraId="3BE08887" w14:textId="77777777">
        <w:tc>
          <w:tcPr>
            <w:tcW w:w="0" w:type="auto"/>
            <w:shd w:val="clear" w:color="auto" w:fill="DEEAF6"/>
            <w:vAlign w:val="center"/>
          </w:tcPr>
          <w:p w14:paraId="3BE08885"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bCs/>
                <w:color w:val="auto"/>
                <w:lang w:bidi="ar-SA"/>
              </w:rPr>
              <w:t>Кошти населення (співфінансування)</w:t>
            </w:r>
          </w:p>
        </w:tc>
        <w:tc>
          <w:tcPr>
            <w:tcW w:w="0" w:type="auto"/>
            <w:shd w:val="clear" w:color="auto" w:fill="FFF2CC"/>
          </w:tcPr>
          <w:p w14:paraId="3BE08886"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Система співплатежів є доцільною для послуг, які пацієнт ініціює самостійно і відмова від яких не несе загрози здоров’ю. Механізм також може застосовуватися тоді, коли пацієнт бажає отримати гарантовану державою послугу в комфортніших умовах або позачергово.</w:t>
            </w:r>
          </w:p>
        </w:tc>
      </w:tr>
      <w:tr w:rsidR="00052C0B" w14:paraId="3BE0888A" w14:textId="77777777">
        <w:tc>
          <w:tcPr>
            <w:tcW w:w="0" w:type="auto"/>
            <w:shd w:val="clear" w:color="auto" w:fill="DEEAF6"/>
            <w:vAlign w:val="center"/>
          </w:tcPr>
          <w:p w14:paraId="3BE08888"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bCs/>
                <w:color w:val="auto"/>
                <w:lang w:bidi="ar-SA"/>
              </w:rPr>
              <w:t>Інноваційні джерела: державно-приватне партнерство (ДПП), зокрема фасиліті-менеджмент</w:t>
            </w:r>
          </w:p>
        </w:tc>
        <w:tc>
          <w:tcPr>
            <w:tcW w:w="0" w:type="auto"/>
            <w:shd w:val="clear" w:color="auto" w:fill="FFF2CC"/>
          </w:tcPr>
          <w:p w14:paraId="3BE08889"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Запровадження фасиліті-менеджменту дає змогу оптимізувати витрати на утримання медичних об’єктів і покращити якість сервісу. Це досягається шляхом передання непрофільних функцій (прибирання, технічне обслуговування, харчування тощо) на аутсорсинг, а також завдяки економії на централізованих закупівлях.</w:t>
            </w:r>
          </w:p>
        </w:tc>
      </w:tr>
      <w:tr w:rsidR="00052C0B" w14:paraId="3BE0888D" w14:textId="77777777">
        <w:tc>
          <w:tcPr>
            <w:tcW w:w="0" w:type="auto"/>
            <w:shd w:val="clear" w:color="auto" w:fill="DEEAF6"/>
            <w:vAlign w:val="center"/>
          </w:tcPr>
          <w:p w14:paraId="3BE0888B"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bCs/>
                <w:color w:val="auto"/>
                <w:lang w:bidi="ar-SA"/>
              </w:rPr>
              <w:t>Кошти накопичувальних фондів громад, благодійних організацій та пожертвування</w:t>
            </w:r>
          </w:p>
        </w:tc>
        <w:tc>
          <w:tcPr>
            <w:tcW w:w="0" w:type="auto"/>
            <w:shd w:val="clear" w:color="auto" w:fill="FFF2CC"/>
          </w:tcPr>
          <w:p w14:paraId="3BE0888C" w14:textId="77777777" w:rsidR="00052C0B" w:rsidRDefault="006E6CE8">
            <w:pPr>
              <w:widowControl/>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Попри важливість таких надходжень, вони мають епізодичний характер, тому повинні розглядатися як додаткове, позапланове джерело фінансування. Використання цих коштів доцільно орієнтувати на потреби конкретного закладу та ситуаційні завдання.</w:t>
            </w:r>
          </w:p>
        </w:tc>
      </w:tr>
    </w:tbl>
    <w:p w14:paraId="3BE0888E" w14:textId="77777777" w:rsidR="00052C0B" w:rsidRDefault="006E6CE8">
      <w:pPr>
        <w:tabs>
          <w:tab w:val="left" w:pos="1134"/>
        </w:tabs>
        <w:spacing w:line="360" w:lineRule="auto"/>
        <w:ind w:firstLine="709"/>
        <w:jc w:val="both"/>
        <w:rPr>
          <w:rFonts w:ascii="Times New Roman" w:eastAsia="Microsoft YaHei" w:hAnsi="Times New Roman" w:cs="Times New Roman"/>
          <w:i/>
        </w:rPr>
      </w:pPr>
      <w:r>
        <w:rPr>
          <w:rFonts w:ascii="Times New Roman" w:eastAsia="Microsoft YaHei" w:hAnsi="Times New Roman" w:cs="Times New Roman"/>
          <w:i/>
        </w:rPr>
        <w:t>Джерело: складено автором</w:t>
      </w:r>
    </w:p>
    <w:p w14:paraId="3BE0888F" w14:textId="77777777" w:rsidR="00052C0B" w:rsidRDefault="00052C0B">
      <w:pPr>
        <w:tabs>
          <w:tab w:val="left" w:pos="1134"/>
        </w:tabs>
        <w:spacing w:line="360" w:lineRule="auto"/>
        <w:ind w:firstLine="709"/>
        <w:jc w:val="both"/>
        <w:rPr>
          <w:rFonts w:ascii="Times New Roman" w:eastAsia="Microsoft YaHei" w:hAnsi="Times New Roman" w:cs="Times New Roman"/>
          <w:i/>
        </w:rPr>
      </w:pPr>
    </w:p>
    <w:p w14:paraId="3BE08890" w14:textId="77777777" w:rsidR="00052C0B" w:rsidRDefault="006E6CE8">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Сучасні трансформації довели, що медичний заклад перестає бути пасивною установою і набуває рис повноцінного підприємства. Якщо кошторисна модель передбачала лише фіксацію витрат, то робота за бюджетом або фінансовим планом вимагає активного пошуку джерел доходів і гнучкого планування. На відміну від статичного кошторису, бюджет дає можливість коригувати фінансові показники відповідно до результатів діяльності</w:t>
      </w:r>
      <w:r>
        <w:rPr>
          <w:rFonts w:ascii="Times New Roman" w:eastAsia="Microsoft YaHei" w:hAnsi="Times New Roman" w:cs="Times New Roman"/>
          <w:color w:val="auto"/>
          <w:sz w:val="28"/>
          <w:szCs w:val="28"/>
          <w:lang w:val="en-US"/>
        </w:rPr>
        <w:t xml:space="preserve"> [</w:t>
      </w:r>
      <w:hyperlink r:id="rId46" w:tooltip="https://opendatabot.ua/c/02774415" w:history="1">
        <w:r>
          <w:rPr>
            <w:rFonts w:ascii="Times New Roman" w:eastAsia="Microsoft YaHei" w:hAnsi="Times New Roman" w:cs="Times New Roman"/>
            <w:color w:val="auto"/>
            <w:sz w:val="28"/>
            <w:szCs w:val="28"/>
          </w:rPr>
          <w:t>49</w:t>
        </w:r>
      </w:hyperlink>
      <w:r>
        <w:rPr>
          <w:rFonts w:ascii="Times New Roman" w:eastAsia="Microsoft YaHei" w:hAnsi="Times New Roman" w:cs="Times New Roman"/>
          <w:color w:val="auto"/>
          <w:sz w:val="28"/>
          <w:szCs w:val="28"/>
          <w:lang w:val="en-US"/>
        </w:rPr>
        <w:t>]</w:t>
      </w:r>
      <w:r>
        <w:rPr>
          <w:rFonts w:ascii="Times New Roman" w:eastAsia="Microsoft YaHei" w:hAnsi="Times New Roman" w:cs="Times New Roman"/>
          <w:color w:val="auto"/>
          <w:sz w:val="28"/>
          <w:szCs w:val="28"/>
        </w:rPr>
        <w:t>.</w:t>
      </w:r>
    </w:p>
    <w:p w14:paraId="3BE08891" w14:textId="77777777" w:rsidR="00052C0B" w:rsidRDefault="006E6CE8">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lastRenderedPageBreak/>
        <w:t>Управління в сфері охорони здоров’я має розвиватися відповідно до змін ринку медичних послуг та нових фінансових механізмів. Оскільки галузь є складною соціальною системою, її ефективність безпосередньо залежить від професійності управління. Хоча принципи менеджменту в медицині багато в чому подібні до принципів управління іншими секторами економіки, вони мають власну специфіку, зумовлену суспільною значущістю медичної допомоги.</w:t>
      </w:r>
    </w:p>
    <w:p w14:paraId="3BE08892" w14:textId="77777777" w:rsidR="00052C0B" w:rsidRDefault="006E6CE8">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Прийняття обґрунтованих управлінських рішень можливе лише за умови використання якісних даних - статистичних, економічних, аналітичних. Це потребує повноцінного впровадження медичних інформаційних систем, здатних забезпечити своєчасний облік, контроль і планування</w:t>
      </w:r>
      <w:r>
        <w:rPr>
          <w:rFonts w:ascii="Times New Roman" w:eastAsia="Microsoft YaHei" w:hAnsi="Times New Roman" w:cs="Times New Roman"/>
          <w:color w:val="auto"/>
          <w:sz w:val="28"/>
          <w:szCs w:val="28"/>
          <w:lang w:val="en-US"/>
        </w:rPr>
        <w:t xml:space="preserve"> [</w:t>
      </w:r>
      <w:hyperlink r:id="rId47" w:tooltip="https://opendatabot.ua/c/02774415" w:history="1">
        <w:r>
          <w:rPr>
            <w:rFonts w:ascii="Times New Roman" w:eastAsia="Microsoft YaHei" w:hAnsi="Times New Roman" w:cs="Times New Roman"/>
            <w:color w:val="auto"/>
            <w:sz w:val="28"/>
            <w:szCs w:val="28"/>
          </w:rPr>
          <w:t>50</w:t>
        </w:r>
      </w:hyperlink>
      <w:r>
        <w:rPr>
          <w:rFonts w:ascii="Times New Roman" w:eastAsia="Microsoft YaHei" w:hAnsi="Times New Roman" w:cs="Times New Roman"/>
          <w:color w:val="auto"/>
          <w:sz w:val="28"/>
          <w:szCs w:val="28"/>
          <w:lang w:val="en-US"/>
        </w:rPr>
        <w:t>]</w:t>
      </w:r>
      <w:r>
        <w:rPr>
          <w:rFonts w:ascii="Times New Roman" w:eastAsia="Microsoft YaHei" w:hAnsi="Times New Roman" w:cs="Times New Roman"/>
          <w:color w:val="auto"/>
          <w:sz w:val="28"/>
          <w:szCs w:val="28"/>
        </w:rPr>
        <w:t>.</w:t>
      </w:r>
    </w:p>
    <w:p w14:paraId="3BE08893" w14:textId="77777777" w:rsidR="00052C0B" w:rsidRDefault="006E6CE8">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Охорона здоров’я як суспільна галузь ставить перед керівниками подвійне завдання: забезпечити збереження здоров’я населення та створити умови для стабільного розвитку власних організацій. Сучасний медичний менеджер повинен володіти компетенціями не лише у клінічній сфері, а й у менеджменті, маркетингу, економіці та праві. Це передбачає вміння управляти мережею послуг, забезпечувати якість, виходити за межі внутрішніх процесів та працювати з фінансами, орієнтуючись на ефективність.</w:t>
      </w:r>
    </w:p>
    <w:p w14:paraId="3BE08894" w14:textId="77777777" w:rsidR="00052C0B" w:rsidRDefault="006E6CE8">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Керівник медичного закладу як стратег має підтримувати постійний зв’язок із зовнішнім середовищем, своєчасно реагувати на зміни та ризики. Як лідер - формувати бачення розвитку організації на тривалу перспективу та шукати нові можливості її зміцнення та модернізації.</w:t>
      </w:r>
    </w:p>
    <w:p w14:paraId="3BE08895" w14:textId="77777777" w:rsidR="00052C0B" w:rsidRDefault="006E6CE8">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У процесі автономізації медичних закладів відбувається комплексна трансформація їхньої фінансово-господарської, управлінської та організаційної діяльності. Основні зміни передбачають:</w:t>
      </w:r>
    </w:p>
    <w:p w14:paraId="3BE08896" w14:textId="77777777" w:rsidR="00052C0B" w:rsidRDefault="006E6CE8">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1. Трансформацію організаційно-правового статусу, коли заклад переходить від статусу бюджетної установи до комунального некомерційного підприємства.</w:t>
      </w:r>
    </w:p>
    <w:p w14:paraId="3BE08897" w14:textId="77777777" w:rsidR="00052C0B" w:rsidRDefault="006E6CE8">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2. Посилення управлінської автономії керівника, який отримує розширені повноваження щодо розпорядження фінансовими ресурсами, </w:t>
      </w:r>
      <w:r>
        <w:rPr>
          <w:rFonts w:ascii="Times New Roman" w:eastAsia="Microsoft YaHei" w:hAnsi="Times New Roman" w:cs="Times New Roman"/>
          <w:sz w:val="28"/>
          <w:szCs w:val="28"/>
        </w:rPr>
        <w:lastRenderedPageBreak/>
        <w:t>активами, організації внутрішньої структури та формування кадрової політики.</w:t>
      </w:r>
    </w:p>
    <w:p w14:paraId="3BE08898" w14:textId="77777777" w:rsidR="00052C0B" w:rsidRDefault="006E6CE8">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3. Лібералізацію системи оплати праці, що дозволяє закладу самостійно визначати форми, підходи та інструменти матеріального стимулювання персоналу відповідно до чинного законодавства.</w:t>
      </w:r>
    </w:p>
    <w:p w14:paraId="3BE08899" w14:textId="77777777" w:rsidR="00052C0B" w:rsidRDefault="006E6CE8">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4. Перехід до сучасних фінансових моделей управління, зокрема формування власного фінансового плану замість кошторисного фінансування, що потребує впровадження інструментів фінансового менеджменту підприємницького типу.</w:t>
      </w:r>
    </w:p>
    <w:p w14:paraId="3BE0889A" w14:textId="77777777" w:rsidR="00052C0B" w:rsidRDefault="006E6CE8">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5. Можливість створення об’єднань підприємств, що дозволяє медичним закладам спільно оптимізувати використання фінансових, матеріальних та кадрових ресурсів, застосовуючи принципи аутсорсингу та перерозподілу функцій.</w:t>
      </w:r>
    </w:p>
    <w:p w14:paraId="3BE0889B" w14:textId="77777777" w:rsidR="00052C0B" w:rsidRDefault="006E6CE8">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6. Залучення лікарів-підприємців за цивільно-правовими угодами, що розширює кадрову гнучкість і підсилює конкурентність медичних послуг.</w:t>
      </w:r>
    </w:p>
    <w:p w14:paraId="3BE0889C" w14:textId="77777777" w:rsidR="00052C0B" w:rsidRDefault="006E6CE8">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У сукупності ці процеси змінюють управлінську парадигму системи охорони здоров’я, оскільки:</w:t>
      </w:r>
    </w:p>
    <w:p w14:paraId="3BE0889D" w14:textId="77777777" w:rsidR="00052C0B" w:rsidRDefault="006E6CE8">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елементи підприємницької діяльності стають характерними не лише для приватних, а й для комунальних закладів;</w:t>
      </w:r>
    </w:p>
    <w:p w14:paraId="3BE0889E" w14:textId="77777777" w:rsidR="00052C0B" w:rsidRDefault="006E6CE8">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зростає значення бізнес-планування як ключового інструмента визначення стратегічних та операційних цілей;</w:t>
      </w:r>
    </w:p>
    <w:p w14:paraId="3BE0889F" w14:textId="77777777" w:rsidR="00052C0B" w:rsidRDefault="006E6CE8">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заклади охорони здоров’я переходять до використання комплексних механізмів фінансового менеджменту для ефективного управління активами;</w:t>
      </w:r>
    </w:p>
    <w:p w14:paraId="3BE088A0" w14:textId="77777777" w:rsidR="00052C0B" w:rsidRDefault="006E6CE8">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посилюється роль стратегічного менеджменту в середньо- і довгостроковому плануванні діяльності;</w:t>
      </w:r>
    </w:p>
    <w:p w14:paraId="3BE088A1" w14:textId="77777777" w:rsidR="00052C0B" w:rsidRDefault="006E6CE8">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змінюється підхід до кадрової політики, що стимулює впровадження сучасних моделей управління персоналом</w:t>
      </w:r>
      <w:r>
        <w:rPr>
          <w:rFonts w:ascii="Times New Roman" w:eastAsia="Microsoft YaHei" w:hAnsi="Times New Roman" w:cs="Times New Roman"/>
          <w:color w:val="auto"/>
          <w:sz w:val="28"/>
          <w:szCs w:val="28"/>
          <w:lang w:val="en-US"/>
        </w:rPr>
        <w:t xml:space="preserve"> [</w:t>
      </w:r>
      <w:hyperlink r:id="rId48" w:tooltip="https://opendatabot.ua/c/02774415" w:history="1">
        <w:r>
          <w:rPr>
            <w:rFonts w:ascii="Times New Roman" w:eastAsia="Microsoft YaHei" w:hAnsi="Times New Roman" w:cs="Times New Roman"/>
            <w:color w:val="auto"/>
            <w:sz w:val="28"/>
            <w:szCs w:val="28"/>
          </w:rPr>
          <w:t>49</w:t>
        </w:r>
      </w:hyperlink>
      <w:r>
        <w:rPr>
          <w:rFonts w:ascii="Times New Roman" w:eastAsia="Microsoft YaHei" w:hAnsi="Times New Roman" w:cs="Times New Roman"/>
          <w:color w:val="auto"/>
          <w:sz w:val="28"/>
          <w:szCs w:val="28"/>
          <w:lang w:val="en-US"/>
        </w:rPr>
        <w:t>]</w:t>
      </w:r>
      <w:r>
        <w:rPr>
          <w:rFonts w:ascii="Times New Roman" w:eastAsia="Microsoft YaHei" w:hAnsi="Times New Roman" w:cs="Times New Roman"/>
          <w:color w:val="auto"/>
          <w:sz w:val="28"/>
          <w:szCs w:val="28"/>
        </w:rPr>
        <w:t>.</w:t>
      </w:r>
    </w:p>
    <w:p w14:paraId="3BE088A2" w14:textId="77777777" w:rsidR="00052C0B" w:rsidRDefault="006E6CE8">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Пандемія COVID-19 стала безпрецедентним викликом для системи охорони здоров’я України, проявивши глибокі фінансові, організаційні та управлінські дисфункції. В умовах надзвичайної епідеміологічної ситуації </w:t>
      </w:r>
      <w:r>
        <w:rPr>
          <w:rFonts w:ascii="Times New Roman" w:eastAsia="Microsoft YaHei" w:hAnsi="Times New Roman" w:cs="Times New Roman"/>
          <w:sz w:val="28"/>
          <w:szCs w:val="28"/>
        </w:rPr>
        <w:lastRenderedPageBreak/>
        <w:t>особливої актуальності набуває формування ефективного механізму управління діяльністю медичних закладів.</w:t>
      </w:r>
    </w:p>
    <w:p w14:paraId="3BE088A3" w14:textId="77777777" w:rsidR="00052C0B" w:rsidRDefault="006E6CE8">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Оголошення воєнного стану в Україні також вимагало негайного реагування. Велика кількість військових, людей з психічними розладами, що потребували медичної допомоги, примусили переглянути підхід до застосування організаційно-економічних механізмів державного управління медичними закладами. </w:t>
      </w:r>
    </w:p>
    <w:p w14:paraId="3BE088A4" w14:textId="77777777" w:rsidR="00052C0B" w:rsidRDefault="006E6CE8">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Проблеми, з якими зіштовхуються лікарні, мають комплексний характер.</w:t>
      </w:r>
    </w:p>
    <w:p w14:paraId="3BE088A5" w14:textId="77777777" w:rsidR="00052C0B" w:rsidRDefault="006E6CE8">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По-перше, виявлено критичну потребу у модернізації матеріально-технічної бази. Багатьом медичним закладам бракує сучасного діагностичного та лікувального обладнання, зокрема апаратів штучної вентиляції легень, а в окремих лікарнях така апаратура відсутня повністю. Паралельно зростає потреба в засобах індивідуального захисту, дезінфекційних засобах та інших витратних матеріалах. Для протезування військових активно залучається 3</w:t>
      </w:r>
      <w:r>
        <w:rPr>
          <w:rFonts w:ascii="Times New Roman" w:eastAsia="Microsoft YaHei" w:hAnsi="Times New Roman" w:cs="Times New Roman"/>
          <w:sz w:val="28"/>
          <w:szCs w:val="28"/>
          <w:lang w:val="en-US"/>
        </w:rPr>
        <w:t>D</w:t>
      </w:r>
      <w:r>
        <w:rPr>
          <w:rFonts w:ascii="Times New Roman" w:eastAsia="Microsoft YaHei" w:hAnsi="Times New Roman" w:cs="Times New Roman"/>
          <w:sz w:val="28"/>
          <w:szCs w:val="28"/>
        </w:rPr>
        <w:t>-моделювання, зростає роль психологів та психіатрів.</w:t>
      </w:r>
    </w:p>
    <w:p w14:paraId="3BE088A6" w14:textId="77777777" w:rsidR="00052C0B" w:rsidRDefault="006E6CE8">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По-друге, виникла необхідність оперативного формування спеціалізованих медичних бригад, задіяних у лікуванні пацієнтів із COVID-19 або проведенні забору біоматеріалу для тестування, а під час війни особливо потребується масштабна перекваліфікація персоналу, адаптація внутрішніх протоколів, розроблення нових алгоритмів роботи та підвищення рівня професійної готовності колективу.</w:t>
      </w:r>
    </w:p>
    <w:p w14:paraId="3BE088A7" w14:textId="77777777" w:rsidR="00052C0B" w:rsidRDefault="006E6CE8">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По-третє, ключовим стає безперервний критичний аналіз стрімко змінюваних умов та швидке ухвалення обґрунтованих управлінських рішень. За таких обставин стандартні управлінські підходи втрачають ефективність, а лікарні потребують переходу до антикризового менеджменту.</w:t>
      </w:r>
    </w:p>
    <w:p w14:paraId="3BE088A8" w14:textId="77777777" w:rsidR="00052C0B" w:rsidRDefault="006E6CE8">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У періоди подібних криз необхідним елементом управління стає впровадження антикризової моделі менеджменту. Вона передбачає наявність підсилювального управлінського ресурсу, функцію якого може виконувати опікунська рада - дорадчий орган, що бере участь у формуванні стратегії </w:t>
      </w:r>
      <w:r>
        <w:rPr>
          <w:rFonts w:ascii="Times New Roman" w:eastAsia="Microsoft YaHei" w:hAnsi="Times New Roman" w:cs="Times New Roman"/>
          <w:sz w:val="28"/>
          <w:szCs w:val="28"/>
        </w:rPr>
        <w:lastRenderedPageBreak/>
        <w:t>розвитку медичного закладу, ухваленні управлінських рішень, оптимізації кадрового потенціалу та залученні додаткових ресурсів. Її завданням є не контроль, а підтримка та посилення управлінської спроможності лікарні</w:t>
      </w:r>
      <w:r>
        <w:rPr>
          <w:rFonts w:ascii="Times New Roman" w:eastAsia="Microsoft YaHei" w:hAnsi="Times New Roman" w:cs="Times New Roman"/>
          <w:color w:val="auto"/>
          <w:sz w:val="28"/>
          <w:szCs w:val="28"/>
          <w:lang w:val="en-US"/>
        </w:rPr>
        <w:t xml:space="preserve"> [</w:t>
      </w:r>
      <w:hyperlink r:id="rId49" w:tooltip="https://opendatabot.ua/c/02774415" w:history="1">
        <w:r>
          <w:rPr>
            <w:rFonts w:ascii="Times New Roman" w:eastAsia="Microsoft YaHei" w:hAnsi="Times New Roman" w:cs="Times New Roman"/>
            <w:color w:val="auto"/>
            <w:sz w:val="28"/>
            <w:szCs w:val="28"/>
          </w:rPr>
          <w:t>48</w:t>
        </w:r>
      </w:hyperlink>
      <w:r>
        <w:rPr>
          <w:rFonts w:ascii="Times New Roman" w:eastAsia="Microsoft YaHei" w:hAnsi="Times New Roman" w:cs="Times New Roman"/>
          <w:color w:val="auto"/>
          <w:sz w:val="28"/>
          <w:szCs w:val="28"/>
          <w:lang w:val="en-US"/>
        </w:rPr>
        <w:t>]</w:t>
      </w:r>
      <w:r>
        <w:rPr>
          <w:rFonts w:ascii="Times New Roman" w:eastAsia="Microsoft YaHei" w:hAnsi="Times New Roman" w:cs="Times New Roman"/>
          <w:color w:val="auto"/>
          <w:sz w:val="28"/>
          <w:szCs w:val="28"/>
        </w:rPr>
        <w:t>.</w:t>
      </w:r>
    </w:p>
    <w:p w14:paraId="3BE088A9" w14:textId="77777777" w:rsidR="00052C0B" w:rsidRDefault="006E6CE8">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Створення такого дорадчого органу передбачене статтею 24 Закону України «Основи законодавства України про охорону здоров’я» </w:t>
      </w:r>
      <w:r>
        <w:rPr>
          <w:rFonts w:ascii="Times New Roman" w:eastAsia="Microsoft YaHei" w:hAnsi="Times New Roman" w:cs="Times New Roman"/>
          <w:color w:val="auto"/>
          <w:sz w:val="28"/>
          <w:szCs w:val="28"/>
          <w:lang w:val="en-US"/>
        </w:rPr>
        <w:t>[</w:t>
      </w:r>
      <w:hyperlink r:id="rId50" w:tooltip="https://opendatabot.ua/c/02774415" w:history="1">
        <w:r>
          <w:rPr>
            <w:rFonts w:ascii="Times New Roman" w:eastAsia="Microsoft YaHei" w:hAnsi="Times New Roman" w:cs="Times New Roman"/>
            <w:color w:val="auto"/>
            <w:sz w:val="28"/>
            <w:szCs w:val="28"/>
          </w:rPr>
          <w:t>51</w:t>
        </w:r>
      </w:hyperlink>
      <w:r>
        <w:rPr>
          <w:rFonts w:ascii="Times New Roman" w:eastAsia="Microsoft YaHei" w:hAnsi="Times New Roman" w:cs="Times New Roman"/>
          <w:color w:val="auto"/>
          <w:sz w:val="28"/>
          <w:szCs w:val="28"/>
          <w:lang w:val="en-US"/>
        </w:rPr>
        <w:t>]</w:t>
      </w:r>
      <w:r>
        <w:rPr>
          <w:rFonts w:ascii="Times New Roman" w:eastAsia="Microsoft YaHei" w:hAnsi="Times New Roman" w:cs="Times New Roman"/>
          <w:color w:val="auto"/>
          <w:sz w:val="28"/>
          <w:szCs w:val="28"/>
        </w:rPr>
        <w:t xml:space="preserve">. </w:t>
      </w:r>
      <w:r>
        <w:rPr>
          <w:rFonts w:ascii="Times New Roman" w:eastAsia="Microsoft YaHei" w:hAnsi="Times New Roman" w:cs="Times New Roman"/>
          <w:sz w:val="28"/>
          <w:szCs w:val="28"/>
        </w:rPr>
        <w:t>Опікунська рада є доцільною тоді, коли внутрішніх управлінських ресурсів закладу недостатньо для вирішення актуальних проблем або потрібен нестандартний пошук рішень щодо підвищення ефективності діяльності лікарні. До її складу можуть входити представники бізнесу, неурядових організацій, донорських інституцій, благодійних фондів та інші лідери думок, чия експертиза є корисною для оптимізації управлінських процесів.</w:t>
      </w:r>
    </w:p>
    <w:p w14:paraId="3BE088AA" w14:textId="77777777" w:rsidR="00052C0B" w:rsidRDefault="006E6CE8">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У сучасних умовах опікунська рада може виконувати функції координаційного штабу закладу охорони здоров’я в умовах нестандартних ситуацій. Її діяльність спрямована на розробку рішень, що сприятимуть підвищенню якості надання медичних послуг, покращенню логістики, забезпеченню лікарень обладнанням та витратними матеріалами. Залучені кошти дозволяють медичним закладам посилити матеріально-технічну базу та підвищити рівень матеріального стимулювання персоналу, що є критично важливим у період підвищеного професійного ризику.</w:t>
      </w:r>
    </w:p>
    <w:p w14:paraId="3BE088AB" w14:textId="77777777" w:rsidR="00052C0B" w:rsidRDefault="00052C0B">
      <w:pPr>
        <w:tabs>
          <w:tab w:val="left" w:pos="1134"/>
        </w:tabs>
        <w:spacing w:line="360" w:lineRule="auto"/>
        <w:ind w:firstLine="709"/>
        <w:jc w:val="both"/>
        <w:rPr>
          <w:rFonts w:ascii="Times New Roman" w:eastAsia="Microsoft YaHei" w:hAnsi="Times New Roman" w:cs="Times New Roman"/>
          <w:b/>
          <w:sz w:val="28"/>
          <w:szCs w:val="28"/>
        </w:rPr>
      </w:pPr>
    </w:p>
    <w:p w14:paraId="3BE088AC" w14:textId="77777777" w:rsidR="00052C0B" w:rsidRDefault="006E6CE8">
      <w:pPr>
        <w:tabs>
          <w:tab w:val="left" w:pos="1134"/>
        </w:tabs>
        <w:spacing w:line="360" w:lineRule="auto"/>
        <w:ind w:firstLine="709"/>
        <w:jc w:val="both"/>
        <w:rPr>
          <w:rFonts w:ascii="Times New Roman" w:eastAsia="Microsoft YaHei" w:hAnsi="Times New Roman" w:cs="Times New Roman"/>
          <w:b/>
          <w:sz w:val="28"/>
          <w:szCs w:val="28"/>
        </w:rPr>
      </w:pPr>
      <w:r>
        <w:rPr>
          <w:rFonts w:ascii="Times New Roman" w:eastAsia="Microsoft YaHei" w:hAnsi="Times New Roman" w:cs="Times New Roman"/>
          <w:b/>
          <w:sz w:val="28"/>
          <w:szCs w:val="28"/>
        </w:rPr>
        <w:t>3.3. Цифрова трансформація системи охорони здоров’я України:</w:t>
      </w:r>
      <w:r>
        <w:rPr>
          <w:rFonts w:ascii="Microsoft YaHei" w:eastAsia="Microsoft YaHei" w:hAnsi="Microsoft YaHei" w:cs="Microsoft YaHei"/>
        </w:rPr>
        <w:t xml:space="preserve"> </w:t>
      </w:r>
      <w:r>
        <w:rPr>
          <w:rFonts w:ascii="Times New Roman" w:eastAsia="Microsoft YaHei" w:hAnsi="Times New Roman" w:cs="Times New Roman"/>
          <w:b/>
          <w:sz w:val="28"/>
          <w:szCs w:val="28"/>
        </w:rPr>
        <w:t>організаційно-управлінські аспекти</w:t>
      </w:r>
      <w:r>
        <w:rPr>
          <w:rFonts w:ascii="Microsoft YaHei" w:eastAsia="Microsoft YaHei" w:hAnsi="Microsoft YaHei" w:cs="Microsoft YaHei"/>
        </w:rPr>
        <w:t xml:space="preserve"> </w:t>
      </w:r>
      <w:r>
        <w:rPr>
          <w:rFonts w:ascii="Times New Roman" w:eastAsia="Microsoft YaHei" w:hAnsi="Times New Roman" w:cs="Times New Roman"/>
          <w:b/>
          <w:sz w:val="28"/>
          <w:szCs w:val="28"/>
        </w:rPr>
        <w:t>та стратегічні орієнтири</w:t>
      </w:r>
    </w:p>
    <w:p w14:paraId="3BE088AD" w14:textId="77777777" w:rsidR="00052C0B" w:rsidRDefault="006E6CE8">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Сфера охорони здоров’я в Україні стикається з низкою проблем, що потребують невідкладного вирішення. Йдеться насамперед про недостатній рівень технологічності та невисоку ефективність її функціонування. Це проявляється у несвоєчасному наданні інформації, відсутності її уніфікації, складності комунікацій між медичними закладами в межах адміністративно-територіальних утворень, а також у взаємодії між ключовими суб’єктами - медичними працівниками та пацієнтами. Наслідком таких дисфункцій є дисбаланси в наданні медичних послуг на різних рівнях медичної допомоги, </w:t>
      </w:r>
      <w:r>
        <w:rPr>
          <w:rFonts w:ascii="Times New Roman" w:eastAsia="Microsoft YaHei" w:hAnsi="Times New Roman" w:cs="Times New Roman"/>
          <w:sz w:val="28"/>
          <w:szCs w:val="28"/>
        </w:rPr>
        <w:lastRenderedPageBreak/>
        <w:t>нераціональне використання ресурсів, а також проблеми з отриманням об’єктивних статистичних даних, що істотно впливає на загальну результативність системи охорони здоров’я</w:t>
      </w:r>
      <w:r>
        <w:rPr>
          <w:rFonts w:ascii="Times New Roman" w:eastAsia="Microsoft YaHei" w:hAnsi="Times New Roman" w:cs="Times New Roman"/>
          <w:color w:val="auto"/>
          <w:sz w:val="28"/>
          <w:szCs w:val="28"/>
          <w:lang w:val="en-US"/>
        </w:rPr>
        <w:t>.</w:t>
      </w:r>
    </w:p>
    <w:p w14:paraId="3BE088AE" w14:textId="77777777" w:rsidR="00052C0B" w:rsidRDefault="006E6CE8">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Однією з центральних цілей Концепції розвитку електронної охорони здоров’я </w:t>
      </w:r>
      <w:r>
        <w:rPr>
          <w:rFonts w:ascii="Times New Roman" w:eastAsia="Microsoft YaHei" w:hAnsi="Times New Roman" w:cs="Times New Roman"/>
          <w:color w:val="auto"/>
          <w:sz w:val="28"/>
          <w:szCs w:val="28"/>
          <w:lang w:val="en-US"/>
        </w:rPr>
        <w:t>[</w:t>
      </w:r>
      <w:hyperlink r:id="rId51" w:tooltip="https://opendatabot.ua/c/02774415" w:history="1">
        <w:r>
          <w:rPr>
            <w:rFonts w:ascii="Times New Roman" w:eastAsia="Microsoft YaHei" w:hAnsi="Times New Roman" w:cs="Times New Roman"/>
            <w:color w:val="auto"/>
            <w:sz w:val="28"/>
            <w:szCs w:val="28"/>
          </w:rPr>
          <w:t>5</w:t>
        </w:r>
      </w:hyperlink>
      <w:r>
        <w:rPr>
          <w:rFonts w:ascii="Times New Roman" w:eastAsia="Microsoft YaHei" w:hAnsi="Times New Roman" w:cs="Times New Roman"/>
          <w:color w:val="auto"/>
          <w:sz w:val="28"/>
          <w:szCs w:val="28"/>
        </w:rPr>
        <w:t>2</w:t>
      </w:r>
      <w:r>
        <w:rPr>
          <w:rFonts w:ascii="Times New Roman" w:eastAsia="Microsoft YaHei" w:hAnsi="Times New Roman" w:cs="Times New Roman"/>
          <w:color w:val="auto"/>
          <w:sz w:val="28"/>
          <w:szCs w:val="28"/>
          <w:lang w:val="en-US"/>
        </w:rPr>
        <w:t>]</w:t>
      </w:r>
      <w:r>
        <w:rPr>
          <w:rFonts w:ascii="Times New Roman" w:eastAsia="Microsoft YaHei" w:hAnsi="Times New Roman" w:cs="Times New Roman"/>
          <w:color w:val="auto"/>
          <w:sz w:val="28"/>
          <w:szCs w:val="28"/>
        </w:rPr>
        <w:t xml:space="preserve"> </w:t>
      </w:r>
      <w:r>
        <w:rPr>
          <w:rFonts w:ascii="Times New Roman" w:eastAsia="Microsoft YaHei" w:hAnsi="Times New Roman" w:cs="Times New Roman"/>
          <w:sz w:val="28"/>
          <w:szCs w:val="28"/>
        </w:rPr>
        <w:t>є створення організаційно-правових та техніко-технологічних передумов для інноваційного поступу е-здоров’я в Україні. Передбачається, що розвиток цифрових рішень сприятиме підвищенню якості й доступності медичних послуг, оптимізації управлінських процесів та більш ефективному використанню ресурсів, а також покращенню інформованості користувачів. Серед пріоритетних напрямів цифрової трансформації охорони здоров’я визначено модернізацію електронної охорони здоров’я шляхом упровадження сучасних, зручних та доступних електронних сервісів.</w:t>
      </w:r>
    </w:p>
    <w:p w14:paraId="3BE088AF" w14:textId="77777777" w:rsidR="00052C0B" w:rsidRDefault="006E6CE8">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Незважаючи на складність трансформаційних процесів, в Україні вже проявляється позитивна динаміка у впровадженні інноваційних проектів. Зокрема, активно розробляються і реалізуються нові технологічні рішення, сучасні медичні інформаційні системи, телемедичні сервіси, а також новітні діагностичні та лікувальні методи. Одним із найбільш показових прикладів застосування проектного підходу є створення державного підприємства «Електронне здоров’я» та запуск електронної системи eHealth, концепція якої запозичена з міжнародного досвіду кінця ХХ - початку ХХІ століть, включно з європейськими напрацюваннями. Її ключова мета - побудова єдиного інформаційного та комунікаційного простору, що приносить користь як державним інституціям, так і всім учасникам медичного процесу</w:t>
      </w:r>
      <w:r>
        <w:rPr>
          <w:rFonts w:ascii="Times New Roman" w:eastAsia="Microsoft YaHei" w:hAnsi="Times New Roman" w:cs="Times New Roman"/>
          <w:color w:val="auto"/>
          <w:sz w:val="28"/>
          <w:szCs w:val="28"/>
          <w:lang w:val="en-US"/>
        </w:rPr>
        <w:t xml:space="preserve"> [</w:t>
      </w:r>
      <w:hyperlink r:id="rId52" w:tooltip="https://opendatabot.ua/c/02774415" w:history="1">
        <w:r>
          <w:rPr>
            <w:rFonts w:ascii="Times New Roman" w:eastAsia="Microsoft YaHei" w:hAnsi="Times New Roman" w:cs="Times New Roman"/>
            <w:color w:val="auto"/>
            <w:sz w:val="28"/>
            <w:szCs w:val="28"/>
          </w:rPr>
          <w:t>5</w:t>
        </w:r>
      </w:hyperlink>
      <w:r>
        <w:rPr>
          <w:rFonts w:ascii="Times New Roman" w:eastAsia="Microsoft YaHei" w:hAnsi="Times New Roman" w:cs="Times New Roman"/>
          <w:color w:val="auto"/>
          <w:sz w:val="28"/>
          <w:szCs w:val="28"/>
        </w:rPr>
        <w:t>3; 54; 55</w:t>
      </w:r>
      <w:r>
        <w:rPr>
          <w:rFonts w:ascii="Times New Roman" w:eastAsia="Microsoft YaHei" w:hAnsi="Times New Roman" w:cs="Times New Roman"/>
          <w:color w:val="auto"/>
          <w:sz w:val="28"/>
          <w:szCs w:val="28"/>
          <w:lang w:val="en-US"/>
        </w:rPr>
        <w:t>]</w:t>
      </w:r>
      <w:r>
        <w:rPr>
          <w:rFonts w:ascii="Times New Roman" w:eastAsia="Microsoft YaHei" w:hAnsi="Times New Roman" w:cs="Times New Roman"/>
          <w:color w:val="auto"/>
          <w:sz w:val="28"/>
          <w:szCs w:val="28"/>
        </w:rPr>
        <w:t>.</w:t>
      </w:r>
    </w:p>
    <w:p w14:paraId="3BE088B0" w14:textId="77777777" w:rsidR="00052C0B" w:rsidRDefault="006E6CE8">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Створення підприємства «Електронне здоров’я», згідно з наказом МОЗ від 14 грудня 2017 року № 1597 </w:t>
      </w:r>
      <w:r>
        <w:rPr>
          <w:rFonts w:ascii="Times New Roman" w:eastAsia="Microsoft YaHei" w:hAnsi="Times New Roman" w:cs="Times New Roman"/>
          <w:color w:val="auto"/>
          <w:sz w:val="28"/>
          <w:szCs w:val="28"/>
          <w:lang w:val="en-US"/>
        </w:rPr>
        <w:t>[</w:t>
      </w:r>
      <w:hyperlink r:id="rId53" w:tooltip="https://opendatabot.ua/c/02774415" w:history="1">
        <w:r>
          <w:rPr>
            <w:rFonts w:ascii="Times New Roman" w:eastAsia="Microsoft YaHei" w:hAnsi="Times New Roman" w:cs="Times New Roman"/>
            <w:color w:val="auto"/>
            <w:sz w:val="28"/>
            <w:szCs w:val="28"/>
          </w:rPr>
          <w:t>5</w:t>
        </w:r>
      </w:hyperlink>
      <w:r>
        <w:rPr>
          <w:rFonts w:ascii="Times New Roman" w:eastAsia="Microsoft YaHei" w:hAnsi="Times New Roman" w:cs="Times New Roman"/>
          <w:color w:val="auto"/>
          <w:sz w:val="28"/>
          <w:szCs w:val="28"/>
        </w:rPr>
        <w:t>6</w:t>
      </w:r>
      <w:r>
        <w:rPr>
          <w:rFonts w:ascii="Times New Roman" w:eastAsia="Microsoft YaHei" w:hAnsi="Times New Roman" w:cs="Times New Roman"/>
          <w:color w:val="auto"/>
          <w:sz w:val="28"/>
          <w:szCs w:val="28"/>
          <w:lang w:val="en-US"/>
        </w:rPr>
        <w:t>]</w:t>
      </w:r>
      <w:r>
        <w:rPr>
          <w:rFonts w:ascii="Times New Roman" w:eastAsia="Microsoft YaHei" w:hAnsi="Times New Roman" w:cs="Times New Roman"/>
          <w:sz w:val="28"/>
          <w:szCs w:val="28"/>
        </w:rPr>
        <w:t xml:space="preserve">, стало важливим елементом системної розбудови галузі. Воно об’єднує реєстри медичних закладів, лікарів і пацієнтів, що забезпечує ухвалення рішень на основі актуальних та достовірних даних. Це підприємство відповідає за розробку технічного ядра eHealth - електронної системи, що забезпечує обмін медичною інформацією та реалізацію програми державних гарантій медичного обслуговування </w:t>
      </w:r>
      <w:r>
        <w:rPr>
          <w:rFonts w:ascii="Times New Roman" w:eastAsia="Microsoft YaHei" w:hAnsi="Times New Roman" w:cs="Times New Roman"/>
          <w:sz w:val="28"/>
          <w:szCs w:val="28"/>
        </w:rPr>
        <w:lastRenderedPageBreak/>
        <w:t>населення. Архітектура eHealth складається з центральної бази даних, адміністрованої державою, та медичних інформаційних систем, що функціонують на рівні закладів охорони здоров’я</w:t>
      </w:r>
      <w:r>
        <w:rPr>
          <w:rFonts w:ascii="Times New Roman" w:eastAsia="Microsoft YaHei" w:hAnsi="Times New Roman" w:cs="Times New Roman"/>
          <w:color w:val="auto"/>
          <w:sz w:val="28"/>
          <w:szCs w:val="28"/>
          <w:lang w:val="en-US"/>
        </w:rPr>
        <w:t xml:space="preserve"> [</w:t>
      </w:r>
      <w:hyperlink r:id="rId54" w:tooltip="https://opendatabot.ua/c/02774415" w:history="1">
        <w:r>
          <w:rPr>
            <w:rFonts w:ascii="Times New Roman" w:eastAsia="Microsoft YaHei" w:hAnsi="Times New Roman" w:cs="Times New Roman"/>
            <w:color w:val="auto"/>
            <w:sz w:val="28"/>
            <w:szCs w:val="28"/>
          </w:rPr>
          <w:t>5</w:t>
        </w:r>
      </w:hyperlink>
      <w:r>
        <w:rPr>
          <w:rFonts w:ascii="Times New Roman" w:eastAsia="Microsoft YaHei" w:hAnsi="Times New Roman" w:cs="Times New Roman"/>
          <w:color w:val="auto"/>
          <w:sz w:val="28"/>
          <w:szCs w:val="28"/>
        </w:rPr>
        <w:t>7</w:t>
      </w:r>
      <w:r>
        <w:rPr>
          <w:rFonts w:ascii="Times New Roman" w:eastAsia="Microsoft YaHei" w:hAnsi="Times New Roman" w:cs="Times New Roman"/>
          <w:color w:val="auto"/>
          <w:sz w:val="28"/>
          <w:szCs w:val="28"/>
          <w:lang w:val="en-US"/>
        </w:rPr>
        <w:t>]</w:t>
      </w:r>
      <w:r>
        <w:rPr>
          <w:rFonts w:ascii="Times New Roman" w:eastAsia="Microsoft YaHei" w:hAnsi="Times New Roman" w:cs="Times New Roman"/>
          <w:color w:val="auto"/>
          <w:sz w:val="28"/>
          <w:szCs w:val="28"/>
        </w:rPr>
        <w:t>.</w:t>
      </w:r>
    </w:p>
    <w:p w14:paraId="3BE088B1" w14:textId="77777777" w:rsidR="00052C0B" w:rsidRDefault="006E6CE8">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Останніми роками цифровізація медицини в Україні значно прискорилася. Було ухвалено низку нормативно-правових актів, спрямованих на врегулювання цифрових процесів у галузі. Зокрема, постанова Кабінету Міністрів України № 411 від 25 квітня 2018 року </w:t>
      </w:r>
      <w:r>
        <w:rPr>
          <w:rFonts w:ascii="Times New Roman" w:eastAsia="Microsoft YaHei" w:hAnsi="Times New Roman" w:cs="Times New Roman"/>
          <w:color w:val="auto"/>
          <w:sz w:val="28"/>
          <w:szCs w:val="28"/>
          <w:lang w:val="en-US"/>
        </w:rPr>
        <w:t>[</w:t>
      </w:r>
      <w:hyperlink r:id="rId55" w:tooltip="https://opendatabot.ua/c/02774415" w:history="1">
        <w:r>
          <w:rPr>
            <w:rFonts w:ascii="Times New Roman" w:eastAsia="Microsoft YaHei" w:hAnsi="Times New Roman" w:cs="Times New Roman"/>
            <w:color w:val="auto"/>
            <w:sz w:val="28"/>
            <w:szCs w:val="28"/>
          </w:rPr>
          <w:t>5</w:t>
        </w:r>
      </w:hyperlink>
      <w:r>
        <w:rPr>
          <w:rFonts w:ascii="Times New Roman" w:eastAsia="Microsoft YaHei" w:hAnsi="Times New Roman" w:cs="Times New Roman"/>
          <w:color w:val="auto"/>
          <w:sz w:val="28"/>
          <w:szCs w:val="28"/>
        </w:rPr>
        <w:t>8</w:t>
      </w:r>
      <w:r>
        <w:rPr>
          <w:rFonts w:ascii="Times New Roman" w:eastAsia="Microsoft YaHei" w:hAnsi="Times New Roman" w:cs="Times New Roman"/>
          <w:color w:val="auto"/>
          <w:sz w:val="28"/>
          <w:szCs w:val="28"/>
          <w:lang w:val="en-US"/>
        </w:rPr>
        <w:t>]</w:t>
      </w:r>
      <w:r>
        <w:rPr>
          <w:rFonts w:ascii="Times New Roman" w:eastAsia="Microsoft YaHei" w:hAnsi="Times New Roman" w:cs="Times New Roman"/>
          <w:sz w:val="28"/>
          <w:szCs w:val="28"/>
        </w:rPr>
        <w:t xml:space="preserve"> визначає порядок функціонування електронної системи охорони здоров’я, а розпорядження КМУ № 1671 від 28 грудня 2020 року </w:t>
      </w:r>
      <w:r>
        <w:rPr>
          <w:rFonts w:ascii="Times New Roman" w:eastAsia="Microsoft YaHei" w:hAnsi="Times New Roman" w:cs="Times New Roman"/>
          <w:color w:val="auto"/>
          <w:sz w:val="28"/>
          <w:szCs w:val="28"/>
          <w:lang w:val="en-US"/>
        </w:rPr>
        <w:t>[</w:t>
      </w:r>
      <w:hyperlink r:id="rId56" w:tooltip="https://opendatabot.ua/c/02774415" w:history="1">
        <w:r>
          <w:rPr>
            <w:rFonts w:ascii="Times New Roman" w:eastAsia="Microsoft YaHei" w:hAnsi="Times New Roman" w:cs="Times New Roman"/>
            <w:color w:val="auto"/>
            <w:sz w:val="28"/>
            <w:szCs w:val="28"/>
          </w:rPr>
          <w:t>5</w:t>
        </w:r>
      </w:hyperlink>
      <w:r>
        <w:rPr>
          <w:rFonts w:ascii="Times New Roman" w:eastAsia="Microsoft YaHei" w:hAnsi="Times New Roman" w:cs="Times New Roman"/>
          <w:color w:val="auto"/>
          <w:sz w:val="28"/>
          <w:szCs w:val="28"/>
        </w:rPr>
        <w:t>2</w:t>
      </w:r>
      <w:r>
        <w:rPr>
          <w:rFonts w:ascii="Times New Roman" w:eastAsia="Microsoft YaHei" w:hAnsi="Times New Roman" w:cs="Times New Roman"/>
          <w:color w:val="auto"/>
          <w:sz w:val="28"/>
          <w:szCs w:val="28"/>
          <w:lang w:val="en-US"/>
        </w:rPr>
        <w:t>]</w:t>
      </w:r>
      <w:r>
        <w:rPr>
          <w:rFonts w:ascii="Times New Roman" w:eastAsia="Microsoft YaHei" w:hAnsi="Times New Roman" w:cs="Times New Roman"/>
          <w:color w:val="auto"/>
          <w:sz w:val="28"/>
          <w:szCs w:val="28"/>
        </w:rPr>
        <w:t xml:space="preserve"> </w:t>
      </w:r>
      <w:r>
        <w:rPr>
          <w:rFonts w:ascii="Times New Roman" w:eastAsia="Microsoft YaHei" w:hAnsi="Times New Roman" w:cs="Times New Roman"/>
          <w:sz w:val="28"/>
          <w:szCs w:val="28"/>
        </w:rPr>
        <w:t xml:space="preserve">містить детальну Концепцію розвитку електронної охорони здоров’я </w:t>
      </w:r>
      <w:r>
        <w:rPr>
          <w:rFonts w:ascii="Times New Roman" w:eastAsia="Microsoft YaHei" w:hAnsi="Times New Roman" w:cs="Times New Roman"/>
          <w:color w:val="auto"/>
          <w:sz w:val="28"/>
          <w:szCs w:val="28"/>
          <w:lang w:val="en-US"/>
        </w:rPr>
        <w:t>[</w:t>
      </w:r>
      <w:r>
        <w:rPr>
          <w:rFonts w:ascii="Times New Roman" w:hAnsi="Times New Roman" w:cs="Times New Roman"/>
          <w:color w:val="auto"/>
          <w:sz w:val="28"/>
          <w:szCs w:val="28"/>
        </w:rPr>
        <w:t>59</w:t>
      </w:r>
      <w:r>
        <w:rPr>
          <w:rFonts w:ascii="Times New Roman" w:eastAsia="Microsoft YaHei" w:hAnsi="Times New Roman" w:cs="Times New Roman"/>
          <w:color w:val="auto"/>
          <w:sz w:val="28"/>
          <w:szCs w:val="28"/>
          <w:lang w:val="en-US"/>
        </w:rPr>
        <w:t>]</w:t>
      </w:r>
      <w:r>
        <w:rPr>
          <w:rFonts w:ascii="Times New Roman" w:eastAsia="Microsoft YaHei" w:hAnsi="Times New Roman" w:cs="Times New Roman"/>
          <w:sz w:val="28"/>
          <w:szCs w:val="28"/>
        </w:rPr>
        <w:t>. У ній проаналізовано стан цифрової трансформації, окреслено актуальні проблеми, способи їх подолання, мету реформ та очікувані результати у середньостроковій перспективі.</w:t>
      </w:r>
    </w:p>
    <w:p w14:paraId="3BE088B2" w14:textId="77777777" w:rsidR="00052C0B" w:rsidRDefault="006E6CE8">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Відповідно до концептуальних засад eHealth, екосистема електронної охорони здоров’я - це складне поєднання електронних сервісів, програмних продуктів і баз даних, що взаємодіють між собою. Умовно її поділяють на дві ключові складові: центральну базу даних та медичні інформаційні системи. Законодавче забезпечення функціонування eHealth регламентується базовими українськими законами та урядовими постановами, які визначають порядок використання електронних реєстрів і механізми ведення електронної документації, зокрема електронних карт, рецептів, направлень і планів лікування.</w:t>
      </w:r>
    </w:p>
    <w:p w14:paraId="3BE088B3" w14:textId="77777777" w:rsidR="00052C0B" w:rsidRDefault="006E6CE8">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Подальший розвиток цифрової інфраструктури підтримується ухваленням постанови КМУ № 36 від 19 січня 2022 року </w:t>
      </w:r>
      <w:r>
        <w:rPr>
          <w:rFonts w:ascii="Times New Roman" w:eastAsia="Microsoft YaHei" w:hAnsi="Times New Roman" w:cs="Times New Roman"/>
          <w:color w:val="auto"/>
          <w:sz w:val="28"/>
          <w:szCs w:val="28"/>
          <w:lang w:val="en-US"/>
        </w:rPr>
        <w:t>[</w:t>
      </w:r>
      <w:hyperlink r:id="rId57" w:tooltip="https://opendatabot.ua/c/02774415" w:history="1">
        <w:r>
          <w:rPr>
            <w:rFonts w:ascii="Times New Roman" w:eastAsia="Microsoft YaHei" w:hAnsi="Times New Roman" w:cs="Times New Roman"/>
            <w:color w:val="auto"/>
            <w:sz w:val="28"/>
            <w:szCs w:val="28"/>
          </w:rPr>
          <w:t>60</w:t>
        </w:r>
      </w:hyperlink>
      <w:r>
        <w:rPr>
          <w:rFonts w:ascii="Times New Roman" w:eastAsia="Microsoft YaHei" w:hAnsi="Times New Roman" w:cs="Times New Roman"/>
          <w:color w:val="auto"/>
          <w:sz w:val="28"/>
          <w:szCs w:val="28"/>
          <w:lang w:val="en-US"/>
        </w:rPr>
        <w:t>]</w:t>
      </w:r>
      <w:r>
        <w:rPr>
          <w:rFonts w:ascii="Times New Roman" w:eastAsia="Microsoft YaHei" w:hAnsi="Times New Roman" w:cs="Times New Roman"/>
          <w:color w:val="auto"/>
          <w:sz w:val="28"/>
          <w:szCs w:val="28"/>
        </w:rPr>
        <w:t xml:space="preserve"> </w:t>
      </w:r>
      <w:r>
        <w:rPr>
          <w:rFonts w:ascii="Times New Roman" w:eastAsia="Microsoft YaHei" w:hAnsi="Times New Roman" w:cs="Times New Roman"/>
          <w:sz w:val="28"/>
          <w:szCs w:val="28"/>
        </w:rPr>
        <w:t xml:space="preserve">щодо функціонування інформаційно-аналітичної системи «MedData». Ця система забезпечує дублювання та аналіз даних щодо діяльності медичних закладів, що фінансуються з бюджету або інших дозволених джерел. До «MedData» поступово підключаються нові цифрові інструменти, такі як інформаційна система донорства, реєстр трансплантації, електронна система епідеміологічного нагляду, система моніторингу соціально значущих </w:t>
      </w:r>
      <w:r>
        <w:rPr>
          <w:rFonts w:ascii="Times New Roman" w:eastAsia="Microsoft YaHei" w:hAnsi="Times New Roman" w:cs="Times New Roman"/>
          <w:sz w:val="28"/>
          <w:szCs w:val="28"/>
        </w:rPr>
        <w:lastRenderedPageBreak/>
        <w:t>захворювань, платформи для безперервного професійного розвитку медиків</w:t>
      </w:r>
      <w:r>
        <w:rPr>
          <w:rFonts w:ascii="Times New Roman" w:eastAsia="Microsoft YaHei" w:hAnsi="Times New Roman" w:cs="Times New Roman"/>
          <w:color w:val="auto"/>
          <w:sz w:val="28"/>
          <w:szCs w:val="28"/>
          <w:lang w:val="en-US"/>
        </w:rPr>
        <w:t xml:space="preserve"> [</w:t>
      </w:r>
      <w:r>
        <w:rPr>
          <w:rFonts w:ascii="Times New Roman" w:hAnsi="Times New Roman" w:cs="Times New Roman"/>
          <w:color w:val="auto"/>
          <w:sz w:val="28"/>
          <w:szCs w:val="28"/>
        </w:rPr>
        <w:t>61</w:t>
      </w:r>
      <w:r>
        <w:rPr>
          <w:rFonts w:ascii="Times New Roman" w:eastAsia="Microsoft YaHei" w:hAnsi="Times New Roman" w:cs="Times New Roman"/>
          <w:color w:val="auto"/>
          <w:sz w:val="28"/>
          <w:szCs w:val="28"/>
          <w:lang w:val="en-US"/>
        </w:rPr>
        <w:t>]</w:t>
      </w:r>
      <w:r>
        <w:rPr>
          <w:rFonts w:ascii="Times New Roman" w:eastAsia="Microsoft YaHei" w:hAnsi="Times New Roman" w:cs="Times New Roman"/>
          <w:color w:val="auto"/>
          <w:sz w:val="28"/>
          <w:szCs w:val="28"/>
        </w:rPr>
        <w:t>.</w:t>
      </w:r>
    </w:p>
    <w:p w14:paraId="3BE088B4" w14:textId="77777777" w:rsidR="00052C0B" w:rsidRDefault="006E6CE8">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У межах співпраці між МОЗ та Світовим банком реалізується проект «HEAL Ukraine», спрямований на зміцнення системи охорони здоров’я та забезпечення стійкого доступу до медичних послуг. Його четвертий компонент передбачає підтримку цифрових рішень, розвиток інновацій, вдосконалення електронної інфраструктури, інтеграцію медичних даних, кібербезпеку та розширення цифрових можливостей медичних закладів.</w:t>
      </w:r>
    </w:p>
    <w:p w14:paraId="3BE088B5" w14:textId="77777777" w:rsidR="00052C0B" w:rsidRDefault="006E6CE8">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Інноваційні підходи до підвищення якості та оптимізації процесів у галузі включають цифровізацію закупівель, прогнозування потреб у медичних послугах, розвиток дистанційного навчання, телемедичні інструменти, удосконалення навичок персоналу та посилення потенціалу ключових державних інституцій - МОЗ, НСЗУ, Центру громадського здоров’я, ДП «Електронне здоров’я» та ДП «Медичні закупівлі України»</w:t>
      </w:r>
      <w:r>
        <w:rPr>
          <w:rFonts w:ascii="Times New Roman" w:eastAsia="Microsoft YaHei" w:hAnsi="Times New Roman" w:cs="Times New Roman"/>
          <w:color w:val="auto"/>
          <w:sz w:val="28"/>
          <w:szCs w:val="28"/>
          <w:lang w:val="en-US"/>
        </w:rPr>
        <w:t xml:space="preserve"> [</w:t>
      </w:r>
      <w:r>
        <w:rPr>
          <w:rFonts w:ascii="Times New Roman" w:hAnsi="Times New Roman" w:cs="Times New Roman"/>
          <w:color w:val="auto"/>
          <w:sz w:val="28"/>
          <w:szCs w:val="28"/>
        </w:rPr>
        <w:t>62</w:t>
      </w:r>
      <w:r>
        <w:rPr>
          <w:rFonts w:ascii="Times New Roman" w:eastAsia="Microsoft YaHei" w:hAnsi="Times New Roman" w:cs="Times New Roman"/>
          <w:color w:val="auto"/>
          <w:sz w:val="28"/>
          <w:szCs w:val="28"/>
          <w:lang w:val="en-US"/>
        </w:rPr>
        <w:t>]</w:t>
      </w:r>
      <w:r>
        <w:rPr>
          <w:rFonts w:ascii="Times New Roman" w:eastAsia="Microsoft YaHei" w:hAnsi="Times New Roman" w:cs="Times New Roman"/>
          <w:color w:val="auto"/>
          <w:sz w:val="28"/>
          <w:szCs w:val="28"/>
        </w:rPr>
        <w:t>.</w:t>
      </w:r>
    </w:p>
    <w:p w14:paraId="3BE088B6" w14:textId="77777777" w:rsidR="00052C0B" w:rsidRDefault="006E6CE8">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Моніторинг інноваційних проектів у сфері охорони здоров’я передбачає систематичний збір інформації з метою своєчасного виявлення труднощів, оцінювання ефективності заходів та запобігання кризовим ситуаціям. Важливо відстежувати відповідність ресурсів планам, адекватність заходів потребам, технологічність процесів, результативність та вплив проектів на поведінку цільових груп. Для цього застосовують матрицю результатів і моніторингу, яка дозволяє комплексно оцінювати прогрес.</w:t>
      </w:r>
    </w:p>
    <w:p w14:paraId="3BE088B7" w14:textId="77777777" w:rsidR="00052C0B" w:rsidRDefault="006E6CE8">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Планування інноваційних цифрових проектів охорони здоров’я передбачає проведення діагностики стану галузі, виявлення проблем та визначення пріоритетів за принципами верифікації інформації. Предметом аналізу є потреби різних соціально-демографічних груп - дітей, осіб працездатного віку, людей похилого віку та осіб з інвалідністю.</w:t>
      </w:r>
    </w:p>
    <w:p w14:paraId="3BE088B8" w14:textId="77777777" w:rsidR="00052C0B" w:rsidRDefault="006E6CE8">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Організаційно-управлінське забезпечення е-здоров’я ґрунтується на впровадженні сучасних технологій та інформаційно-комунікаційних систем, що дозволяють автоматизувати процеси, уніфікувати електронні медичні записи та забезпечити інтеграцію інформації в єдиний простір. Технічна </w:t>
      </w:r>
      <w:r>
        <w:rPr>
          <w:rFonts w:ascii="Times New Roman" w:eastAsia="Microsoft YaHei" w:hAnsi="Times New Roman" w:cs="Times New Roman"/>
          <w:sz w:val="28"/>
          <w:szCs w:val="28"/>
        </w:rPr>
        <w:lastRenderedPageBreak/>
        <w:t>архітектура eHealth має бути сервісно орієнтованою, гнучкою, здатною адаптуватися до технологічного прогресу та інтегрувати рішення для різних категорій користувачів</w:t>
      </w:r>
      <w:r>
        <w:rPr>
          <w:rFonts w:ascii="Times New Roman" w:eastAsia="Microsoft YaHei" w:hAnsi="Times New Roman" w:cs="Times New Roman"/>
          <w:color w:val="auto"/>
          <w:sz w:val="28"/>
          <w:szCs w:val="28"/>
          <w:lang w:val="en-US"/>
        </w:rPr>
        <w:t xml:space="preserve"> [</w:t>
      </w:r>
      <w:r>
        <w:rPr>
          <w:rFonts w:ascii="Times New Roman" w:hAnsi="Times New Roman" w:cs="Times New Roman"/>
          <w:color w:val="auto"/>
          <w:sz w:val="28"/>
          <w:szCs w:val="28"/>
        </w:rPr>
        <w:t>63; 64</w:t>
      </w:r>
      <w:r>
        <w:rPr>
          <w:rFonts w:ascii="Times New Roman" w:eastAsia="Microsoft YaHei" w:hAnsi="Times New Roman" w:cs="Times New Roman"/>
          <w:color w:val="auto"/>
          <w:sz w:val="28"/>
          <w:szCs w:val="28"/>
          <w:lang w:val="en-US"/>
        </w:rPr>
        <w:t>]</w:t>
      </w:r>
      <w:r>
        <w:rPr>
          <w:rFonts w:ascii="Times New Roman" w:eastAsia="Microsoft YaHei" w:hAnsi="Times New Roman" w:cs="Times New Roman"/>
          <w:color w:val="auto"/>
          <w:sz w:val="28"/>
          <w:szCs w:val="28"/>
        </w:rPr>
        <w:t>.</w:t>
      </w:r>
    </w:p>
    <w:p w14:paraId="3BE088B9" w14:textId="77777777" w:rsidR="00052C0B" w:rsidRDefault="006E6CE8">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У січні 2025 року була схвалена Стратегія розвитку системи охорони здоров’я України до 2030 року </w:t>
      </w:r>
      <w:r>
        <w:rPr>
          <w:rFonts w:ascii="Times New Roman" w:eastAsia="Microsoft YaHei" w:hAnsi="Times New Roman" w:cs="Times New Roman"/>
          <w:color w:val="auto"/>
          <w:sz w:val="28"/>
          <w:szCs w:val="28"/>
          <w:lang w:val="en-US"/>
        </w:rPr>
        <w:t>[</w:t>
      </w:r>
      <w:r>
        <w:rPr>
          <w:rFonts w:ascii="Times New Roman" w:hAnsi="Times New Roman" w:cs="Times New Roman"/>
          <w:color w:val="auto"/>
          <w:sz w:val="28"/>
          <w:szCs w:val="28"/>
        </w:rPr>
        <w:t>19</w:t>
      </w:r>
      <w:r>
        <w:rPr>
          <w:rFonts w:ascii="Times New Roman" w:eastAsia="Microsoft YaHei" w:hAnsi="Times New Roman" w:cs="Times New Roman"/>
          <w:color w:val="auto"/>
          <w:sz w:val="28"/>
          <w:szCs w:val="28"/>
          <w:lang w:val="en-US"/>
        </w:rPr>
        <w:t>]</w:t>
      </w:r>
      <w:r>
        <w:rPr>
          <w:rFonts w:ascii="Times New Roman" w:eastAsia="Microsoft YaHei" w:hAnsi="Times New Roman" w:cs="Times New Roman"/>
          <w:sz w:val="28"/>
          <w:szCs w:val="28"/>
        </w:rPr>
        <w:t>, яка містить операційний план на 2025–2027 роки. Одним із ключових стратегічних завдань є цифровізація управлінських процесів і медичних послуг. Очікується, що це сприятиме зміцненню лідерських позицій України в цифровій охороні здоров’я, спростить процеси управління медичними даними та підвищить якість їх аналітичної обробки.</w:t>
      </w:r>
    </w:p>
    <w:p w14:paraId="3BE088BA" w14:textId="77777777" w:rsidR="00052C0B" w:rsidRDefault="006E6CE8">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Специфіка інноваційних проектів у сфері цифрового розвитку охорони здоров’я в умовах невизначеності полягає в необхідності гнучкого формування цілей, невизначеності тривалості проектів, залежності витрат від бюджетних можливостей і необхідності адаптивного розподілу ресурсів. У соціально орієнтованих проектах охорони здоров’я кінцеві користувачі часто не оплачують послуги в повному обсязі, а фінансування здійснюється з різних джерел </w:t>
      </w:r>
      <w:r>
        <w:rPr>
          <w:rFonts w:ascii="Times New Roman" w:eastAsia="Microsoft YaHei" w:hAnsi="Times New Roman" w:cs="Times New Roman"/>
          <w:color w:val="auto"/>
          <w:sz w:val="28"/>
          <w:szCs w:val="28"/>
          <w:lang w:val="en-US"/>
        </w:rPr>
        <w:t>[</w:t>
      </w:r>
      <w:r>
        <w:rPr>
          <w:rFonts w:ascii="Times New Roman" w:hAnsi="Times New Roman" w:cs="Times New Roman"/>
          <w:color w:val="auto"/>
          <w:sz w:val="28"/>
          <w:szCs w:val="28"/>
        </w:rPr>
        <w:t>65, с. 16</w:t>
      </w:r>
      <w:r>
        <w:rPr>
          <w:rFonts w:ascii="Times New Roman" w:eastAsia="Microsoft YaHei" w:hAnsi="Times New Roman" w:cs="Times New Roman"/>
          <w:color w:val="auto"/>
          <w:sz w:val="28"/>
          <w:szCs w:val="28"/>
          <w:lang w:val="en-US"/>
        </w:rPr>
        <w:t>]</w:t>
      </w:r>
      <w:r>
        <w:rPr>
          <w:rFonts w:ascii="Times New Roman" w:eastAsia="Microsoft YaHei" w:hAnsi="Times New Roman" w:cs="Times New Roman"/>
          <w:color w:val="auto"/>
          <w:sz w:val="28"/>
          <w:szCs w:val="28"/>
        </w:rPr>
        <w:t>.</w:t>
      </w:r>
    </w:p>
    <w:p w14:paraId="3BE088BB" w14:textId="77777777" w:rsidR="00052C0B" w:rsidRDefault="006E6CE8">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Узагальнюючи, впровадження інноваційних цифрових проектів у медичній сфері є критично важливим кроком для підвищення якості та доступності медичних послуг в умовах євроінтеграції та адаптації світових практик. Досягнутий прогрес свідчить про сформований фундамент для подальшої модернізації. Для цього необхідно продовжувати розвиток цифрової екосистеми, посилювати професійні компетeнтності медичних працівників, удосконалювати нормативно-правову та ресурсно-технічну базу</w:t>
      </w:r>
      <w:r>
        <w:rPr>
          <w:rFonts w:ascii="Times New Roman" w:eastAsia="Microsoft YaHei" w:hAnsi="Times New Roman" w:cs="Times New Roman"/>
          <w:color w:val="auto"/>
          <w:sz w:val="28"/>
          <w:szCs w:val="28"/>
          <w:lang w:val="en-US"/>
        </w:rPr>
        <w:t xml:space="preserve"> [</w:t>
      </w:r>
      <w:r>
        <w:rPr>
          <w:rFonts w:ascii="Times New Roman" w:hAnsi="Times New Roman" w:cs="Times New Roman"/>
          <w:color w:val="auto"/>
          <w:sz w:val="28"/>
          <w:szCs w:val="28"/>
        </w:rPr>
        <w:t>66; 67; 68</w:t>
      </w:r>
      <w:r>
        <w:rPr>
          <w:rFonts w:ascii="Times New Roman" w:eastAsia="Microsoft YaHei" w:hAnsi="Times New Roman" w:cs="Times New Roman"/>
          <w:color w:val="auto"/>
          <w:sz w:val="28"/>
          <w:szCs w:val="28"/>
          <w:lang w:val="en-US"/>
        </w:rPr>
        <w:t>]</w:t>
      </w:r>
      <w:r>
        <w:rPr>
          <w:rFonts w:ascii="Times New Roman" w:eastAsia="Microsoft YaHei" w:hAnsi="Times New Roman" w:cs="Times New Roman"/>
          <w:color w:val="auto"/>
          <w:sz w:val="28"/>
          <w:szCs w:val="28"/>
        </w:rPr>
        <w:t>.</w:t>
      </w:r>
    </w:p>
    <w:p w14:paraId="3BE088BC" w14:textId="77777777" w:rsidR="00052C0B" w:rsidRDefault="006E6CE8">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Майбутнє е-здоров’я в Україні пов’язане зі зростанням ефективності роботи системи охорони здоров’я, забезпеченням прозорості, уніфікації й достовірності медичних даних у єдиній базі, що сприятиме скороченню паперового документообігу, оптимізації процесів і мінімізації непотрібних витрат часу та ресурсів.</w:t>
      </w:r>
    </w:p>
    <w:p w14:paraId="3BE088BD" w14:textId="77777777" w:rsidR="00052C0B" w:rsidRDefault="006E6CE8">
      <w:pPr>
        <w:spacing w:line="360" w:lineRule="auto"/>
        <w:ind w:firstLine="709"/>
        <w:jc w:val="both"/>
        <w:rPr>
          <w:rFonts w:ascii="Times New Roman" w:eastAsia="Microsoft YaHei" w:hAnsi="Times New Roman" w:cs="Times New Roman"/>
          <w:b/>
          <w:sz w:val="28"/>
          <w:szCs w:val="28"/>
        </w:rPr>
      </w:pPr>
      <w:r>
        <w:rPr>
          <w:rFonts w:ascii="Times New Roman" w:eastAsia="Microsoft YaHei" w:hAnsi="Times New Roman" w:cs="Times New Roman"/>
          <w:b/>
          <w:sz w:val="28"/>
          <w:szCs w:val="28"/>
        </w:rPr>
        <w:lastRenderedPageBreak/>
        <w:t>Висновок до розділу 3</w:t>
      </w:r>
    </w:p>
    <w:p w14:paraId="3BE088BE"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Ефективність чинних організаційно-економічних механізмів у сфері охорони здоров’я значною мірою обмежується низкою системних проблем, серед яких особливо помітними є фінансові дисбаланси, невдалі управлінські рішення, кадрові виклики та недостатній рівень технологічного розвитку.</w:t>
      </w:r>
    </w:p>
    <w:p w14:paraId="3BE088BF"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Подолання системних бар’єрів у сфері охорони здоров’я потребує комплексних трансформацій, спрямованих на фінансову стабільність, управлінську ефективність, кадрове зміцнення та інноваційний розвиток медичних закладів. Удосконалення організаційно-економічних механізмів можливе за умови реалізації таких стратегічних напрямів: оптимізація фінансової політики та диверсифікація джерел фінансування; підвищення ефективності управління та організаційної структури; модернізація матеріально-технічної бази та цифрова трансформація; розвиток кадрового потенціалу та підвищення професійної мобільності; забезпечення доступності та підвищення якості медичних послуг. Підвищення ефективності організаційно-економічних механізмів закладів охорони здоров’я можливе лише через синергетичне поєднання фінансових, управлінських, технологічних та соціальних інновацій. </w:t>
      </w:r>
    </w:p>
    <w:p w14:paraId="3BE088C0"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Розглядаючи державний та місцеві бюджети як основні джерела фінансового забезпечення галузі, варто підкреслити, що бюджетне фінансування традиційно гарантувало рівний доступ до медичних послуг, можливість оптимізації системи охорони здоров’я у масштабах держави та відносну простоту організації фінансових потоків та оплати праці.</w:t>
      </w:r>
    </w:p>
    <w:p w14:paraId="3BE088C1"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Для забезпечення належного обсягу та якості медичної допомоги у сферах високотехнологічного лікування, соціально орієнтованих послуг та терапії тяжких хвороб необхідним залишається подальше розширення та диверсифікація джерел фінансування. </w:t>
      </w:r>
    </w:p>
    <w:p w14:paraId="3BE088C2"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Управління в сфері охорони здоров’я має розвиватися відповідно до змін ринку медичних послуг та нових фінансових механізмів. Оскільки галузь є складною соціальною системою, її ефективність безпосередньо залежить від </w:t>
      </w:r>
      <w:r>
        <w:rPr>
          <w:rFonts w:ascii="Times New Roman" w:eastAsia="Microsoft YaHei" w:hAnsi="Times New Roman" w:cs="Times New Roman"/>
          <w:sz w:val="28"/>
          <w:szCs w:val="28"/>
        </w:rPr>
        <w:lastRenderedPageBreak/>
        <w:t>професійності управління.</w:t>
      </w:r>
    </w:p>
    <w:p w14:paraId="3BE088C3"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Проблеми, з якими зіштовхуються лікарні, мають комплексний характер:  виявлено критичну потребу у модернізації матеріально-технічної бази;  виникла необхідність оперативного формування спеціалізованих медичних бригад; ключовим стає безперервний критичний аналіз стрімко змінюваних умов та швидке ухвалення обґрунтованих управлінських рішень. За таких обставин стандартні управлінські підходи втрачають ефективність, а лікарні потребують переходу до антикризового менеджменту.</w:t>
      </w:r>
    </w:p>
    <w:p w14:paraId="3BE088C4"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Підвищенню якості й доступності медичних послуг, оптимізації управлінських процесів та більш ефективному використанню ресурсів, а також покращенню інформованості користувачі сприятиме розвиток цифрових рішень. Серед пріоритетних напрямів цифрової трансформації охорони здоров’я визначено модернізацію електронної охорони здоров’я шляхом упровадження сучасних, зручних та доступних електронних сервісів.</w:t>
      </w:r>
    </w:p>
    <w:p w14:paraId="3BE088C5"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Активно розробляються і реалізуються нові технологічні рішення, сучасні медичні інформаційні системи, телемедичні сервіси, а також новітні діагностичні та лікувальні методи.</w:t>
      </w:r>
      <w:r>
        <w:rPr>
          <w:rFonts w:ascii="Microsoft YaHei" w:eastAsia="Microsoft YaHei" w:hAnsi="Microsoft YaHei" w:cs="Microsoft YaHei"/>
        </w:rPr>
        <w:t xml:space="preserve"> Це </w:t>
      </w:r>
      <w:r>
        <w:rPr>
          <w:rFonts w:ascii="Times New Roman" w:eastAsia="Microsoft YaHei" w:hAnsi="Times New Roman" w:cs="Times New Roman"/>
          <w:sz w:val="28"/>
          <w:szCs w:val="28"/>
        </w:rPr>
        <w:t>запуск електронної системи eHealth, функціонування інформаційно-аналітичної системи «MedData»,</w:t>
      </w:r>
      <w:r>
        <w:rPr>
          <w:rFonts w:ascii="Microsoft YaHei" w:eastAsia="Microsoft YaHei" w:hAnsi="Microsoft YaHei" w:cs="Microsoft YaHei"/>
        </w:rPr>
        <w:t xml:space="preserve"> </w:t>
      </w:r>
      <w:r>
        <w:rPr>
          <w:rFonts w:ascii="Times New Roman" w:eastAsia="Microsoft YaHei" w:hAnsi="Times New Roman" w:cs="Times New Roman"/>
          <w:sz w:val="28"/>
          <w:szCs w:val="28"/>
        </w:rPr>
        <w:t>реалізація проекту «HEAL Ukraine», цифровізацію закупівель, прогнозування потреб у медичних послугах, розвиток дистанційного навчання, телемедичні інструменти, удосконалення навичок персоналу та посилення потенціалу ключових державних інституцій - МОЗ, НСЗУ, Центру громадського здоров’я, ДП «Електронне здоров’я» та ДП «Медичні закупівлі України».</w:t>
      </w:r>
    </w:p>
    <w:p w14:paraId="3BE088C6" w14:textId="77777777" w:rsidR="00052C0B" w:rsidRDefault="006E6CE8">
      <w:pPr>
        <w:spacing w:line="360" w:lineRule="auto"/>
        <w:ind w:firstLine="709"/>
        <w:jc w:val="both"/>
        <w:rPr>
          <w:rFonts w:ascii="Times New Roman" w:eastAsia="Microsoft YaHei" w:hAnsi="Times New Roman" w:cs="Times New Roman"/>
          <w:i/>
        </w:rPr>
      </w:pPr>
      <w:r>
        <w:rPr>
          <w:rFonts w:ascii="Times New Roman" w:eastAsia="Microsoft YaHei" w:hAnsi="Times New Roman" w:cs="Times New Roman"/>
          <w:sz w:val="28"/>
          <w:szCs w:val="28"/>
        </w:rPr>
        <w:t>Впровадження інноваційних цифрових проектів у медичній сфері є критично важливим кроком для підвищення якості та доступності медичних послуг в умовах євроінтеграції та адаптації світових практик. Досягнутий прогрес свідчить про сформований фундамент для подальшої модернізації. Для цього необхідно продовжувати розвиток цифрової екосистеми, посилювати професійні компетeнтності медичних працівників, удосконалювати нормативно-правову та ресурсно-технічну базу.</w:t>
      </w:r>
    </w:p>
    <w:p w14:paraId="3BE088C7" w14:textId="77777777" w:rsidR="00052C0B" w:rsidRDefault="006E6CE8">
      <w:pPr>
        <w:spacing w:line="360" w:lineRule="auto"/>
        <w:ind w:firstLine="709"/>
        <w:jc w:val="center"/>
        <w:rPr>
          <w:rFonts w:ascii="Times New Roman" w:eastAsia="Microsoft YaHei" w:hAnsi="Times New Roman" w:cs="Times New Roman"/>
          <w:b/>
          <w:sz w:val="28"/>
          <w:szCs w:val="28"/>
        </w:rPr>
      </w:pPr>
      <w:r>
        <w:rPr>
          <w:rFonts w:ascii="Times New Roman" w:eastAsia="Microsoft YaHei" w:hAnsi="Times New Roman" w:cs="Times New Roman"/>
          <w:b/>
          <w:sz w:val="28"/>
          <w:szCs w:val="28"/>
        </w:rPr>
        <w:lastRenderedPageBreak/>
        <w:t>ВИСНОВКИ</w:t>
      </w:r>
    </w:p>
    <w:p w14:paraId="3BE088C8" w14:textId="77777777" w:rsidR="00052C0B" w:rsidRDefault="00052C0B">
      <w:pPr>
        <w:spacing w:line="360" w:lineRule="auto"/>
        <w:ind w:firstLine="709"/>
        <w:jc w:val="center"/>
        <w:rPr>
          <w:rFonts w:ascii="Times New Roman" w:eastAsia="Microsoft YaHei" w:hAnsi="Times New Roman" w:cs="Times New Roman"/>
          <w:b/>
          <w:sz w:val="28"/>
          <w:szCs w:val="28"/>
        </w:rPr>
      </w:pPr>
    </w:p>
    <w:p w14:paraId="3BE088C9"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Cтруктуру та принципи побудови національних систем охорони здоров’я формують комплексні чинники: історичний контекст, особливості культури, стан економіки, домінуючі політичні підходи та пріоритети державної політики.</w:t>
      </w:r>
    </w:p>
    <w:p w14:paraId="3BE088CA"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Наукові джерела та практичний досвід виділяють кілька груп моделей організації охорони здоров’я, які систематизуються за спільними ознаками та принципами функціонування.</w:t>
      </w:r>
    </w:p>
    <w:p w14:paraId="3BE088CB"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До базових моделей функціонування систем охорони здоров’я відносять: модель первинної медичної допомоги, модель вторинної медичної допомоги, модель третинної медичної допомоги, інтегровану модель або модель континуального догляду, модель платоспроможної медичної допомоги та модель громадського (публічного) здоров’я.</w:t>
      </w:r>
    </w:p>
    <w:p w14:paraId="3BE088CC"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За джерелами фінансування розрізняють наступні моделі систем охорони здоров’я: модель Семашка (державна, централізована модель), модель Беверіджа (державна національна служба), Бісмарківська модель (соціальне медичне страхування), модель національного медичного страхування, модель прямих платежів («оплата з власної кишені»).</w:t>
      </w:r>
    </w:p>
    <w:p w14:paraId="3BE088CD"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Сучасні моделі можна систематизувати за рядом класифікаційних ознак, що відображають їхні ключові принципи фінансування, доступності та управління: за джерелами фінансування (державна (публічна) модель, приватна модель, комбінована (змішана) модель); за доступністю та ступенем покриття витрат (універсальна система та система з частковим доступом); за організаційною моделлю управління (централізована система та децентралізована система); за моделлю фінансування медичних послуг («плата за послугу» (fee-for-service) та капітаційний метод); за ступенем державного контролю (жорстке регулювання та обмежене регулювання); за способом координації медичних послуг (модель рівнів медичної допомоги (ПМД-ВМД-ТМД) та модель сімейного лікаря).</w:t>
      </w:r>
    </w:p>
    <w:p w14:paraId="3BE088CE"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lastRenderedPageBreak/>
        <w:t xml:space="preserve">Система охорони здоров’я України нині перебуває в активній фазі трансформації, вона функціонує як змішана структура, у якій поєднано елементи державного фінансування та управління з ринковими інструментами й компонентами медичного страхування. До ключових рис сучасної моделі слід віднести наступні: багатоканальне фінансування, реформування та модернізація, сильна роль держави, розвиток цифрових рішень, пацієнтоорієнтованість. </w:t>
      </w:r>
    </w:p>
    <w:p w14:paraId="3BE088CF"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Організаційно-економічний механізм розвитку закладів охорони здоров’я на рівні держави виступає інструментом формування сучасної системи охорони здоров’я та реалізації її реформ. На мікрорівні - це комплекс змін у діяльності окремого медичного закладу, пов’язаний з оновленням управлінських підходів, організації процесів, економічних інструментів і залежний від реальних результатів роботи, зокрема від обсягів і якості наданих медичних послуг.</w:t>
      </w:r>
    </w:p>
    <w:p w14:paraId="3BE088D0"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Управління медичним закладом реалізується через поєднання організаційних, економічних та соціально-психологічних методів, грамотне використання яких сприяє підвищенню якості медичної допомоги та формує стабільний попит із боку пацієнтів. </w:t>
      </w:r>
    </w:p>
    <w:p w14:paraId="3BE088D1"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Серед ключових викликів, що формують логіку та напрям взаємодії елементів організаційно-економічного механізму у вітчизняній системі охорони здоров’я, варто виділити такі: забезпечення фінансової стійкості галузі, посилення кадрового потенціалу, розвиток електронної системи охорони здоров’я та зміцнення кібербезпеки, удосконалення системи управління якістю медичних послуг на всіх рівнях.</w:t>
      </w:r>
    </w:p>
    <w:p w14:paraId="3BE088D2"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Головною проблемою залишається дефіцит фінансування, що зумовлює зниження обсягів безоплатної медичної допомоги, уповільнює оновлення медичного обладнання та підтримує низький рівень оплати праці медичних працівників. Аналіз показав, що у період 2016-2024 роки спостерігається стійка тенденція зростання обсягів бюджетних видатків на галузь, причому починаючи з 2020 року структура видатків зазнала суттєвих зрушень у бік </w:t>
      </w:r>
      <w:r>
        <w:rPr>
          <w:rFonts w:ascii="Times New Roman" w:eastAsia="Microsoft YaHei" w:hAnsi="Times New Roman" w:cs="Times New Roman"/>
          <w:sz w:val="28"/>
          <w:szCs w:val="28"/>
        </w:rPr>
        <w:lastRenderedPageBreak/>
        <w:t>фінансування за рахунок коштів державного бюджету, тобто держава поклала на себе основне навантаження із фінансового забезпечення медичної галузі. Роль місцевих органів влади значно зменшилася.</w:t>
      </w:r>
    </w:p>
    <w:p w14:paraId="3BE088D3"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Найвагомішою часткою видатків, як і в попередні роки, залишається фінансування Програми медичних гарантій. Обсяг коштів, спрямованих на її реалізацію, у 2025 році становить 175,5 млрд грн. Окремо передбачені видатки на організацію та забезпечення функціонування системи державних фінансових гарантій, якими опікується Національна служба здоров’я України. На ці потреби у бюджеті закладено 206,3 млн грн. На централізовані державні закупівлі лікарських засобів та медичних виробів у бюджеті передбачено 11,8 млрд грн. Інші напрями фінансування охорони здоров’я також суттєво збільшились у порівнянні із 2024 роком. Але витрати медичних закладів перевищують бюджетне фінансування та потребують більших надходжень.</w:t>
      </w:r>
    </w:p>
    <w:p w14:paraId="3BE088D4"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 Однією із основних складових організаційно-економічного механізму у галузі медицини є кадровий потенціал. В умовах нестабільності та невизначеності залишаються невирішеними такі кадрові проблеми у медичній галузі, як брак кваліфікованих медичних кадрів, недостатня мотивація медичного персоналу та недосконала система оплати праці, регіональні диспропорції у забезпеченні населення країни медичними кадрами, недостатня зайнятість лікарських вакансій за конкретними спеціальностями, зростання середнього віку медичних працівників, нестача коштів на фінансування медичної галузі, консервативна нормативно-правова база, що регулює кадрову політику. Збереження дефіциту кадрів неминуче матиме довгострокові негативні наслідки для здоров’я населення. Основною причиною цього є відсутність цілісної державної політики щодо формування та управління кадровим потенціалом у період реформування системи охорони здоров’я. Процеси підготовки, відтворення та розподілу медичних працівників залишаються недостатньо керованими та потребують системного вдосконалення.</w:t>
      </w:r>
    </w:p>
    <w:p w14:paraId="3BE088D5"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В контексті вдосконалення організаційно-економічного механізму </w:t>
      </w:r>
      <w:r>
        <w:rPr>
          <w:rFonts w:ascii="Times New Roman" w:eastAsia="Microsoft YaHei" w:hAnsi="Times New Roman" w:cs="Times New Roman"/>
          <w:sz w:val="28"/>
          <w:szCs w:val="28"/>
        </w:rPr>
        <w:lastRenderedPageBreak/>
        <w:t>охорони здоров’я важливо забезпечити ефективне планування та розподіл фінансових ресурсів; розширити доступ населення до послуг охорони здоров’я;  підвищити якість і доступність первинної медичної допомоги шляхом оновлення обладнання та забезпечення кваліфікованими кадрами; покращити результативність роботи медичного персоналу.</w:t>
      </w:r>
    </w:p>
    <w:p w14:paraId="3BE088D6"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Дослідження впливу організаційно-економічних механізмів державного управління на діяльність медичних закладів міста Одеси проведено на основі аналізу діяльності Департаменту охорони здоров’я Одеської міської ради та КНП «Міська клінічна лікарня № 11» ОМР.</w:t>
      </w:r>
    </w:p>
    <w:p w14:paraId="3BE088D7"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Департамент охорони здоров’я Одеської міської ради виконує функції виконавчого органу міської влади, відповідального за забезпечення медичного обслуговування населення та реалізацію державних і муніципальних рішень у галузі охорони здоров’я. Функціонування мережі медичних закладів і надання медичної допомоги забезпечувалося за рахунок коштів, отриманих від Національної служби здоров’я України, фінансування з місцевого бюджету, а також субвенцій з державного бюджету. Загальний обсяг фінансових надходжень із державного бюджету у вигляді субвенцій становив 27 238,9 тис. грн, а з місцевого бюджету  562 756,9 тис. грн, що разом склало 589 995,8 тис. грн.</w:t>
      </w:r>
    </w:p>
    <w:p w14:paraId="3BE088D8"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У рамках медичної реформи у 2024 році в м. Одесі діяло 1 комунальна установа та 31 комунальне некомерційне підприємство, із яких 28 уклали договори з НСЗУ. Загальна сума коштів, отриманих за цими договорами, становила 2 312,7 млн грн. Департамент, як головний розпорядник бюджетних коштів, здійснював фінансування за низкою бюджетних програм, що охоплюють стаціонарну, амбулаторну, спеціалізовану, стоматологічну допомогу, програми пільгового забезпечення населення ліками, лікарсько-акушерську допомогу, реабілітацію, інформаційно-методичну діяльність та інші напрями.</w:t>
      </w:r>
    </w:p>
    <w:p w14:paraId="3BE088D9"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Виконання бюджету у сфері охорони здоров’я відбувалося в умовах воєнного стану, що вимагало особливого підходу до фінансування. </w:t>
      </w:r>
      <w:r>
        <w:rPr>
          <w:rFonts w:ascii="Times New Roman" w:eastAsia="Microsoft YaHei" w:hAnsi="Times New Roman" w:cs="Times New Roman"/>
          <w:sz w:val="28"/>
          <w:szCs w:val="28"/>
        </w:rPr>
        <w:lastRenderedPageBreak/>
        <w:t>Пріоритетними були видатки для формування резервів медикаментів, витратних матеріалів, інфузійних розчинів, харчування для пацієнтів, закупівлі білизни та інших ресурсів, необхідних для оперативного реагування на можливий масовий прийом постраждалих.</w:t>
      </w:r>
    </w:p>
    <w:p w14:paraId="3BE088DA"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Завдяки реалізованим заходам у 2024 році вдалося забезпечити стабільну роботу медичної галузі Одеси, безперебійне надання медичної та реабілітаційної допомоги у плановому та ургентному режимах, впровадження сучасних технологій, розвиток матеріально-технічної бази, а також подальше удосконалення системи охорони здоров’я та її відповідність завданням державної політики навіть в умовах воєнного стану.</w:t>
      </w:r>
    </w:p>
    <w:p w14:paraId="3BE088DB"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У 2025 році медична допомога надавалася 32 медичними закладами міста, серед яких: 4 кластерні лікарні (1 - дитяча), 3 загальні лікарні, 4 консультативно-діагностичні центри (у тому числі один дитячий), 6 центрів первинної медико-санітарної допомоги, 7 дитячих поліклінік, 2 будинки дитини, пологовий будинок, стоматологічна поліклініка, Центр профілактики та боротьби з ВІЛ/СНІДом, психіатричний диспансер, міські Центри здоров’я та невідкладної медичної допомоги.</w:t>
      </w:r>
    </w:p>
    <w:p w14:paraId="3BE088DC"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Фінансування медичних закладів Одеси у 2025 році здійснювалося з різних джерел: за рахунок коштів НСЗУ за програмою медичних гарантій, коштів бюджету територіальної громади.</w:t>
      </w:r>
    </w:p>
    <w:p w14:paraId="3BE088DD"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У медичних закладах Одеси проводились ремонтні роботи. Завершено значні реконструкції у МКЛ №11, ДМКЛ №3, ДКДЦ ім. Резніка, ЦПМСД №4. Тривають масштабні роботи в МКЛ №1, МКІЛ, Пологовому будинку №5.</w:t>
      </w:r>
    </w:p>
    <w:p w14:paraId="3BE088DE"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У межах програми «Безбар’єрна Одеса» облаштовано 6 інклюзивних палат з сучасними функціональними ліжками. В рамках міської програми «Здоров’я» профінансовано заходів на 459,6 млн грн. </w:t>
      </w:r>
    </w:p>
    <w:p w14:paraId="3BE088DF"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У процесі структурної реорганізації закладів охорони здоров’я було забезпечено збереження кадрового потенціалу медичних працівників, що дозволило уникнути втрат кваліфікованих спеціалістів та підтримати стабільність функціонування системи охорони здоров’я міста.</w:t>
      </w:r>
    </w:p>
    <w:p w14:paraId="3BE088E0"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lastRenderedPageBreak/>
        <w:t>Отже, застосування організаційно-економічних інструментів забезпечення діяльності комунальних закладів охорони здоров’я територіальної громади м. Одеси позитивно вплинуло на їх функціонування та результати роботи. Комплексне поєднання фінансових, управлінських, нормативних та ресурсних механізмів сприяло підвищенню ефективності використання бюджетних коштів, зміцненню матеріально-технічної бази, забезпеченню доступності медичної допомоги та розширенню можливостей закладів щодо впровадження сучасних медичних технологій.</w:t>
      </w:r>
    </w:p>
    <w:p w14:paraId="3BE088E1"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Одеське комунальне некомерційне підприємство «Міська клінічна лікарня № 11» є однією з основних клінічних баз Одеського національного медичного університету, де проходять підготовку лікарі-інтерни, підвищують кваліфікацію практикуючі фахівці та здійснюється навчально-методична робота кафедр. Фінансові й економічні показники діяльності лікарні демонструють достатньо високий рівень управлінської ефективності та раціональне використання ресурсів. </w:t>
      </w:r>
    </w:p>
    <w:p w14:paraId="3BE088E2"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Протягом досліджуваного періоду лікарня характеризується стабільним зростанням доходів і чистого прибутку, що підтверджує результативність організації роботи та створює передумови для розвитку кадрових мотиваційних програм - зокрема, преміювання, формування соціальних пакетів, підтримки професійного зростання та профілактики професійного вигорання. Для стабілізації фінансової ситуації у 2025 році доцільно забезпечити повне виконання умов договорів із НСЗУ, оптимізувати використання ресурсів, розширити перелік платних послуг, диверсифікувати джерела фінансування, підтримувати безперервність роботи під час ремонтів і посилити кадрову політику.</w:t>
      </w:r>
    </w:p>
    <w:p w14:paraId="3BE088E3"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Проведений аналіз дозволяє дійти висновку, що КНП «МКЛ №11» ОМР характеризується ефективними організаційно-економічними механізмами та здатністю генерувати прибуток, однак потребує посилення фінансової стійкості. Оптимізація структури активів, посилення ліквідності та зниження залежності від позикових ресурсів є ключовими напрямами для зміцнення </w:t>
      </w:r>
      <w:r>
        <w:rPr>
          <w:rFonts w:ascii="Times New Roman" w:eastAsia="Microsoft YaHei" w:hAnsi="Times New Roman" w:cs="Times New Roman"/>
          <w:sz w:val="28"/>
          <w:szCs w:val="28"/>
        </w:rPr>
        <w:lastRenderedPageBreak/>
        <w:t>фінансового становища. Загалом фінансовий стан лікарні можна оцінити як задовільний, із необхідністю реалізації управлінських заходів з мінімізації ризиків.</w:t>
      </w:r>
    </w:p>
    <w:p w14:paraId="3BE088E4"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Ефективність чинних організаційно-економічних механізмів у сфері охорони здоров’я значною мірою обмежується низкою системних проблем, серед яких особливо помітними є фінансові дисбаланси, невдалі управлінські рішення, кадрові виклики та недостатній рівень технологічного розвитку.</w:t>
      </w:r>
    </w:p>
    <w:p w14:paraId="3BE088E5"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Подолання системних бар’єрів у сфері охорони здоров’я потребує комплексних трансформацій, спрямованих на фінансову стабільність, управлінську ефективність, кадрове зміцнення та інноваційний розвиток медичних закладів. Удосконалення організаційно-економічних механізмів можливе за умови реалізації таких стратегічних напрямів: оптимізація фінансової політики та диверсифікація джерел фінансування; підвищення ефективності управління та організаційної структури; модернізація матеріально-технічної бази та цифрова трансформація; розвиток кадрового потенціалу та підвищення професійної мобільності; забезпечення доступності та підвищення якості медичних послуг. Підвищення ефективності організаційно-економічних механізмів закладів охорони здоров’я можливе лише через синергетичне поєднання фінансових, управлінських, технологічних та соціальних інновацій. </w:t>
      </w:r>
    </w:p>
    <w:p w14:paraId="3BE088E6"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Розглядаючи державний та місцеві бюджети як основні джерела фінансового забезпечення галузі, варто підкреслити, що бюджетне фінансування традиційно гарантувало рівний доступ до медичних послуг, можливість оптимізації системи охорони здоров’я у масштабах держави та відносну простоту організації фінансових потоків та оплати праці.</w:t>
      </w:r>
    </w:p>
    <w:p w14:paraId="3BE088E7"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Для забезпечення належного обсягу та якості медичної допомоги у сферах високотехнологічного лікування, соціально орієнтованих послуг та терапії тяжких хвороб необхідним залишається подальше розширення та диверсифікація джерел фінансування. </w:t>
      </w:r>
    </w:p>
    <w:p w14:paraId="3BE088E8"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Управління в сфері охорони здоров’я має розвиватися відповідно до змін </w:t>
      </w:r>
      <w:r>
        <w:rPr>
          <w:rFonts w:ascii="Times New Roman" w:eastAsia="Microsoft YaHei" w:hAnsi="Times New Roman" w:cs="Times New Roman"/>
          <w:sz w:val="28"/>
          <w:szCs w:val="28"/>
        </w:rPr>
        <w:lastRenderedPageBreak/>
        <w:t>ринку медичних послуг та нових фінансових механізмів. Оскільки галузь є складною соціальною системою, її ефективність безпосередньо залежить від професійності управління.</w:t>
      </w:r>
    </w:p>
    <w:p w14:paraId="3BE088E9"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Проблеми, з якими зіштовхуються лікарні, мають комплексний характер:  виявлено критичну потребу у модернізації матеріально-технічної бази;  виникла необхідність оперативного формування спеціалізованих медичних бригад; ключовим стає безперервний критичний аналіз стрімко змінюваних умов та швидке ухвалення обґрунтованих управлінських рішень. За таких обставин стандартні управлінські підходи втрачають ефективність, а лікарні потребують переходу до антикризового менеджменту.</w:t>
      </w:r>
    </w:p>
    <w:p w14:paraId="3BE088EA"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Підвищенню якості й доступності медичних послуг, оптимізації управлінських процесів та більш ефективному використанню ресурсів, а також покращенню інформованості користувачі сприятиме розвиток цифрових рішень. Серед пріоритетних напрямів цифрової трансформації охорони здоров’я визначено модернізацію електронної охорони здоров’я шляхом упровадження сучасних, зручних та доступних електронних сервісів.</w:t>
      </w:r>
    </w:p>
    <w:p w14:paraId="3BE088EB"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Активно розробляються і реалізуються нові технологічні рішення, сучасні медичні інформаційні системи, телемедичні сервіси, а також новітні діагностичні та лікувальні методи.</w:t>
      </w:r>
      <w:r>
        <w:rPr>
          <w:rFonts w:ascii="Microsoft YaHei" w:eastAsia="Microsoft YaHei" w:hAnsi="Microsoft YaHei" w:cs="Microsoft YaHei"/>
        </w:rPr>
        <w:t xml:space="preserve"> Це </w:t>
      </w:r>
      <w:r>
        <w:rPr>
          <w:rFonts w:ascii="Times New Roman" w:eastAsia="Microsoft YaHei" w:hAnsi="Times New Roman" w:cs="Times New Roman"/>
          <w:sz w:val="28"/>
          <w:szCs w:val="28"/>
        </w:rPr>
        <w:t>запуск електронної системи eHealth, функціонування інформаційно-аналітичної системи «MedData»,</w:t>
      </w:r>
      <w:r>
        <w:rPr>
          <w:rFonts w:ascii="Microsoft YaHei" w:eastAsia="Microsoft YaHei" w:hAnsi="Microsoft YaHei" w:cs="Microsoft YaHei"/>
        </w:rPr>
        <w:t xml:space="preserve"> </w:t>
      </w:r>
      <w:r>
        <w:rPr>
          <w:rFonts w:ascii="Times New Roman" w:eastAsia="Microsoft YaHei" w:hAnsi="Times New Roman" w:cs="Times New Roman"/>
          <w:sz w:val="28"/>
          <w:szCs w:val="28"/>
        </w:rPr>
        <w:t>реалізація проекту «HEAL Ukraine», цифровізацію закупівель, прогнозування потреб у медичних послугах, розвиток дистанційного навчання, телемедичні інструменти, удосконалення навичок персоналу та посилення потенціалу ключових державних інституцій - МОЗ, НСЗУ, Центру громадського здоров’я, ДП «Електронне здоров’я» та ДП «Медичні закупівлі України».</w:t>
      </w:r>
    </w:p>
    <w:p w14:paraId="3BE088EC" w14:textId="77777777" w:rsidR="00052C0B" w:rsidRDefault="006E6CE8">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Впровадження інноваційних цифрових проектів у медичній сфері є критично важливим кроком для підвищення якості та доступності медичних послуг в умовах євроінтеграції та адаптації світових практик. Досягнутий прогрес свідчить про сформований фундамент для подальшої модернізації. Для цього необхідно продовжувати розвиток цифрової екосистеми, </w:t>
      </w:r>
      <w:r>
        <w:rPr>
          <w:rFonts w:ascii="Times New Roman" w:eastAsia="Microsoft YaHei" w:hAnsi="Times New Roman" w:cs="Times New Roman"/>
          <w:sz w:val="28"/>
          <w:szCs w:val="28"/>
        </w:rPr>
        <w:lastRenderedPageBreak/>
        <w:t>посилювати професійні компетeнтності медичних працівників, удосконалювати нормативно-правову та ресурсно-технічну базу.</w:t>
      </w:r>
    </w:p>
    <w:p w14:paraId="3BE088ED" w14:textId="77777777" w:rsidR="00052C0B" w:rsidRDefault="00052C0B">
      <w:pPr>
        <w:spacing w:line="360" w:lineRule="auto"/>
        <w:ind w:firstLine="709"/>
        <w:jc w:val="both"/>
        <w:rPr>
          <w:rFonts w:ascii="Times New Roman" w:eastAsia="Microsoft YaHei" w:hAnsi="Times New Roman" w:cs="Times New Roman"/>
          <w:sz w:val="28"/>
          <w:szCs w:val="28"/>
        </w:rPr>
      </w:pPr>
    </w:p>
    <w:p w14:paraId="3BE088EE" w14:textId="77777777" w:rsidR="00052C0B" w:rsidRDefault="00052C0B">
      <w:pPr>
        <w:spacing w:line="360" w:lineRule="auto"/>
        <w:ind w:firstLine="709"/>
        <w:jc w:val="both"/>
        <w:rPr>
          <w:rFonts w:ascii="Times New Roman" w:eastAsia="Microsoft YaHei" w:hAnsi="Times New Roman" w:cs="Times New Roman"/>
          <w:sz w:val="28"/>
          <w:szCs w:val="28"/>
        </w:rPr>
      </w:pPr>
    </w:p>
    <w:p w14:paraId="3BE088EF" w14:textId="77777777" w:rsidR="00052C0B" w:rsidRDefault="00052C0B">
      <w:pPr>
        <w:spacing w:line="360" w:lineRule="auto"/>
        <w:ind w:firstLine="709"/>
        <w:jc w:val="both"/>
        <w:rPr>
          <w:rFonts w:ascii="Times New Roman" w:eastAsia="Microsoft YaHei" w:hAnsi="Times New Roman" w:cs="Times New Roman"/>
          <w:sz w:val="28"/>
          <w:szCs w:val="28"/>
        </w:rPr>
      </w:pPr>
    </w:p>
    <w:p w14:paraId="3BE088F0" w14:textId="77777777" w:rsidR="00052C0B" w:rsidRDefault="00052C0B">
      <w:pPr>
        <w:spacing w:line="360" w:lineRule="auto"/>
        <w:ind w:firstLine="709"/>
        <w:jc w:val="both"/>
        <w:rPr>
          <w:rFonts w:ascii="Times New Roman" w:eastAsia="Microsoft YaHei" w:hAnsi="Times New Roman" w:cs="Times New Roman"/>
          <w:sz w:val="28"/>
          <w:szCs w:val="28"/>
        </w:rPr>
      </w:pPr>
    </w:p>
    <w:p w14:paraId="3BE088F1" w14:textId="77777777" w:rsidR="00052C0B" w:rsidRDefault="00052C0B">
      <w:pPr>
        <w:spacing w:line="360" w:lineRule="auto"/>
        <w:ind w:firstLine="709"/>
        <w:jc w:val="both"/>
        <w:rPr>
          <w:rFonts w:ascii="Times New Roman" w:eastAsia="Microsoft YaHei" w:hAnsi="Times New Roman" w:cs="Times New Roman"/>
          <w:sz w:val="28"/>
          <w:szCs w:val="28"/>
        </w:rPr>
      </w:pPr>
    </w:p>
    <w:p w14:paraId="3BE088F2" w14:textId="77777777" w:rsidR="00052C0B" w:rsidRDefault="00052C0B">
      <w:pPr>
        <w:spacing w:line="360" w:lineRule="auto"/>
        <w:ind w:firstLine="709"/>
        <w:jc w:val="both"/>
        <w:rPr>
          <w:rFonts w:ascii="Times New Roman" w:eastAsia="Microsoft YaHei" w:hAnsi="Times New Roman" w:cs="Times New Roman"/>
          <w:sz w:val="28"/>
          <w:szCs w:val="28"/>
        </w:rPr>
      </w:pPr>
    </w:p>
    <w:p w14:paraId="3BE088F3" w14:textId="77777777" w:rsidR="00052C0B" w:rsidRDefault="00052C0B">
      <w:pPr>
        <w:spacing w:line="360" w:lineRule="auto"/>
        <w:ind w:firstLine="709"/>
        <w:jc w:val="both"/>
        <w:rPr>
          <w:rFonts w:ascii="Times New Roman" w:eastAsia="Microsoft YaHei" w:hAnsi="Times New Roman" w:cs="Times New Roman"/>
          <w:sz w:val="28"/>
          <w:szCs w:val="28"/>
        </w:rPr>
      </w:pPr>
    </w:p>
    <w:p w14:paraId="3BE088F4" w14:textId="77777777" w:rsidR="00052C0B" w:rsidRDefault="00052C0B">
      <w:pPr>
        <w:spacing w:line="360" w:lineRule="auto"/>
        <w:ind w:firstLine="709"/>
        <w:jc w:val="both"/>
        <w:rPr>
          <w:rFonts w:ascii="Times New Roman" w:eastAsia="Microsoft YaHei" w:hAnsi="Times New Roman" w:cs="Times New Roman"/>
          <w:sz w:val="28"/>
          <w:szCs w:val="28"/>
        </w:rPr>
      </w:pPr>
    </w:p>
    <w:p w14:paraId="3BE088F5" w14:textId="77777777" w:rsidR="00052C0B" w:rsidRDefault="00052C0B">
      <w:pPr>
        <w:spacing w:line="360" w:lineRule="auto"/>
        <w:ind w:firstLine="709"/>
        <w:jc w:val="both"/>
        <w:rPr>
          <w:rFonts w:ascii="Times New Roman" w:eastAsia="Microsoft YaHei" w:hAnsi="Times New Roman" w:cs="Times New Roman"/>
          <w:sz w:val="28"/>
          <w:szCs w:val="28"/>
        </w:rPr>
      </w:pPr>
    </w:p>
    <w:p w14:paraId="3BE088F6" w14:textId="77777777" w:rsidR="00052C0B" w:rsidRDefault="00052C0B">
      <w:pPr>
        <w:spacing w:line="360" w:lineRule="auto"/>
        <w:ind w:firstLine="709"/>
        <w:jc w:val="both"/>
        <w:rPr>
          <w:rFonts w:ascii="Times New Roman" w:eastAsia="Microsoft YaHei" w:hAnsi="Times New Roman" w:cs="Times New Roman"/>
          <w:sz w:val="28"/>
          <w:szCs w:val="28"/>
        </w:rPr>
      </w:pPr>
    </w:p>
    <w:p w14:paraId="3BE088F7" w14:textId="77777777" w:rsidR="00052C0B" w:rsidRDefault="00052C0B">
      <w:pPr>
        <w:spacing w:line="360" w:lineRule="auto"/>
        <w:ind w:firstLine="709"/>
        <w:jc w:val="both"/>
        <w:rPr>
          <w:rFonts w:ascii="Times New Roman" w:eastAsia="Microsoft YaHei" w:hAnsi="Times New Roman" w:cs="Times New Roman"/>
          <w:sz w:val="28"/>
          <w:szCs w:val="28"/>
        </w:rPr>
      </w:pPr>
    </w:p>
    <w:p w14:paraId="3BE088F8" w14:textId="77777777" w:rsidR="00052C0B" w:rsidRDefault="00052C0B">
      <w:pPr>
        <w:spacing w:line="360" w:lineRule="auto"/>
        <w:ind w:firstLine="709"/>
        <w:jc w:val="both"/>
        <w:rPr>
          <w:rFonts w:ascii="Times New Roman" w:eastAsia="Microsoft YaHei" w:hAnsi="Times New Roman" w:cs="Times New Roman"/>
          <w:sz w:val="28"/>
          <w:szCs w:val="28"/>
        </w:rPr>
      </w:pPr>
    </w:p>
    <w:p w14:paraId="3BE088F9" w14:textId="77777777" w:rsidR="00052C0B" w:rsidRDefault="00052C0B">
      <w:pPr>
        <w:spacing w:line="360" w:lineRule="auto"/>
        <w:ind w:firstLine="709"/>
        <w:jc w:val="both"/>
        <w:rPr>
          <w:rFonts w:ascii="Times New Roman" w:eastAsia="Microsoft YaHei" w:hAnsi="Times New Roman" w:cs="Times New Roman"/>
          <w:sz w:val="28"/>
          <w:szCs w:val="28"/>
        </w:rPr>
      </w:pPr>
    </w:p>
    <w:p w14:paraId="3BE088FA" w14:textId="77777777" w:rsidR="00052C0B" w:rsidRDefault="00052C0B">
      <w:pPr>
        <w:spacing w:line="360" w:lineRule="auto"/>
        <w:ind w:firstLine="709"/>
        <w:jc w:val="both"/>
        <w:rPr>
          <w:rFonts w:ascii="Times New Roman" w:eastAsia="Microsoft YaHei" w:hAnsi="Times New Roman" w:cs="Times New Roman"/>
          <w:sz w:val="28"/>
          <w:szCs w:val="28"/>
        </w:rPr>
      </w:pPr>
    </w:p>
    <w:p w14:paraId="3BE088FB" w14:textId="77777777" w:rsidR="00052C0B" w:rsidRDefault="00052C0B">
      <w:pPr>
        <w:spacing w:line="360" w:lineRule="auto"/>
        <w:ind w:firstLine="709"/>
        <w:jc w:val="both"/>
        <w:rPr>
          <w:rFonts w:ascii="Times New Roman" w:eastAsia="Microsoft YaHei" w:hAnsi="Times New Roman" w:cs="Times New Roman"/>
          <w:sz w:val="28"/>
          <w:szCs w:val="28"/>
        </w:rPr>
      </w:pPr>
    </w:p>
    <w:p w14:paraId="3BE088FC" w14:textId="77777777" w:rsidR="00052C0B" w:rsidRDefault="00052C0B">
      <w:pPr>
        <w:spacing w:line="360" w:lineRule="auto"/>
        <w:ind w:firstLine="709"/>
        <w:jc w:val="both"/>
        <w:rPr>
          <w:rFonts w:ascii="Times New Roman" w:eastAsia="Microsoft YaHei" w:hAnsi="Times New Roman" w:cs="Times New Roman"/>
          <w:sz w:val="28"/>
          <w:szCs w:val="28"/>
        </w:rPr>
      </w:pPr>
    </w:p>
    <w:p w14:paraId="3BE088FD" w14:textId="77777777" w:rsidR="00052C0B" w:rsidRDefault="00052C0B">
      <w:pPr>
        <w:spacing w:line="360" w:lineRule="auto"/>
        <w:ind w:firstLine="709"/>
        <w:jc w:val="both"/>
        <w:rPr>
          <w:rFonts w:ascii="Times New Roman" w:eastAsia="Microsoft YaHei" w:hAnsi="Times New Roman" w:cs="Times New Roman"/>
          <w:sz w:val="28"/>
          <w:szCs w:val="28"/>
        </w:rPr>
      </w:pPr>
    </w:p>
    <w:p w14:paraId="3BE088FE" w14:textId="77777777" w:rsidR="00052C0B" w:rsidRDefault="00052C0B">
      <w:pPr>
        <w:spacing w:line="360" w:lineRule="auto"/>
        <w:ind w:firstLine="709"/>
        <w:jc w:val="both"/>
        <w:rPr>
          <w:rFonts w:ascii="Times New Roman" w:eastAsia="Microsoft YaHei" w:hAnsi="Times New Roman" w:cs="Times New Roman"/>
          <w:sz w:val="28"/>
          <w:szCs w:val="28"/>
        </w:rPr>
      </w:pPr>
    </w:p>
    <w:p w14:paraId="3BE088FF" w14:textId="77777777" w:rsidR="00052C0B" w:rsidRDefault="00052C0B">
      <w:pPr>
        <w:spacing w:line="360" w:lineRule="auto"/>
        <w:ind w:firstLine="709"/>
        <w:jc w:val="both"/>
        <w:rPr>
          <w:rFonts w:ascii="Times New Roman" w:eastAsia="Microsoft YaHei" w:hAnsi="Times New Roman" w:cs="Times New Roman"/>
          <w:sz w:val="28"/>
          <w:szCs w:val="28"/>
        </w:rPr>
      </w:pPr>
    </w:p>
    <w:p w14:paraId="3BE08900" w14:textId="77777777" w:rsidR="00052C0B" w:rsidRDefault="00052C0B">
      <w:pPr>
        <w:spacing w:line="360" w:lineRule="auto"/>
        <w:ind w:firstLine="709"/>
        <w:jc w:val="both"/>
        <w:rPr>
          <w:rFonts w:ascii="Times New Roman" w:eastAsia="Microsoft YaHei" w:hAnsi="Times New Roman" w:cs="Times New Roman"/>
          <w:sz w:val="28"/>
          <w:szCs w:val="28"/>
        </w:rPr>
      </w:pPr>
    </w:p>
    <w:p w14:paraId="3BE08901" w14:textId="77777777" w:rsidR="00052C0B" w:rsidRDefault="00052C0B">
      <w:pPr>
        <w:spacing w:line="360" w:lineRule="auto"/>
        <w:ind w:firstLine="709"/>
        <w:jc w:val="both"/>
        <w:rPr>
          <w:rFonts w:ascii="Times New Roman" w:eastAsia="Microsoft YaHei" w:hAnsi="Times New Roman" w:cs="Times New Roman"/>
          <w:sz w:val="28"/>
          <w:szCs w:val="28"/>
        </w:rPr>
      </w:pPr>
    </w:p>
    <w:p w14:paraId="3BE08902" w14:textId="77777777" w:rsidR="00052C0B" w:rsidRDefault="00052C0B">
      <w:pPr>
        <w:spacing w:line="360" w:lineRule="auto"/>
        <w:ind w:firstLine="709"/>
        <w:jc w:val="both"/>
        <w:rPr>
          <w:rFonts w:ascii="Times New Roman" w:eastAsia="Microsoft YaHei" w:hAnsi="Times New Roman" w:cs="Times New Roman"/>
          <w:sz w:val="28"/>
          <w:szCs w:val="28"/>
        </w:rPr>
      </w:pPr>
    </w:p>
    <w:p w14:paraId="3BE08903" w14:textId="77777777" w:rsidR="00052C0B" w:rsidRDefault="00052C0B">
      <w:pPr>
        <w:spacing w:line="360" w:lineRule="auto"/>
        <w:ind w:firstLine="709"/>
        <w:jc w:val="both"/>
        <w:rPr>
          <w:rFonts w:ascii="Times New Roman" w:eastAsia="Microsoft YaHei" w:hAnsi="Times New Roman" w:cs="Times New Roman"/>
          <w:sz w:val="28"/>
          <w:szCs w:val="28"/>
        </w:rPr>
      </w:pPr>
    </w:p>
    <w:p w14:paraId="3BE08904" w14:textId="77777777" w:rsidR="00052C0B" w:rsidRDefault="00052C0B">
      <w:pPr>
        <w:spacing w:line="360" w:lineRule="auto"/>
        <w:ind w:firstLine="709"/>
        <w:jc w:val="both"/>
        <w:rPr>
          <w:rFonts w:ascii="Times New Roman" w:eastAsia="Microsoft YaHei" w:hAnsi="Times New Roman" w:cs="Times New Roman"/>
          <w:sz w:val="28"/>
          <w:szCs w:val="28"/>
        </w:rPr>
      </w:pPr>
    </w:p>
    <w:p w14:paraId="3BE08905" w14:textId="77777777" w:rsidR="00052C0B" w:rsidRDefault="00052C0B">
      <w:pPr>
        <w:spacing w:line="360" w:lineRule="auto"/>
        <w:ind w:firstLine="709"/>
        <w:jc w:val="both"/>
        <w:rPr>
          <w:rFonts w:ascii="Times New Roman" w:eastAsia="Microsoft YaHei" w:hAnsi="Times New Roman" w:cs="Times New Roman"/>
          <w:sz w:val="28"/>
          <w:szCs w:val="28"/>
        </w:rPr>
      </w:pPr>
    </w:p>
    <w:p w14:paraId="3BE08906" w14:textId="77777777" w:rsidR="00052C0B" w:rsidRDefault="00052C0B">
      <w:pPr>
        <w:spacing w:line="360" w:lineRule="auto"/>
        <w:ind w:firstLine="709"/>
        <w:jc w:val="both"/>
        <w:rPr>
          <w:rFonts w:ascii="Times New Roman" w:eastAsia="Microsoft YaHei" w:hAnsi="Times New Roman" w:cs="Times New Roman"/>
          <w:sz w:val="28"/>
          <w:szCs w:val="28"/>
        </w:rPr>
      </w:pPr>
    </w:p>
    <w:p w14:paraId="3BE08907" w14:textId="77777777" w:rsidR="00052C0B" w:rsidRDefault="00052C0B">
      <w:pPr>
        <w:spacing w:line="360" w:lineRule="auto"/>
        <w:ind w:firstLine="709"/>
        <w:jc w:val="both"/>
        <w:rPr>
          <w:rFonts w:ascii="Times New Roman" w:eastAsia="Microsoft YaHei" w:hAnsi="Times New Roman" w:cs="Times New Roman"/>
          <w:sz w:val="28"/>
          <w:szCs w:val="28"/>
        </w:rPr>
      </w:pPr>
    </w:p>
    <w:p w14:paraId="3BE08908" w14:textId="77777777" w:rsidR="00052C0B" w:rsidRDefault="00052C0B">
      <w:pPr>
        <w:spacing w:line="360" w:lineRule="auto"/>
        <w:ind w:firstLine="709"/>
        <w:jc w:val="both"/>
        <w:rPr>
          <w:rFonts w:ascii="Times New Roman" w:eastAsia="Microsoft YaHei" w:hAnsi="Times New Roman" w:cs="Times New Roman"/>
          <w:sz w:val="28"/>
          <w:szCs w:val="28"/>
        </w:rPr>
      </w:pPr>
    </w:p>
    <w:p w14:paraId="3BE08909" w14:textId="77777777" w:rsidR="00052C0B" w:rsidRDefault="006E6CE8">
      <w:pPr>
        <w:jc w:val="center"/>
        <w:rPr>
          <w:rFonts w:ascii="Times New Roman" w:eastAsia="Times New Roman" w:hAnsi="Times New Roman" w:cs="Times New Roman"/>
          <w:b/>
          <w:color w:val="auto"/>
          <w:sz w:val="28"/>
          <w:szCs w:val="28"/>
          <w:lang w:bidi="ar-SA"/>
        </w:rPr>
      </w:pPr>
      <w:r>
        <w:rPr>
          <w:rFonts w:ascii="Times New Roman" w:eastAsia="Times New Roman" w:hAnsi="Times New Roman" w:cs="Times New Roman"/>
          <w:b/>
          <w:color w:val="auto"/>
          <w:sz w:val="28"/>
          <w:szCs w:val="28"/>
          <w:lang w:bidi="ar-SA"/>
        </w:rPr>
        <w:lastRenderedPageBreak/>
        <w:t>ПЕРЕЛІК ВИКОРИСТАНИХ ДЖЕРЕЛ</w:t>
      </w:r>
    </w:p>
    <w:p w14:paraId="3BE0890A" w14:textId="77777777" w:rsidR="00052C0B" w:rsidRDefault="00052C0B">
      <w:pPr>
        <w:rPr>
          <w:rFonts w:ascii="Times New Roman" w:eastAsia="Times New Roman" w:hAnsi="Times New Roman" w:cs="Times New Roman"/>
          <w:color w:val="auto"/>
          <w:sz w:val="28"/>
          <w:szCs w:val="28"/>
          <w:lang w:bidi="ar-SA"/>
        </w:rPr>
      </w:pPr>
    </w:p>
    <w:p w14:paraId="3BE0890B" w14:textId="77777777" w:rsidR="00052C0B" w:rsidRDefault="00052C0B">
      <w:pPr>
        <w:rPr>
          <w:rFonts w:ascii="Times New Roman" w:eastAsia="Times New Roman" w:hAnsi="Times New Roman" w:cs="Times New Roman"/>
          <w:color w:val="auto"/>
          <w:sz w:val="28"/>
          <w:szCs w:val="28"/>
          <w:lang w:bidi="ar-SA"/>
        </w:rPr>
      </w:pPr>
    </w:p>
    <w:p w14:paraId="3BE0890C" w14:textId="77777777" w:rsidR="00052C0B" w:rsidRDefault="006E6CE8">
      <w:pPr>
        <w:pStyle w:val="aff3"/>
        <w:numPr>
          <w:ilvl w:val="0"/>
          <w:numId w:val="23"/>
        </w:numPr>
        <w:tabs>
          <w:tab w:val="left" w:pos="851"/>
          <w:tab w:val="left" w:pos="1134"/>
        </w:tabs>
        <w:spacing w:line="360" w:lineRule="auto"/>
        <w:ind w:left="0" w:firstLine="709"/>
        <w:jc w:val="both"/>
        <w:rPr>
          <w:rStyle w:val="aff6"/>
          <w:rFonts w:ascii="Times New Roman" w:eastAsia="Times New Roman" w:hAnsi="Times New Roman" w:cs="Times New Roman"/>
          <w:color w:val="auto"/>
          <w:sz w:val="28"/>
          <w:szCs w:val="28"/>
          <w:u w:val="none"/>
          <w:lang w:bidi="ar-SA"/>
        </w:rPr>
      </w:pPr>
      <w:r>
        <w:rPr>
          <w:rFonts w:ascii="Times New Roman" w:eastAsia="Times New Roman" w:hAnsi="Times New Roman" w:cs="Times New Roman"/>
          <w:color w:val="auto"/>
          <w:sz w:val="28"/>
          <w:szCs w:val="28"/>
          <w:lang w:bidi="ar-SA"/>
        </w:rPr>
        <w:t xml:space="preserve">Економіка охорони здоров’я: [Підручник]/За заг. ред. д. мед. н., проф. Парія В.Д.; Національний медичний університет імені О. О. Богомольця. Житомир: ТОВ «Видавничий дім «Бук-Друк»». 2021. 288 с. </w:t>
      </w:r>
      <w:r>
        <w:rPr>
          <w:rFonts w:ascii="Times New Roman" w:eastAsia="Times New Roman" w:hAnsi="Times New Roman" w:cs="Times New Roman"/>
          <w:color w:val="auto"/>
          <w:sz w:val="28"/>
          <w:szCs w:val="28"/>
          <w:lang w:val="en-US" w:bidi="ar-SA"/>
        </w:rPr>
        <w:t>URL</w:t>
      </w:r>
      <w:r>
        <w:rPr>
          <w:rFonts w:ascii="Times New Roman" w:eastAsia="Times New Roman" w:hAnsi="Times New Roman" w:cs="Times New Roman"/>
          <w:color w:val="auto"/>
          <w:sz w:val="28"/>
          <w:szCs w:val="28"/>
          <w:lang w:bidi="ar-SA"/>
        </w:rPr>
        <w:t xml:space="preserve">: </w:t>
      </w:r>
      <w:hyperlink r:id="rId58" w:tooltip="http://ir.librarynmu.com/bitstream/123456789/7397/1/Економіка%20охорони%20здоров%27я.pdf" w:history="1">
        <w:r>
          <w:rPr>
            <w:rStyle w:val="aff6"/>
            <w:rFonts w:ascii="Times New Roman" w:eastAsia="Times New Roman" w:hAnsi="Times New Roman" w:cs="Times New Roman"/>
            <w:color w:val="auto"/>
            <w:sz w:val="28"/>
            <w:szCs w:val="28"/>
            <w:u w:val="none"/>
            <w:lang w:bidi="ar-SA"/>
          </w:rPr>
          <w:t>http://ir.librarynmu.com/bitstream/123456789/7397/1/Економіка%20охорони%20здоров%27я.pdf</w:t>
        </w:r>
      </w:hyperlink>
    </w:p>
    <w:p w14:paraId="3BE0890D" w14:textId="77777777" w:rsidR="00052C0B" w:rsidRDefault="006E6CE8">
      <w:pPr>
        <w:pStyle w:val="aff3"/>
        <w:numPr>
          <w:ilvl w:val="0"/>
          <w:numId w:val="23"/>
        </w:numPr>
        <w:tabs>
          <w:tab w:val="left" w:pos="993"/>
        </w:tabs>
        <w:spacing w:line="360" w:lineRule="auto"/>
        <w:ind w:left="0"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 xml:space="preserve">Горбань Д. А. Організація охорони здоров’я України: основні принципи та моделі. Проблеми сучасних трансформацій. 2023. № 8. URL:  file:///D:/home/e200466kvy/Downloads/03_04_8_2023_Horban%20(1).pdf </w:t>
      </w:r>
    </w:p>
    <w:p w14:paraId="3BE0890E" w14:textId="77777777" w:rsidR="00052C0B" w:rsidRDefault="006E6CE8">
      <w:pPr>
        <w:pStyle w:val="aff3"/>
        <w:numPr>
          <w:ilvl w:val="0"/>
          <w:numId w:val="23"/>
        </w:numPr>
        <w:tabs>
          <w:tab w:val="left" w:pos="993"/>
        </w:tabs>
        <w:spacing w:line="360" w:lineRule="auto"/>
        <w:ind w:left="0"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Долот В.Д. Система охорони здоров’я в Україні: вибір національної моделі розвитку. Електронний журнал «Державне управління: удосконалення та розвиток». URL: http://www.dy.nayka.com.ua/?op=1&amp;z=658</w:t>
      </w:r>
    </w:p>
    <w:p w14:paraId="3BE0890F" w14:textId="77777777" w:rsidR="00052C0B" w:rsidRDefault="006E6CE8">
      <w:pPr>
        <w:pStyle w:val="aff3"/>
        <w:numPr>
          <w:ilvl w:val="0"/>
          <w:numId w:val="23"/>
        </w:numPr>
        <w:tabs>
          <w:tab w:val="left" w:pos="993"/>
        </w:tabs>
        <w:spacing w:line="360" w:lineRule="auto"/>
        <w:ind w:left="0"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Сміянов В.А. Основні моделі систем охорони здоров’я та джерела їх фінансування. URL: https://pubhealth.med.sumdu.edu.ua/wp-content/uploads/2021/02/Lecture-6-Public-health-propaedeutics.pdf</w:t>
      </w:r>
    </w:p>
    <w:p w14:paraId="3BE08910" w14:textId="77777777" w:rsidR="00052C0B" w:rsidRDefault="006E6CE8">
      <w:pPr>
        <w:pStyle w:val="aff3"/>
        <w:numPr>
          <w:ilvl w:val="0"/>
          <w:numId w:val="23"/>
        </w:numPr>
        <w:tabs>
          <w:tab w:val="left" w:pos="993"/>
        </w:tabs>
        <w:spacing w:line="360" w:lineRule="auto"/>
        <w:ind w:left="0"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Тетерич Н.В. Моделі системи охорони здоров'я і медичного страхування. 2020. URL: https://economica.nuph.edu.ua/wp-content/uploads/2020/12/lecture_12_medical_insurance_2018.pdf</w:t>
      </w:r>
    </w:p>
    <w:p w14:paraId="3BE08911" w14:textId="77777777" w:rsidR="00052C0B" w:rsidRDefault="006E6CE8">
      <w:pPr>
        <w:pStyle w:val="aff3"/>
        <w:numPr>
          <w:ilvl w:val="0"/>
          <w:numId w:val="23"/>
        </w:numPr>
        <w:tabs>
          <w:tab w:val="left" w:pos="993"/>
        </w:tabs>
        <w:spacing w:line="360" w:lineRule="auto"/>
        <w:ind w:left="0"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 xml:space="preserve"> Reshota N. Класифікація основних моделей медичних систем у світі та шлях України. Іngenius. 2020. URL: </w:t>
      </w:r>
      <w:hyperlink r:id="rId59" w:tooltip="https://ingeniusua.org/articles/klasyfikatsiya-osnovnykh-modeley-medychnykh-system-u-sviti-ta-shlyakh-ukrayiny" w:history="1">
        <w:r>
          <w:rPr>
            <w:rStyle w:val="aff6"/>
            <w:rFonts w:ascii="Times New Roman" w:eastAsia="Times New Roman" w:hAnsi="Times New Roman" w:cs="Times New Roman"/>
            <w:color w:val="auto"/>
            <w:sz w:val="28"/>
            <w:szCs w:val="28"/>
            <w:u w:val="none"/>
            <w:lang w:bidi="ar-SA"/>
          </w:rPr>
          <w:t>https://ingeniusua.org/articles/klasyfikatsiya-osnovnykh-modeley-medychnykh-system-u-sviti-ta-shlyakh-ukrayiny</w:t>
        </w:r>
      </w:hyperlink>
    </w:p>
    <w:p w14:paraId="3BE08912" w14:textId="77777777" w:rsidR="00052C0B" w:rsidRDefault="006E6CE8">
      <w:pPr>
        <w:pStyle w:val="aff3"/>
        <w:numPr>
          <w:ilvl w:val="0"/>
          <w:numId w:val="23"/>
        </w:numPr>
        <w:tabs>
          <w:tab w:val="left" w:pos="709"/>
          <w:tab w:val="left" w:pos="851"/>
          <w:tab w:val="left" w:pos="1134"/>
        </w:tabs>
        <w:spacing w:line="360" w:lineRule="auto"/>
        <w:ind w:left="0"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 xml:space="preserve">Мартинюк О., Кусик Н., Рудінська О., Криленко В. (2024). Формування організаційно-економічного механізму управління закладом охорони здоров’я в сучасній парадигмі розвитку. Економіка та суспільство, (64). </w:t>
      </w:r>
      <w:hyperlink r:id="rId60" w:tooltip="https://doi.org/10.32782/2524-0072/2024-64-56" w:history="1">
        <w:r>
          <w:rPr>
            <w:rStyle w:val="aff6"/>
            <w:rFonts w:ascii="Times New Roman" w:eastAsia="Times New Roman" w:hAnsi="Times New Roman" w:cs="Times New Roman"/>
            <w:color w:val="auto"/>
            <w:sz w:val="28"/>
            <w:szCs w:val="28"/>
            <w:u w:val="none"/>
            <w:lang w:bidi="ar-SA"/>
          </w:rPr>
          <w:t>https://doi.org/10.32782/2524-0072/2024-64-56</w:t>
        </w:r>
      </w:hyperlink>
      <w:r>
        <w:rPr>
          <w:rFonts w:ascii="Times New Roman" w:eastAsia="Times New Roman" w:hAnsi="Times New Roman" w:cs="Times New Roman"/>
          <w:color w:val="auto"/>
          <w:sz w:val="28"/>
          <w:szCs w:val="28"/>
          <w:lang w:bidi="ar-SA"/>
        </w:rPr>
        <w:t xml:space="preserve"> URL: https://economyandsociety.in.ua/index.php/journal/article/view/4271</w:t>
      </w:r>
    </w:p>
    <w:p w14:paraId="3BE08913" w14:textId="77777777" w:rsidR="00052C0B" w:rsidRDefault="006E6CE8">
      <w:pPr>
        <w:pStyle w:val="aff3"/>
        <w:numPr>
          <w:ilvl w:val="0"/>
          <w:numId w:val="23"/>
        </w:numPr>
        <w:tabs>
          <w:tab w:val="left" w:pos="709"/>
          <w:tab w:val="left" w:pos="851"/>
          <w:tab w:val="left" w:pos="1134"/>
        </w:tabs>
        <w:spacing w:line="360" w:lineRule="auto"/>
        <w:ind w:left="0"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Юнгер В.І. Стратегія повоєнного відновлення системи охорони здоров’я: монографія / В.І. Юнгер.  Житомир: ТОВ «Видавничий дім «Бук-</w:t>
      </w:r>
      <w:r>
        <w:rPr>
          <w:rFonts w:ascii="Times New Roman" w:eastAsia="Times New Roman" w:hAnsi="Times New Roman" w:cs="Times New Roman"/>
          <w:color w:val="auto"/>
          <w:sz w:val="28"/>
          <w:szCs w:val="28"/>
          <w:lang w:bidi="ar-SA"/>
        </w:rPr>
        <w:lastRenderedPageBreak/>
        <w:t>Друк»». 2024.  312 с.</w:t>
      </w:r>
      <w:r>
        <w:rPr>
          <w:rFonts w:ascii="Times New Roman" w:hAnsi="Times New Roman" w:cs="Times New Roman"/>
          <w:color w:val="auto"/>
          <w:sz w:val="28"/>
          <w:szCs w:val="28"/>
        </w:rPr>
        <w:t xml:space="preserve"> URL: </w:t>
      </w:r>
      <w:r>
        <w:rPr>
          <w:rFonts w:ascii="Times New Roman" w:eastAsia="Times New Roman" w:hAnsi="Times New Roman" w:cs="Times New Roman"/>
          <w:color w:val="auto"/>
          <w:sz w:val="28"/>
          <w:szCs w:val="28"/>
          <w:lang w:bidi="ar-SA"/>
        </w:rPr>
        <w:t>https://eztuir.ztu.edu.ua/bitstream/handle/</w:t>
      </w:r>
      <w:r>
        <w:rPr>
          <w:rFonts w:ascii="Times New Roman" w:hAnsi="Times New Roman" w:cs="Times New Roman"/>
          <w:color w:val="auto"/>
          <w:sz w:val="28"/>
          <w:szCs w:val="28"/>
        </w:rPr>
        <w:t xml:space="preserve"> </w:t>
      </w:r>
      <w:r>
        <w:rPr>
          <w:rFonts w:ascii="Times New Roman" w:eastAsia="Times New Roman" w:hAnsi="Times New Roman" w:cs="Times New Roman"/>
          <w:color w:val="auto"/>
          <w:sz w:val="28"/>
          <w:szCs w:val="28"/>
          <w:lang w:bidi="ar-SA"/>
        </w:rPr>
        <w:t>123456789/8816/Монографія_Юнгер.pdf?sequence=1&amp;isAllowed=y</w:t>
      </w:r>
    </w:p>
    <w:p w14:paraId="3BE08914" w14:textId="77777777" w:rsidR="00052C0B" w:rsidRDefault="006E6CE8">
      <w:pPr>
        <w:pStyle w:val="aff3"/>
        <w:numPr>
          <w:ilvl w:val="0"/>
          <w:numId w:val="23"/>
        </w:numPr>
        <w:tabs>
          <w:tab w:val="left" w:pos="709"/>
          <w:tab w:val="left" w:pos="851"/>
          <w:tab w:val="left" w:pos="1134"/>
        </w:tabs>
        <w:spacing w:line="360" w:lineRule="auto"/>
        <w:ind w:left="0"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Карамишев Д.В., Удовиченко НМ. Основні принципи функціонування системи охорони здоров’я в контексті загальнолюдських цінностей соціальної держави. Медичне право України: правовий статус пацієнтів в Україні та його законодавче забезпечення (генезис, розвиток, проблеми і перспективи вдосконалення). Матеріали II Всеукраїнської науково</w:t>
      </w:r>
      <w:r>
        <w:rPr>
          <w:rFonts w:ascii="Times New Roman" w:eastAsia="Times New Roman" w:hAnsi="Times New Roman" w:cs="Times New Roman"/>
          <w:color w:val="auto"/>
          <w:sz w:val="28"/>
          <w:szCs w:val="28"/>
          <w:lang w:bidi="ar-SA"/>
        </w:rPr>
        <w:noBreakHyphen/>
        <w:t xml:space="preserve">практичної конференції 17-18.04.2008, м. Львів. URL:  </w:t>
      </w:r>
      <w:hyperlink r:id="rId61" w:tooltip="https://medicallaw.org.ua/uploads/media/02_129.pdf" w:history="1">
        <w:r>
          <w:rPr>
            <w:rStyle w:val="aff6"/>
            <w:rFonts w:ascii="Times New Roman" w:eastAsia="Times New Roman" w:hAnsi="Times New Roman" w:cs="Times New Roman"/>
            <w:color w:val="auto"/>
            <w:sz w:val="28"/>
            <w:szCs w:val="28"/>
            <w:u w:val="none"/>
            <w:lang w:bidi="ar-SA"/>
          </w:rPr>
          <w:t>https://medicallaw.org.ua/uploads/media/02_129.pdf</w:t>
        </w:r>
      </w:hyperlink>
    </w:p>
    <w:p w14:paraId="3BE08915" w14:textId="77777777" w:rsidR="00052C0B" w:rsidRDefault="006E6CE8">
      <w:pPr>
        <w:pStyle w:val="aff3"/>
        <w:numPr>
          <w:ilvl w:val="0"/>
          <w:numId w:val="23"/>
        </w:numPr>
        <w:tabs>
          <w:tab w:val="left" w:pos="709"/>
          <w:tab w:val="left" w:pos="851"/>
          <w:tab w:val="left" w:pos="1134"/>
        </w:tabs>
        <w:spacing w:line="360" w:lineRule="auto"/>
        <w:ind w:left="0"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Назарко С.О. Ефективне управління медичним закладом в умовах реформування системи охорони здоров’я. Ефективна економіка.</w:t>
      </w:r>
      <w:r>
        <w:rPr>
          <w:color w:val="auto"/>
        </w:rPr>
        <w:t xml:space="preserve"> </w:t>
      </w:r>
      <w:r>
        <w:rPr>
          <w:rFonts w:ascii="Times New Roman" w:eastAsia="Times New Roman" w:hAnsi="Times New Roman" w:cs="Times New Roman"/>
          <w:color w:val="auto"/>
          <w:sz w:val="28"/>
          <w:szCs w:val="28"/>
          <w:lang w:bidi="ar-SA"/>
        </w:rPr>
        <w:t>DOI: 10.32702/2307-2105-2020.1.55 URL:</w:t>
      </w:r>
      <w:r>
        <w:rPr>
          <w:color w:val="auto"/>
        </w:rPr>
        <w:t xml:space="preserve"> </w:t>
      </w:r>
      <w:hyperlink r:id="rId62" w:tooltip="http://www.economy.nayka.com.ua/pdf/1_2020/57.pdf" w:history="1">
        <w:r>
          <w:rPr>
            <w:rStyle w:val="aff6"/>
            <w:rFonts w:ascii="Times New Roman" w:eastAsia="Times New Roman" w:hAnsi="Times New Roman" w:cs="Times New Roman"/>
            <w:color w:val="auto"/>
            <w:sz w:val="28"/>
            <w:szCs w:val="28"/>
            <w:u w:val="none"/>
            <w:lang w:bidi="ar-SA"/>
          </w:rPr>
          <w:t>http://www.economy.nayka.com.ua/pdf/1_2020/57.pdf</w:t>
        </w:r>
      </w:hyperlink>
    </w:p>
    <w:p w14:paraId="3BE08916" w14:textId="77777777" w:rsidR="00052C0B" w:rsidRDefault="006E6CE8">
      <w:pPr>
        <w:pStyle w:val="aff3"/>
        <w:numPr>
          <w:ilvl w:val="0"/>
          <w:numId w:val="23"/>
        </w:numPr>
        <w:tabs>
          <w:tab w:val="left" w:pos="709"/>
          <w:tab w:val="left" w:pos="851"/>
          <w:tab w:val="left" w:pos="1134"/>
        </w:tabs>
        <w:spacing w:line="360" w:lineRule="auto"/>
        <w:ind w:left="0"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 xml:space="preserve">Стахів О.В. Методичні засади та специфіка управління системним розвитком закладів охорони здоров’я. Вісник Хмельницького національного університету. 2022. № 2. Том 1. С. 61-66. URL: </w:t>
      </w:r>
      <w:hyperlink r:id="rId63" w:tooltip="https://journals.khnu.km.ua/vestnik/wp-content/uploads/2022/05/2022-es-21-07.pdf" w:history="1">
        <w:r>
          <w:rPr>
            <w:rStyle w:val="aff6"/>
            <w:rFonts w:ascii="Times New Roman" w:eastAsia="Times New Roman" w:hAnsi="Times New Roman" w:cs="Times New Roman"/>
            <w:color w:val="auto"/>
            <w:sz w:val="28"/>
            <w:szCs w:val="28"/>
            <w:u w:val="none"/>
            <w:lang w:bidi="ar-SA"/>
          </w:rPr>
          <w:t>https://journals.khnu.km.ua/vestnik/wp-content/uploads/2022/05/2022-es-21-07.pdf</w:t>
        </w:r>
      </w:hyperlink>
    </w:p>
    <w:p w14:paraId="3BE08917" w14:textId="77777777" w:rsidR="00052C0B" w:rsidRDefault="006E6CE8">
      <w:pPr>
        <w:pStyle w:val="aff3"/>
        <w:numPr>
          <w:ilvl w:val="0"/>
          <w:numId w:val="23"/>
        </w:numPr>
        <w:tabs>
          <w:tab w:val="left" w:pos="709"/>
          <w:tab w:val="left" w:pos="851"/>
          <w:tab w:val="left" w:pos="1134"/>
        </w:tabs>
        <w:spacing w:line="360" w:lineRule="auto"/>
        <w:ind w:left="0"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 xml:space="preserve"> Гринько Т.В., Шевченко В.А. Організаційно-економічний механізм у системі управління господарською діяльністю закладів охорони здоров’я. Економіка та підприємництво: зб. наук. пр. М-во освіти і науки України. ДВНЗ «Київ. нац. екон. ун-т ім. Вадима Гетьмана»; редкол.: І. М. Рєпіна (голов. ред.) [та ін.]. Київ: КНЕУ. 2016. Вип. 36–37. С. 96–110. UR</w:t>
      </w:r>
      <w:r>
        <w:rPr>
          <w:rFonts w:ascii="Times New Roman" w:eastAsia="Times New Roman" w:hAnsi="Times New Roman" w:cs="Times New Roman"/>
          <w:color w:val="auto"/>
          <w:sz w:val="28"/>
          <w:szCs w:val="28"/>
          <w:lang w:val="en-US" w:bidi="ar-SA"/>
        </w:rPr>
        <w:t>L</w:t>
      </w:r>
      <w:r>
        <w:rPr>
          <w:rFonts w:ascii="Times New Roman" w:eastAsia="Times New Roman" w:hAnsi="Times New Roman" w:cs="Times New Roman"/>
          <w:color w:val="auto"/>
          <w:sz w:val="28"/>
          <w:szCs w:val="28"/>
          <w:lang w:bidi="ar-SA"/>
        </w:rPr>
        <w:t xml:space="preserve">: </w:t>
      </w:r>
      <w:hyperlink r:id="rId64" w:tooltip="https://ir.kneu.edu.ua:443/handle/2010/21863" w:history="1">
        <w:r>
          <w:rPr>
            <w:rStyle w:val="aff6"/>
            <w:rFonts w:ascii="Times New Roman" w:eastAsia="Times New Roman" w:hAnsi="Times New Roman" w:cs="Times New Roman"/>
            <w:color w:val="auto"/>
            <w:sz w:val="28"/>
            <w:szCs w:val="28"/>
            <w:u w:val="none"/>
            <w:lang w:bidi="ar-SA"/>
          </w:rPr>
          <w:t>https://ir.kneu.edu.ua:443/handle/2010/21863</w:t>
        </w:r>
      </w:hyperlink>
    </w:p>
    <w:p w14:paraId="3BE08918" w14:textId="77777777" w:rsidR="00052C0B" w:rsidRDefault="006E6CE8">
      <w:pPr>
        <w:pStyle w:val="aff3"/>
        <w:numPr>
          <w:ilvl w:val="0"/>
          <w:numId w:val="23"/>
        </w:numPr>
        <w:tabs>
          <w:tab w:val="left" w:pos="709"/>
          <w:tab w:val="left" w:pos="851"/>
          <w:tab w:val="left" w:pos="1134"/>
        </w:tabs>
        <w:spacing w:line="360" w:lineRule="auto"/>
        <w:ind w:left="0"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 xml:space="preserve"> Камінська Т.В. Взаємодія елементів організаційно-економічного механізму у сфері охорони здоров’я.</w:t>
      </w:r>
      <w:r>
        <w:rPr>
          <w:color w:val="auto"/>
        </w:rPr>
        <w:t xml:space="preserve"> </w:t>
      </w:r>
      <w:r>
        <w:rPr>
          <w:rFonts w:ascii="Times New Roman" w:eastAsia="Times New Roman" w:hAnsi="Times New Roman" w:cs="Times New Roman"/>
          <w:color w:val="auto"/>
          <w:sz w:val="28"/>
          <w:szCs w:val="28"/>
          <w:lang w:bidi="ar-SA"/>
        </w:rPr>
        <w:t xml:space="preserve">Проблеми розвитку економіки. Журнал стратегічних економічних досліджень. 2023. № 4(15). С. 32-41. URL:  </w:t>
      </w:r>
      <w:hyperlink r:id="rId65" w:tooltip="file:///D:/home/e200466kvy/Downloads/VZAEMODIA_ELEMENTIV_ORGANIZACIJNO-EKONOMICNOGO_MEH%20(1).pdf" w:history="1">
        <w:r>
          <w:rPr>
            <w:rStyle w:val="aff6"/>
            <w:rFonts w:ascii="Times New Roman" w:eastAsia="Times New Roman" w:hAnsi="Times New Roman" w:cs="Times New Roman"/>
            <w:color w:val="auto"/>
            <w:sz w:val="28"/>
            <w:szCs w:val="28"/>
            <w:u w:val="none"/>
            <w:lang w:bidi="ar-SA"/>
          </w:rPr>
          <w:t>file:///D:/home/e200466kvy/Downloads/VZAEMODIA_ELEMENTIV_ORGANIZACIJNO-EKONOMICNOGO_MEH%20(1).pdf</w:t>
        </w:r>
      </w:hyperlink>
      <w:r>
        <w:rPr>
          <w:rFonts w:ascii="Times New Roman" w:eastAsia="Times New Roman" w:hAnsi="Times New Roman" w:cs="Times New Roman"/>
          <w:color w:val="auto"/>
          <w:sz w:val="28"/>
          <w:szCs w:val="28"/>
          <w:lang w:bidi="ar-SA"/>
        </w:rPr>
        <w:t xml:space="preserve"> </w:t>
      </w:r>
    </w:p>
    <w:p w14:paraId="3BE08919" w14:textId="77777777" w:rsidR="00052C0B" w:rsidRDefault="006E6CE8">
      <w:pPr>
        <w:pStyle w:val="aff3"/>
        <w:numPr>
          <w:ilvl w:val="0"/>
          <w:numId w:val="23"/>
        </w:numPr>
        <w:tabs>
          <w:tab w:val="left" w:pos="709"/>
          <w:tab w:val="left" w:pos="851"/>
          <w:tab w:val="left" w:pos="1134"/>
        </w:tabs>
        <w:spacing w:line="360" w:lineRule="auto"/>
        <w:ind w:left="0"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 xml:space="preserve">Дубина М., Сердюк Д. Організаційно-економічний механізм </w:t>
      </w:r>
      <w:r>
        <w:rPr>
          <w:rFonts w:ascii="Times New Roman" w:eastAsia="Times New Roman" w:hAnsi="Times New Roman" w:cs="Times New Roman"/>
          <w:color w:val="auto"/>
          <w:sz w:val="28"/>
          <w:szCs w:val="28"/>
          <w:lang w:bidi="ar-SA"/>
        </w:rPr>
        <w:lastRenderedPageBreak/>
        <w:t>розвитку сфери охорони здоров’я: сутність, морфологія та специфічні особливості функціонування. Науковий вісник Полісся. 2023. № 1 (26). С. 238-254.</w:t>
      </w:r>
    </w:p>
    <w:p w14:paraId="3BE0891A" w14:textId="77777777" w:rsidR="00052C0B" w:rsidRDefault="006E6CE8">
      <w:pPr>
        <w:pStyle w:val="aff3"/>
        <w:numPr>
          <w:ilvl w:val="0"/>
          <w:numId w:val="23"/>
        </w:numPr>
        <w:tabs>
          <w:tab w:val="left" w:pos="1134"/>
        </w:tabs>
        <w:spacing w:line="360" w:lineRule="auto"/>
        <w:ind w:left="0"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 xml:space="preserve">Тодуров М.. Методичний базис впровадження механізму управління закладом охорони здоров’я. Вчені записки Університету «КРОК», 2025 (1(77). 398-404. </w:t>
      </w:r>
      <w:hyperlink r:id="rId66" w:tooltip="https://doi.org/10.31732/2663-2209-2025-77-398-404" w:history="1">
        <w:r>
          <w:rPr>
            <w:rStyle w:val="aff6"/>
            <w:rFonts w:ascii="Times New Roman" w:eastAsia="Times New Roman" w:hAnsi="Times New Roman" w:cs="Times New Roman"/>
            <w:color w:val="auto"/>
            <w:sz w:val="28"/>
            <w:szCs w:val="28"/>
            <w:u w:val="none"/>
            <w:lang w:bidi="ar-SA"/>
          </w:rPr>
          <w:t>https://doi.org/10.31732/2663-2209-2025-77-398-404</w:t>
        </w:r>
      </w:hyperlink>
      <w:r>
        <w:rPr>
          <w:rFonts w:ascii="Times New Roman" w:eastAsia="Times New Roman" w:hAnsi="Times New Roman" w:cs="Times New Roman"/>
          <w:color w:val="auto"/>
          <w:sz w:val="28"/>
          <w:szCs w:val="28"/>
          <w:lang w:bidi="ar-SA"/>
        </w:rPr>
        <w:t xml:space="preserve"> URL: https://snku.krok.edu.ua/index.php/vcheni-zapiski-universitetu-krok/article/view/892 </w:t>
      </w:r>
    </w:p>
    <w:p w14:paraId="3BE0891B" w14:textId="77777777" w:rsidR="00052C0B" w:rsidRDefault="006E6CE8">
      <w:pPr>
        <w:pStyle w:val="aff3"/>
        <w:numPr>
          <w:ilvl w:val="0"/>
          <w:numId w:val="23"/>
        </w:numPr>
        <w:tabs>
          <w:tab w:val="left" w:pos="709"/>
          <w:tab w:val="left" w:pos="851"/>
          <w:tab w:val="left" w:pos="1134"/>
        </w:tabs>
        <w:spacing w:line="360" w:lineRule="auto"/>
        <w:ind w:left="0" w:firstLine="709"/>
        <w:jc w:val="both"/>
        <w:rPr>
          <w:rStyle w:val="aff6"/>
          <w:rFonts w:ascii="Times New Roman" w:eastAsia="Times New Roman" w:hAnsi="Times New Roman" w:cs="Times New Roman"/>
          <w:color w:val="auto"/>
          <w:sz w:val="28"/>
          <w:szCs w:val="28"/>
          <w:u w:val="none"/>
          <w:lang w:bidi="ar-SA"/>
        </w:rPr>
      </w:pPr>
      <w:r>
        <w:rPr>
          <w:rFonts w:ascii="Times New Roman" w:eastAsia="Times New Roman" w:hAnsi="Times New Roman" w:cs="Times New Roman"/>
          <w:color w:val="auto"/>
          <w:sz w:val="28"/>
          <w:szCs w:val="28"/>
          <w:lang w:bidi="ar-SA"/>
        </w:rPr>
        <w:t>Князькова В.Я., Семенюк М.М. Проблеми управління підприємством в сучасних умовах воєнного стану та допомога держави у їх вирішенні. Матеріали VI Міжнародної науково-практичної конференції «Сучасні тенденції розвитку фінансових та інноваційно-інвестиційних процесів в Україні». м. Вінниця, Україна. 02-03.03.2023.</w:t>
      </w:r>
      <w:r>
        <w:rPr>
          <w:rFonts w:ascii="Times New Roman" w:hAnsi="Times New Roman" w:cs="Times New Roman"/>
          <w:color w:val="auto"/>
          <w:sz w:val="28"/>
          <w:szCs w:val="28"/>
        </w:rPr>
        <w:t xml:space="preserve"> URL: </w:t>
      </w:r>
      <w:hyperlink r:id="rId67" w:tooltip="https://conferences.vntu.edu.ua/index.php/fiip/fiip2023/paper/viewFile/17129/14271" w:history="1">
        <w:r>
          <w:rPr>
            <w:rStyle w:val="aff6"/>
            <w:rFonts w:ascii="Times New Roman" w:eastAsia="Times New Roman" w:hAnsi="Times New Roman" w:cs="Times New Roman"/>
            <w:color w:val="auto"/>
            <w:sz w:val="28"/>
            <w:szCs w:val="28"/>
            <w:u w:val="none"/>
            <w:lang w:bidi="ar-SA"/>
          </w:rPr>
          <w:t>https://conferences.vntu.edu.ua/index.php/fiip/fiip2023/paper/viewFile/17129/14271</w:t>
        </w:r>
      </w:hyperlink>
    </w:p>
    <w:p w14:paraId="3BE0891C" w14:textId="77777777" w:rsidR="00052C0B" w:rsidRDefault="006E6CE8">
      <w:pPr>
        <w:pStyle w:val="aff3"/>
        <w:numPr>
          <w:ilvl w:val="0"/>
          <w:numId w:val="23"/>
        </w:numPr>
        <w:tabs>
          <w:tab w:val="left" w:pos="709"/>
          <w:tab w:val="left" w:pos="851"/>
          <w:tab w:val="left" w:pos="1134"/>
        </w:tabs>
        <w:spacing w:line="360" w:lineRule="auto"/>
        <w:ind w:left="0"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Борщ В.І. Дослідження функціональної системи управління фінансовими механізмами в сфері охорони здоров’я України. Ринкова економіка: сучасна теорія і практика управління. 2020. Том 19. Вип.(45). С. 141</w:t>
      </w:r>
      <w:r>
        <w:rPr>
          <w:rFonts w:ascii="Times New Roman" w:eastAsia="Times New Roman" w:hAnsi="Times New Roman" w:cs="Times New Roman" w:hint="eastAsia"/>
          <w:color w:val="auto"/>
          <w:sz w:val="28"/>
          <w:szCs w:val="28"/>
          <w:lang w:bidi="ar-SA"/>
        </w:rPr>
        <w:t>‒</w:t>
      </w:r>
      <w:r>
        <w:rPr>
          <w:rFonts w:ascii="Times New Roman" w:eastAsia="Times New Roman" w:hAnsi="Times New Roman" w:cs="Times New Roman"/>
          <w:color w:val="auto"/>
          <w:sz w:val="28"/>
          <w:szCs w:val="28"/>
          <w:lang w:bidi="ar-SA"/>
        </w:rPr>
        <w:t xml:space="preserve">68.  </w:t>
      </w:r>
    </w:p>
    <w:p w14:paraId="3BE0891D" w14:textId="77777777" w:rsidR="00052C0B" w:rsidRDefault="006E6CE8">
      <w:pPr>
        <w:pStyle w:val="aff3"/>
        <w:numPr>
          <w:ilvl w:val="0"/>
          <w:numId w:val="23"/>
        </w:numPr>
        <w:tabs>
          <w:tab w:val="left" w:pos="709"/>
          <w:tab w:val="left" w:pos="851"/>
          <w:tab w:val="left" w:pos="1134"/>
        </w:tabs>
        <w:spacing w:line="360" w:lineRule="auto"/>
        <w:ind w:left="0"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 xml:space="preserve"> Роговий А.В., Дубина М.В., Забаштанська Т.В. Стратегічні пріоритети розвитку сфери охорони здоров’я в Україні: фінансові аспекти. Проблеми і перспективи економіки та управління. 2020. № 3 (23). С. 158‒165.</w:t>
      </w:r>
    </w:p>
    <w:p w14:paraId="3BE0891E" w14:textId="77777777" w:rsidR="00052C0B" w:rsidRDefault="006E6CE8">
      <w:pPr>
        <w:pStyle w:val="aff3"/>
        <w:numPr>
          <w:ilvl w:val="0"/>
          <w:numId w:val="23"/>
        </w:numPr>
        <w:tabs>
          <w:tab w:val="left" w:pos="709"/>
          <w:tab w:val="left" w:pos="851"/>
          <w:tab w:val="left" w:pos="1134"/>
        </w:tabs>
        <w:spacing w:line="360" w:lineRule="auto"/>
        <w:ind w:left="0"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 xml:space="preserve">Про схвалення Стратегії розвитку системи охорони здоров’я на період до 2030 року та затвердження операційного плану заходів з її реалізації у 2025-2027 роках: Розпорядження Кабінету Міністрів України від 17 січня 2025 р.                    № 34-р URL: </w:t>
      </w:r>
      <w:hyperlink r:id="rId68" w:anchor="doc_save" w:tooltip="https://zakon.rada.gov.ua/laws/show/34-2025-%D1%80#doc_save" w:history="1">
        <w:r>
          <w:rPr>
            <w:rStyle w:val="aff6"/>
            <w:rFonts w:ascii="Times New Roman" w:eastAsia="Times New Roman" w:hAnsi="Times New Roman" w:cs="Times New Roman"/>
            <w:color w:val="auto"/>
            <w:sz w:val="28"/>
            <w:szCs w:val="28"/>
            <w:u w:val="none"/>
            <w:lang w:bidi="ar-SA"/>
          </w:rPr>
          <w:t>https://zakon.rada.gov.ua/laws/show/34-2025-%D1%80#doc_save</w:t>
        </w:r>
      </w:hyperlink>
    </w:p>
    <w:p w14:paraId="3BE0891F" w14:textId="77777777" w:rsidR="00052C0B" w:rsidRDefault="006E6CE8">
      <w:pPr>
        <w:pStyle w:val="aff3"/>
        <w:numPr>
          <w:ilvl w:val="0"/>
          <w:numId w:val="23"/>
        </w:numPr>
        <w:tabs>
          <w:tab w:val="left" w:pos="709"/>
          <w:tab w:val="left" w:pos="851"/>
          <w:tab w:val="left" w:pos="1134"/>
        </w:tabs>
        <w:spacing w:line="360" w:lineRule="auto"/>
        <w:ind w:left="0"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 xml:space="preserve">Сабецька Т. Проблеми та перспективи фінансового забезпечення сфери охорони здоров’я України. Економіка та суспільство. 2021. № 27. URL: </w:t>
      </w:r>
      <w:hyperlink r:id="rId69" w:tooltip="http://economyandsociety.in.ua/index.php/journal/article/view/466" w:history="1">
        <w:r>
          <w:rPr>
            <w:rStyle w:val="aff6"/>
            <w:rFonts w:ascii="Times New Roman" w:eastAsia="Times New Roman" w:hAnsi="Times New Roman" w:cs="Times New Roman"/>
            <w:color w:val="auto"/>
            <w:sz w:val="28"/>
            <w:szCs w:val="28"/>
            <w:u w:val="none"/>
            <w:lang w:bidi="ar-SA"/>
          </w:rPr>
          <w:t>http://economyandsociety.in.ua/index.php/journal/article/view/466</w:t>
        </w:r>
      </w:hyperlink>
    </w:p>
    <w:p w14:paraId="3BE08920" w14:textId="77777777" w:rsidR="00052C0B" w:rsidRDefault="006E6CE8">
      <w:pPr>
        <w:pStyle w:val="aff3"/>
        <w:numPr>
          <w:ilvl w:val="0"/>
          <w:numId w:val="23"/>
        </w:numPr>
        <w:tabs>
          <w:tab w:val="left" w:pos="709"/>
          <w:tab w:val="left" w:pos="851"/>
          <w:tab w:val="left" w:pos="1134"/>
        </w:tabs>
        <w:spacing w:line="360" w:lineRule="auto"/>
        <w:ind w:left="0"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lastRenderedPageBreak/>
        <w:t xml:space="preserve">Гавриченко Д., Козирєва О., Попова Т., Сергієнко Л. Механізм фінансування охорони здоров’я України в умовах трансформацій. Financial and Credit Activity Problems of Theory and Practice. 2020. № 1(42). С. 125‒133. </w:t>
      </w:r>
      <w:hyperlink r:id="rId70" w:tooltip="https://doi.org/10.55643/fcaptp.1.42.2022.3674" w:history="1">
        <w:r>
          <w:rPr>
            <w:rStyle w:val="aff6"/>
            <w:rFonts w:ascii="Times New Roman" w:eastAsia="Times New Roman" w:hAnsi="Times New Roman" w:cs="Times New Roman"/>
            <w:color w:val="auto"/>
            <w:sz w:val="28"/>
            <w:szCs w:val="28"/>
            <w:u w:val="none"/>
            <w:lang w:bidi="ar-SA"/>
          </w:rPr>
          <w:t>https://doi.org/10.55643/fcaptp.1.42.2022.3674</w:t>
        </w:r>
      </w:hyperlink>
    </w:p>
    <w:p w14:paraId="3BE08921" w14:textId="77777777" w:rsidR="00052C0B" w:rsidRDefault="006E6CE8">
      <w:pPr>
        <w:pStyle w:val="aff3"/>
        <w:numPr>
          <w:ilvl w:val="0"/>
          <w:numId w:val="23"/>
        </w:numPr>
        <w:tabs>
          <w:tab w:val="left" w:pos="709"/>
          <w:tab w:val="left" w:pos="851"/>
          <w:tab w:val="left" w:pos="1134"/>
        </w:tabs>
        <w:spacing w:line="360" w:lineRule="auto"/>
        <w:ind w:left="0"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Ціна держави. Бюджет України. Видатки зведеного бюджету за функціями. Медицина.</w:t>
      </w:r>
      <w:r>
        <w:rPr>
          <w:color w:val="auto"/>
        </w:rPr>
        <w:t xml:space="preserve"> </w:t>
      </w:r>
      <w:r>
        <w:rPr>
          <w:rFonts w:ascii="Times New Roman" w:eastAsia="Times New Roman" w:hAnsi="Times New Roman" w:cs="Times New Roman"/>
          <w:color w:val="auto"/>
          <w:sz w:val="28"/>
          <w:szCs w:val="28"/>
          <w:lang w:bidi="ar-SA"/>
        </w:rPr>
        <w:t>URL:</w:t>
      </w:r>
      <w:r>
        <w:rPr>
          <w:color w:val="auto"/>
        </w:rPr>
        <w:t xml:space="preserve"> </w:t>
      </w:r>
      <w:hyperlink r:id="rId71" w:tooltip="https://cost.ua/byudzhet-ukrayiny/expenditure/main/" w:history="1">
        <w:r>
          <w:rPr>
            <w:rStyle w:val="aff6"/>
            <w:rFonts w:ascii="Times New Roman" w:eastAsia="Times New Roman" w:hAnsi="Times New Roman" w:cs="Times New Roman"/>
            <w:color w:val="auto"/>
            <w:sz w:val="28"/>
            <w:szCs w:val="28"/>
            <w:u w:val="none"/>
            <w:lang w:bidi="ar-SA"/>
          </w:rPr>
          <w:t>https://cost.ua/byudzhet-ukrayiny/expenditure/main/</w:t>
        </w:r>
      </w:hyperlink>
    </w:p>
    <w:p w14:paraId="3BE08922" w14:textId="77777777" w:rsidR="00052C0B" w:rsidRDefault="006E6CE8">
      <w:pPr>
        <w:pStyle w:val="aff3"/>
        <w:numPr>
          <w:ilvl w:val="0"/>
          <w:numId w:val="23"/>
        </w:numPr>
        <w:tabs>
          <w:tab w:val="left" w:pos="709"/>
          <w:tab w:val="left" w:pos="851"/>
          <w:tab w:val="left" w:pos="1134"/>
        </w:tabs>
        <w:spacing w:line="360" w:lineRule="auto"/>
        <w:ind w:left="0"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 xml:space="preserve"> Держбюджет–2025: головні показники та статті витрат на охорону здоров’я. SMM. Аптека online. URL: </w:t>
      </w:r>
      <w:hyperlink r:id="rId72" w:tooltip="https://www.apteka.ua/article/708401" w:history="1">
        <w:r>
          <w:rPr>
            <w:rStyle w:val="aff6"/>
            <w:rFonts w:ascii="Times New Roman" w:eastAsia="Times New Roman" w:hAnsi="Times New Roman" w:cs="Times New Roman"/>
            <w:color w:val="auto"/>
            <w:sz w:val="28"/>
            <w:szCs w:val="28"/>
            <w:u w:val="none"/>
            <w:lang w:bidi="ar-SA"/>
          </w:rPr>
          <w:t>https://www.apteka.ua/article/708401</w:t>
        </w:r>
      </w:hyperlink>
      <w:r>
        <w:rPr>
          <w:rFonts w:ascii="Times New Roman" w:eastAsia="Times New Roman" w:hAnsi="Times New Roman" w:cs="Times New Roman"/>
          <w:color w:val="auto"/>
          <w:sz w:val="28"/>
          <w:szCs w:val="28"/>
          <w:lang w:bidi="ar-SA"/>
        </w:rPr>
        <w:t xml:space="preserve"> </w:t>
      </w:r>
    </w:p>
    <w:p w14:paraId="3BE08923" w14:textId="77777777" w:rsidR="00052C0B" w:rsidRDefault="006E6CE8">
      <w:pPr>
        <w:pStyle w:val="aff3"/>
        <w:numPr>
          <w:ilvl w:val="0"/>
          <w:numId w:val="23"/>
        </w:numPr>
        <w:tabs>
          <w:tab w:val="left" w:pos="709"/>
          <w:tab w:val="left" w:pos="851"/>
          <w:tab w:val="left" w:pos="1134"/>
        </w:tabs>
        <w:spacing w:line="360" w:lineRule="auto"/>
        <w:ind w:left="0"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Волосовець О.П., Заболотько В.М., Волосовець А.О. Кадрове забезпечення галузі охорони здоров’я в Україні та світі: сучасні виклики. Українські медичні вісті. 2020. № 1. С. 20‒26.</w:t>
      </w:r>
    </w:p>
    <w:p w14:paraId="3BE08924" w14:textId="77777777" w:rsidR="00052C0B" w:rsidRDefault="006E6CE8">
      <w:pPr>
        <w:pStyle w:val="aff3"/>
        <w:numPr>
          <w:ilvl w:val="0"/>
          <w:numId w:val="23"/>
        </w:numPr>
        <w:tabs>
          <w:tab w:val="left" w:pos="709"/>
          <w:tab w:val="left" w:pos="851"/>
          <w:tab w:val="left" w:pos="1134"/>
        </w:tabs>
        <w:spacing w:line="360" w:lineRule="auto"/>
        <w:ind w:left="0"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 xml:space="preserve">Фіщук Н., Фіщук Б. (2025). Організаційно-економічні особливості функціонування закладів охорони здоров’я в умовах трансформаційних викликів. Проблеми і перспективи економіки та управління, (2 (42), 164–177. </w:t>
      </w:r>
      <w:hyperlink r:id="rId73" w:tooltip="https://doi.org/10.25140/2411-5215-2025-2(42)-164-177" w:history="1">
        <w:r>
          <w:rPr>
            <w:rStyle w:val="aff6"/>
            <w:rFonts w:ascii="Times New Roman" w:eastAsia="Times New Roman" w:hAnsi="Times New Roman" w:cs="Times New Roman"/>
            <w:color w:val="auto"/>
            <w:sz w:val="28"/>
            <w:szCs w:val="28"/>
            <w:u w:val="none"/>
            <w:lang w:bidi="ar-SA"/>
          </w:rPr>
          <w:t>https://doi.org/10.25140/2411-5215-2025-2(42)-164-177</w:t>
        </w:r>
      </w:hyperlink>
      <w:r>
        <w:rPr>
          <w:rFonts w:ascii="Times New Roman" w:eastAsia="Times New Roman" w:hAnsi="Times New Roman" w:cs="Times New Roman"/>
          <w:color w:val="auto"/>
          <w:sz w:val="28"/>
          <w:szCs w:val="28"/>
          <w:lang w:bidi="ar-SA"/>
        </w:rPr>
        <w:t xml:space="preserve"> URL: </w:t>
      </w:r>
      <w:hyperlink r:id="rId74" w:tooltip="http://ppeu.stu.cn.ua/article/view/334976" w:history="1">
        <w:r>
          <w:rPr>
            <w:rStyle w:val="aff6"/>
            <w:rFonts w:ascii="Times New Roman" w:eastAsia="Times New Roman" w:hAnsi="Times New Roman" w:cs="Times New Roman"/>
            <w:color w:val="auto"/>
            <w:sz w:val="28"/>
            <w:szCs w:val="28"/>
            <w:u w:val="none"/>
            <w:lang w:bidi="ar-SA"/>
          </w:rPr>
          <w:t>http://ppeu.stu.cn.ua/article/view/334976</w:t>
        </w:r>
      </w:hyperlink>
    </w:p>
    <w:p w14:paraId="3BE08925" w14:textId="77777777" w:rsidR="00052C0B" w:rsidRDefault="006E6CE8">
      <w:pPr>
        <w:pStyle w:val="aff3"/>
        <w:numPr>
          <w:ilvl w:val="0"/>
          <w:numId w:val="23"/>
        </w:numPr>
        <w:tabs>
          <w:tab w:val="left" w:pos="709"/>
          <w:tab w:val="left" w:pos="851"/>
          <w:tab w:val="left" w:pos="1134"/>
        </w:tabs>
        <w:spacing w:line="360" w:lineRule="auto"/>
        <w:ind w:left="0"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 xml:space="preserve"> Узагальнені дані медичної звітності по комунальним закладам охорони здоров’я та закладам охорони здоров'я, які знаходяться у сфері управління МОЗ. Моніторинг і статистика. Центр громадського здоров’я МОЗ України. URL: https://phc.org.ua/monitoring-i-statistika/meddata-1</w:t>
      </w:r>
    </w:p>
    <w:p w14:paraId="3BE08926" w14:textId="77777777" w:rsidR="00052C0B" w:rsidRDefault="006E6CE8">
      <w:pPr>
        <w:pStyle w:val="aff3"/>
        <w:numPr>
          <w:ilvl w:val="0"/>
          <w:numId w:val="23"/>
        </w:numPr>
        <w:tabs>
          <w:tab w:val="left" w:pos="709"/>
          <w:tab w:val="left" w:pos="851"/>
          <w:tab w:val="left" w:pos="1134"/>
        </w:tabs>
        <w:spacing w:line="360" w:lineRule="auto"/>
        <w:ind w:left="0" w:firstLine="709"/>
        <w:jc w:val="both"/>
        <w:rPr>
          <w:rStyle w:val="aff6"/>
          <w:rFonts w:ascii="Times New Roman" w:eastAsia="Times New Roman" w:hAnsi="Times New Roman" w:cs="Times New Roman"/>
          <w:color w:val="auto"/>
          <w:sz w:val="28"/>
          <w:szCs w:val="28"/>
          <w:u w:val="none"/>
          <w:lang w:bidi="ar-SA"/>
        </w:rPr>
      </w:pPr>
      <w:r>
        <w:rPr>
          <w:rFonts w:ascii="Times New Roman" w:eastAsia="Times New Roman" w:hAnsi="Times New Roman" w:cs="Times New Roman"/>
          <w:color w:val="auto"/>
          <w:sz w:val="28"/>
          <w:szCs w:val="28"/>
          <w:lang w:bidi="ar-SA"/>
        </w:rPr>
        <w:t xml:space="preserve">Власенко Р. В. Щодо кадрового забезпечення галузі охорони здоров’я. Національний інститут стратегічних досліджень. 2021. URL: </w:t>
      </w:r>
      <w:hyperlink r:id="rId75" w:tooltip="https://niss.gov.ua/sites/default/files/2021-09/ohoronazdorovya.pdf" w:history="1">
        <w:r>
          <w:rPr>
            <w:rStyle w:val="aff6"/>
            <w:rFonts w:ascii="Times New Roman" w:eastAsia="Times New Roman" w:hAnsi="Times New Roman" w:cs="Times New Roman"/>
            <w:color w:val="auto"/>
            <w:sz w:val="28"/>
            <w:szCs w:val="28"/>
            <w:u w:val="none"/>
            <w:lang w:bidi="ar-SA"/>
          </w:rPr>
          <w:t>https://niss.gov.ua/sites/default/files/2021-09/ohoronazdorovya.pdf</w:t>
        </w:r>
      </w:hyperlink>
    </w:p>
    <w:p w14:paraId="3BE08927" w14:textId="77777777" w:rsidR="00052C0B" w:rsidRDefault="006E6CE8">
      <w:pPr>
        <w:pStyle w:val="aff3"/>
        <w:numPr>
          <w:ilvl w:val="0"/>
          <w:numId w:val="23"/>
        </w:numPr>
        <w:tabs>
          <w:tab w:val="left" w:pos="709"/>
          <w:tab w:val="left" w:pos="851"/>
          <w:tab w:val="left" w:pos="1134"/>
        </w:tabs>
        <w:spacing w:line="360" w:lineRule="auto"/>
        <w:ind w:left="0"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Кісь С., Запухляк І., Яцюк О., Малиновська Г. Кадрове забезпечення сфери охорони здоров’я України: новий підхід до розвитку управлінського персоналу. Економічний аналіз. 2019. № 29(4). С. 17-27.</w:t>
      </w:r>
    </w:p>
    <w:p w14:paraId="3BE08928" w14:textId="77777777" w:rsidR="00052C0B" w:rsidRDefault="006E6CE8">
      <w:pPr>
        <w:pStyle w:val="aff3"/>
        <w:numPr>
          <w:ilvl w:val="0"/>
          <w:numId w:val="23"/>
        </w:numPr>
        <w:tabs>
          <w:tab w:val="left" w:pos="709"/>
          <w:tab w:val="left" w:pos="851"/>
          <w:tab w:val="left" w:pos="1134"/>
        </w:tabs>
        <w:spacing w:line="360" w:lineRule="auto"/>
        <w:ind w:left="0" w:firstLine="709"/>
        <w:jc w:val="both"/>
        <w:rPr>
          <w:rStyle w:val="aff6"/>
          <w:rFonts w:ascii="Times New Roman" w:eastAsia="Times New Roman" w:hAnsi="Times New Roman" w:cs="Times New Roman"/>
          <w:color w:val="auto"/>
          <w:sz w:val="28"/>
          <w:szCs w:val="28"/>
          <w:u w:val="none"/>
          <w:lang w:bidi="ar-SA"/>
        </w:rPr>
      </w:pPr>
      <w:r>
        <w:rPr>
          <w:rFonts w:ascii="Times New Roman" w:eastAsia="Times New Roman" w:hAnsi="Times New Roman" w:cs="Times New Roman"/>
          <w:color w:val="auto"/>
          <w:sz w:val="28"/>
          <w:szCs w:val="28"/>
          <w:lang w:bidi="ar-SA"/>
        </w:rPr>
        <w:t>Кращі практики управління медичним закладом. Посібник/Проект USAID «Підтримка реформи охорони здоров’я». Київ. 2021. URL:</w:t>
      </w:r>
      <w:r>
        <w:rPr>
          <w:color w:val="auto"/>
        </w:rPr>
        <w:t xml:space="preserve"> </w:t>
      </w:r>
      <w:hyperlink r:id="rId76" w:tooltip="https://moz.gov.ua/uploads/ckeditor/Бібліотека%20проектів%20USAID/Посібник%20з%20управління%20медзакладом/Посібник%20з%20управління%20медичним%20закладом.pdf" w:history="1">
        <w:r>
          <w:rPr>
            <w:rStyle w:val="aff6"/>
            <w:rFonts w:ascii="Times New Roman" w:eastAsia="Times New Roman" w:hAnsi="Times New Roman" w:cs="Times New Roman"/>
            <w:color w:val="auto"/>
            <w:sz w:val="28"/>
            <w:szCs w:val="28"/>
            <w:u w:val="none"/>
            <w:lang w:bidi="ar-SA"/>
          </w:rPr>
          <w:t>https://moz.gov.ua/uploads/ckeditor/Бібліотека%20проектів%20USAID/Посібник%20з%20управління%20медзакладом/Посібник%20з%20управління%20мед</w:t>
        </w:r>
        <w:r>
          <w:rPr>
            <w:rStyle w:val="aff6"/>
            <w:rFonts w:ascii="Times New Roman" w:eastAsia="Times New Roman" w:hAnsi="Times New Roman" w:cs="Times New Roman"/>
            <w:color w:val="auto"/>
            <w:sz w:val="28"/>
            <w:szCs w:val="28"/>
            <w:u w:val="none"/>
            <w:lang w:bidi="ar-SA"/>
          </w:rPr>
          <w:lastRenderedPageBreak/>
          <w:t>ичним%20закладом.pdf</w:t>
        </w:r>
      </w:hyperlink>
    </w:p>
    <w:p w14:paraId="3BE08929" w14:textId="77777777" w:rsidR="00052C0B" w:rsidRDefault="006E6CE8">
      <w:pPr>
        <w:pStyle w:val="aff3"/>
        <w:numPr>
          <w:ilvl w:val="0"/>
          <w:numId w:val="23"/>
        </w:numPr>
        <w:tabs>
          <w:tab w:val="left" w:pos="709"/>
          <w:tab w:val="left" w:pos="851"/>
          <w:tab w:val="left" w:pos="1134"/>
        </w:tabs>
        <w:spacing w:line="360" w:lineRule="auto"/>
        <w:ind w:left="0"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 xml:space="preserve">Князькова В. Я., Михайлова А. М. Організаційно-економічні механізми управління закладами охорони здоров’я на державному рівні // Сучасні напрями змін в управлінні охороною здоров’я: модернізація, якість, психологія та комунікація [Електронне видання] : збірка матеріалів II міжнар. наук. практ. конф. м. Одеса, 30 травня 2025 р. / за заг. Ред академіка НАМН України, д. мед. н., професора В. М. Запорожана; наук. ред. д. мед. н., професор В. Г. Марічереда. Одеса : ОНМедУ, 2025. С. 96–99. URL: https://repo.odmu.edu.ua:443/xmlui/handle/123456789/18192  </w:t>
      </w:r>
    </w:p>
    <w:p w14:paraId="3BE0892A" w14:textId="77777777" w:rsidR="00052C0B" w:rsidRDefault="006E6CE8">
      <w:pPr>
        <w:pStyle w:val="aff3"/>
        <w:numPr>
          <w:ilvl w:val="0"/>
          <w:numId w:val="23"/>
        </w:numPr>
        <w:tabs>
          <w:tab w:val="left" w:pos="709"/>
          <w:tab w:val="left" w:pos="851"/>
          <w:tab w:val="left" w:pos="1134"/>
        </w:tabs>
        <w:spacing w:line="360" w:lineRule="auto"/>
        <w:ind w:left="0"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 xml:space="preserve"> Підсумковий звіт Департаменту охорони здоров’я Одеської міської ради за 2024 рік. Звіти. Департамент охорони здоров’я. Департаменти. Міська влада. Офіційний сайт міста Одеси. URL: </w:t>
      </w:r>
      <w:hyperlink r:id="rId77" w:tooltip="https://omr.gov.ua/ua/city/departments/gorzdrav/report/" w:history="1">
        <w:r>
          <w:rPr>
            <w:rStyle w:val="aff6"/>
            <w:rFonts w:ascii="Times New Roman" w:eastAsia="Times New Roman" w:hAnsi="Times New Roman" w:cs="Times New Roman"/>
            <w:color w:val="auto"/>
            <w:sz w:val="28"/>
            <w:szCs w:val="28"/>
            <w:u w:val="none"/>
            <w:lang w:bidi="ar-SA"/>
          </w:rPr>
          <w:t>https://omr.gov.ua/ua/city/departments/gorzdrav/report/</w:t>
        </w:r>
      </w:hyperlink>
      <w:r>
        <w:rPr>
          <w:rFonts w:ascii="Times New Roman" w:eastAsia="Times New Roman" w:hAnsi="Times New Roman" w:cs="Times New Roman"/>
          <w:color w:val="auto"/>
          <w:sz w:val="28"/>
          <w:szCs w:val="28"/>
          <w:lang w:bidi="ar-SA"/>
        </w:rPr>
        <w:t xml:space="preserve"> </w:t>
      </w:r>
    </w:p>
    <w:p w14:paraId="3BE0892B" w14:textId="77777777" w:rsidR="00052C0B" w:rsidRDefault="006E6CE8">
      <w:pPr>
        <w:pStyle w:val="aff3"/>
        <w:numPr>
          <w:ilvl w:val="0"/>
          <w:numId w:val="23"/>
        </w:numPr>
        <w:tabs>
          <w:tab w:val="left" w:pos="709"/>
          <w:tab w:val="left" w:pos="851"/>
          <w:tab w:val="left" w:pos="1134"/>
        </w:tabs>
        <w:spacing w:line="360" w:lineRule="auto"/>
        <w:ind w:left="0"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 xml:space="preserve"> Інформація Департаменту охорони здоров’я Одеської міської ради про реалізацію цілей державної політики у сфері «Охорона здоров’я» та показники їх досягнення в межах бюджетних програм за 2024 рік. URL: https://omr.gov.ua/Files/2025/ZVITY/budget/DOZ_fin2024.pdf</w:t>
      </w:r>
    </w:p>
    <w:p w14:paraId="3BE0892C" w14:textId="77777777" w:rsidR="00052C0B" w:rsidRDefault="006E6CE8">
      <w:pPr>
        <w:pStyle w:val="aff3"/>
        <w:numPr>
          <w:ilvl w:val="0"/>
          <w:numId w:val="23"/>
        </w:numPr>
        <w:tabs>
          <w:tab w:val="left" w:pos="709"/>
          <w:tab w:val="left" w:pos="851"/>
          <w:tab w:val="left" w:pos="1134"/>
        </w:tabs>
        <w:spacing w:line="360" w:lineRule="auto"/>
        <w:ind w:left="0" w:firstLine="709"/>
        <w:jc w:val="both"/>
        <w:rPr>
          <w:rStyle w:val="aff6"/>
          <w:rFonts w:ascii="Times New Roman" w:eastAsia="Times New Roman" w:hAnsi="Times New Roman" w:cs="Times New Roman"/>
          <w:color w:val="auto"/>
          <w:sz w:val="28"/>
          <w:szCs w:val="28"/>
          <w:u w:val="none"/>
          <w:lang w:bidi="ar-SA"/>
        </w:rPr>
      </w:pPr>
      <w:r>
        <w:rPr>
          <w:rFonts w:ascii="Times New Roman" w:eastAsia="Times New Roman" w:hAnsi="Times New Roman" w:cs="Times New Roman"/>
          <w:color w:val="auto"/>
          <w:sz w:val="28"/>
          <w:szCs w:val="28"/>
          <w:lang w:bidi="ar-SA"/>
        </w:rPr>
        <w:t xml:space="preserve"> Семчук І.В., Кукель Г.С., Роледерс В.В. Впровадження нових підходів до управління закладами охорони здоров’я в умовах ринку.</w:t>
      </w:r>
      <w:r>
        <w:rPr>
          <w:color w:val="auto"/>
        </w:rPr>
        <w:t xml:space="preserve"> </w:t>
      </w:r>
      <w:r>
        <w:rPr>
          <w:rFonts w:ascii="Times New Roman" w:eastAsia="Times New Roman" w:hAnsi="Times New Roman" w:cs="Times New Roman"/>
          <w:color w:val="auto"/>
          <w:sz w:val="28"/>
          <w:szCs w:val="28"/>
          <w:lang w:bidi="ar-SA"/>
        </w:rPr>
        <w:t>«Ефективна економіка».</w:t>
      </w:r>
      <w:r>
        <w:rPr>
          <w:color w:val="auto"/>
        </w:rPr>
        <w:t xml:space="preserve"> </w:t>
      </w:r>
      <w:hyperlink r:id="rId78" w:tooltip="URL:%20http://www.economy.nayka.com.ua/?op=1&amp;z=7910" w:history="1">
        <w:r>
          <w:rPr>
            <w:rStyle w:val="aff6"/>
            <w:rFonts w:ascii="Times New Roman" w:eastAsia="Times New Roman" w:hAnsi="Times New Roman" w:cs="Times New Roman"/>
            <w:color w:val="auto"/>
            <w:sz w:val="28"/>
            <w:szCs w:val="28"/>
            <w:u w:val="none"/>
            <w:lang w:bidi="ar-SA"/>
          </w:rPr>
          <w:t>URL: http://www.economy.nayka.com.ua/?op=1&amp;z=7910</w:t>
        </w:r>
      </w:hyperlink>
    </w:p>
    <w:p w14:paraId="3BE0892D" w14:textId="77777777" w:rsidR="00052C0B" w:rsidRDefault="006E6CE8">
      <w:pPr>
        <w:pStyle w:val="aff3"/>
        <w:numPr>
          <w:ilvl w:val="0"/>
          <w:numId w:val="23"/>
        </w:numPr>
        <w:tabs>
          <w:tab w:val="left" w:pos="709"/>
          <w:tab w:val="left" w:pos="851"/>
          <w:tab w:val="left" w:pos="1134"/>
        </w:tabs>
        <w:spacing w:line="360" w:lineRule="auto"/>
        <w:ind w:left="0" w:firstLine="709"/>
        <w:jc w:val="both"/>
        <w:rPr>
          <w:rStyle w:val="aff6"/>
          <w:rFonts w:ascii="Times New Roman" w:eastAsia="Times New Roman" w:hAnsi="Times New Roman" w:cs="Times New Roman"/>
          <w:color w:val="auto"/>
          <w:sz w:val="28"/>
          <w:szCs w:val="28"/>
          <w:u w:val="none"/>
          <w:lang w:bidi="ar-SA"/>
        </w:rPr>
      </w:pPr>
      <w:r>
        <w:rPr>
          <w:rStyle w:val="aff6"/>
          <w:rFonts w:ascii="Times New Roman" w:eastAsia="Times New Roman" w:hAnsi="Times New Roman" w:cs="Times New Roman"/>
          <w:color w:val="auto"/>
          <w:sz w:val="28"/>
          <w:szCs w:val="28"/>
          <w:u w:val="none"/>
          <w:lang w:bidi="ar-SA"/>
        </w:rPr>
        <w:t xml:space="preserve"> Комунальне некомерційне підприємство «Міська клінічна лікарня № 11» ОМР. URL: </w:t>
      </w:r>
      <w:hyperlink r:id="rId79" w:tooltip="https://odmkl11.od.ua/" w:history="1">
        <w:r>
          <w:rPr>
            <w:rStyle w:val="aff6"/>
            <w:rFonts w:ascii="Times New Roman" w:eastAsia="Times New Roman" w:hAnsi="Times New Roman" w:cs="Times New Roman"/>
            <w:color w:val="auto"/>
            <w:sz w:val="28"/>
            <w:szCs w:val="28"/>
            <w:u w:val="none"/>
            <w:lang w:bidi="ar-SA"/>
          </w:rPr>
          <w:t>https://odmkl11.od.ua/</w:t>
        </w:r>
      </w:hyperlink>
    </w:p>
    <w:p w14:paraId="3BE0892E" w14:textId="77777777" w:rsidR="00052C0B" w:rsidRDefault="006E6CE8">
      <w:pPr>
        <w:pStyle w:val="aff3"/>
        <w:numPr>
          <w:ilvl w:val="0"/>
          <w:numId w:val="23"/>
        </w:numPr>
        <w:tabs>
          <w:tab w:val="left" w:pos="709"/>
          <w:tab w:val="left" w:pos="851"/>
          <w:tab w:val="left" w:pos="1134"/>
        </w:tabs>
        <w:spacing w:line="360" w:lineRule="auto"/>
        <w:ind w:left="0" w:firstLine="709"/>
        <w:jc w:val="both"/>
        <w:rPr>
          <w:rStyle w:val="aff6"/>
          <w:rFonts w:ascii="Times New Roman" w:eastAsia="Times New Roman" w:hAnsi="Times New Roman" w:cs="Times New Roman"/>
          <w:color w:val="auto"/>
          <w:sz w:val="28"/>
          <w:szCs w:val="28"/>
          <w:u w:val="none"/>
          <w:lang w:bidi="ar-SA"/>
        </w:rPr>
      </w:pPr>
      <w:r>
        <w:rPr>
          <w:rStyle w:val="aff6"/>
          <w:rFonts w:ascii="Times New Roman" w:eastAsia="Times New Roman" w:hAnsi="Times New Roman" w:cs="Times New Roman"/>
          <w:color w:val="auto"/>
          <w:sz w:val="28"/>
          <w:szCs w:val="28"/>
          <w:u w:val="none"/>
          <w:lang w:bidi="ar-SA"/>
        </w:rPr>
        <w:t xml:space="preserve"> КНП «МКЛ № 11» ОМР. Опендатабот. URL: https://opendatabot.ua/c/02774415</w:t>
      </w:r>
    </w:p>
    <w:p w14:paraId="3BE0892F" w14:textId="77777777" w:rsidR="00052C0B" w:rsidRDefault="006E6CE8">
      <w:pPr>
        <w:pStyle w:val="aff3"/>
        <w:numPr>
          <w:ilvl w:val="0"/>
          <w:numId w:val="23"/>
        </w:numPr>
        <w:tabs>
          <w:tab w:val="left" w:pos="709"/>
          <w:tab w:val="left" w:pos="851"/>
          <w:tab w:val="left" w:pos="1134"/>
        </w:tabs>
        <w:spacing w:line="360" w:lineRule="auto"/>
        <w:ind w:left="0"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Павло В. Іванчов. Організаційні засади державного управління трансформацією медичної системи України на ринкових засадах. Актуальні проблеми економіки. 2020. №4 (226). С. 27-37.</w:t>
      </w:r>
      <w:r>
        <w:rPr>
          <w:color w:val="auto"/>
        </w:rPr>
        <w:t xml:space="preserve"> </w:t>
      </w:r>
      <w:r>
        <w:rPr>
          <w:rFonts w:ascii="Times New Roman" w:eastAsia="Times New Roman" w:hAnsi="Times New Roman" w:cs="Times New Roman"/>
          <w:color w:val="auto"/>
          <w:sz w:val="28"/>
          <w:szCs w:val="28"/>
          <w:lang w:bidi="ar-SA"/>
        </w:rPr>
        <w:t xml:space="preserve">URL: </w:t>
      </w:r>
      <w:hyperlink r:id="rId80" w:tooltip="https://eco-science.net/wp-content/uploads/2021/07/4.20._topic_Ivanchov-P.V.pdf-27-37.pdf" w:history="1">
        <w:r>
          <w:rPr>
            <w:rStyle w:val="aff6"/>
            <w:rFonts w:ascii="Times New Roman" w:eastAsia="Times New Roman" w:hAnsi="Times New Roman" w:cs="Times New Roman"/>
            <w:color w:val="auto"/>
            <w:sz w:val="28"/>
            <w:szCs w:val="28"/>
            <w:u w:val="none"/>
            <w:lang w:bidi="ar-SA"/>
          </w:rPr>
          <w:t>https://eco-science.net/wp-content/uploads/2021/07/4.20._topic_Ivanchov-P.V.pdf-27-37.pdf</w:t>
        </w:r>
      </w:hyperlink>
      <w:r>
        <w:rPr>
          <w:rFonts w:ascii="Times New Roman" w:eastAsia="Times New Roman" w:hAnsi="Times New Roman" w:cs="Times New Roman"/>
          <w:color w:val="auto"/>
          <w:sz w:val="28"/>
          <w:szCs w:val="28"/>
          <w:lang w:bidi="ar-SA"/>
        </w:rPr>
        <w:t xml:space="preserve">   </w:t>
      </w:r>
    </w:p>
    <w:p w14:paraId="3BE08930" w14:textId="77777777" w:rsidR="00052C0B" w:rsidRDefault="006E6CE8">
      <w:pPr>
        <w:pStyle w:val="aff3"/>
        <w:numPr>
          <w:ilvl w:val="0"/>
          <w:numId w:val="23"/>
        </w:numPr>
        <w:tabs>
          <w:tab w:val="left" w:pos="1134"/>
        </w:tabs>
        <w:spacing w:line="360" w:lineRule="auto"/>
        <w:ind w:left="0"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 xml:space="preserve">Камінська Т. В. Організаційно-економічний механізм фінансового </w:t>
      </w:r>
      <w:r>
        <w:rPr>
          <w:rFonts w:ascii="Times New Roman" w:eastAsia="Times New Roman" w:hAnsi="Times New Roman" w:cs="Times New Roman"/>
          <w:color w:val="auto"/>
          <w:sz w:val="28"/>
          <w:szCs w:val="28"/>
          <w:lang w:bidi="ar-SA"/>
        </w:rPr>
        <w:lastRenderedPageBreak/>
        <w:t xml:space="preserve">забезпечення сфери охорони здоров’я. Кваліфікаційна наукова праця на правах рукопису. Дисертація на здобуття наукового ступеня доктора філософії в галузі знань 05 соціальні та поведінкові науки за спеціальністю 051 «Економіка». Національний технічний університет України «Київський політехнічний інститут імені Ігоря Сікорського». Київ. 2025. URL: https://ela.kpi.ua/items/13923641-494d-4dd9-90fb-4a39118df4de </w:t>
      </w:r>
    </w:p>
    <w:p w14:paraId="3BE08931" w14:textId="77777777" w:rsidR="00052C0B" w:rsidRDefault="006E6CE8">
      <w:pPr>
        <w:pStyle w:val="aff3"/>
        <w:numPr>
          <w:ilvl w:val="0"/>
          <w:numId w:val="23"/>
        </w:numPr>
        <w:tabs>
          <w:tab w:val="left" w:pos="1134"/>
        </w:tabs>
        <w:spacing w:line="360" w:lineRule="auto"/>
        <w:ind w:left="0" w:firstLine="709"/>
        <w:jc w:val="both"/>
        <w:rPr>
          <w:rStyle w:val="aff6"/>
          <w:rFonts w:ascii="Times New Roman" w:eastAsia="Times New Roman" w:hAnsi="Times New Roman" w:cs="Times New Roman"/>
          <w:color w:val="auto"/>
          <w:sz w:val="28"/>
          <w:szCs w:val="28"/>
          <w:u w:val="none"/>
          <w:lang w:bidi="ar-SA"/>
        </w:rPr>
      </w:pPr>
      <w:r>
        <w:rPr>
          <w:rFonts w:ascii="Times New Roman" w:eastAsia="Times New Roman" w:hAnsi="Times New Roman" w:cs="Times New Roman"/>
          <w:color w:val="auto"/>
          <w:sz w:val="28"/>
          <w:szCs w:val="28"/>
          <w:lang w:bidi="ar-SA"/>
        </w:rPr>
        <w:t>Краснова О.І., Плужнікова Т.В.. Особливості механізму державного регулювання сфери охорони здоров’я. Інвестиції: практика та досвід.  2018. № 7. С. 46-48.</w:t>
      </w:r>
      <w:r>
        <w:rPr>
          <w:color w:val="auto"/>
        </w:rPr>
        <w:t xml:space="preserve"> </w:t>
      </w:r>
      <w:r>
        <w:rPr>
          <w:rFonts w:ascii="Times New Roman" w:eastAsia="Times New Roman" w:hAnsi="Times New Roman" w:cs="Times New Roman"/>
          <w:color w:val="auto"/>
          <w:sz w:val="28"/>
          <w:szCs w:val="28"/>
          <w:lang w:bidi="ar-SA"/>
        </w:rPr>
        <w:t xml:space="preserve">URL:  </w:t>
      </w:r>
      <w:hyperlink r:id="rId81" w:tooltip="http://www.investplan.com.ua/pdf/7_2018/10.pdf" w:history="1">
        <w:r>
          <w:rPr>
            <w:rStyle w:val="aff6"/>
            <w:rFonts w:ascii="Times New Roman" w:eastAsia="Times New Roman" w:hAnsi="Times New Roman" w:cs="Times New Roman"/>
            <w:color w:val="auto"/>
            <w:sz w:val="28"/>
            <w:szCs w:val="28"/>
            <w:u w:val="none"/>
            <w:lang w:bidi="ar-SA"/>
          </w:rPr>
          <w:t>http://www.investplan.com.ua/pdf/7_2018/10.pdf</w:t>
        </w:r>
      </w:hyperlink>
    </w:p>
    <w:p w14:paraId="3BE08932" w14:textId="77777777" w:rsidR="00052C0B" w:rsidRDefault="006E6CE8">
      <w:pPr>
        <w:pStyle w:val="aff3"/>
        <w:numPr>
          <w:ilvl w:val="0"/>
          <w:numId w:val="23"/>
        </w:numPr>
        <w:tabs>
          <w:tab w:val="left" w:pos="709"/>
          <w:tab w:val="left" w:pos="851"/>
          <w:tab w:val="left" w:pos="993"/>
          <w:tab w:val="left" w:pos="1134"/>
        </w:tabs>
        <w:spacing w:line="360" w:lineRule="auto"/>
        <w:ind w:left="0"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 xml:space="preserve">Андрющенко К., Шалько М. Вплив механізмів державного регулювання на ефективність та результативність реформування охорони здоров’я в Україні. 2023. № 2. Том 1. С. 92-200. URL: </w:t>
      </w:r>
      <w:hyperlink r:id="rId82" w:tooltip="https://emsesd.com.ua/uk/journals/2-2023/vpliv-mekhanizmiv-derzhavnogo-regulyuvannya-na-efektivnist-ta-rezultativnist-reformuvannya-okhoroni-zdorov-ya-v-ukrayini" w:history="1">
        <w:r>
          <w:rPr>
            <w:rStyle w:val="aff6"/>
            <w:rFonts w:ascii="Times New Roman" w:eastAsia="Times New Roman" w:hAnsi="Times New Roman" w:cs="Times New Roman"/>
            <w:color w:val="auto"/>
            <w:sz w:val="28"/>
            <w:szCs w:val="28"/>
            <w:u w:val="none"/>
            <w:lang w:bidi="ar-SA"/>
          </w:rPr>
          <w:t>https://emsesd.com.ua/uk/journals/2-2023/vpliv-mekhanizmiv-derzhavnogo-regulyuvannya-na-efektivnist-ta-rezultativnist-reformuvannya-okhoroni-zdorov-ya-v-ukrayini</w:t>
        </w:r>
      </w:hyperlink>
    </w:p>
    <w:p w14:paraId="3BE08933" w14:textId="77777777" w:rsidR="00052C0B" w:rsidRDefault="006E6CE8">
      <w:pPr>
        <w:pStyle w:val="aff3"/>
        <w:numPr>
          <w:ilvl w:val="0"/>
          <w:numId w:val="23"/>
        </w:numPr>
        <w:tabs>
          <w:tab w:val="left" w:pos="1134"/>
        </w:tabs>
        <w:spacing w:line="360" w:lineRule="auto"/>
        <w:ind w:left="0"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Князькова В.Я. Криленко В.І, Хлібородова І.В. Актуальні аспекти організації спроможної мережі закладів охорони здоров’я. Матеріали VI Міжнародної науково-практичної конференції «The aspects of contemporary scientific research that encompass both theoretical and practical components». Венеція, Італія. 10-12 січня 2024. с. 166-169.</w:t>
      </w:r>
      <w:r>
        <w:rPr>
          <w:color w:val="auto"/>
        </w:rPr>
        <w:t xml:space="preserve"> </w:t>
      </w:r>
      <w:r>
        <w:rPr>
          <w:rFonts w:ascii="Times New Roman" w:eastAsia="Times New Roman" w:hAnsi="Times New Roman" w:cs="Times New Roman"/>
          <w:color w:val="auto"/>
          <w:sz w:val="28"/>
          <w:szCs w:val="28"/>
          <w:lang w:bidi="ar-SA"/>
        </w:rPr>
        <w:t xml:space="preserve">URL:  </w:t>
      </w:r>
      <w:hyperlink r:id="rId83" w:tooltip="https://isu-conference.com/wp-content/uploads/2024/01/The-aspects-of-contemporary-scientific-research-Jan-10-12-2024-Venice-Italy.pdf" w:history="1">
        <w:r>
          <w:rPr>
            <w:rStyle w:val="aff6"/>
            <w:rFonts w:ascii="Times New Roman" w:eastAsia="Times New Roman" w:hAnsi="Times New Roman" w:cs="Times New Roman"/>
            <w:color w:val="auto"/>
            <w:sz w:val="28"/>
            <w:szCs w:val="28"/>
            <w:u w:val="none"/>
            <w:lang w:bidi="ar-SA"/>
          </w:rPr>
          <w:t>https://isu-conference.com/wp-content/uploads/2024/01/The-aspects-of-contemporary-scientific-research-Jan-10-12-2024-Venice-Italy.pdf</w:t>
        </w:r>
      </w:hyperlink>
      <w:r>
        <w:rPr>
          <w:rFonts w:ascii="Times New Roman" w:eastAsia="Times New Roman" w:hAnsi="Times New Roman" w:cs="Times New Roman"/>
          <w:color w:val="auto"/>
          <w:sz w:val="28"/>
          <w:szCs w:val="28"/>
          <w:lang w:bidi="ar-SA"/>
        </w:rPr>
        <w:t xml:space="preserve">    </w:t>
      </w:r>
    </w:p>
    <w:p w14:paraId="3BE08934" w14:textId="77777777" w:rsidR="00052C0B" w:rsidRDefault="006E6CE8">
      <w:pPr>
        <w:pStyle w:val="aff3"/>
        <w:numPr>
          <w:ilvl w:val="0"/>
          <w:numId w:val="23"/>
        </w:numPr>
        <w:tabs>
          <w:tab w:val="left" w:pos="1134"/>
        </w:tabs>
        <w:spacing w:line="360" w:lineRule="auto"/>
        <w:ind w:left="0"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Валах В., Рудінська О., Бусел С., Князькова В. Управління якістю медичних послуг в Україні в контексті міжнародного досвіду. Економічний аналіз. 2024. Том 34. № 2. С. 94-105. DOI: https://doi.org/10.35774/econa2024.02.094</w:t>
      </w:r>
      <w:r>
        <w:rPr>
          <w:color w:val="auto"/>
        </w:rPr>
        <w:t xml:space="preserve"> </w:t>
      </w:r>
      <w:r>
        <w:rPr>
          <w:rFonts w:ascii="Times New Roman" w:eastAsia="Times New Roman" w:hAnsi="Times New Roman" w:cs="Times New Roman"/>
          <w:color w:val="auto"/>
          <w:sz w:val="28"/>
          <w:szCs w:val="28"/>
          <w:lang w:bidi="ar-SA"/>
        </w:rPr>
        <w:t>URL:  https://www.econa.org.ua/index.php/econa/article/view/6030#google_vignette</w:t>
      </w:r>
    </w:p>
    <w:p w14:paraId="3BE08935" w14:textId="77777777" w:rsidR="00052C0B" w:rsidRDefault="006E6CE8">
      <w:pPr>
        <w:pStyle w:val="aff3"/>
        <w:numPr>
          <w:ilvl w:val="0"/>
          <w:numId w:val="23"/>
        </w:numPr>
        <w:tabs>
          <w:tab w:val="left" w:pos="709"/>
          <w:tab w:val="left" w:pos="851"/>
          <w:tab w:val="left" w:pos="993"/>
          <w:tab w:val="left" w:pos="1134"/>
        </w:tabs>
        <w:spacing w:line="360" w:lineRule="auto"/>
        <w:ind w:left="0"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 xml:space="preserve">Рябець Д.М. Державне регулювання сфери охорони здоров’я: принципи, механізм та інструменти. Економічні горизонти. 2018. № 4(7), с. 164-174. </w:t>
      </w:r>
      <w:hyperlink r:id="rId84" w:tooltip="https://doi.org/10.31499/2616-5236.4(7).2018.212757" w:history="1">
        <w:r>
          <w:rPr>
            <w:rStyle w:val="aff6"/>
            <w:rFonts w:ascii="Times New Roman" w:eastAsia="Times New Roman" w:hAnsi="Times New Roman" w:cs="Times New Roman"/>
            <w:color w:val="auto"/>
            <w:sz w:val="28"/>
            <w:szCs w:val="28"/>
            <w:u w:val="none"/>
            <w:lang w:bidi="ar-SA"/>
          </w:rPr>
          <w:t>https://doi.org/10.31499/2616-5236.4(7).2018.212757</w:t>
        </w:r>
      </w:hyperlink>
      <w:r>
        <w:rPr>
          <w:rFonts w:ascii="Times New Roman" w:eastAsia="Times New Roman" w:hAnsi="Times New Roman" w:cs="Times New Roman"/>
          <w:color w:val="auto"/>
          <w:sz w:val="28"/>
          <w:szCs w:val="28"/>
          <w:lang w:bidi="ar-SA"/>
        </w:rPr>
        <w:t xml:space="preserve"> URL: </w:t>
      </w:r>
      <w:hyperlink r:id="rId85" w:tooltip="http://eh.udpu.edu.ua/article/view/212757" w:history="1">
        <w:r>
          <w:rPr>
            <w:rStyle w:val="aff6"/>
            <w:rFonts w:ascii="Times New Roman" w:eastAsia="Times New Roman" w:hAnsi="Times New Roman" w:cs="Times New Roman"/>
            <w:color w:val="auto"/>
            <w:sz w:val="28"/>
            <w:szCs w:val="28"/>
            <w:u w:val="none"/>
            <w:lang w:bidi="ar-SA"/>
          </w:rPr>
          <w:t>http://eh.udpu.edu.ua/article/view/212757</w:t>
        </w:r>
      </w:hyperlink>
    </w:p>
    <w:p w14:paraId="3BE08936" w14:textId="77777777" w:rsidR="00052C0B" w:rsidRDefault="006E6CE8">
      <w:pPr>
        <w:pStyle w:val="aff3"/>
        <w:numPr>
          <w:ilvl w:val="0"/>
          <w:numId w:val="23"/>
        </w:numPr>
        <w:tabs>
          <w:tab w:val="left" w:pos="709"/>
          <w:tab w:val="left" w:pos="851"/>
          <w:tab w:val="left" w:pos="993"/>
          <w:tab w:val="left" w:pos="1134"/>
        </w:tabs>
        <w:spacing w:line="360" w:lineRule="auto"/>
        <w:ind w:left="0"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Ягельська К.Ю. Організаційно-економічні особливості трансформаційної моделі охорони здоров’я України. Вчені записки ТНУ імені В.І. Вернадського. Серія: Економіка і управління.</w:t>
      </w:r>
      <w:r>
        <w:rPr>
          <w:color w:val="auto"/>
        </w:rPr>
        <w:t xml:space="preserve"> </w:t>
      </w:r>
      <w:r>
        <w:rPr>
          <w:rFonts w:ascii="Times New Roman" w:eastAsia="Times New Roman" w:hAnsi="Times New Roman" w:cs="Times New Roman"/>
          <w:color w:val="auto"/>
          <w:sz w:val="28"/>
          <w:szCs w:val="28"/>
          <w:lang w:bidi="ar-SA"/>
        </w:rPr>
        <w:t>Економіка та управління національним господарством. 2020. № 6. Том 31(70). С. 83-88. URL:</w:t>
      </w:r>
      <w:r>
        <w:rPr>
          <w:color w:val="auto"/>
        </w:rPr>
        <w:t xml:space="preserve"> </w:t>
      </w:r>
      <w:hyperlink r:id="rId86" w:tooltip="https://www.econ.vernadskyjournals.in.ua/journals/2020/31_70_6/16.pdf" w:history="1">
        <w:r>
          <w:rPr>
            <w:rStyle w:val="aff6"/>
            <w:rFonts w:ascii="Times New Roman" w:eastAsia="Times New Roman" w:hAnsi="Times New Roman" w:cs="Times New Roman"/>
            <w:color w:val="auto"/>
            <w:sz w:val="28"/>
            <w:szCs w:val="28"/>
            <w:u w:val="none"/>
            <w:lang w:bidi="ar-SA"/>
          </w:rPr>
          <w:t>https://www.econ.vernadskyjournals.in.ua/journals/2020/31_70_6/16.pdf</w:t>
        </w:r>
      </w:hyperlink>
      <w:r>
        <w:rPr>
          <w:rFonts w:ascii="Times New Roman" w:eastAsia="Times New Roman" w:hAnsi="Times New Roman" w:cs="Times New Roman"/>
          <w:color w:val="auto"/>
          <w:sz w:val="28"/>
          <w:szCs w:val="28"/>
          <w:lang w:bidi="ar-SA"/>
        </w:rPr>
        <w:t xml:space="preserve"> </w:t>
      </w:r>
    </w:p>
    <w:p w14:paraId="3BE08937" w14:textId="77777777" w:rsidR="00052C0B" w:rsidRDefault="006E6CE8">
      <w:pPr>
        <w:pStyle w:val="aff3"/>
        <w:numPr>
          <w:ilvl w:val="0"/>
          <w:numId w:val="23"/>
        </w:numPr>
        <w:tabs>
          <w:tab w:val="left" w:pos="1134"/>
        </w:tabs>
        <w:spacing w:line="360" w:lineRule="auto"/>
        <w:ind w:left="0"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 xml:space="preserve">Цифрова трансформація охорони здоров'я України. URL: </w:t>
      </w:r>
      <w:hyperlink r:id="rId87" w:tooltip="https://moz.gov.ua/uk/cifrova-transformaciya-ohoroni-zdorov-ya-ukrayini-2" w:history="1">
        <w:r>
          <w:rPr>
            <w:rStyle w:val="aff6"/>
            <w:rFonts w:ascii="Times New Roman" w:eastAsia="Times New Roman" w:hAnsi="Times New Roman" w:cs="Times New Roman"/>
            <w:color w:val="auto"/>
            <w:sz w:val="28"/>
            <w:szCs w:val="28"/>
            <w:u w:val="none"/>
            <w:lang w:bidi="ar-SA"/>
          </w:rPr>
          <w:t>https://moz.gov.ua/uk/cifrova-transformaciya-ohoroni-zdorov-ya-ukrayini-2</w:t>
        </w:r>
      </w:hyperlink>
    </w:p>
    <w:p w14:paraId="3BE08938" w14:textId="77777777" w:rsidR="00052C0B" w:rsidRDefault="006E6CE8">
      <w:pPr>
        <w:pStyle w:val="aff3"/>
        <w:numPr>
          <w:ilvl w:val="0"/>
          <w:numId w:val="23"/>
        </w:numPr>
        <w:tabs>
          <w:tab w:val="left" w:pos="1134"/>
        </w:tabs>
        <w:spacing w:line="360" w:lineRule="auto"/>
        <w:ind w:left="0" w:firstLine="709"/>
        <w:jc w:val="both"/>
        <w:rPr>
          <w:rStyle w:val="aff6"/>
          <w:rFonts w:ascii="Times New Roman" w:eastAsia="Times New Roman" w:hAnsi="Times New Roman" w:cs="Times New Roman"/>
          <w:color w:val="auto"/>
          <w:sz w:val="28"/>
          <w:szCs w:val="28"/>
          <w:u w:val="none"/>
          <w:lang w:bidi="ar-SA"/>
        </w:rPr>
      </w:pPr>
      <w:r>
        <w:rPr>
          <w:rFonts w:ascii="Times New Roman" w:eastAsia="Times New Roman" w:hAnsi="Times New Roman" w:cs="Times New Roman"/>
          <w:color w:val="auto"/>
          <w:sz w:val="28"/>
          <w:szCs w:val="28"/>
          <w:lang w:bidi="ar-SA"/>
        </w:rPr>
        <w:t>Петренко Д.М., Князькова В.Я. Роль довгострокового прогнозування у розвитку приватної медичної клініки. Матеріали II Міжнародної науково-практичної інтернет-конференції «Global Society in Formation of New Security System and World Order». м. Дніпро, Україна.  27-28 липня 2023 року. С. 308-309.</w:t>
      </w:r>
      <w:r>
        <w:rPr>
          <w:color w:val="auto"/>
        </w:rPr>
        <w:t xml:space="preserve"> </w:t>
      </w:r>
      <w:r>
        <w:rPr>
          <w:rFonts w:ascii="Times New Roman" w:eastAsia="Times New Roman" w:hAnsi="Times New Roman" w:cs="Times New Roman"/>
          <w:color w:val="auto"/>
          <w:sz w:val="28"/>
          <w:szCs w:val="28"/>
          <w:lang w:bidi="ar-SA"/>
        </w:rPr>
        <w:t xml:space="preserve">URL: </w:t>
      </w:r>
      <w:hyperlink r:id="rId88" w:tooltip="http://www.wayscience.com/wp-content/uploads/2023/08/Conference-Proceedings-July-27-28-2023-1.pdf" w:history="1">
        <w:r>
          <w:rPr>
            <w:rStyle w:val="aff6"/>
            <w:rFonts w:ascii="Times New Roman" w:eastAsia="Times New Roman" w:hAnsi="Times New Roman" w:cs="Times New Roman"/>
            <w:color w:val="auto"/>
            <w:sz w:val="28"/>
            <w:szCs w:val="28"/>
            <w:u w:val="none"/>
            <w:lang w:bidi="ar-SA"/>
          </w:rPr>
          <w:t>http://www.wayscience.com/wp-content/uploads/2023/08/Conference-Proceedings-July-27-28-2023-1.pdf</w:t>
        </w:r>
      </w:hyperlink>
    </w:p>
    <w:p w14:paraId="3BE08939" w14:textId="77777777" w:rsidR="00052C0B" w:rsidRDefault="006E6CE8">
      <w:pPr>
        <w:pStyle w:val="aff3"/>
        <w:numPr>
          <w:ilvl w:val="0"/>
          <w:numId w:val="23"/>
        </w:numPr>
        <w:tabs>
          <w:tab w:val="left" w:pos="1134"/>
        </w:tabs>
        <w:spacing w:line="360" w:lineRule="auto"/>
        <w:ind w:left="0" w:firstLine="709"/>
        <w:jc w:val="both"/>
        <w:rPr>
          <w:rStyle w:val="aff6"/>
          <w:rFonts w:ascii="Times New Roman" w:eastAsia="Times New Roman" w:hAnsi="Times New Roman" w:cs="Times New Roman"/>
          <w:color w:val="auto"/>
          <w:sz w:val="28"/>
          <w:szCs w:val="28"/>
          <w:u w:val="none"/>
          <w:lang w:bidi="ar-SA"/>
        </w:rPr>
      </w:pPr>
      <w:r>
        <w:rPr>
          <w:rFonts w:ascii="Times New Roman" w:eastAsia="Times New Roman" w:hAnsi="Times New Roman" w:cs="Times New Roman"/>
          <w:color w:val="auto"/>
          <w:sz w:val="28"/>
          <w:szCs w:val="28"/>
          <w:lang w:bidi="ar-SA"/>
        </w:rPr>
        <w:t>Kniazkova V., Huz D., Rudinska O., Krylenko V. Формування кластерів медичних закладів як адміністративний засіб управління в галузі охорони здоров’я в умовах децентралізації. Economics. Management. Innovations. 2023.  №1(32). DOI 10.35433/ISSN2410-3748-2023-1(32)-4 URL:</w:t>
      </w:r>
      <w:r>
        <w:rPr>
          <w:color w:val="auto"/>
        </w:rPr>
        <w:t xml:space="preserve"> </w:t>
      </w:r>
      <w:hyperlink r:id="rId89" w:tooltip="http://eui.zu.edu.ua/article/view/283043/277220" w:history="1">
        <w:r>
          <w:rPr>
            <w:rStyle w:val="aff6"/>
            <w:rFonts w:ascii="Times New Roman" w:eastAsia="Times New Roman" w:hAnsi="Times New Roman" w:cs="Times New Roman"/>
            <w:color w:val="auto"/>
            <w:sz w:val="28"/>
            <w:szCs w:val="28"/>
            <w:u w:val="none"/>
            <w:lang w:bidi="ar-SA"/>
          </w:rPr>
          <w:t>http://eui.zu.edu.ua/article/view/283043/277220</w:t>
        </w:r>
      </w:hyperlink>
    </w:p>
    <w:p w14:paraId="3BE0893A" w14:textId="77777777" w:rsidR="00052C0B" w:rsidRDefault="006E6CE8">
      <w:pPr>
        <w:pStyle w:val="aff3"/>
        <w:numPr>
          <w:ilvl w:val="0"/>
          <w:numId w:val="23"/>
        </w:numPr>
        <w:tabs>
          <w:tab w:val="left" w:pos="1134"/>
        </w:tabs>
        <w:spacing w:line="360" w:lineRule="auto"/>
        <w:ind w:left="0"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 xml:space="preserve"> Кіріл’єва А.В., Сотник І.М. Механізми перебудови економіки охорони здоров’я в Україні. Європейський вектор модернізації економіки: креативність, прозорість та сталий розвиток: матеріали XІІІ Міжнародної науково-практичної конференції, м. Харків, 21-22 квітня 2021 р. Харків: ХНУБА, ФОП Федорко М. Ю. 2021. C. 235-237. URL: https://essuir.sumdu.edu.ua/handle/123456789/83714</w:t>
      </w:r>
    </w:p>
    <w:p w14:paraId="3BE0893B" w14:textId="77777777" w:rsidR="00052C0B" w:rsidRDefault="006E6CE8">
      <w:pPr>
        <w:pStyle w:val="aff3"/>
        <w:numPr>
          <w:ilvl w:val="0"/>
          <w:numId w:val="23"/>
        </w:numPr>
        <w:tabs>
          <w:tab w:val="left" w:pos="1134"/>
        </w:tabs>
        <w:spacing w:line="360" w:lineRule="auto"/>
        <w:ind w:left="0"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 xml:space="preserve"> Сазоненко Л.В., Толстанов О.К. Заходи антикризового управління закладом охорони здоров’я.  Інвестиції: практика та досвід. 2021. № 16. С. 86-92. URL: http://www.investplan.com.ua/pdf/16_2021/15.pdf </w:t>
      </w:r>
    </w:p>
    <w:p w14:paraId="3BE0893C" w14:textId="77777777" w:rsidR="00052C0B" w:rsidRDefault="006E6CE8">
      <w:pPr>
        <w:pStyle w:val="aff3"/>
        <w:numPr>
          <w:ilvl w:val="0"/>
          <w:numId w:val="23"/>
        </w:numPr>
        <w:tabs>
          <w:tab w:val="left" w:pos="1134"/>
        </w:tabs>
        <w:spacing w:line="360" w:lineRule="auto"/>
        <w:ind w:left="0"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 xml:space="preserve">Мартинюк О.А., Князькова В.Я., Кравченко В.І. Удосконалення системи управлінських рішень в закладах охорони здоров’я. Міжнародна </w:t>
      </w:r>
      <w:r>
        <w:rPr>
          <w:rFonts w:ascii="Times New Roman" w:eastAsia="Times New Roman" w:hAnsi="Times New Roman" w:cs="Times New Roman"/>
          <w:color w:val="auto"/>
          <w:sz w:val="28"/>
          <w:szCs w:val="28"/>
          <w:lang w:bidi="ar-SA"/>
        </w:rPr>
        <w:lastRenderedPageBreak/>
        <w:t xml:space="preserve">мультидисциплінарна наукова інтернет-конференція «Світ наукових досліджень». Випуск 45. С. 134-138. URL: </w:t>
      </w:r>
      <w:hyperlink r:id="rId90" w:tooltip="https://www.economy-confer.com.ua/full-article/6478/" w:history="1">
        <w:r>
          <w:rPr>
            <w:rStyle w:val="aff6"/>
            <w:rFonts w:ascii="Times New Roman" w:eastAsia="Times New Roman" w:hAnsi="Times New Roman" w:cs="Times New Roman"/>
            <w:color w:val="auto"/>
            <w:sz w:val="28"/>
            <w:szCs w:val="28"/>
            <w:u w:val="none"/>
            <w:lang w:bidi="ar-SA"/>
          </w:rPr>
          <w:t>https://www.economy-confer.com.ua/full-article/6478/</w:t>
        </w:r>
      </w:hyperlink>
    </w:p>
    <w:p w14:paraId="3BE0893D" w14:textId="77777777" w:rsidR="00052C0B" w:rsidRDefault="006E6CE8">
      <w:pPr>
        <w:pStyle w:val="aff3"/>
        <w:numPr>
          <w:ilvl w:val="0"/>
          <w:numId w:val="23"/>
        </w:numPr>
        <w:tabs>
          <w:tab w:val="left" w:pos="1134"/>
        </w:tabs>
        <w:spacing w:line="360" w:lineRule="auto"/>
        <w:ind w:left="0" w:firstLine="709"/>
        <w:jc w:val="both"/>
        <w:rPr>
          <w:rStyle w:val="aff6"/>
          <w:rFonts w:ascii="Times New Roman" w:eastAsia="Times New Roman" w:hAnsi="Times New Roman" w:cs="Times New Roman"/>
          <w:color w:val="auto"/>
          <w:sz w:val="28"/>
          <w:szCs w:val="28"/>
          <w:u w:val="none"/>
          <w:lang w:bidi="ar-SA"/>
        </w:rPr>
      </w:pPr>
      <w:r>
        <w:rPr>
          <w:rFonts w:ascii="Times New Roman" w:eastAsia="Times New Roman" w:hAnsi="Times New Roman" w:cs="Times New Roman"/>
          <w:color w:val="auto"/>
          <w:sz w:val="28"/>
          <w:szCs w:val="28"/>
          <w:lang w:bidi="ar-SA"/>
        </w:rPr>
        <w:t xml:space="preserve">Криленко В. І., Князькова В. Я., Кравченко А. В. Роль доказового менеджменту у прийнятті управлінських рішень в медицині // Сучасні напрями змін в управлінні охороною здоров’я: модернізація, якість, психологія та комунікація [Електронне видання] : збірка матеріалів II міжнар. наук. практ. конф. м. Одеса, 30 травня 2025 р. / за заг. Ред академіка НАМН України, д. мед. н., професора В. М. Запорожана; наук. ред. д. мед. н., професор В. Г. Марічереда. Одеса : ОНМедУ, 2025. С. 110–114. URL: </w:t>
      </w:r>
      <w:hyperlink r:id="rId91" w:tooltip="https://repo.odmu.edu.ua:443/xmlui/handle/123456789/18193" w:history="1">
        <w:r>
          <w:rPr>
            <w:rStyle w:val="aff6"/>
            <w:rFonts w:ascii="Times New Roman" w:eastAsia="Times New Roman" w:hAnsi="Times New Roman" w:cs="Times New Roman"/>
            <w:color w:val="auto"/>
            <w:sz w:val="28"/>
            <w:szCs w:val="28"/>
            <w:u w:val="none"/>
            <w:lang w:bidi="ar-SA"/>
          </w:rPr>
          <w:t>https://repo.odmu.edu.ua:443/xmlui/handle/123456789/18193</w:t>
        </w:r>
      </w:hyperlink>
    </w:p>
    <w:p w14:paraId="3BE0893E" w14:textId="77777777" w:rsidR="00052C0B" w:rsidRDefault="006E6CE8">
      <w:pPr>
        <w:pStyle w:val="aff3"/>
        <w:numPr>
          <w:ilvl w:val="0"/>
          <w:numId w:val="23"/>
        </w:numPr>
        <w:tabs>
          <w:tab w:val="left" w:pos="1134"/>
        </w:tabs>
        <w:spacing w:line="360" w:lineRule="auto"/>
        <w:ind w:left="0" w:firstLine="709"/>
        <w:jc w:val="both"/>
        <w:rPr>
          <w:rStyle w:val="aff6"/>
          <w:rFonts w:ascii="Times New Roman" w:eastAsia="Times New Roman" w:hAnsi="Times New Roman" w:cs="Times New Roman"/>
          <w:color w:val="auto"/>
          <w:sz w:val="28"/>
          <w:szCs w:val="28"/>
          <w:u w:val="none"/>
          <w:lang w:bidi="ar-SA"/>
        </w:rPr>
      </w:pPr>
      <w:r>
        <w:rPr>
          <w:rFonts w:ascii="Times New Roman" w:eastAsia="Times New Roman" w:hAnsi="Times New Roman" w:cs="Times New Roman"/>
          <w:color w:val="auto"/>
          <w:sz w:val="28"/>
          <w:szCs w:val="28"/>
          <w:lang w:bidi="ar-SA"/>
        </w:rPr>
        <w:t xml:space="preserve">Основи законодавства України про охорону здоров’я : Закон України від 19.11.1992 року № 2801-XII. URL: </w:t>
      </w:r>
      <w:hyperlink r:id="rId92" w:anchor="doc_save" w:tooltip="https://zakon.rada.gov.ua/laws/show/2801-12#doc_save" w:history="1">
        <w:r>
          <w:rPr>
            <w:rStyle w:val="aff6"/>
            <w:rFonts w:ascii="Times New Roman" w:eastAsia="Times New Roman" w:hAnsi="Times New Roman" w:cs="Times New Roman"/>
            <w:color w:val="auto"/>
            <w:sz w:val="28"/>
            <w:szCs w:val="28"/>
            <w:u w:val="none"/>
            <w:lang w:bidi="ar-SA"/>
          </w:rPr>
          <w:t>https://zakon.rada.gov.ua/laws/show/2801-12#doc_save</w:t>
        </w:r>
      </w:hyperlink>
    </w:p>
    <w:p w14:paraId="3BE0893F" w14:textId="77777777" w:rsidR="00052C0B" w:rsidRDefault="006E6CE8">
      <w:pPr>
        <w:pStyle w:val="aff3"/>
        <w:numPr>
          <w:ilvl w:val="0"/>
          <w:numId w:val="23"/>
        </w:numPr>
        <w:tabs>
          <w:tab w:val="left" w:pos="1134"/>
        </w:tabs>
        <w:spacing w:line="360" w:lineRule="auto"/>
        <w:ind w:left="0" w:firstLine="709"/>
        <w:jc w:val="both"/>
        <w:rPr>
          <w:rStyle w:val="aff6"/>
          <w:rFonts w:ascii="Times New Roman" w:eastAsia="Times New Roman" w:hAnsi="Times New Roman" w:cs="Times New Roman"/>
          <w:color w:val="auto"/>
          <w:sz w:val="28"/>
          <w:szCs w:val="28"/>
          <w:u w:val="none"/>
          <w:lang w:bidi="ar-SA"/>
        </w:rPr>
      </w:pPr>
      <w:r>
        <w:rPr>
          <w:rFonts w:ascii="Times New Roman" w:eastAsia="Times New Roman" w:hAnsi="Times New Roman" w:cs="Times New Roman"/>
          <w:color w:val="auto"/>
          <w:sz w:val="28"/>
          <w:szCs w:val="28"/>
          <w:lang w:bidi="ar-SA"/>
        </w:rPr>
        <w:t xml:space="preserve">Про схвалення Концепції розвитку електронної охорони здоров’я : Розпорядження Кабінету Міністрів України від 28 грудня 2020 р. № 1671-р. Верховна Рада України. URL: </w:t>
      </w:r>
      <w:hyperlink r:id="rId93" w:anchor="Text" w:tooltip="https://zakon.rada.gov.ua/laws/show/1671-2020-р#Text" w:history="1">
        <w:r>
          <w:rPr>
            <w:rStyle w:val="aff6"/>
            <w:rFonts w:ascii="Times New Roman" w:eastAsia="Times New Roman" w:hAnsi="Times New Roman" w:cs="Times New Roman"/>
            <w:color w:val="auto"/>
            <w:sz w:val="28"/>
            <w:szCs w:val="28"/>
            <w:u w:val="none"/>
            <w:lang w:bidi="ar-SA"/>
          </w:rPr>
          <w:t>https://zakon.rada.gov.ua/laws/show/1671-2020-р#Text</w:t>
        </w:r>
      </w:hyperlink>
    </w:p>
    <w:p w14:paraId="3BE08940" w14:textId="77777777" w:rsidR="00052C0B" w:rsidRDefault="006E6CE8">
      <w:pPr>
        <w:pStyle w:val="aff3"/>
        <w:numPr>
          <w:ilvl w:val="0"/>
          <w:numId w:val="23"/>
        </w:numPr>
        <w:tabs>
          <w:tab w:val="left" w:pos="1134"/>
        </w:tabs>
        <w:spacing w:line="360" w:lineRule="auto"/>
        <w:ind w:left="0" w:firstLine="709"/>
        <w:jc w:val="both"/>
        <w:rPr>
          <w:rStyle w:val="aff6"/>
          <w:rFonts w:ascii="Times New Roman" w:eastAsia="Times New Roman" w:hAnsi="Times New Roman" w:cs="Times New Roman"/>
          <w:color w:val="auto"/>
          <w:sz w:val="28"/>
          <w:szCs w:val="28"/>
          <w:u w:val="none"/>
          <w:lang w:bidi="ar-SA"/>
        </w:rPr>
      </w:pPr>
      <w:r>
        <w:rPr>
          <w:rFonts w:ascii="Times New Roman" w:eastAsia="Times New Roman" w:hAnsi="Times New Roman" w:cs="Times New Roman"/>
          <w:color w:val="auto"/>
          <w:sz w:val="28"/>
          <w:szCs w:val="28"/>
          <w:lang w:bidi="ar-SA"/>
        </w:rPr>
        <w:t xml:space="preserve">Електронна система охорони здоров’я в Україні eHealth. URL: </w:t>
      </w:r>
      <w:hyperlink r:id="rId94" w:tooltip="https://ehealth.gov.ua" w:history="1">
        <w:r>
          <w:rPr>
            <w:rStyle w:val="aff6"/>
            <w:rFonts w:ascii="Times New Roman" w:eastAsia="Times New Roman" w:hAnsi="Times New Roman" w:cs="Times New Roman"/>
            <w:color w:val="auto"/>
            <w:sz w:val="28"/>
            <w:szCs w:val="28"/>
            <w:u w:val="none"/>
            <w:lang w:bidi="ar-SA"/>
          </w:rPr>
          <w:t>https://ehealth.gov.ua</w:t>
        </w:r>
      </w:hyperlink>
    </w:p>
    <w:p w14:paraId="3BE08941" w14:textId="77777777" w:rsidR="00052C0B" w:rsidRDefault="006E6CE8">
      <w:pPr>
        <w:pStyle w:val="aff3"/>
        <w:numPr>
          <w:ilvl w:val="0"/>
          <w:numId w:val="23"/>
        </w:numPr>
        <w:tabs>
          <w:tab w:val="left" w:pos="1134"/>
        </w:tabs>
        <w:spacing w:line="360" w:lineRule="auto"/>
        <w:ind w:left="0"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Концепція інформатизації охорони здоров’я України ; О. П. Мінцер та ін. Медична інформатика та інженерія. 2012. № 3. С. 5-29.</w:t>
      </w:r>
    </w:p>
    <w:p w14:paraId="3BE08942" w14:textId="77777777" w:rsidR="00052C0B" w:rsidRDefault="006E6CE8">
      <w:pPr>
        <w:pStyle w:val="aff3"/>
        <w:numPr>
          <w:ilvl w:val="0"/>
          <w:numId w:val="23"/>
        </w:numPr>
        <w:tabs>
          <w:tab w:val="left" w:pos="709"/>
          <w:tab w:val="left" w:pos="851"/>
          <w:tab w:val="left" w:pos="1134"/>
        </w:tabs>
        <w:spacing w:line="360" w:lineRule="auto"/>
        <w:ind w:left="0" w:firstLine="709"/>
        <w:jc w:val="both"/>
        <w:rPr>
          <w:rStyle w:val="aff6"/>
          <w:rFonts w:ascii="Times New Roman" w:eastAsia="Times New Roman" w:hAnsi="Times New Roman" w:cs="Times New Roman"/>
          <w:color w:val="auto"/>
          <w:sz w:val="28"/>
          <w:szCs w:val="28"/>
          <w:u w:val="none"/>
          <w:lang w:bidi="ar-SA"/>
        </w:rPr>
      </w:pPr>
      <w:r>
        <w:rPr>
          <w:rFonts w:ascii="Times New Roman" w:eastAsia="Times New Roman" w:hAnsi="Times New Roman" w:cs="Times New Roman"/>
          <w:color w:val="auto"/>
          <w:sz w:val="28"/>
          <w:szCs w:val="28"/>
          <w:lang w:bidi="ar-SA"/>
        </w:rPr>
        <w:t>Концепція розбудови електронної охорони здоров’я в Україні.</w:t>
      </w:r>
      <w:r>
        <w:rPr>
          <w:rFonts w:ascii="Times New Roman" w:hAnsi="Times New Roman" w:cs="Times New Roman"/>
          <w:color w:val="auto"/>
          <w:sz w:val="28"/>
          <w:szCs w:val="28"/>
        </w:rPr>
        <w:t xml:space="preserve"> Цифрова трансформація охорони здоров’я. База знань eHealth. Е-здоров’я. Головна. URL: </w:t>
      </w:r>
      <w:hyperlink r:id="rId95" w:tooltip="https://moz.gov.ua/uk/news/koncepciya-rozbudovi-elektronnoyi-ohoroni-zdorov-ya-ukrayini" w:history="1">
        <w:r>
          <w:rPr>
            <w:rStyle w:val="aff6"/>
            <w:rFonts w:ascii="Times New Roman" w:eastAsia="Times New Roman" w:hAnsi="Times New Roman" w:cs="Times New Roman"/>
            <w:color w:val="auto"/>
            <w:sz w:val="28"/>
            <w:szCs w:val="28"/>
            <w:u w:val="none"/>
            <w:lang w:bidi="ar-SA"/>
          </w:rPr>
          <w:t>https://moz.gov.ua/uk/news/koncepciya-rozbudovi-elektronnoyi-ohoroni-zdorov-ya-ukrayini</w:t>
        </w:r>
      </w:hyperlink>
    </w:p>
    <w:p w14:paraId="3BE08943" w14:textId="77777777" w:rsidR="00052C0B" w:rsidRDefault="006E6CE8">
      <w:pPr>
        <w:pStyle w:val="aff3"/>
        <w:numPr>
          <w:ilvl w:val="0"/>
          <w:numId w:val="23"/>
        </w:numPr>
        <w:tabs>
          <w:tab w:val="left" w:pos="709"/>
          <w:tab w:val="left" w:pos="851"/>
          <w:tab w:val="left" w:pos="1134"/>
        </w:tabs>
        <w:spacing w:line="360" w:lineRule="auto"/>
        <w:ind w:left="0"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 xml:space="preserve"> Про утворення Державного підприємства «Електронне здоров’я». Наказ МОЗ України від 14.12.2017 №1597. URL:</w:t>
      </w:r>
      <w:r>
        <w:rPr>
          <w:color w:val="auto"/>
        </w:rPr>
        <w:t xml:space="preserve"> </w:t>
      </w:r>
      <w:hyperlink r:id="rId96" w:tooltip="https://moz.gov.ua/uk/decrees/nakaz-moz-ukraini-vid-14122017-1597-pro-utvorennja-derzhavnogo-pidpriemstva-elektronne-zdorovja" w:history="1">
        <w:r>
          <w:rPr>
            <w:rStyle w:val="aff6"/>
            <w:rFonts w:ascii="Times New Roman" w:eastAsia="Times New Roman" w:hAnsi="Times New Roman" w:cs="Times New Roman"/>
            <w:color w:val="auto"/>
            <w:sz w:val="28"/>
            <w:szCs w:val="28"/>
            <w:u w:val="none"/>
            <w:lang w:bidi="ar-SA"/>
          </w:rPr>
          <w:t>https://moz.gov.ua/uk/decrees/nakaz-moz-ukraini-vid-14122017-1597-pro-utvorennja-derzhavnogo-pidpriemstva-elektronne-zdorovja</w:t>
        </w:r>
      </w:hyperlink>
    </w:p>
    <w:p w14:paraId="3BE08944" w14:textId="77777777" w:rsidR="00052C0B" w:rsidRDefault="006E6CE8">
      <w:pPr>
        <w:pStyle w:val="aff3"/>
        <w:numPr>
          <w:ilvl w:val="0"/>
          <w:numId w:val="23"/>
        </w:numPr>
        <w:tabs>
          <w:tab w:val="left" w:pos="709"/>
          <w:tab w:val="left" w:pos="851"/>
          <w:tab w:val="left" w:pos="1134"/>
        </w:tabs>
        <w:spacing w:line="360" w:lineRule="auto"/>
        <w:ind w:left="0" w:firstLine="709"/>
        <w:jc w:val="both"/>
        <w:rPr>
          <w:rStyle w:val="aff6"/>
          <w:rFonts w:ascii="Times New Roman" w:eastAsia="Times New Roman" w:hAnsi="Times New Roman" w:cs="Times New Roman"/>
          <w:color w:val="auto"/>
          <w:sz w:val="28"/>
          <w:szCs w:val="28"/>
          <w:u w:val="none"/>
          <w:lang w:bidi="ar-SA"/>
        </w:rPr>
      </w:pPr>
      <w:r>
        <w:rPr>
          <w:rFonts w:ascii="Times New Roman" w:eastAsia="Times New Roman" w:hAnsi="Times New Roman" w:cs="Times New Roman"/>
          <w:color w:val="auto"/>
          <w:sz w:val="28"/>
          <w:szCs w:val="28"/>
          <w:lang w:bidi="ar-SA"/>
        </w:rPr>
        <w:lastRenderedPageBreak/>
        <w:t xml:space="preserve">Зміцнення системи охорони здоров'я та збереження життя (Heal Ukraine). МОЗ України. URL: </w:t>
      </w:r>
      <w:hyperlink r:id="rId97" w:tooltip="https://moz.gov.ua/uk/zmicnennja-sistemi-ohoroni-zdorovja-ta-zberezhennjazhittja-heal-ukraine" w:history="1">
        <w:r>
          <w:rPr>
            <w:rStyle w:val="aff6"/>
            <w:rFonts w:ascii="Times New Roman" w:eastAsia="Times New Roman" w:hAnsi="Times New Roman" w:cs="Times New Roman"/>
            <w:color w:val="auto"/>
            <w:sz w:val="28"/>
            <w:szCs w:val="28"/>
            <w:u w:val="none"/>
            <w:lang w:bidi="ar-SA"/>
          </w:rPr>
          <w:t>https://moz.gov.ua/uk/zmicnennja-sistemi-ohoroni-zdorovja-ta-zberezhennjazhittja-heal-ukraine</w:t>
        </w:r>
      </w:hyperlink>
    </w:p>
    <w:p w14:paraId="3BE08945" w14:textId="77777777" w:rsidR="00052C0B" w:rsidRDefault="006E6CE8">
      <w:pPr>
        <w:pStyle w:val="aff3"/>
        <w:numPr>
          <w:ilvl w:val="0"/>
          <w:numId w:val="23"/>
        </w:numPr>
        <w:tabs>
          <w:tab w:val="left" w:pos="709"/>
          <w:tab w:val="left" w:pos="851"/>
          <w:tab w:val="left" w:pos="1134"/>
        </w:tabs>
        <w:spacing w:line="360" w:lineRule="auto"/>
        <w:ind w:left="0"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 xml:space="preserve">Деякі питання електронної системи охорони здоров’я: Постанова Кабінету Міністрів України від 25.04.2018 № 411. URL:  </w:t>
      </w:r>
      <w:hyperlink r:id="rId98" w:anchor="Text" w:tooltip="https://zakon.rada.gov.ua/laws/show/411-2018-%D0%BF#Text" w:history="1">
        <w:r>
          <w:rPr>
            <w:rStyle w:val="aff6"/>
            <w:rFonts w:ascii="Times New Roman" w:eastAsia="Times New Roman" w:hAnsi="Times New Roman" w:cs="Times New Roman"/>
            <w:color w:val="auto"/>
            <w:sz w:val="28"/>
            <w:szCs w:val="28"/>
            <w:u w:val="none"/>
            <w:lang w:bidi="ar-SA"/>
          </w:rPr>
          <w:t>https://zakon.rada.gov.ua/laws/show/411-2018-%D0%BF#Text</w:t>
        </w:r>
      </w:hyperlink>
    </w:p>
    <w:p w14:paraId="3BE08946" w14:textId="77777777" w:rsidR="00052C0B" w:rsidRDefault="006E6CE8">
      <w:pPr>
        <w:pStyle w:val="aff3"/>
        <w:numPr>
          <w:ilvl w:val="0"/>
          <w:numId w:val="23"/>
        </w:numPr>
        <w:tabs>
          <w:tab w:val="left" w:pos="709"/>
          <w:tab w:val="left" w:pos="851"/>
          <w:tab w:val="left" w:pos="1134"/>
        </w:tabs>
        <w:spacing w:line="360" w:lineRule="auto"/>
        <w:ind w:left="0"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 xml:space="preserve">Про затвердження Плану заходів щодо реалізації Концепції розвитку електронної охорони здоров’я : Розпорядження Кабінету Міністрів України від 29.09.2021 № 1175. URL: </w:t>
      </w:r>
      <w:hyperlink r:id="rId99" w:anchor="Text" w:tooltip="https://zakon.rada.gov.ua/laws/show/1175-2021-%D1%80#Text" w:history="1">
        <w:r>
          <w:rPr>
            <w:rStyle w:val="aff6"/>
            <w:rFonts w:ascii="Times New Roman" w:eastAsia="Times New Roman" w:hAnsi="Times New Roman" w:cs="Times New Roman"/>
            <w:color w:val="auto"/>
            <w:sz w:val="28"/>
            <w:szCs w:val="28"/>
            <w:u w:val="none"/>
            <w:lang w:bidi="ar-SA"/>
          </w:rPr>
          <w:t>https://zakon.rada.gov.ua/laws/show/1175-2021-%D1%80#Text</w:t>
        </w:r>
      </w:hyperlink>
    </w:p>
    <w:p w14:paraId="3BE08947" w14:textId="77777777" w:rsidR="00052C0B" w:rsidRDefault="006E6CE8">
      <w:pPr>
        <w:pStyle w:val="aff3"/>
        <w:numPr>
          <w:ilvl w:val="0"/>
          <w:numId w:val="23"/>
        </w:numPr>
        <w:tabs>
          <w:tab w:val="left" w:pos="709"/>
          <w:tab w:val="left" w:pos="851"/>
          <w:tab w:val="left" w:pos="1134"/>
        </w:tabs>
        <w:spacing w:line="360" w:lineRule="auto"/>
        <w:ind w:left="0"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 xml:space="preserve">Деякі питання функціонування інформаційно-аналітичної системи «MedData»: Постанова Кабінету Міністрів України від 19.01.2022 № 36. URL: </w:t>
      </w:r>
      <w:hyperlink r:id="rId100" w:anchor="Text" w:tooltip="https://zakon.rada.gov.ua/laws/show/36-2022-%D0%BF#Text" w:history="1">
        <w:r>
          <w:rPr>
            <w:rStyle w:val="aff6"/>
            <w:rFonts w:ascii="Times New Roman" w:eastAsia="Times New Roman" w:hAnsi="Times New Roman" w:cs="Times New Roman"/>
            <w:color w:val="auto"/>
            <w:sz w:val="28"/>
            <w:szCs w:val="28"/>
            <w:u w:val="none"/>
            <w:lang w:bidi="ar-SA"/>
          </w:rPr>
          <w:t>https://zakon.rada.gov.ua/laws/show/36-2022-%D0%BF#Text</w:t>
        </w:r>
      </w:hyperlink>
    </w:p>
    <w:p w14:paraId="3BE08948" w14:textId="77777777" w:rsidR="00052C0B" w:rsidRDefault="006E6CE8">
      <w:pPr>
        <w:pStyle w:val="aff3"/>
        <w:numPr>
          <w:ilvl w:val="0"/>
          <w:numId w:val="23"/>
        </w:numPr>
        <w:tabs>
          <w:tab w:val="left" w:pos="709"/>
          <w:tab w:val="left" w:pos="851"/>
          <w:tab w:val="left" w:pos="1134"/>
        </w:tabs>
        <w:spacing w:line="360" w:lineRule="auto"/>
        <w:ind w:left="0"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 xml:space="preserve">Князькова В.Я., Криленко В.І., Шрамко О.О. Цифрова трансформація медичної галузі як інноваційна складова реформи охорони здоров’я. Матеріали 2 Міжнародної науково-практичної конференції «New Horizons in Scientific Research: Challenges and Solutions». Марсель, Франція. 16-18 грудня 2024. с. 123-127. URL: </w:t>
      </w:r>
      <w:hyperlink r:id="rId101" w:tooltip="https://www.eoss-conf.com/wp-content/uploads/2024/12/Marseille_France_16.12.24.pdf" w:history="1">
        <w:r>
          <w:rPr>
            <w:rStyle w:val="aff6"/>
            <w:rFonts w:ascii="Times New Roman" w:eastAsia="Times New Roman" w:hAnsi="Times New Roman" w:cs="Times New Roman"/>
            <w:color w:val="auto"/>
            <w:sz w:val="28"/>
            <w:szCs w:val="28"/>
            <w:u w:val="none"/>
            <w:lang w:bidi="ar-SA"/>
          </w:rPr>
          <w:t>https://www.eoss-conf.com/wp-content/uploads/2024/12/Marseille_France_16.12.24.pdf</w:t>
        </w:r>
      </w:hyperlink>
    </w:p>
    <w:p w14:paraId="3BE08949" w14:textId="77777777" w:rsidR="00052C0B" w:rsidRDefault="006E6CE8">
      <w:pPr>
        <w:pStyle w:val="aff3"/>
        <w:numPr>
          <w:ilvl w:val="0"/>
          <w:numId w:val="23"/>
        </w:numPr>
        <w:tabs>
          <w:tab w:val="left" w:pos="709"/>
          <w:tab w:val="left" w:pos="851"/>
          <w:tab w:val="left" w:pos="1134"/>
        </w:tabs>
        <w:spacing w:line="360" w:lineRule="auto"/>
        <w:ind w:left="0" w:firstLine="709"/>
        <w:jc w:val="both"/>
        <w:rPr>
          <w:rStyle w:val="aff6"/>
          <w:rFonts w:ascii="Times New Roman" w:eastAsia="Times New Roman" w:hAnsi="Times New Roman" w:cs="Times New Roman"/>
          <w:color w:val="auto"/>
          <w:sz w:val="28"/>
          <w:szCs w:val="28"/>
          <w:u w:val="none"/>
          <w:lang w:bidi="ar-SA"/>
        </w:rPr>
      </w:pPr>
      <w:r>
        <w:rPr>
          <w:rFonts w:ascii="Times New Roman" w:eastAsia="Times New Roman" w:hAnsi="Times New Roman" w:cs="Times New Roman"/>
          <w:color w:val="auto"/>
          <w:sz w:val="28"/>
          <w:szCs w:val="28"/>
          <w:lang w:bidi="ar-SA"/>
        </w:rPr>
        <w:t xml:space="preserve">Європейські країни прийняли план дій у сфері цифрової охорони здоров’я. Міністерство охорони здоров'я. 14.09.2022. URL: </w:t>
      </w:r>
      <w:hyperlink r:id="rId102" w:tooltip="https://moz.gov.ua/uk/evropejski-krainiprijnjali-plan-dij-u-sferi-cifrovoiohoroni-zdorov%E2%80%99ja" w:history="1">
        <w:r>
          <w:rPr>
            <w:rStyle w:val="aff6"/>
            <w:rFonts w:ascii="Times New Roman" w:eastAsia="Times New Roman" w:hAnsi="Times New Roman" w:cs="Times New Roman"/>
            <w:color w:val="auto"/>
            <w:sz w:val="28"/>
            <w:szCs w:val="28"/>
            <w:u w:val="none"/>
            <w:lang w:bidi="ar-SA"/>
          </w:rPr>
          <w:t>https://moz.gov.ua/uk/evropejski-krainiprijnjali-plan-dij-u-sferi-cifrovoiohoroni-zdorov%E2%80%99ja</w:t>
        </w:r>
      </w:hyperlink>
    </w:p>
    <w:p w14:paraId="3BE0894A" w14:textId="77777777" w:rsidR="00052C0B" w:rsidRDefault="006E6CE8">
      <w:pPr>
        <w:pStyle w:val="aff3"/>
        <w:numPr>
          <w:ilvl w:val="0"/>
          <w:numId w:val="23"/>
        </w:numPr>
        <w:tabs>
          <w:tab w:val="left" w:pos="709"/>
          <w:tab w:val="left" w:pos="851"/>
          <w:tab w:val="left" w:pos="1134"/>
        </w:tabs>
        <w:spacing w:line="360" w:lineRule="auto"/>
        <w:ind w:left="0"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 xml:space="preserve">e-Health standardization and interoperability. 27.01.2013. URL: https://apps.who.int/gb/ebwha/pdf_files/WHA66/A66_R24-en.pdf \ </w:t>
      </w:r>
    </w:p>
    <w:p w14:paraId="3BE0894B" w14:textId="77777777" w:rsidR="00052C0B" w:rsidRDefault="006E6CE8">
      <w:pPr>
        <w:pStyle w:val="aff3"/>
        <w:numPr>
          <w:ilvl w:val="0"/>
          <w:numId w:val="23"/>
        </w:numPr>
        <w:tabs>
          <w:tab w:val="left" w:pos="709"/>
          <w:tab w:val="left" w:pos="851"/>
          <w:tab w:val="left" w:pos="1134"/>
        </w:tabs>
        <w:spacing w:line="360" w:lineRule="auto"/>
        <w:ind w:left="0"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 xml:space="preserve">European Commission. European Health Data Space Regulation. 2022. URL: </w:t>
      </w:r>
      <w:hyperlink r:id="rId103" w:tooltip="https://health.ec.europa.eu/ehealth-digital-health-and-care/european-health-data-space-regulationehds_en" w:history="1">
        <w:r>
          <w:rPr>
            <w:rStyle w:val="aff6"/>
            <w:rFonts w:ascii="Times New Roman" w:eastAsia="Times New Roman" w:hAnsi="Times New Roman" w:cs="Times New Roman"/>
            <w:color w:val="auto"/>
            <w:sz w:val="28"/>
            <w:szCs w:val="28"/>
            <w:u w:val="none"/>
            <w:lang w:bidi="ar-SA"/>
          </w:rPr>
          <w:t>https://health.ec.europa.eu/ehealth-digital-health-and-care/european-health-data-space-regulationehds_en</w:t>
        </w:r>
      </w:hyperlink>
    </w:p>
    <w:p w14:paraId="3BE0894C" w14:textId="77777777" w:rsidR="00052C0B" w:rsidRDefault="006E6CE8">
      <w:pPr>
        <w:pStyle w:val="aff3"/>
        <w:numPr>
          <w:ilvl w:val="0"/>
          <w:numId w:val="23"/>
        </w:numPr>
        <w:tabs>
          <w:tab w:val="left" w:pos="709"/>
          <w:tab w:val="left" w:pos="851"/>
          <w:tab w:val="left" w:pos="1134"/>
        </w:tabs>
        <w:spacing w:line="360" w:lineRule="auto"/>
        <w:ind w:left="0"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 xml:space="preserve">Базові аспекти цифровізації та цифрової трансформації охорони здоров’я: метод. реком. до вивчення освітнього компонента «Основи медичної </w:t>
      </w:r>
      <w:r>
        <w:rPr>
          <w:rFonts w:ascii="Times New Roman" w:eastAsia="Times New Roman" w:hAnsi="Times New Roman" w:cs="Times New Roman"/>
          <w:color w:val="auto"/>
          <w:sz w:val="28"/>
          <w:szCs w:val="28"/>
          <w:lang w:bidi="ar-SA"/>
        </w:rPr>
        <w:lastRenderedPageBreak/>
        <w:t xml:space="preserve">інформатики» / уклад. С.В. Гордійчук, М.В. Кірячок, С.М.Грищук, Л.А.Сікорака, О.А. Волошенюк, Д.І. Соколовська, О.В. Звінчук, Г.Д. Александренко. Житомир, 2024. 20 с. </w:t>
      </w:r>
    </w:p>
    <w:p w14:paraId="3BE0894D" w14:textId="77777777" w:rsidR="00052C0B" w:rsidRDefault="006E6CE8">
      <w:pPr>
        <w:pStyle w:val="aff3"/>
        <w:numPr>
          <w:ilvl w:val="0"/>
          <w:numId w:val="23"/>
        </w:numPr>
        <w:tabs>
          <w:tab w:val="left" w:pos="709"/>
          <w:tab w:val="left" w:pos="851"/>
          <w:tab w:val="left" w:pos="1134"/>
        </w:tabs>
        <w:spacing w:line="360" w:lineRule="auto"/>
        <w:ind w:left="0"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 xml:space="preserve">Пунда О., Арзянцева Д., Захаркевич Н. Організаційно-правові засади формування електронної системи охорони здоров я в умовах проведення медичної реформи. Наука, технології, інновації. 2020. № 2. С. 67–74. DOI: </w:t>
      </w:r>
      <w:hyperlink r:id="rId104" w:tooltip="http://doi.org/10.35668/2520-6524-2020-2-08" w:history="1">
        <w:r>
          <w:rPr>
            <w:rStyle w:val="aff6"/>
            <w:rFonts w:ascii="Times New Roman" w:eastAsia="Times New Roman" w:hAnsi="Times New Roman" w:cs="Times New Roman"/>
            <w:color w:val="auto"/>
            <w:sz w:val="28"/>
            <w:szCs w:val="28"/>
            <w:u w:val="none"/>
            <w:lang w:bidi="ar-SA"/>
          </w:rPr>
          <w:t>http://doi.org/10.35668/2520-6524-2020-2-08</w:t>
        </w:r>
      </w:hyperlink>
      <w:r>
        <w:rPr>
          <w:rFonts w:ascii="Times New Roman" w:eastAsia="Times New Roman" w:hAnsi="Times New Roman" w:cs="Times New Roman"/>
          <w:color w:val="auto"/>
          <w:sz w:val="28"/>
          <w:szCs w:val="28"/>
          <w:lang w:bidi="ar-SA"/>
        </w:rPr>
        <w:t xml:space="preserve"> </w:t>
      </w:r>
    </w:p>
    <w:p w14:paraId="3BE0894E" w14:textId="77777777" w:rsidR="00052C0B" w:rsidRDefault="006E6CE8">
      <w:pPr>
        <w:pStyle w:val="aff3"/>
        <w:numPr>
          <w:ilvl w:val="0"/>
          <w:numId w:val="23"/>
        </w:numPr>
        <w:tabs>
          <w:tab w:val="left" w:pos="709"/>
          <w:tab w:val="left" w:pos="851"/>
          <w:tab w:val="left" w:pos="1134"/>
        </w:tabs>
        <w:spacing w:line="360" w:lineRule="auto"/>
        <w:ind w:left="0"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 xml:space="preserve">Шлапко Т.В., Старинський М.В., Миргород-Карпова В.В., Висоцький А.І., Шеін Д.С. Правове забезпечення трансформації сфери охорони здоров’я у світлі медичної реформи з огляду на євроінтеграційні процеси. Електронне наукове видання «Аналітично-порівняльне правознавство». 2021. С. 141–147. DOI: </w:t>
      </w:r>
      <w:hyperlink r:id="rId105" w:tooltip="https://doi.org/10.24144/2788-6018.2021.03.27" w:history="1">
        <w:r>
          <w:rPr>
            <w:rStyle w:val="aff6"/>
            <w:rFonts w:ascii="Times New Roman" w:eastAsia="Times New Roman" w:hAnsi="Times New Roman" w:cs="Times New Roman"/>
            <w:color w:val="auto"/>
            <w:sz w:val="28"/>
            <w:szCs w:val="28"/>
            <w:u w:val="none"/>
            <w:lang w:bidi="ar-SA"/>
          </w:rPr>
          <w:t>https://doi.org/10.24144/2788-6018.2021.03.27</w:t>
        </w:r>
      </w:hyperlink>
      <w:r>
        <w:rPr>
          <w:rFonts w:ascii="Times New Roman" w:eastAsia="Times New Roman" w:hAnsi="Times New Roman" w:cs="Times New Roman"/>
          <w:color w:val="auto"/>
          <w:sz w:val="28"/>
          <w:szCs w:val="28"/>
          <w:lang w:bidi="ar-SA"/>
        </w:rPr>
        <w:t xml:space="preserve"> </w:t>
      </w:r>
    </w:p>
    <w:p w14:paraId="3BE0894F" w14:textId="77777777" w:rsidR="00052C0B" w:rsidRDefault="006E6CE8">
      <w:pPr>
        <w:spacing w:line="360" w:lineRule="auto"/>
        <w:ind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68. Грекова А.В., Литвиненко О.Д., Рудінська О.В., Князькова В.Я. Вплив цифрового стилю життя на соціально-психологічну адаптацію молоді. Вісник соціальної гігієни та організації охорони здоров’я України. 2025. № 1(103). С. 6 - 11. https://doi.org/10.11603/1681-2786.2025.1.15334</w:t>
      </w:r>
      <w:r>
        <w:rPr>
          <w:color w:val="auto"/>
        </w:rPr>
        <w:t xml:space="preserve">  </w:t>
      </w:r>
      <w:r>
        <w:rPr>
          <w:rFonts w:ascii="Times New Roman" w:eastAsia="Times New Roman" w:hAnsi="Times New Roman" w:cs="Times New Roman"/>
          <w:color w:val="auto"/>
          <w:sz w:val="28"/>
          <w:szCs w:val="28"/>
          <w:lang w:bidi="ar-SA"/>
        </w:rPr>
        <w:t xml:space="preserve">URL:   </w:t>
      </w:r>
      <w:hyperlink r:id="rId106" w:tooltip="https://ojs.tdmu.edu.ua/index.php/visnyk-gigieny/article/view/15334/14109" w:history="1">
        <w:r>
          <w:rPr>
            <w:rStyle w:val="aff6"/>
            <w:rFonts w:ascii="Times New Roman" w:eastAsia="Times New Roman" w:hAnsi="Times New Roman" w:cs="Times New Roman"/>
            <w:color w:val="auto"/>
            <w:sz w:val="28"/>
            <w:szCs w:val="28"/>
            <w:u w:val="none"/>
            <w:lang w:bidi="ar-SA"/>
          </w:rPr>
          <w:t>https://ojs.tdmu.edu.ua/index.php/visnyk-gigieny/article/view/15334/14109</w:t>
        </w:r>
      </w:hyperlink>
      <w:r>
        <w:rPr>
          <w:rFonts w:ascii="Times New Roman" w:eastAsia="Times New Roman" w:hAnsi="Times New Roman" w:cs="Times New Roman"/>
          <w:color w:val="auto"/>
          <w:sz w:val="28"/>
          <w:szCs w:val="28"/>
          <w:lang w:bidi="ar-SA"/>
        </w:rPr>
        <w:t xml:space="preserve"> </w:t>
      </w:r>
    </w:p>
    <w:p w14:paraId="3BE08950" w14:textId="77777777" w:rsidR="00052C0B" w:rsidRDefault="00052C0B">
      <w:pPr>
        <w:spacing w:line="360" w:lineRule="auto"/>
        <w:ind w:firstLine="709"/>
        <w:jc w:val="center"/>
        <w:rPr>
          <w:rFonts w:ascii="Times New Roman" w:eastAsia="Microsoft YaHei" w:hAnsi="Times New Roman" w:cs="Times New Roman"/>
          <w:b/>
          <w:sz w:val="28"/>
          <w:szCs w:val="28"/>
        </w:rPr>
      </w:pPr>
    </w:p>
    <w:p w14:paraId="3BE08951" w14:textId="77777777" w:rsidR="00052C0B" w:rsidRDefault="00052C0B">
      <w:pPr>
        <w:spacing w:line="360" w:lineRule="auto"/>
        <w:ind w:firstLine="709"/>
        <w:jc w:val="both"/>
        <w:rPr>
          <w:rFonts w:ascii="Times New Roman" w:eastAsia="Microsoft YaHei" w:hAnsi="Times New Roman" w:cs="Times New Roman"/>
          <w:sz w:val="28"/>
          <w:szCs w:val="28"/>
        </w:rPr>
      </w:pPr>
    </w:p>
    <w:p w14:paraId="3BE08952" w14:textId="77777777" w:rsidR="00052C0B" w:rsidRDefault="00052C0B"/>
    <w:p w14:paraId="3BE08953" w14:textId="77777777" w:rsidR="00052C0B" w:rsidRDefault="00052C0B"/>
    <w:sectPr w:rsidR="00052C0B">
      <w:headerReference w:type="default" r:id="rId107"/>
      <w:pgSz w:w="11906" w:h="16838"/>
      <w:pgMar w:top="1134" w:right="851" w:bottom="1134" w:left="1701" w:header="708" w:footer="708"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E0898A" w14:textId="77777777" w:rsidR="006E6CE8" w:rsidRDefault="006E6CE8">
      <w:r>
        <w:separator/>
      </w:r>
    </w:p>
  </w:endnote>
  <w:endnote w:type="continuationSeparator" w:id="0">
    <w:p w14:paraId="3BE0898B" w14:textId="77777777" w:rsidR="006E6CE8" w:rsidRDefault="006E6C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auto"/>
    <w:pitch w:val="default"/>
  </w:font>
  <w:font w:name="Microsoft YaHei">
    <w:panose1 w:val="020B0503020204020204"/>
    <w:charset w:val="86"/>
    <w:family w:val="swiss"/>
    <w:pitch w:val="variable"/>
    <w:sig w:usb0="80000287" w:usb1="2ACF3C50" w:usb2="00000016" w:usb3="00000000" w:csb0="0004001F" w:csb1="00000000"/>
  </w:font>
  <w:font w:name="Calibri">
    <w:panose1 w:val="020F0502020204030204"/>
    <w:charset w:val="CC"/>
    <w:family w:val="swiss"/>
    <w:pitch w:val="variable"/>
    <w:sig w:usb0="E4002EFF" w:usb1="C000247B" w:usb2="00000009" w:usb3="00000000" w:csb0="000001FF" w:csb1="00000000"/>
  </w:font>
  <w:font w:name="Arial Unicode MS">
    <w:altName w:val="Arial"/>
    <w:panose1 w:val="020B0604020202020204"/>
    <w:charset w:val="00"/>
    <w:family w:val="auto"/>
    <w:pitch w:val="default"/>
  </w:font>
  <w:font w:name="Arial">
    <w:panose1 w:val="020B0604020202020204"/>
    <w:charset w:val="CC"/>
    <w:family w:val="swiss"/>
    <w:pitch w:val="variable"/>
    <w:sig w:usb0="E0002EFF" w:usb1="C000785B" w:usb2="00000009" w:usb3="00000000" w:csb0="000001FF" w:csb1="00000000"/>
  </w:font>
  <w:font w:name="Bold">
    <w:charset w:val="00"/>
    <w:family w:val="auto"/>
    <w:pitch w:val="default"/>
  </w:font>
  <w:font w:name="TimesNewRoman">
    <w:altName w:val="Times New Roman"/>
    <w:charset w:val="00"/>
    <w:family w:val="auto"/>
    <w:pitch w:val="default"/>
  </w:font>
  <w:font w:name="Microsoft Sans Serif">
    <w:panose1 w:val="020B0604020202020204"/>
    <w:charset w:val="CC"/>
    <w:family w:val="swiss"/>
    <w:pitch w:val="variable"/>
    <w:sig w:usb0="E5002EFF" w:usb1="C000605B" w:usb2="00000029" w:usb3="00000000" w:csb0="000101FF" w:csb1="00000000"/>
  </w:font>
  <w:font w:name="TimesNewRomanPSMT">
    <w:charset w:val="00"/>
    <w:family w:val="auto"/>
    <w:pitch w:val="default"/>
  </w:font>
  <w:font w:name="Times New Roman Полужирный">
    <w:altName w:val="Times New Roman"/>
    <w:charset w:val="00"/>
    <w:family w:val="auto"/>
    <w:pitch w:val="default"/>
  </w:font>
  <w:font w:name="Malgun Gothic Semilight">
    <w:panose1 w:val="020B0502040204020203"/>
    <w:charset w:val="81"/>
    <w:family w:val="swiss"/>
    <w:pitch w:val="variable"/>
    <w:sig w:usb0="B0000AAF" w:usb1="09DF7CFB" w:usb2="00000012" w:usb3="00000000" w:csb0="003E01BD"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BE08988" w14:textId="77777777" w:rsidR="006E6CE8" w:rsidRDefault="006E6CE8">
      <w:r>
        <w:separator/>
      </w:r>
    </w:p>
  </w:footnote>
  <w:footnote w:type="continuationSeparator" w:id="0">
    <w:p w14:paraId="3BE08989" w14:textId="77777777" w:rsidR="006E6CE8" w:rsidRDefault="006E6CE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rPr>
      <w:id w:val="1634520369"/>
      <w:docPartObj>
        <w:docPartGallery w:val="Page Numbers (Top of Page)"/>
        <w:docPartUnique/>
      </w:docPartObj>
    </w:sdtPr>
    <w:sdtContent>
      <w:p w14:paraId="3BE0898C" w14:textId="28C22929" w:rsidR="006E6CE8" w:rsidRDefault="006E6CE8">
        <w:pPr>
          <w:pStyle w:val="aff"/>
          <w:jc w:val="right"/>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sidR="00521E19">
          <w:rPr>
            <w:rFonts w:ascii="Times New Roman" w:hAnsi="Times New Roman" w:cs="Times New Roman"/>
            <w:noProof/>
          </w:rPr>
          <w:t>9</w:t>
        </w:r>
        <w:r>
          <w:rPr>
            <w:rFonts w:ascii="Times New Roman" w:hAnsi="Times New Roman" w:cs="Times New Roman"/>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1A6FB2"/>
    <w:multiLevelType w:val="multilevel"/>
    <w:tmpl w:val="5EA0B2D6"/>
    <w:lvl w:ilvl="0">
      <w:start w:val="1"/>
      <w:numFmt w:val="decimal"/>
      <w:lvlText w:val="%1."/>
      <w:lvlJc w:val="left"/>
      <w:pPr>
        <w:ind w:left="420" w:hanging="420"/>
      </w:pPr>
      <w:rPr>
        <w:rFonts w:hint="default"/>
        <w:color w:val="000000"/>
      </w:rPr>
    </w:lvl>
    <w:lvl w:ilvl="1">
      <w:start w:val="1"/>
      <w:numFmt w:val="decimal"/>
      <w:lvlText w:val="%1.%2."/>
      <w:lvlJc w:val="left"/>
      <w:pPr>
        <w:ind w:left="1713" w:hanging="720"/>
      </w:pPr>
      <w:rPr>
        <w:rFonts w:hint="default"/>
        <w:color w:val="000000"/>
      </w:rPr>
    </w:lvl>
    <w:lvl w:ilvl="2">
      <w:start w:val="1"/>
      <w:numFmt w:val="decimal"/>
      <w:lvlText w:val="%1.%2.%3."/>
      <w:lvlJc w:val="left"/>
      <w:pPr>
        <w:ind w:left="720" w:hanging="720"/>
      </w:pPr>
      <w:rPr>
        <w:rFonts w:hint="default"/>
        <w:color w:val="000000"/>
      </w:rPr>
    </w:lvl>
    <w:lvl w:ilvl="3">
      <w:start w:val="1"/>
      <w:numFmt w:val="decimal"/>
      <w:lvlText w:val="%1.%2.%3.%4."/>
      <w:lvlJc w:val="left"/>
      <w:pPr>
        <w:ind w:left="1080" w:hanging="108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440" w:hanging="1440"/>
      </w:pPr>
      <w:rPr>
        <w:rFonts w:hint="default"/>
        <w:color w:val="000000"/>
      </w:rPr>
    </w:lvl>
    <w:lvl w:ilvl="6">
      <w:start w:val="1"/>
      <w:numFmt w:val="decimal"/>
      <w:lvlText w:val="%1.%2.%3.%4.%5.%6.%7."/>
      <w:lvlJc w:val="left"/>
      <w:pPr>
        <w:ind w:left="1800" w:hanging="1800"/>
      </w:pPr>
      <w:rPr>
        <w:rFonts w:hint="default"/>
        <w:color w:val="000000"/>
      </w:rPr>
    </w:lvl>
    <w:lvl w:ilvl="7">
      <w:start w:val="1"/>
      <w:numFmt w:val="decimal"/>
      <w:lvlText w:val="%1.%2.%3.%4.%5.%6.%7.%8."/>
      <w:lvlJc w:val="left"/>
      <w:pPr>
        <w:ind w:left="1800" w:hanging="1800"/>
      </w:pPr>
      <w:rPr>
        <w:rFonts w:hint="default"/>
        <w:color w:val="000000"/>
      </w:rPr>
    </w:lvl>
    <w:lvl w:ilvl="8">
      <w:start w:val="1"/>
      <w:numFmt w:val="decimal"/>
      <w:lvlText w:val="%1.%2.%3.%4.%5.%6.%7.%8.%9."/>
      <w:lvlJc w:val="left"/>
      <w:pPr>
        <w:ind w:left="2160" w:hanging="2160"/>
      </w:pPr>
      <w:rPr>
        <w:rFonts w:hint="default"/>
        <w:color w:val="000000"/>
      </w:rPr>
    </w:lvl>
  </w:abstractNum>
  <w:abstractNum w:abstractNumId="1" w15:restartNumberingAfterBreak="0">
    <w:nsid w:val="08486385"/>
    <w:multiLevelType w:val="multilevel"/>
    <w:tmpl w:val="50C4EAA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0A5A43FD"/>
    <w:multiLevelType w:val="multilevel"/>
    <w:tmpl w:val="9B92A790"/>
    <w:lvl w:ilvl="0">
      <w:start w:val="2"/>
      <w:numFmt w:val="decimal"/>
      <w:lvlText w:val="%1."/>
      <w:lvlJc w:val="left"/>
      <w:pPr>
        <w:ind w:left="420" w:hanging="420"/>
      </w:pPr>
      <w:rPr>
        <w:rFonts w:hint="default"/>
        <w:color w:val="000000"/>
      </w:rPr>
    </w:lvl>
    <w:lvl w:ilvl="1">
      <w:start w:val="1"/>
      <w:numFmt w:val="decimal"/>
      <w:lvlText w:val="%1.%2."/>
      <w:lvlJc w:val="left"/>
      <w:pPr>
        <w:ind w:left="4264" w:hanging="720"/>
      </w:pPr>
      <w:rPr>
        <w:rFonts w:hint="default"/>
        <w:color w:val="000000"/>
      </w:rPr>
    </w:lvl>
    <w:lvl w:ilvl="2">
      <w:start w:val="1"/>
      <w:numFmt w:val="decimal"/>
      <w:lvlText w:val="%1.%2.%3."/>
      <w:lvlJc w:val="left"/>
      <w:pPr>
        <w:ind w:left="720" w:hanging="720"/>
      </w:pPr>
      <w:rPr>
        <w:rFonts w:hint="default"/>
        <w:color w:val="000000"/>
      </w:rPr>
    </w:lvl>
    <w:lvl w:ilvl="3">
      <w:start w:val="1"/>
      <w:numFmt w:val="decimal"/>
      <w:lvlText w:val="%1.%2.%3.%4."/>
      <w:lvlJc w:val="left"/>
      <w:pPr>
        <w:ind w:left="1080" w:hanging="108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440" w:hanging="1440"/>
      </w:pPr>
      <w:rPr>
        <w:rFonts w:hint="default"/>
        <w:color w:val="000000"/>
      </w:rPr>
    </w:lvl>
    <w:lvl w:ilvl="6">
      <w:start w:val="1"/>
      <w:numFmt w:val="decimal"/>
      <w:lvlText w:val="%1.%2.%3.%4.%5.%6.%7."/>
      <w:lvlJc w:val="left"/>
      <w:pPr>
        <w:ind w:left="1800" w:hanging="1800"/>
      </w:pPr>
      <w:rPr>
        <w:rFonts w:hint="default"/>
        <w:color w:val="000000"/>
      </w:rPr>
    </w:lvl>
    <w:lvl w:ilvl="7">
      <w:start w:val="1"/>
      <w:numFmt w:val="decimal"/>
      <w:lvlText w:val="%1.%2.%3.%4.%5.%6.%7.%8."/>
      <w:lvlJc w:val="left"/>
      <w:pPr>
        <w:ind w:left="1800" w:hanging="1800"/>
      </w:pPr>
      <w:rPr>
        <w:rFonts w:hint="default"/>
        <w:color w:val="000000"/>
      </w:rPr>
    </w:lvl>
    <w:lvl w:ilvl="8">
      <w:start w:val="1"/>
      <w:numFmt w:val="decimal"/>
      <w:lvlText w:val="%1.%2.%3.%4.%5.%6.%7.%8.%9."/>
      <w:lvlJc w:val="left"/>
      <w:pPr>
        <w:ind w:left="2160" w:hanging="2160"/>
      </w:pPr>
      <w:rPr>
        <w:rFonts w:hint="default"/>
        <w:color w:val="000000"/>
      </w:rPr>
    </w:lvl>
  </w:abstractNum>
  <w:abstractNum w:abstractNumId="3" w15:restartNumberingAfterBreak="0">
    <w:nsid w:val="0CA12C84"/>
    <w:multiLevelType w:val="multilevel"/>
    <w:tmpl w:val="A7BE9358"/>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263C759B"/>
    <w:multiLevelType w:val="multilevel"/>
    <w:tmpl w:val="0D6C42D0"/>
    <w:lvl w:ilvl="0">
      <w:start w:val="1"/>
      <w:numFmt w:val="decimal"/>
      <w:lvlText w:val="%1."/>
      <w:lvlJc w:val="left"/>
      <w:pPr>
        <w:ind w:left="420" w:hanging="420"/>
      </w:pPr>
      <w:rPr>
        <w:rFonts w:hint="default"/>
        <w:color w:val="000000"/>
      </w:rPr>
    </w:lvl>
    <w:lvl w:ilvl="1">
      <w:start w:val="1"/>
      <w:numFmt w:val="decimal"/>
      <w:lvlText w:val="%1.%2."/>
      <w:lvlJc w:val="left"/>
      <w:pPr>
        <w:ind w:left="720" w:hanging="720"/>
      </w:pPr>
      <w:rPr>
        <w:rFonts w:hint="default"/>
        <w:color w:val="000000"/>
      </w:rPr>
    </w:lvl>
    <w:lvl w:ilvl="2">
      <w:start w:val="1"/>
      <w:numFmt w:val="decimal"/>
      <w:lvlText w:val="%1.%2.%3."/>
      <w:lvlJc w:val="left"/>
      <w:pPr>
        <w:ind w:left="720" w:hanging="720"/>
      </w:pPr>
      <w:rPr>
        <w:rFonts w:hint="default"/>
        <w:color w:val="000000"/>
      </w:rPr>
    </w:lvl>
    <w:lvl w:ilvl="3">
      <w:start w:val="1"/>
      <w:numFmt w:val="decimal"/>
      <w:lvlText w:val="%1.%2.%3.%4."/>
      <w:lvlJc w:val="left"/>
      <w:pPr>
        <w:ind w:left="1080" w:hanging="108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440" w:hanging="1440"/>
      </w:pPr>
      <w:rPr>
        <w:rFonts w:hint="default"/>
        <w:color w:val="000000"/>
      </w:rPr>
    </w:lvl>
    <w:lvl w:ilvl="6">
      <w:start w:val="1"/>
      <w:numFmt w:val="decimal"/>
      <w:lvlText w:val="%1.%2.%3.%4.%5.%6.%7."/>
      <w:lvlJc w:val="left"/>
      <w:pPr>
        <w:ind w:left="1800" w:hanging="1800"/>
      </w:pPr>
      <w:rPr>
        <w:rFonts w:hint="default"/>
        <w:color w:val="000000"/>
      </w:rPr>
    </w:lvl>
    <w:lvl w:ilvl="7">
      <w:start w:val="1"/>
      <w:numFmt w:val="decimal"/>
      <w:lvlText w:val="%1.%2.%3.%4.%5.%6.%7.%8."/>
      <w:lvlJc w:val="left"/>
      <w:pPr>
        <w:ind w:left="1800" w:hanging="1800"/>
      </w:pPr>
      <w:rPr>
        <w:rFonts w:hint="default"/>
        <w:color w:val="000000"/>
      </w:rPr>
    </w:lvl>
    <w:lvl w:ilvl="8">
      <w:start w:val="1"/>
      <w:numFmt w:val="decimal"/>
      <w:lvlText w:val="%1.%2.%3.%4.%5.%6.%7.%8.%9."/>
      <w:lvlJc w:val="left"/>
      <w:pPr>
        <w:ind w:left="2160" w:hanging="2160"/>
      </w:pPr>
      <w:rPr>
        <w:rFonts w:hint="default"/>
        <w:color w:val="000000"/>
      </w:rPr>
    </w:lvl>
  </w:abstractNum>
  <w:abstractNum w:abstractNumId="5" w15:restartNumberingAfterBreak="0">
    <w:nsid w:val="289E66F9"/>
    <w:multiLevelType w:val="multilevel"/>
    <w:tmpl w:val="A03C859E"/>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2F616075"/>
    <w:multiLevelType w:val="multilevel"/>
    <w:tmpl w:val="98E05572"/>
    <w:lvl w:ilvl="0">
      <w:start w:val="1"/>
      <w:numFmt w:val="bullet"/>
      <w:lvlText w:val="-"/>
      <w:lvlJc w:val="left"/>
      <w:pPr>
        <w:tabs>
          <w:tab w:val="num" w:pos="284"/>
        </w:tabs>
        <w:ind w:left="284" w:hanging="284"/>
      </w:pPr>
      <w:rPr>
        <w:rFonts w:ascii="Helvetica" w:eastAsia="Helvetica" w:hAnsi="Helvetica" w:cs="Helvetica"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1263BEE"/>
    <w:multiLevelType w:val="multilevel"/>
    <w:tmpl w:val="6372A44C"/>
    <w:lvl w:ilvl="0">
      <w:start w:val="1"/>
      <w:numFmt w:val="bullet"/>
      <w:lvlText w:val="-"/>
      <w:lvlJc w:val="left"/>
      <w:pPr>
        <w:ind w:left="927" w:hanging="360"/>
      </w:pPr>
      <w:rPr>
        <w:rFonts w:ascii="Times New Roman" w:eastAsia="Microsoft YaHei" w:hAnsi="Times New Roman" w:cs="Times New Roman" w:hint="default"/>
      </w:rPr>
    </w:lvl>
    <w:lvl w:ilvl="1">
      <w:start w:val="1"/>
      <w:numFmt w:val="bullet"/>
      <w:lvlText w:val="o"/>
      <w:lvlJc w:val="left"/>
      <w:pPr>
        <w:ind w:left="1647" w:hanging="360"/>
      </w:pPr>
      <w:rPr>
        <w:rFonts w:ascii="Courier New" w:hAnsi="Courier New" w:cs="Courier New" w:hint="default"/>
      </w:rPr>
    </w:lvl>
    <w:lvl w:ilvl="2">
      <w:start w:val="1"/>
      <w:numFmt w:val="bullet"/>
      <w:lvlText w:val=""/>
      <w:lvlJc w:val="left"/>
      <w:pPr>
        <w:ind w:left="2367" w:hanging="360"/>
      </w:pPr>
      <w:rPr>
        <w:rFonts w:ascii="Wingdings" w:hAnsi="Wingdings" w:hint="default"/>
      </w:rPr>
    </w:lvl>
    <w:lvl w:ilvl="3">
      <w:start w:val="1"/>
      <w:numFmt w:val="bullet"/>
      <w:lvlText w:val=""/>
      <w:lvlJc w:val="left"/>
      <w:pPr>
        <w:ind w:left="3087" w:hanging="360"/>
      </w:pPr>
      <w:rPr>
        <w:rFonts w:ascii="Symbol" w:hAnsi="Symbol" w:hint="default"/>
      </w:rPr>
    </w:lvl>
    <w:lvl w:ilvl="4">
      <w:start w:val="1"/>
      <w:numFmt w:val="bullet"/>
      <w:lvlText w:val="o"/>
      <w:lvlJc w:val="left"/>
      <w:pPr>
        <w:ind w:left="3807" w:hanging="360"/>
      </w:pPr>
      <w:rPr>
        <w:rFonts w:ascii="Courier New" w:hAnsi="Courier New" w:cs="Courier New" w:hint="default"/>
      </w:rPr>
    </w:lvl>
    <w:lvl w:ilvl="5">
      <w:start w:val="1"/>
      <w:numFmt w:val="bullet"/>
      <w:lvlText w:val=""/>
      <w:lvlJc w:val="left"/>
      <w:pPr>
        <w:ind w:left="4527" w:hanging="360"/>
      </w:pPr>
      <w:rPr>
        <w:rFonts w:ascii="Wingdings" w:hAnsi="Wingdings" w:hint="default"/>
      </w:rPr>
    </w:lvl>
    <w:lvl w:ilvl="6">
      <w:start w:val="1"/>
      <w:numFmt w:val="bullet"/>
      <w:lvlText w:val=""/>
      <w:lvlJc w:val="left"/>
      <w:pPr>
        <w:ind w:left="5247" w:hanging="360"/>
      </w:pPr>
      <w:rPr>
        <w:rFonts w:ascii="Symbol" w:hAnsi="Symbol" w:hint="default"/>
      </w:rPr>
    </w:lvl>
    <w:lvl w:ilvl="7">
      <w:start w:val="1"/>
      <w:numFmt w:val="bullet"/>
      <w:lvlText w:val="o"/>
      <w:lvlJc w:val="left"/>
      <w:pPr>
        <w:ind w:left="5967" w:hanging="360"/>
      </w:pPr>
      <w:rPr>
        <w:rFonts w:ascii="Courier New" w:hAnsi="Courier New" w:cs="Courier New" w:hint="default"/>
      </w:rPr>
    </w:lvl>
    <w:lvl w:ilvl="8">
      <w:start w:val="1"/>
      <w:numFmt w:val="bullet"/>
      <w:lvlText w:val=""/>
      <w:lvlJc w:val="left"/>
      <w:pPr>
        <w:ind w:left="6687" w:hanging="360"/>
      </w:pPr>
      <w:rPr>
        <w:rFonts w:ascii="Wingdings" w:hAnsi="Wingdings" w:hint="default"/>
      </w:rPr>
    </w:lvl>
  </w:abstractNum>
  <w:abstractNum w:abstractNumId="8" w15:restartNumberingAfterBreak="0">
    <w:nsid w:val="3AD1223A"/>
    <w:multiLevelType w:val="multilevel"/>
    <w:tmpl w:val="929869FA"/>
    <w:lvl w:ilvl="0">
      <w:start w:val="4"/>
      <w:numFmt w:val="decimal"/>
      <w:lvlText w:val="%1."/>
      <w:lvlJc w:val="left"/>
      <w:pPr>
        <w:ind w:left="432" w:hanging="432"/>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9" w15:restartNumberingAfterBreak="0">
    <w:nsid w:val="3C4013EC"/>
    <w:multiLevelType w:val="multilevel"/>
    <w:tmpl w:val="0AC46E2C"/>
    <w:lvl w:ilvl="0">
      <w:start w:val="1"/>
      <w:numFmt w:val="bullet"/>
      <w:lvlText w:val="-"/>
      <w:lvlJc w:val="left"/>
      <w:pPr>
        <w:ind w:left="360" w:hanging="360"/>
      </w:pPr>
      <w:rPr>
        <w:rFonts w:ascii="Helvetica" w:eastAsia="Helvetica" w:hAnsi="Helvetica" w:cs="Helvetica"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10" w15:restartNumberingAfterBreak="0">
    <w:nsid w:val="3D120DAA"/>
    <w:multiLevelType w:val="multilevel"/>
    <w:tmpl w:val="0A06DB00"/>
    <w:lvl w:ilvl="0">
      <w:start w:val="3"/>
      <w:numFmt w:val="decimal"/>
      <w:lvlText w:val="%1."/>
      <w:lvlJc w:val="left"/>
      <w:pPr>
        <w:ind w:left="432" w:hanging="432"/>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1" w15:restartNumberingAfterBreak="0">
    <w:nsid w:val="3FE31DDA"/>
    <w:multiLevelType w:val="multilevel"/>
    <w:tmpl w:val="36C483A2"/>
    <w:lvl w:ilvl="0">
      <w:start w:val="1"/>
      <w:numFmt w:val="decimal"/>
      <w:lvlText w:val="%1."/>
      <w:lvlJc w:val="left"/>
      <w:pPr>
        <w:ind w:left="420" w:hanging="420"/>
      </w:pPr>
      <w:rPr>
        <w:rFonts w:hint="default"/>
        <w:color w:val="000000"/>
      </w:rPr>
    </w:lvl>
    <w:lvl w:ilvl="1">
      <w:start w:val="1"/>
      <w:numFmt w:val="decimal"/>
      <w:lvlText w:val="%1.%2."/>
      <w:lvlJc w:val="left"/>
      <w:pPr>
        <w:ind w:left="720" w:hanging="720"/>
      </w:pPr>
      <w:rPr>
        <w:rFonts w:hint="default"/>
        <w:color w:val="000000"/>
      </w:rPr>
    </w:lvl>
    <w:lvl w:ilvl="2">
      <w:start w:val="1"/>
      <w:numFmt w:val="decimal"/>
      <w:lvlText w:val="%1.%2.%3."/>
      <w:lvlJc w:val="left"/>
      <w:pPr>
        <w:ind w:left="720" w:hanging="720"/>
      </w:pPr>
      <w:rPr>
        <w:rFonts w:hint="default"/>
        <w:color w:val="000000"/>
      </w:rPr>
    </w:lvl>
    <w:lvl w:ilvl="3">
      <w:start w:val="1"/>
      <w:numFmt w:val="decimal"/>
      <w:lvlText w:val="%1.%2.%3.%4."/>
      <w:lvlJc w:val="left"/>
      <w:pPr>
        <w:ind w:left="1080" w:hanging="108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440" w:hanging="1440"/>
      </w:pPr>
      <w:rPr>
        <w:rFonts w:hint="default"/>
        <w:color w:val="000000"/>
      </w:rPr>
    </w:lvl>
    <w:lvl w:ilvl="6">
      <w:start w:val="1"/>
      <w:numFmt w:val="decimal"/>
      <w:lvlText w:val="%1.%2.%3.%4.%5.%6.%7."/>
      <w:lvlJc w:val="left"/>
      <w:pPr>
        <w:ind w:left="1800" w:hanging="1800"/>
      </w:pPr>
      <w:rPr>
        <w:rFonts w:hint="default"/>
        <w:color w:val="000000"/>
      </w:rPr>
    </w:lvl>
    <w:lvl w:ilvl="7">
      <w:start w:val="1"/>
      <w:numFmt w:val="decimal"/>
      <w:lvlText w:val="%1.%2.%3.%4.%5.%6.%7.%8."/>
      <w:lvlJc w:val="left"/>
      <w:pPr>
        <w:ind w:left="1800" w:hanging="1800"/>
      </w:pPr>
      <w:rPr>
        <w:rFonts w:hint="default"/>
        <w:color w:val="000000"/>
      </w:rPr>
    </w:lvl>
    <w:lvl w:ilvl="8">
      <w:start w:val="1"/>
      <w:numFmt w:val="decimal"/>
      <w:lvlText w:val="%1.%2.%3.%4.%5.%6.%7.%8.%9."/>
      <w:lvlJc w:val="left"/>
      <w:pPr>
        <w:ind w:left="2160" w:hanging="2160"/>
      </w:pPr>
      <w:rPr>
        <w:rFonts w:hint="default"/>
        <w:color w:val="000000"/>
      </w:rPr>
    </w:lvl>
  </w:abstractNum>
  <w:abstractNum w:abstractNumId="12" w15:restartNumberingAfterBreak="0">
    <w:nsid w:val="46AD166C"/>
    <w:multiLevelType w:val="multilevel"/>
    <w:tmpl w:val="47BA41AA"/>
    <w:lvl w:ilvl="0">
      <w:start w:val="1"/>
      <w:numFmt w:val="decimal"/>
      <w:lvlText w:val="%1."/>
      <w:lvlJc w:val="left"/>
      <w:pPr>
        <w:ind w:left="420" w:hanging="420"/>
      </w:pPr>
      <w:rPr>
        <w:rFonts w:hint="default"/>
        <w:color w:val="000000"/>
      </w:rPr>
    </w:lvl>
    <w:lvl w:ilvl="1">
      <w:start w:val="1"/>
      <w:numFmt w:val="decimal"/>
      <w:lvlText w:val="%1.%2."/>
      <w:lvlJc w:val="left"/>
      <w:pPr>
        <w:ind w:left="720" w:hanging="720"/>
      </w:pPr>
      <w:rPr>
        <w:rFonts w:hint="default"/>
        <w:color w:val="000000"/>
      </w:rPr>
    </w:lvl>
    <w:lvl w:ilvl="2">
      <w:start w:val="1"/>
      <w:numFmt w:val="decimal"/>
      <w:lvlText w:val="%1.%2.%3."/>
      <w:lvlJc w:val="left"/>
      <w:pPr>
        <w:ind w:left="720" w:hanging="720"/>
      </w:pPr>
      <w:rPr>
        <w:rFonts w:hint="default"/>
        <w:color w:val="000000"/>
      </w:rPr>
    </w:lvl>
    <w:lvl w:ilvl="3">
      <w:start w:val="1"/>
      <w:numFmt w:val="decimal"/>
      <w:lvlText w:val="%1.%2.%3.%4."/>
      <w:lvlJc w:val="left"/>
      <w:pPr>
        <w:ind w:left="1080" w:hanging="108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440" w:hanging="1440"/>
      </w:pPr>
      <w:rPr>
        <w:rFonts w:hint="default"/>
        <w:color w:val="000000"/>
      </w:rPr>
    </w:lvl>
    <w:lvl w:ilvl="6">
      <w:start w:val="1"/>
      <w:numFmt w:val="decimal"/>
      <w:lvlText w:val="%1.%2.%3.%4.%5.%6.%7."/>
      <w:lvlJc w:val="left"/>
      <w:pPr>
        <w:ind w:left="1800" w:hanging="1800"/>
      </w:pPr>
      <w:rPr>
        <w:rFonts w:hint="default"/>
        <w:color w:val="000000"/>
      </w:rPr>
    </w:lvl>
    <w:lvl w:ilvl="7">
      <w:start w:val="1"/>
      <w:numFmt w:val="decimal"/>
      <w:lvlText w:val="%1.%2.%3.%4.%5.%6.%7.%8."/>
      <w:lvlJc w:val="left"/>
      <w:pPr>
        <w:ind w:left="1800" w:hanging="1800"/>
      </w:pPr>
      <w:rPr>
        <w:rFonts w:hint="default"/>
        <w:color w:val="000000"/>
      </w:rPr>
    </w:lvl>
    <w:lvl w:ilvl="8">
      <w:start w:val="1"/>
      <w:numFmt w:val="decimal"/>
      <w:lvlText w:val="%1.%2.%3.%4.%5.%6.%7.%8.%9."/>
      <w:lvlJc w:val="left"/>
      <w:pPr>
        <w:ind w:left="2160" w:hanging="2160"/>
      </w:pPr>
      <w:rPr>
        <w:rFonts w:hint="default"/>
        <w:color w:val="000000"/>
      </w:rPr>
    </w:lvl>
  </w:abstractNum>
  <w:abstractNum w:abstractNumId="13" w15:restartNumberingAfterBreak="0">
    <w:nsid w:val="501329F7"/>
    <w:multiLevelType w:val="multilevel"/>
    <w:tmpl w:val="6A64FE94"/>
    <w:lvl w:ilvl="0">
      <w:start w:val="1"/>
      <w:numFmt w:val="decimal"/>
      <w:lvlText w:val="%1."/>
      <w:lvlJc w:val="left"/>
      <w:pPr>
        <w:ind w:left="720" w:hanging="360"/>
      </w:pPr>
      <w:rPr>
        <w:rFont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4" w15:restartNumberingAfterBreak="0">
    <w:nsid w:val="55155AED"/>
    <w:multiLevelType w:val="multilevel"/>
    <w:tmpl w:val="215AD66A"/>
    <w:lvl w:ilvl="0">
      <w:start w:val="1"/>
      <w:numFmt w:val="decimal"/>
      <w:lvlText w:val="%1."/>
      <w:lvlJc w:val="left"/>
      <w:pPr>
        <w:ind w:left="432" w:hanging="432"/>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5" w15:restartNumberingAfterBreak="0">
    <w:nsid w:val="576A4E3D"/>
    <w:multiLevelType w:val="multilevel"/>
    <w:tmpl w:val="231EA922"/>
    <w:lvl w:ilvl="0">
      <w:start w:val="5"/>
      <w:numFmt w:val="decimal"/>
      <w:lvlText w:val="%1."/>
      <w:lvlJc w:val="left"/>
      <w:pPr>
        <w:ind w:left="432" w:hanging="432"/>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6" w15:restartNumberingAfterBreak="0">
    <w:nsid w:val="5E9C3FF8"/>
    <w:multiLevelType w:val="multilevel"/>
    <w:tmpl w:val="E876A094"/>
    <w:lvl w:ilvl="0">
      <w:start w:val="1"/>
      <w:numFmt w:val="bullet"/>
      <w:lvlText w:val="-"/>
      <w:lvlJc w:val="left"/>
      <w:pPr>
        <w:ind w:left="360" w:hanging="360"/>
      </w:pPr>
      <w:rPr>
        <w:rFonts w:ascii="Helvetica" w:eastAsia="Helvetica" w:hAnsi="Helvetica" w:cs="Helvetica"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17" w15:restartNumberingAfterBreak="0">
    <w:nsid w:val="67741BB3"/>
    <w:multiLevelType w:val="multilevel"/>
    <w:tmpl w:val="BE16C386"/>
    <w:lvl w:ilvl="0">
      <w:start w:val="2"/>
      <w:numFmt w:val="decimal"/>
      <w:lvlText w:val="%1."/>
      <w:lvlJc w:val="left"/>
      <w:pPr>
        <w:ind w:left="432" w:hanging="432"/>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8" w15:restartNumberingAfterBreak="0">
    <w:nsid w:val="6798064F"/>
    <w:multiLevelType w:val="multilevel"/>
    <w:tmpl w:val="8DDA867C"/>
    <w:lvl w:ilvl="0">
      <w:start w:val="1"/>
      <w:numFmt w:val="decimal"/>
      <w:lvlText w:val="%1."/>
      <w:lvlJc w:val="left"/>
      <w:pPr>
        <w:ind w:left="1069" w:hanging="360"/>
      </w:pPr>
      <w:rPr>
        <w:rFonts w:hint="default"/>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9" w15:restartNumberingAfterBreak="0">
    <w:nsid w:val="6B270C58"/>
    <w:multiLevelType w:val="multilevel"/>
    <w:tmpl w:val="EB22011E"/>
    <w:lvl w:ilvl="0">
      <w:start w:val="2"/>
      <w:numFmt w:val="bullet"/>
      <w:lvlText w:val="-"/>
      <w:lvlJc w:val="left"/>
      <w:pPr>
        <w:ind w:left="1069" w:hanging="360"/>
      </w:pPr>
      <w:rPr>
        <w:rFonts w:ascii="Times New Roman" w:eastAsia="Microsoft YaHei" w:hAnsi="Times New Roman" w:cs="Times New Roman" w:hint="default"/>
      </w:rPr>
    </w:lvl>
    <w:lvl w:ilvl="1">
      <w:start w:val="1"/>
      <w:numFmt w:val="bullet"/>
      <w:lvlText w:val="o"/>
      <w:lvlJc w:val="left"/>
      <w:pPr>
        <w:ind w:left="1789" w:hanging="360"/>
      </w:pPr>
      <w:rPr>
        <w:rFonts w:ascii="Courier New" w:hAnsi="Courier New" w:cs="Courier New" w:hint="default"/>
      </w:rPr>
    </w:lvl>
    <w:lvl w:ilvl="2">
      <w:start w:val="1"/>
      <w:numFmt w:val="bullet"/>
      <w:lvlText w:val=""/>
      <w:lvlJc w:val="left"/>
      <w:pPr>
        <w:ind w:left="2509" w:hanging="360"/>
      </w:pPr>
      <w:rPr>
        <w:rFonts w:ascii="Wingdings" w:hAnsi="Wingdings" w:hint="default"/>
      </w:rPr>
    </w:lvl>
    <w:lvl w:ilvl="3">
      <w:start w:val="1"/>
      <w:numFmt w:val="bullet"/>
      <w:lvlText w:val=""/>
      <w:lvlJc w:val="left"/>
      <w:pPr>
        <w:ind w:left="3229" w:hanging="360"/>
      </w:pPr>
      <w:rPr>
        <w:rFonts w:ascii="Symbol" w:hAnsi="Symbol" w:hint="default"/>
      </w:rPr>
    </w:lvl>
    <w:lvl w:ilvl="4">
      <w:start w:val="1"/>
      <w:numFmt w:val="bullet"/>
      <w:lvlText w:val="o"/>
      <w:lvlJc w:val="left"/>
      <w:pPr>
        <w:ind w:left="3949" w:hanging="360"/>
      </w:pPr>
      <w:rPr>
        <w:rFonts w:ascii="Courier New" w:hAnsi="Courier New" w:cs="Courier New" w:hint="default"/>
      </w:rPr>
    </w:lvl>
    <w:lvl w:ilvl="5">
      <w:start w:val="1"/>
      <w:numFmt w:val="bullet"/>
      <w:lvlText w:val=""/>
      <w:lvlJc w:val="left"/>
      <w:pPr>
        <w:ind w:left="4669" w:hanging="360"/>
      </w:pPr>
      <w:rPr>
        <w:rFonts w:ascii="Wingdings" w:hAnsi="Wingdings" w:hint="default"/>
      </w:rPr>
    </w:lvl>
    <w:lvl w:ilvl="6">
      <w:start w:val="1"/>
      <w:numFmt w:val="bullet"/>
      <w:lvlText w:val=""/>
      <w:lvlJc w:val="left"/>
      <w:pPr>
        <w:ind w:left="5389" w:hanging="360"/>
      </w:pPr>
      <w:rPr>
        <w:rFonts w:ascii="Symbol" w:hAnsi="Symbol" w:hint="default"/>
      </w:rPr>
    </w:lvl>
    <w:lvl w:ilvl="7">
      <w:start w:val="1"/>
      <w:numFmt w:val="bullet"/>
      <w:lvlText w:val="o"/>
      <w:lvlJc w:val="left"/>
      <w:pPr>
        <w:ind w:left="6109" w:hanging="360"/>
      </w:pPr>
      <w:rPr>
        <w:rFonts w:ascii="Courier New" w:hAnsi="Courier New" w:cs="Courier New" w:hint="default"/>
      </w:rPr>
    </w:lvl>
    <w:lvl w:ilvl="8">
      <w:start w:val="1"/>
      <w:numFmt w:val="bullet"/>
      <w:lvlText w:val=""/>
      <w:lvlJc w:val="left"/>
      <w:pPr>
        <w:ind w:left="6829" w:hanging="360"/>
      </w:pPr>
      <w:rPr>
        <w:rFonts w:ascii="Wingdings" w:hAnsi="Wingdings" w:hint="default"/>
      </w:rPr>
    </w:lvl>
  </w:abstractNum>
  <w:num w:numId="1">
    <w:abstractNumId w:val="5"/>
  </w:num>
  <w:num w:numId="2">
    <w:abstractNumId w:val="13"/>
  </w:num>
  <w:num w:numId="3">
    <w:abstractNumId w:val="0"/>
  </w:num>
  <w:num w:numId="4">
    <w:abstractNumId w:val="11"/>
  </w:num>
  <w:num w:numId="5">
    <w:abstractNumId w:val="4"/>
  </w:num>
  <w:num w:numId="6">
    <w:abstractNumId w:val="2"/>
  </w:num>
  <w:num w:numId="7">
    <w:abstractNumId w:val="12"/>
  </w:num>
  <w:num w:numId="8">
    <w:abstractNumId w:val="3"/>
  </w:num>
  <w:num w:numId="9">
    <w:abstractNumId w:val="6"/>
  </w:num>
  <w:num w:numId="10">
    <w:abstractNumId w:val="9"/>
  </w:num>
  <w:num w:numId="11">
    <w:abstractNumId w:val="16"/>
  </w:num>
  <w:num w:numId="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num>
  <w:num w:numId="16">
    <w:abstractNumId w:val="19"/>
  </w:num>
  <w:num w:numId="17">
    <w:abstractNumId w:val="1"/>
  </w:num>
  <w:num w:numId="18">
    <w:abstractNumId w:val="14"/>
  </w:num>
  <w:num w:numId="19">
    <w:abstractNumId w:val="17"/>
  </w:num>
  <w:num w:numId="20">
    <w:abstractNumId w:val="10"/>
  </w:num>
  <w:num w:numId="21">
    <w:abstractNumId w:val="8"/>
  </w:num>
  <w:num w:numId="22">
    <w:abstractNumId w:val="15"/>
  </w:num>
  <w:num w:numId="23">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6"/>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2C0B"/>
    <w:rsid w:val="00052C0B"/>
    <w:rsid w:val="002274E9"/>
    <w:rsid w:val="0051197C"/>
    <w:rsid w:val="00521E19"/>
    <w:rsid w:val="006E6CE8"/>
    <w:rsid w:val="0082670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E084BE"/>
  <w15:docId w15:val="{A2279927-5B1B-459B-80F9-6868469300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pPr>
      <w:widowControl w:val="0"/>
      <w:spacing w:after="0" w:line="240" w:lineRule="auto"/>
    </w:pPr>
    <w:rPr>
      <w:rFonts w:ascii="Arial Unicode MS" w:eastAsia="Arial Unicode MS" w:hAnsi="Arial Unicode MS" w:cs="Arial Unicode MS"/>
      <w:color w:val="000000"/>
      <w:sz w:val="24"/>
      <w:szCs w:val="24"/>
      <w:lang w:val="uk-UA" w:eastAsia="uk-UA" w:bidi="uk-UA"/>
    </w:rPr>
  </w:style>
  <w:style w:type="paragraph" w:styleId="1">
    <w:name w:val="heading 1"/>
    <w:basedOn w:val="a"/>
    <w:next w:val="a"/>
    <w:link w:val="10"/>
    <w:uiPriority w:val="9"/>
    <w:qFormat/>
    <w:pPr>
      <w:keepNext/>
      <w:keepLines/>
      <w:spacing w:before="360" w:after="80"/>
      <w:outlineLvl w:val="0"/>
    </w:pPr>
    <w:rPr>
      <w:rFonts w:ascii="Arial" w:eastAsia="Arial" w:hAnsi="Arial" w:cs="Arial"/>
      <w:color w:val="365F91" w:themeColor="accent1" w:themeShade="BF"/>
      <w:sz w:val="40"/>
      <w:szCs w:val="40"/>
    </w:rPr>
  </w:style>
  <w:style w:type="paragraph" w:styleId="2">
    <w:name w:val="heading 2"/>
    <w:basedOn w:val="a"/>
    <w:next w:val="a"/>
    <w:link w:val="20"/>
    <w:uiPriority w:val="9"/>
    <w:unhideWhenUsed/>
    <w:qFormat/>
    <w:pPr>
      <w:keepNext/>
      <w:keepLines/>
      <w:spacing w:before="160" w:after="80"/>
      <w:outlineLvl w:val="1"/>
    </w:pPr>
    <w:rPr>
      <w:rFonts w:ascii="Arial" w:eastAsia="Arial" w:hAnsi="Arial" w:cs="Arial"/>
      <w:color w:val="365F91" w:themeColor="accent1" w:themeShade="BF"/>
      <w:sz w:val="32"/>
      <w:szCs w:val="32"/>
    </w:rPr>
  </w:style>
  <w:style w:type="paragraph" w:styleId="3">
    <w:name w:val="heading 3"/>
    <w:basedOn w:val="a"/>
    <w:next w:val="a"/>
    <w:link w:val="30"/>
    <w:uiPriority w:val="9"/>
    <w:unhideWhenUsed/>
    <w:qFormat/>
    <w:pPr>
      <w:keepNext/>
      <w:keepLines/>
      <w:spacing w:before="160" w:after="80"/>
      <w:outlineLvl w:val="2"/>
    </w:pPr>
    <w:rPr>
      <w:rFonts w:ascii="Arial" w:eastAsia="Arial" w:hAnsi="Arial" w:cs="Arial"/>
      <w:color w:val="365F91" w:themeColor="accent1" w:themeShade="BF"/>
      <w:sz w:val="28"/>
      <w:szCs w:val="28"/>
    </w:rPr>
  </w:style>
  <w:style w:type="paragraph" w:styleId="4">
    <w:name w:val="heading 4"/>
    <w:basedOn w:val="a"/>
    <w:next w:val="a"/>
    <w:link w:val="40"/>
    <w:uiPriority w:val="9"/>
    <w:unhideWhenUsed/>
    <w:qFormat/>
    <w:pPr>
      <w:keepNext/>
      <w:keepLines/>
      <w:spacing w:before="80" w:after="40"/>
      <w:outlineLvl w:val="3"/>
    </w:pPr>
    <w:rPr>
      <w:rFonts w:ascii="Arial" w:eastAsia="Arial" w:hAnsi="Arial" w:cs="Arial"/>
      <w:i/>
      <w:iCs/>
      <w:color w:val="365F91" w:themeColor="accent1" w:themeShade="BF"/>
    </w:rPr>
  </w:style>
  <w:style w:type="paragraph" w:styleId="5">
    <w:name w:val="heading 5"/>
    <w:basedOn w:val="a"/>
    <w:next w:val="a"/>
    <w:link w:val="50"/>
    <w:uiPriority w:val="9"/>
    <w:unhideWhenUsed/>
    <w:qFormat/>
    <w:pPr>
      <w:keepNext/>
      <w:keepLines/>
      <w:spacing w:before="80" w:after="40"/>
      <w:outlineLvl w:val="4"/>
    </w:pPr>
    <w:rPr>
      <w:rFonts w:ascii="Arial" w:eastAsia="Arial" w:hAnsi="Arial" w:cs="Arial"/>
      <w:color w:val="365F91" w:themeColor="accent1" w:themeShade="BF"/>
    </w:rPr>
  </w:style>
  <w:style w:type="paragraph" w:styleId="6">
    <w:name w:val="heading 6"/>
    <w:basedOn w:val="a"/>
    <w:next w:val="a"/>
    <w:link w:val="60"/>
    <w:uiPriority w:val="9"/>
    <w:unhideWhenUsed/>
    <w:qFormat/>
    <w:pPr>
      <w:keepNext/>
      <w:keepLines/>
      <w:spacing w:before="40"/>
      <w:outlineLvl w:val="5"/>
    </w:pPr>
    <w:rPr>
      <w:rFonts w:ascii="Arial" w:eastAsia="Arial" w:hAnsi="Arial" w:cs="Arial"/>
      <w:i/>
      <w:iCs/>
      <w:color w:val="595959" w:themeColor="text1" w:themeTint="A6"/>
    </w:rPr>
  </w:style>
  <w:style w:type="paragraph" w:styleId="7">
    <w:name w:val="heading 7"/>
    <w:basedOn w:val="a"/>
    <w:next w:val="a"/>
    <w:link w:val="70"/>
    <w:uiPriority w:val="9"/>
    <w:unhideWhenUsed/>
    <w:qFormat/>
    <w:pPr>
      <w:keepNext/>
      <w:keepLines/>
      <w:spacing w:before="40"/>
      <w:outlineLvl w:val="6"/>
    </w:pPr>
    <w:rPr>
      <w:rFonts w:ascii="Arial" w:eastAsia="Arial" w:hAnsi="Arial" w:cs="Arial"/>
      <w:color w:val="595959" w:themeColor="text1" w:themeTint="A6"/>
    </w:rPr>
  </w:style>
  <w:style w:type="paragraph" w:styleId="8">
    <w:name w:val="heading 8"/>
    <w:basedOn w:val="a"/>
    <w:next w:val="a"/>
    <w:link w:val="80"/>
    <w:uiPriority w:val="9"/>
    <w:unhideWhenUsed/>
    <w:qFormat/>
    <w:pPr>
      <w:keepNext/>
      <w:keepLines/>
      <w:outlineLvl w:val="7"/>
    </w:pPr>
    <w:rPr>
      <w:rFonts w:ascii="Arial" w:eastAsia="Arial" w:hAnsi="Arial" w:cs="Arial"/>
      <w:i/>
      <w:iCs/>
      <w:color w:val="272727" w:themeColor="text1" w:themeTint="D8"/>
    </w:rPr>
  </w:style>
  <w:style w:type="paragraph" w:styleId="9">
    <w:name w:val="heading 9"/>
    <w:basedOn w:val="a"/>
    <w:next w:val="a"/>
    <w:link w:val="90"/>
    <w:uiPriority w:val="9"/>
    <w:unhideWhenUsed/>
    <w:qFormat/>
    <w:pPr>
      <w:keepNext/>
      <w:keepLines/>
      <w:outlineLvl w:val="8"/>
    </w:pPr>
    <w:rPr>
      <w:rFonts w:ascii="Arial" w:eastAsia="Arial" w:hAnsi="Arial" w:cs="Arial"/>
      <w:i/>
      <w:iCs/>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GridLight">
    <w:name w:val="Table Grid Light"/>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11">
    <w:name w:val="Plain Table 1"/>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21">
    <w:name w:val="Plain Table 2"/>
    <w:basedOn w:val="a1"/>
    <w:uiPriority w:val="59"/>
    <w:pPr>
      <w:spacing w:after="0" w:line="240" w:lineRule="auto"/>
    </w:pPr>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31">
    <w:name w:val="Plain Table 3"/>
    <w:basedOn w:val="a1"/>
    <w:uiPriority w:val="99"/>
    <w:pPr>
      <w:spacing w:after="0" w:line="240" w:lineRule="auto"/>
    </w:pPr>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41">
    <w:name w:val="Plain Table 4"/>
    <w:basedOn w:val="a1"/>
    <w:uiPriority w:val="99"/>
    <w:pPr>
      <w:spacing w:after="0" w:line="240" w:lineRule="auto"/>
    </w:pPr>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51">
    <w:name w:val="Plain Table 5"/>
    <w:basedOn w:val="a1"/>
    <w:uiPriority w:val="99"/>
    <w:pPr>
      <w:spacing w:after="0" w:line="240" w:lineRule="auto"/>
    </w:pPr>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12">
    <w:name w:val="Grid Table 1 Light"/>
    <w:basedOn w:val="a1"/>
    <w:uiPriority w:val="99"/>
    <w:pPr>
      <w:spacing w:after="0" w:line="240" w:lineRule="auto"/>
    </w:pPr>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a1"/>
    <w:uiPriority w:val="99"/>
    <w:pPr>
      <w:spacing w:after="0" w:line="240" w:lineRule="auto"/>
    </w:pPr>
    <w:tblPr>
      <w:tblStyleRowBandSize w:val="1"/>
      <w:tblStyleColBandSize w:val="1"/>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Pr>
    <w:tblStylePr w:type="firstRow">
      <w:rPr>
        <w:b/>
        <w:color w:val="404040"/>
      </w:rPr>
      <w:tblPr/>
      <w:tcPr>
        <w:tcBorders>
          <w:bottom w:val="single" w:sz="12" w:space="0" w:color="97B4D8"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GridTable1Light-Accent2">
    <w:name w:val="Grid Table 1 Light - Accent 2"/>
    <w:basedOn w:val="a1"/>
    <w:uiPriority w:val="99"/>
    <w:pPr>
      <w:spacing w:after="0" w:line="240" w:lineRule="auto"/>
    </w:pPr>
    <w:tblPr>
      <w:tblStyleRowBandSize w:val="1"/>
      <w:tblStyleColBandSize w:val="1"/>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Pr>
    <w:tblStylePr w:type="firstRow">
      <w:rPr>
        <w:b/>
        <w:color w:val="404040"/>
      </w:rPr>
      <w:tblPr/>
      <w:tcPr>
        <w:tcBorders>
          <w:bottom w:val="single" w:sz="12" w:space="0" w:color="DA989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GridTable1Light-Accent3">
    <w:name w:val="Grid Table 1 Light - Accent 3"/>
    <w:basedOn w:val="a1"/>
    <w:uiPriority w:val="99"/>
    <w:pPr>
      <w:spacing w:after="0" w:line="240" w:lineRule="auto"/>
    </w:pPr>
    <w:tblPr>
      <w:tblStyleRowBandSize w:val="1"/>
      <w:tblStyleColBandSize w:val="1"/>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Pr>
    <w:tblStylePr w:type="firstRow">
      <w:rPr>
        <w:b/>
        <w:color w:val="404040"/>
      </w:rPr>
      <w:tblPr/>
      <w:tcPr>
        <w:tcBorders>
          <w:bottom w:val="single" w:sz="12" w:space="0" w:color="C4D79D"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GridTable1Light-Accent4">
    <w:name w:val="Grid Table 1 Light - Accent 4"/>
    <w:basedOn w:val="a1"/>
    <w:uiPriority w:val="99"/>
    <w:pPr>
      <w:spacing w:after="0" w:line="240" w:lineRule="auto"/>
    </w:pPr>
    <w:tblPr>
      <w:tblStyleRowBandSize w:val="1"/>
      <w:tblStyleColBandSize w:val="1"/>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Pr>
    <w:tblStylePr w:type="firstRow">
      <w:rPr>
        <w:b/>
        <w:color w:val="404040"/>
      </w:rPr>
      <w:tblPr/>
      <w:tcPr>
        <w:tcBorders>
          <w:bottom w:val="single" w:sz="12" w:space="0" w:color="B4A4C8"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GridTable1Light-Accent5">
    <w:name w:val="Grid Table 1 Light - Accent 5"/>
    <w:basedOn w:val="a1"/>
    <w:uiPriority w:val="99"/>
    <w:pPr>
      <w:spacing w:after="0" w:line="240" w:lineRule="auto"/>
    </w:pPr>
    <w:tblPr>
      <w:tblStyleRowBandSize w:val="1"/>
      <w:tblStyleColBandSize w:val="1"/>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Pr>
    <w:tblStylePr w:type="firstRow">
      <w:rPr>
        <w:b/>
        <w:color w:val="404040"/>
      </w:rPr>
      <w:tblPr/>
      <w:tcPr>
        <w:tcBorders>
          <w:bottom w:val="single" w:sz="12" w:space="0" w:color="95CEDD"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GridTable1Light-Accent6">
    <w:name w:val="Grid Table 1 Light - Accent 6"/>
    <w:basedOn w:val="a1"/>
    <w:uiPriority w:val="99"/>
    <w:pPr>
      <w:spacing w:after="0" w:line="240" w:lineRule="auto"/>
    </w:pPr>
    <w:tblPr>
      <w:tblStyleRowBandSize w:val="1"/>
      <w:tblStyleColBandSize w:val="1"/>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Pr>
    <w:tblStylePr w:type="firstRow">
      <w:rPr>
        <w:b/>
        <w:color w:val="404040"/>
      </w:rPr>
      <w:tblPr/>
      <w:tcPr>
        <w:tcBorders>
          <w:bottom w:val="single" w:sz="12" w:space="0" w:color="FAC192"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table" w:styleId="-2">
    <w:name w:val="Grid Table 2"/>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a1"/>
    <w:uiPriority w:val="99"/>
    <w:pPr>
      <w:spacing w:after="0" w:line="240" w:lineRule="auto"/>
    </w:pPr>
    <w:tblPr>
      <w:tblStyleRowBandSize w:val="1"/>
      <w:tblStyleColBandSize w:val="1"/>
      <w:tblBorders>
        <w:bottom w:val="single" w:sz="4" w:space="0" w:color="5D8AC2" w:themeColor="accent1" w:themeTint="EA"/>
        <w:insideH w:val="single" w:sz="4" w:space="0" w:color="5D8AC2" w:themeColor="accent1" w:themeTint="EA"/>
        <w:insideV w:val="single" w:sz="4" w:space="0" w:color="5D8AC2" w:themeColor="accent1" w:themeTint="EA"/>
      </w:tblBorders>
    </w:tblPr>
    <w:tblStylePr w:type="firstRow">
      <w:rPr>
        <w:b/>
        <w:color w:val="404040"/>
      </w:rPr>
      <w:tblPr/>
      <w:tcPr>
        <w:tcBorders>
          <w:top w:val="none" w:sz="4" w:space="0" w:color="000000"/>
          <w:left w:val="none" w:sz="4" w:space="0" w:color="000000"/>
          <w:bottom w:val="single" w:sz="12" w:space="0" w:color="5D8AC2" w:themeColor="accent1" w:themeTint="EA"/>
          <w:right w:val="none" w:sz="4" w:space="0" w:color="000000"/>
        </w:tcBorders>
        <w:shd w:val="clear" w:color="FFFFFF" w:fill="auto"/>
      </w:tcPr>
    </w:tblStylePr>
    <w:tblStylePr w:type="lastRow">
      <w:rPr>
        <w:b/>
        <w:color w:val="404040"/>
      </w:rPr>
      <w:tblPr/>
      <w:tcPr>
        <w:tcBorders>
          <w:top w:val="single" w:sz="4" w:space="0" w:color="5D8AC2"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customStyle="1" w:styleId="GridTable2-Accent2">
    <w:name w:val="Grid Table 2 - Accent 2"/>
    <w:basedOn w:val="a1"/>
    <w:uiPriority w:val="99"/>
    <w:pPr>
      <w:spacing w:after="0" w:line="240" w:lineRule="auto"/>
    </w:pPr>
    <w:tblPr>
      <w:tblStyleRowBandSize w:val="1"/>
      <w:tblStyleColBandSize w:val="1"/>
      <w:tblBorders>
        <w:bottom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404040"/>
      </w:rPr>
      <w:tblPr/>
      <w:tcPr>
        <w:tcBorders>
          <w:top w:val="none" w:sz="4" w:space="0" w:color="000000"/>
          <w:left w:val="none" w:sz="4" w:space="0" w:color="000000"/>
          <w:bottom w:val="single" w:sz="12" w:space="0" w:color="D99695" w:themeColor="accent2" w:themeTint="97"/>
          <w:right w:val="none" w:sz="4" w:space="0" w:color="000000"/>
        </w:tcBorders>
        <w:shd w:val="clear" w:color="FFFFFF" w:fill="auto"/>
      </w:tcPr>
    </w:tblStylePr>
    <w:tblStylePr w:type="lastRow">
      <w:rPr>
        <w:b/>
        <w:color w:val="404040"/>
      </w:rPr>
      <w:tblPr/>
      <w:tcPr>
        <w:tcBorders>
          <w:top w:val="single" w:sz="4" w:space="0" w:color="D99695"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2-Accent3">
    <w:name w:val="Grid Table 2 - Accent 3"/>
    <w:basedOn w:val="a1"/>
    <w:uiPriority w:val="99"/>
    <w:pPr>
      <w:spacing w:after="0" w:line="240" w:lineRule="auto"/>
    </w:pPr>
    <w:tblPr>
      <w:tblStyleRowBandSize w:val="1"/>
      <w:tblStyleColBandSize w:val="1"/>
      <w:tblBorders>
        <w:bottom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404040"/>
      </w:rPr>
      <w:tblPr/>
      <w:tcPr>
        <w:tcBorders>
          <w:top w:val="none" w:sz="4" w:space="0" w:color="000000"/>
          <w:left w:val="none" w:sz="4" w:space="0" w:color="000000"/>
          <w:bottom w:val="single" w:sz="12" w:space="0" w:color="9ABB59" w:themeColor="accent3" w:themeTint="FE"/>
          <w:right w:val="none" w:sz="4" w:space="0" w:color="000000"/>
        </w:tcBorders>
        <w:shd w:val="clear" w:color="FFFFFF" w:fill="auto"/>
      </w:tcPr>
    </w:tblStylePr>
    <w:tblStylePr w:type="lastRow">
      <w:rPr>
        <w:b/>
        <w:color w:val="404040"/>
      </w:rPr>
      <w:tblPr/>
      <w:tcPr>
        <w:tcBorders>
          <w:top w:val="single" w:sz="4" w:space="0" w:color="9ABB59"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2-Accent4">
    <w:name w:val="Grid Table 2 - Accent 4"/>
    <w:basedOn w:val="a1"/>
    <w:uiPriority w:val="99"/>
    <w:pPr>
      <w:spacing w:after="0" w:line="240" w:lineRule="auto"/>
    </w:pPr>
    <w:tblPr>
      <w:tblStyleRowBandSize w:val="1"/>
      <w:tblStyleColBandSize w:val="1"/>
      <w:tblBorders>
        <w:bottom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404040"/>
      </w:rPr>
      <w:tblPr/>
      <w:tcPr>
        <w:tcBorders>
          <w:top w:val="none" w:sz="4" w:space="0" w:color="000000"/>
          <w:left w:val="none" w:sz="4" w:space="0" w:color="000000"/>
          <w:bottom w:val="single" w:sz="12" w:space="0" w:color="B2A1C6" w:themeColor="accent4" w:themeTint="9A"/>
          <w:right w:val="none" w:sz="4" w:space="0" w:color="000000"/>
        </w:tcBorders>
        <w:shd w:val="clear" w:color="FFFFFF" w:fill="auto"/>
      </w:tcPr>
    </w:tblStylePr>
    <w:tblStylePr w:type="lastRow">
      <w:rPr>
        <w:b/>
        <w:color w:val="404040"/>
      </w:rPr>
      <w:tblPr/>
      <w:tcPr>
        <w:tcBorders>
          <w:top w:val="single" w:sz="4" w:space="0" w:color="B2A1C6"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2-Accent5">
    <w:name w:val="Grid Table 2 - Accent 5"/>
    <w:basedOn w:val="a1"/>
    <w:uiPriority w:val="99"/>
    <w:pPr>
      <w:spacing w:after="0" w:line="240" w:lineRule="auto"/>
    </w:pPr>
    <w:tblPr>
      <w:tblStyleRowBandSize w:val="1"/>
      <w:tblStyleColBandSize w:val="1"/>
      <w:tblBorders>
        <w:bottom w:val="single" w:sz="4" w:space="0" w:color="4BACC6" w:themeColor="accent5"/>
        <w:insideH w:val="single" w:sz="4" w:space="0" w:color="4BACC6" w:themeColor="accent5"/>
        <w:insideV w:val="single" w:sz="4" w:space="0" w:color="4BACC6" w:themeColor="accent5"/>
      </w:tblBorders>
    </w:tblPr>
    <w:tblStylePr w:type="firstRow">
      <w:rPr>
        <w:b/>
        <w:color w:val="404040"/>
      </w:rPr>
      <w:tblPr/>
      <w:tcPr>
        <w:tcBorders>
          <w:top w:val="none" w:sz="4" w:space="0" w:color="000000"/>
          <w:left w:val="none" w:sz="4" w:space="0" w:color="000000"/>
          <w:bottom w:val="single" w:sz="12" w:space="0" w:color="4BACC6" w:themeColor="accent5"/>
          <w:right w:val="none" w:sz="4" w:space="0" w:color="000000"/>
        </w:tcBorders>
        <w:shd w:val="clear" w:color="FFFFFF" w:fill="auto"/>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2-Accent6">
    <w:name w:val="Grid Table 2 - Accent 6"/>
    <w:basedOn w:val="a1"/>
    <w:uiPriority w:val="99"/>
    <w:pPr>
      <w:spacing w:after="0" w:line="240" w:lineRule="auto"/>
    </w:pPr>
    <w:tblPr>
      <w:tblStyleRowBandSize w:val="1"/>
      <w:tblStyleColBandSize w:val="1"/>
      <w:tblBorders>
        <w:bottom w:val="single" w:sz="4" w:space="0" w:color="F79646" w:themeColor="accent6"/>
        <w:insideH w:val="single" w:sz="4" w:space="0" w:color="F79646" w:themeColor="accent6"/>
        <w:insideV w:val="single" w:sz="4" w:space="0" w:color="F79646" w:themeColor="accent6"/>
      </w:tblBorders>
    </w:tblPr>
    <w:tblStylePr w:type="firstRow">
      <w:rPr>
        <w:b/>
        <w:color w:val="404040"/>
      </w:rPr>
      <w:tblPr/>
      <w:tcPr>
        <w:tcBorders>
          <w:top w:val="none" w:sz="4" w:space="0" w:color="000000"/>
          <w:left w:val="none" w:sz="4" w:space="0" w:color="000000"/>
          <w:bottom w:val="single" w:sz="12" w:space="0" w:color="F79646" w:themeColor="accent6"/>
          <w:right w:val="none" w:sz="4" w:space="0" w:color="000000"/>
        </w:tcBorders>
        <w:shd w:val="clear" w:color="FFFFFF" w:fill="auto"/>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3">
    <w:name w:val="Grid Table 3"/>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a1"/>
    <w:uiPriority w:val="99"/>
    <w:pPr>
      <w:spacing w:after="0" w:line="240" w:lineRule="auto"/>
    </w:pPr>
    <w:tblPr>
      <w:tblStyleRowBandSize w:val="1"/>
      <w:tblStyleColBandSize w:val="1"/>
      <w:tblBorders>
        <w:bottom w:val="single" w:sz="4" w:space="0" w:color="5D8AC2" w:themeColor="accent1" w:themeTint="EA"/>
        <w:insideH w:val="single" w:sz="4" w:space="0" w:color="5D8AC2" w:themeColor="accent1" w:themeTint="EA"/>
        <w:insideV w:val="single" w:sz="4" w:space="0" w:color="5D8AC2"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customStyle="1" w:styleId="GridTable3-Accent2">
    <w:name w:val="Grid Table 3 - Accent 2"/>
    <w:basedOn w:val="a1"/>
    <w:uiPriority w:val="99"/>
    <w:pPr>
      <w:spacing w:after="0" w:line="240" w:lineRule="auto"/>
    </w:pPr>
    <w:tblPr>
      <w:tblStyleRowBandSize w:val="1"/>
      <w:tblStyleColBandSize w:val="1"/>
      <w:tblBorders>
        <w:bottom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3-Accent3">
    <w:name w:val="Grid Table 3 - Accent 3"/>
    <w:basedOn w:val="a1"/>
    <w:uiPriority w:val="99"/>
    <w:pPr>
      <w:spacing w:after="0" w:line="240" w:lineRule="auto"/>
    </w:pPr>
    <w:tblPr>
      <w:tblStyleRowBandSize w:val="1"/>
      <w:tblStyleColBandSize w:val="1"/>
      <w:tblBorders>
        <w:bottom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3-Accent4">
    <w:name w:val="Grid Table 3 - Accent 4"/>
    <w:basedOn w:val="a1"/>
    <w:uiPriority w:val="99"/>
    <w:pPr>
      <w:spacing w:after="0" w:line="240" w:lineRule="auto"/>
    </w:pPr>
    <w:tblPr>
      <w:tblStyleRowBandSize w:val="1"/>
      <w:tblStyleColBandSize w:val="1"/>
      <w:tblBorders>
        <w:bottom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3-Accent5">
    <w:name w:val="Grid Table 3 - Accent 5"/>
    <w:basedOn w:val="a1"/>
    <w:uiPriority w:val="99"/>
    <w:pPr>
      <w:spacing w:after="0" w:line="240" w:lineRule="auto"/>
    </w:pPr>
    <w:tblPr>
      <w:tblStyleRowBandSize w:val="1"/>
      <w:tblStyleColBandSize w:val="1"/>
      <w:tblBorders>
        <w:bottom w:val="single" w:sz="4" w:space="0" w:color="4BACC6" w:themeColor="accent5"/>
        <w:insideH w:val="single" w:sz="4" w:space="0" w:color="4BACC6" w:themeColor="accent5"/>
        <w:insideV w:val="single" w:sz="4" w:space="0" w:color="4BACC6"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3-Accent6">
    <w:name w:val="Grid Table 3 - Accent 6"/>
    <w:basedOn w:val="a1"/>
    <w:uiPriority w:val="99"/>
    <w:pPr>
      <w:spacing w:after="0" w:line="240" w:lineRule="auto"/>
    </w:pPr>
    <w:tblPr>
      <w:tblStyleRowBandSize w:val="1"/>
      <w:tblStyleColBandSize w:val="1"/>
      <w:tblBorders>
        <w:bottom w:val="single" w:sz="4" w:space="0" w:color="F79646" w:themeColor="accent6"/>
        <w:insideH w:val="single" w:sz="4" w:space="0" w:color="F79646" w:themeColor="accent6"/>
        <w:insideV w:val="single" w:sz="4" w:space="0" w:color="F79646"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4">
    <w:name w:val="Grid Table 4"/>
    <w:basedOn w:val="a1"/>
    <w:uiPriority w:val="59"/>
    <w:pPr>
      <w:spacing w:after="0" w:line="240" w:lineRule="auto"/>
    </w:pPr>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a1"/>
    <w:uiPriority w:val="59"/>
    <w:pPr>
      <w:spacing w:after="0" w:line="240" w:lineRule="auto"/>
    </w:pPr>
    <w:tblPr>
      <w:tblStyleRowBandSize w:val="1"/>
      <w:tblStyleColBandSize w:val="1"/>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insideV w:val="single" w:sz="4" w:space="0" w:color="9BB7D9" w:themeColor="accent1" w:themeTint="90"/>
      </w:tblBorders>
    </w:tblPr>
    <w:tblStylePr w:type="firstRow">
      <w:rPr>
        <w:rFonts w:ascii="Arial" w:hAnsi="Arial"/>
        <w:b/>
        <w:color w:val="FFFFFF"/>
        <w:sz w:val="22"/>
      </w:rPr>
      <w:tblPr/>
      <w:tcPr>
        <w:tcBorders>
          <w:top w:val="single" w:sz="4" w:space="0" w:color="5D8AC2" w:themeColor="accent1" w:themeTint="EA"/>
          <w:left w:val="single" w:sz="4" w:space="0" w:color="5D8AC2" w:themeColor="accent1" w:themeTint="EA"/>
          <w:bottom w:val="single" w:sz="4" w:space="0" w:color="5D8AC2" w:themeColor="accent1" w:themeTint="EA"/>
          <w:right w:val="single" w:sz="4" w:space="0" w:color="5D8AC2" w:themeColor="accent1" w:themeTint="EA"/>
        </w:tcBorders>
        <w:shd w:val="clear" w:color="5D8AC2" w:themeColor="accent1" w:themeTint="EA" w:fill="5D8AC2" w:themeFill="accent1" w:themeFillTint="EA"/>
      </w:tcPr>
    </w:tblStylePr>
    <w:tblStylePr w:type="lastRow">
      <w:rPr>
        <w:b/>
        <w:color w:val="404040"/>
      </w:rPr>
      <w:tblPr/>
      <w:tcPr>
        <w:tcBorders>
          <w:top w:val="single" w:sz="4" w:space="0" w:color="5D8AC2"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CE6F2" w:themeColor="accent1" w:themeTint="32" w:fill="DCE6F2" w:themeFill="accent1" w:themeFillTint="32"/>
      </w:tcPr>
    </w:tblStylePr>
    <w:tblStylePr w:type="band1Horz">
      <w:rPr>
        <w:rFonts w:ascii="Arial" w:hAnsi="Arial"/>
        <w:color w:val="404040"/>
        <w:sz w:val="22"/>
      </w:rPr>
      <w:tblPr/>
      <w:tcPr>
        <w:shd w:val="clear" w:color="DCE6F2" w:themeColor="accent1" w:themeTint="32" w:fill="DCE6F2" w:themeFill="accent1" w:themeFillTint="32"/>
      </w:tcPr>
    </w:tblStylePr>
  </w:style>
  <w:style w:type="table" w:customStyle="1" w:styleId="GridTable4-Accent2">
    <w:name w:val="Grid Table 4 - Accent 2"/>
    <w:basedOn w:val="a1"/>
    <w:uiPriority w:val="59"/>
    <w:pPr>
      <w:spacing w:after="0" w:line="240" w:lineRule="auto"/>
    </w:pPr>
    <w:tblPr>
      <w:tblStyleRowBandSize w:val="1"/>
      <w:tblStyleColBandSize w:val="1"/>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insideV w:val="single" w:sz="4" w:space="0" w:color="DB9B9A" w:themeColor="accent2" w:themeTint="90"/>
      </w:tblBorders>
    </w:tblPr>
    <w:tblStylePr w:type="firstRow">
      <w:rPr>
        <w:rFonts w:ascii="Arial" w:hAnsi="Arial"/>
        <w:b/>
        <w:color w:val="FFFFFF"/>
        <w:sz w:val="22"/>
      </w:rPr>
      <w:tblPr/>
      <w:tcPr>
        <w:tc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cBorders>
        <w:shd w:val="clear" w:color="D99695" w:themeColor="accent2" w:themeTint="97" w:fill="D99695" w:themeFill="accent2" w:themeFillTint="97"/>
      </w:tcPr>
    </w:tblStylePr>
    <w:tblStylePr w:type="lastRow">
      <w:rPr>
        <w:b/>
        <w:color w:val="404040"/>
      </w:rPr>
      <w:tblPr/>
      <w:tcPr>
        <w:tcBorders>
          <w:top w:val="single" w:sz="4" w:space="0" w:color="D99695"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4-Accent3">
    <w:name w:val="Grid Table 4 - Accent 3"/>
    <w:basedOn w:val="a1"/>
    <w:uiPriority w:val="59"/>
    <w:pPr>
      <w:spacing w:after="0" w:line="240" w:lineRule="auto"/>
    </w:pPr>
    <w:tblPr>
      <w:tblStyleRowBandSize w:val="1"/>
      <w:tblStyleColBandSize w:val="1"/>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insideV w:val="single" w:sz="4" w:space="0" w:color="C6D8A1" w:themeColor="accent3" w:themeTint="90"/>
      </w:tblBorders>
    </w:tblPr>
    <w:tblStylePr w:type="firstRow">
      <w:rPr>
        <w:rFonts w:ascii="Arial" w:hAnsi="Arial"/>
        <w:b/>
        <w:color w:val="FFFFFF"/>
        <w:sz w:val="22"/>
      </w:rPr>
      <w:tblPr/>
      <w:tcPr>
        <w:tc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tcBorders>
        <w:shd w:val="clear" w:color="9ABB59" w:themeColor="accent3" w:themeTint="FE" w:fill="9ABB59" w:themeFill="accent3" w:themeFillTint="FE"/>
      </w:tcPr>
    </w:tblStylePr>
    <w:tblStylePr w:type="lastRow">
      <w:rPr>
        <w:b/>
        <w:color w:val="404040"/>
      </w:rPr>
      <w:tblPr/>
      <w:tcPr>
        <w:tcBorders>
          <w:top w:val="single" w:sz="4" w:space="0" w:color="9ABB59"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4-Accent4">
    <w:name w:val="Grid Table 4 - Accent 4"/>
    <w:basedOn w:val="a1"/>
    <w:uiPriority w:val="59"/>
    <w:pPr>
      <w:spacing w:after="0" w:line="240" w:lineRule="auto"/>
    </w:pPr>
    <w:tblPr>
      <w:tblStyleRowBandSize w:val="1"/>
      <w:tblStyleColBandSize w:val="1"/>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insideV w:val="single" w:sz="4" w:space="0" w:color="B7A7CA" w:themeColor="accent4" w:themeTint="90"/>
      </w:tblBorders>
    </w:tblPr>
    <w:tblStylePr w:type="firstRow">
      <w:rPr>
        <w:rFonts w:ascii="Arial" w:hAnsi="Arial"/>
        <w:b/>
        <w:color w:val="FFFFFF"/>
        <w:sz w:val="22"/>
      </w:rPr>
      <w:tblPr/>
      <w:tcPr>
        <w:tc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cBorders>
        <w:shd w:val="clear" w:color="B2A1C6" w:themeColor="accent4" w:themeTint="9A" w:fill="B2A1C6" w:themeFill="accent4" w:themeFillTint="9A"/>
      </w:tcPr>
    </w:tblStylePr>
    <w:tblStylePr w:type="lastRow">
      <w:rPr>
        <w:b/>
        <w:color w:val="404040"/>
      </w:rPr>
      <w:tblPr/>
      <w:tcPr>
        <w:tcBorders>
          <w:top w:val="single" w:sz="4" w:space="0" w:color="B2A1C6"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4-Accent5">
    <w:name w:val="Grid Table 4 - Accent 5"/>
    <w:basedOn w:val="a1"/>
    <w:uiPriority w:val="59"/>
    <w:pPr>
      <w:spacing w:after="0" w:line="240" w:lineRule="auto"/>
    </w:pPr>
    <w:tblPr>
      <w:tblStyleRowBandSize w:val="1"/>
      <w:tblStyleColBandSize w:val="1"/>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Pr>
    <w:tblStylePr w:type="firstRow">
      <w:rPr>
        <w:rFonts w:ascii="Arial" w:hAnsi="Arial"/>
        <w:b/>
        <w:color w:val="FFFFFF"/>
        <w:sz w:val="22"/>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tcBorders>
        <w:shd w:val="clear" w:color="4BACC6" w:themeColor="accent5" w:fill="4BACC6" w:themeFill="accent5"/>
      </w:tcPr>
    </w:tblStylePr>
    <w:tblStylePr w:type="lastRow">
      <w:rPr>
        <w:b/>
        <w:color w:val="404040"/>
      </w:rPr>
      <w:tblPr/>
      <w:tcPr>
        <w:tcBorders>
          <w:top w:val="single" w:sz="4" w:space="0" w:color="4BACC6"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4-Accent6">
    <w:name w:val="Grid Table 4 - Accent 6"/>
    <w:basedOn w:val="a1"/>
    <w:uiPriority w:val="59"/>
    <w:pPr>
      <w:spacing w:after="0" w:line="240" w:lineRule="auto"/>
    </w:pPr>
    <w:tblPr>
      <w:tblStyleRowBandSize w:val="1"/>
      <w:tblStyleColBandSize w:val="1"/>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Pr>
    <w:tblStylePr w:type="firstRow">
      <w:rPr>
        <w:rFonts w:ascii="Arial" w:hAnsi="Arial"/>
        <w:b/>
        <w:color w:val="FFFFFF"/>
        <w:sz w:val="22"/>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tcBorders>
        <w:shd w:val="clear" w:color="F79646" w:themeColor="accent6" w:fill="F79646" w:themeFill="accent6"/>
      </w:tcPr>
    </w:tblStylePr>
    <w:tblStylePr w:type="lastRow">
      <w:rPr>
        <w:b/>
        <w:color w:val="404040"/>
      </w:rPr>
      <w:tblPr/>
      <w:tcPr>
        <w:tcBorders>
          <w:top w:val="single" w:sz="4" w:space="0" w:color="F79646"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52">
    <w:name w:val="Grid Table 5 Dark"/>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5F1" w:themeColor="accent1" w:themeTint="34" w:fill="DAE5F1" w:themeFill="accent1" w:themeFillTint="34"/>
    </w:tblPr>
    <w:tblStylePr w:type="firstRow">
      <w:rPr>
        <w:rFonts w:ascii="Arial" w:hAnsi="Arial"/>
        <w:b/>
        <w:color w:val="FFFFFF"/>
        <w:sz w:val="22"/>
      </w:rPr>
      <w:tblPr/>
      <w:tcPr>
        <w:shd w:val="clear" w:color="4F81BD" w:themeColor="accent1" w:fill="4F81BD" w:themeFill="accent1"/>
      </w:tcPr>
    </w:tblStylePr>
    <w:tblStylePr w:type="lastRow">
      <w:rPr>
        <w:rFonts w:ascii="Arial" w:hAnsi="Arial"/>
        <w:b/>
        <w:color w:val="FFFFFF"/>
        <w:sz w:val="22"/>
      </w:rPr>
      <w:tblPr/>
      <w:tcPr>
        <w:tcBorders>
          <w:top w:val="single" w:sz="4" w:space="0" w:color="FFFFFF" w:themeColor="light1"/>
        </w:tcBorders>
        <w:shd w:val="clear" w:color="4F81BD" w:themeColor="accent1" w:fill="4F81BD" w:themeFill="accent1"/>
      </w:tcPr>
    </w:tblStylePr>
    <w:tblStylePr w:type="firstCol">
      <w:rPr>
        <w:rFonts w:ascii="Arial" w:hAnsi="Arial"/>
        <w:b/>
        <w:color w:val="FFFFFF"/>
        <w:sz w:val="22"/>
      </w:rPr>
      <w:tblPr/>
      <w:tcPr>
        <w:shd w:val="clear" w:color="4F81BD" w:themeColor="accent1" w:fill="4F81BD" w:themeFill="accent1"/>
      </w:tcPr>
    </w:tblStylePr>
    <w:tblStylePr w:type="lastCol">
      <w:rPr>
        <w:rFonts w:ascii="Arial" w:hAnsi="Arial"/>
        <w:b/>
        <w:color w:val="FFFFFF"/>
        <w:sz w:val="22"/>
      </w:rPr>
      <w:tblPr/>
      <w:tcPr>
        <w:shd w:val="clear" w:color="4F81BD" w:themeColor="accent1" w:fill="4F81BD" w:themeFill="accent1"/>
      </w:tcPr>
    </w:tblStylePr>
    <w:tblStylePr w:type="band1Vert">
      <w:tblPr/>
      <w:tcPr>
        <w:shd w:val="clear" w:color="AEC4E0" w:themeColor="accent1" w:themeTint="75" w:fill="AEC4E0" w:themeFill="accent1" w:themeFillTint="75"/>
      </w:tcPr>
    </w:tblStylePr>
    <w:tblStylePr w:type="band1Horz">
      <w:tblPr/>
      <w:tcPr>
        <w:shd w:val="clear" w:color="AEC4E0" w:themeColor="accent1" w:themeTint="75" w:fill="AEC4E0" w:themeFill="accent1" w:themeFillTint="75"/>
      </w:tcPr>
    </w:tblStylePr>
  </w:style>
  <w:style w:type="table" w:customStyle="1" w:styleId="GridTable5Dark-Accent2">
    <w:name w:val="Grid Table 5 Dark - Accent 2"/>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2DCDC" w:themeColor="accent2" w:themeTint="32" w:fill="F2DCDC" w:themeFill="accent2" w:themeFillTint="32"/>
    </w:tblPr>
    <w:tblStylePr w:type="firstRow">
      <w:rPr>
        <w:rFonts w:ascii="Arial" w:hAnsi="Arial"/>
        <w:b/>
        <w:color w:val="FFFFFF"/>
        <w:sz w:val="22"/>
      </w:rPr>
      <w:tblPr/>
      <w:tcPr>
        <w:shd w:val="clear" w:color="C0504D" w:themeColor="accent2" w:fill="C0504D" w:themeFill="accent2"/>
      </w:tcPr>
    </w:tblStylePr>
    <w:tblStylePr w:type="lastRow">
      <w:rPr>
        <w:rFonts w:ascii="Arial" w:hAnsi="Arial"/>
        <w:b/>
        <w:color w:val="FFFFFF"/>
        <w:sz w:val="22"/>
      </w:rPr>
      <w:tblPr/>
      <w:tcPr>
        <w:tcBorders>
          <w:top w:val="single" w:sz="4" w:space="0" w:color="FFFFFF" w:themeColor="light1"/>
        </w:tcBorders>
        <w:shd w:val="clear" w:color="C0504D" w:themeColor="accent2" w:fill="C0504D" w:themeFill="accent2"/>
      </w:tcPr>
    </w:tblStylePr>
    <w:tblStylePr w:type="firstCol">
      <w:rPr>
        <w:rFonts w:ascii="Arial" w:hAnsi="Arial"/>
        <w:b/>
        <w:color w:val="FFFFFF"/>
        <w:sz w:val="22"/>
      </w:rPr>
      <w:tblPr/>
      <w:tcPr>
        <w:shd w:val="clear" w:color="C0504D" w:themeColor="accent2" w:fill="C0504D" w:themeFill="accent2"/>
      </w:tcPr>
    </w:tblStylePr>
    <w:tblStylePr w:type="lastCol">
      <w:rPr>
        <w:rFonts w:ascii="Arial" w:hAnsi="Arial"/>
        <w:b/>
        <w:color w:val="FFFFFF"/>
        <w:sz w:val="22"/>
      </w:rPr>
      <w:tblPr/>
      <w:tcPr>
        <w:shd w:val="clear" w:color="C0504D" w:themeColor="accent2" w:fill="C0504D" w:themeFill="accent2"/>
      </w:tcPr>
    </w:tblStylePr>
    <w:tblStylePr w:type="band1Vert">
      <w:tblPr/>
      <w:tcPr>
        <w:shd w:val="clear" w:color="E2AEAD" w:themeColor="accent2" w:themeTint="75" w:fill="E2AEAD" w:themeFill="accent2" w:themeFillTint="75"/>
      </w:tcPr>
    </w:tblStylePr>
    <w:tblStylePr w:type="band1Horz">
      <w:tblPr/>
      <w:tcPr>
        <w:shd w:val="clear" w:color="E2AEAD" w:themeColor="accent2" w:themeTint="75" w:fill="E2AEAD" w:themeFill="accent2" w:themeFillTint="75"/>
      </w:tcPr>
    </w:tblStylePr>
  </w:style>
  <w:style w:type="table" w:customStyle="1" w:styleId="GridTable5Dark-Accent3">
    <w:name w:val="Grid Table 5 Dark - Accent 3"/>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AF1DC" w:themeColor="accent3" w:themeTint="34" w:fill="EAF1DC" w:themeFill="accent3" w:themeFillTint="34"/>
    </w:tblPr>
    <w:tblStylePr w:type="firstRow">
      <w:rPr>
        <w:rFonts w:ascii="Arial" w:hAnsi="Arial"/>
        <w:b/>
        <w:color w:val="FFFFFF"/>
        <w:sz w:val="22"/>
      </w:rPr>
      <w:tblPr/>
      <w:tcPr>
        <w:shd w:val="clear" w:color="9BBB59" w:themeColor="accent3" w:fill="9BBB59" w:themeFill="accent3"/>
      </w:tcPr>
    </w:tblStylePr>
    <w:tblStylePr w:type="lastRow">
      <w:rPr>
        <w:rFonts w:ascii="Arial" w:hAnsi="Arial"/>
        <w:b/>
        <w:color w:val="FFFFFF"/>
        <w:sz w:val="22"/>
      </w:rPr>
      <w:tblPr/>
      <w:tcPr>
        <w:tcBorders>
          <w:top w:val="single" w:sz="4" w:space="0" w:color="FFFFFF" w:themeColor="light1"/>
        </w:tcBorders>
        <w:shd w:val="clear" w:color="9BBB59" w:themeColor="accent3" w:fill="9BBB59" w:themeFill="accent3"/>
      </w:tcPr>
    </w:tblStylePr>
    <w:tblStylePr w:type="firstCol">
      <w:rPr>
        <w:rFonts w:ascii="Arial" w:hAnsi="Arial"/>
        <w:b/>
        <w:color w:val="FFFFFF"/>
        <w:sz w:val="22"/>
      </w:rPr>
      <w:tblPr/>
      <w:tcPr>
        <w:shd w:val="clear" w:color="9BBB59" w:themeColor="accent3" w:fill="9BBB59" w:themeFill="accent3"/>
      </w:tcPr>
    </w:tblStylePr>
    <w:tblStylePr w:type="lastCol">
      <w:rPr>
        <w:rFonts w:ascii="Arial" w:hAnsi="Arial"/>
        <w:b/>
        <w:color w:val="FFFFFF"/>
        <w:sz w:val="22"/>
      </w:rPr>
      <w:tblPr/>
      <w:tcPr>
        <w:shd w:val="clear" w:color="9BBB59" w:themeColor="accent3" w:fill="9BBB59" w:themeFill="accent3"/>
      </w:tcPr>
    </w:tblStylePr>
    <w:tblStylePr w:type="band1Vert">
      <w:tblPr/>
      <w:tcPr>
        <w:shd w:val="clear" w:color="D0DFB2" w:themeColor="accent3" w:themeTint="75" w:fill="D0DFB2" w:themeFill="accent3" w:themeFillTint="75"/>
      </w:tcPr>
    </w:tblStylePr>
    <w:tblStylePr w:type="band1Horz">
      <w:tblPr/>
      <w:tcPr>
        <w:shd w:val="clear" w:color="D0DFB2" w:themeColor="accent3" w:themeTint="75" w:fill="D0DFB2" w:themeFill="accent3" w:themeFillTint="75"/>
      </w:tcPr>
    </w:tblStylePr>
  </w:style>
  <w:style w:type="table" w:customStyle="1" w:styleId="GridTable5Dark-Accent4">
    <w:name w:val="Grid Table 5 Dark- Accent 4"/>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5DFEC" w:themeColor="accent4" w:themeTint="34" w:fill="E5DFEC" w:themeFill="accent4" w:themeFillTint="34"/>
    </w:tblPr>
    <w:tblStylePr w:type="firstRow">
      <w:rPr>
        <w:rFonts w:ascii="Arial" w:hAnsi="Arial"/>
        <w:b/>
        <w:color w:val="FFFFFF"/>
        <w:sz w:val="22"/>
      </w:rPr>
      <w:tblPr/>
      <w:tcPr>
        <w:shd w:val="clear" w:color="8064A2" w:themeColor="accent4" w:fill="8064A2" w:themeFill="accent4"/>
      </w:tcPr>
    </w:tblStylePr>
    <w:tblStylePr w:type="lastRow">
      <w:rPr>
        <w:rFonts w:ascii="Arial" w:hAnsi="Arial"/>
        <w:b/>
        <w:color w:val="FFFFFF"/>
        <w:sz w:val="22"/>
      </w:rPr>
      <w:tblPr/>
      <w:tcPr>
        <w:tcBorders>
          <w:top w:val="single" w:sz="4" w:space="0" w:color="FFFFFF" w:themeColor="light1"/>
        </w:tcBorders>
        <w:shd w:val="clear" w:color="8064A2" w:themeColor="accent4" w:fill="8064A2" w:themeFill="accent4"/>
      </w:tcPr>
    </w:tblStylePr>
    <w:tblStylePr w:type="firstCol">
      <w:rPr>
        <w:rFonts w:ascii="Arial" w:hAnsi="Arial"/>
        <w:b/>
        <w:color w:val="FFFFFF"/>
        <w:sz w:val="22"/>
      </w:rPr>
      <w:tblPr/>
      <w:tcPr>
        <w:shd w:val="clear" w:color="8064A2" w:themeColor="accent4" w:fill="8064A2" w:themeFill="accent4"/>
      </w:tcPr>
    </w:tblStylePr>
    <w:tblStylePr w:type="lastCol">
      <w:rPr>
        <w:rFonts w:ascii="Arial" w:hAnsi="Arial"/>
        <w:b/>
        <w:color w:val="FFFFFF"/>
        <w:sz w:val="22"/>
      </w:rPr>
      <w:tblPr/>
      <w:tcPr>
        <w:shd w:val="clear" w:color="8064A2" w:themeColor="accent4" w:fill="8064A2" w:themeFill="accent4"/>
      </w:tcPr>
    </w:tblStylePr>
    <w:tblStylePr w:type="band1Vert">
      <w:tblPr/>
      <w:tcPr>
        <w:shd w:val="clear" w:color="C4B7D4" w:themeColor="accent4" w:themeTint="75" w:fill="C4B7D4" w:themeFill="accent4" w:themeFillTint="75"/>
      </w:tcPr>
    </w:tblStylePr>
    <w:tblStylePr w:type="band1Horz">
      <w:tblPr/>
      <w:tcPr>
        <w:shd w:val="clear" w:color="C4B7D4" w:themeColor="accent4" w:themeTint="75" w:fill="C4B7D4" w:themeFill="accent4" w:themeFillTint="75"/>
      </w:tcPr>
    </w:tblStylePr>
  </w:style>
  <w:style w:type="table" w:customStyle="1" w:styleId="GridTable5Dark-Accent5">
    <w:name w:val="Grid Table 5 Dark - Accent 5"/>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EF3" w:themeColor="accent5" w:themeTint="34" w:fill="DAEEF3" w:themeFill="accent5" w:themeFillTint="34"/>
    </w:tblPr>
    <w:tblStylePr w:type="firstRow">
      <w:rPr>
        <w:rFonts w:ascii="Arial" w:hAnsi="Arial"/>
        <w:b/>
        <w:color w:val="FFFFFF"/>
        <w:sz w:val="22"/>
      </w:rPr>
      <w:tblPr/>
      <w:tcPr>
        <w:shd w:val="clear" w:color="4BACC6" w:themeColor="accent5" w:fill="4BACC6" w:themeFill="accent5"/>
      </w:tcPr>
    </w:tblStylePr>
    <w:tblStylePr w:type="lastRow">
      <w:rPr>
        <w:rFonts w:ascii="Arial" w:hAnsi="Arial"/>
        <w:b/>
        <w:color w:val="FFFFFF"/>
        <w:sz w:val="22"/>
      </w:rPr>
      <w:tblPr/>
      <w:tcPr>
        <w:tcBorders>
          <w:top w:val="single" w:sz="4" w:space="0" w:color="FFFFFF" w:themeColor="light1"/>
        </w:tcBorders>
        <w:shd w:val="clear" w:color="4BACC6" w:themeColor="accent5" w:fill="4BACC6" w:themeFill="accent5"/>
      </w:tcPr>
    </w:tblStylePr>
    <w:tblStylePr w:type="firstCol">
      <w:rPr>
        <w:rFonts w:ascii="Arial" w:hAnsi="Arial"/>
        <w:b/>
        <w:color w:val="FFFFFF"/>
        <w:sz w:val="22"/>
      </w:rPr>
      <w:tblPr/>
      <w:tcPr>
        <w:shd w:val="clear" w:color="4BACC6" w:themeColor="accent5" w:fill="4BACC6" w:themeFill="accent5"/>
      </w:tcPr>
    </w:tblStylePr>
    <w:tblStylePr w:type="lastCol">
      <w:rPr>
        <w:rFonts w:ascii="Arial" w:hAnsi="Arial"/>
        <w:b/>
        <w:color w:val="FFFFFF"/>
        <w:sz w:val="22"/>
      </w:rPr>
      <w:tblPr/>
      <w:tcPr>
        <w:shd w:val="clear" w:color="4BACC6" w:themeColor="accent5" w:fill="4BACC6" w:themeFill="accent5"/>
      </w:tcPr>
    </w:tblStylePr>
    <w:tblStylePr w:type="band1Vert">
      <w:tblPr/>
      <w:tcPr>
        <w:shd w:val="clear" w:color="ACD8E4" w:themeColor="accent5" w:themeTint="75" w:fill="ACD8E4" w:themeFill="accent5" w:themeFillTint="75"/>
      </w:tcPr>
    </w:tblStylePr>
    <w:tblStylePr w:type="band1Horz">
      <w:tblPr/>
      <w:tcPr>
        <w:shd w:val="clear" w:color="ACD8E4" w:themeColor="accent5" w:themeTint="75" w:fill="ACD8E4" w:themeFill="accent5" w:themeFillTint="75"/>
      </w:tcPr>
    </w:tblStylePr>
  </w:style>
  <w:style w:type="table" w:customStyle="1" w:styleId="GridTable5Dark-Accent6">
    <w:name w:val="Grid Table 5 Dark - Accent 6"/>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DE9D8" w:themeColor="accent6" w:themeTint="34" w:fill="FDE9D8" w:themeFill="accent6" w:themeFillTint="34"/>
    </w:tblPr>
    <w:tblStylePr w:type="firstRow">
      <w:rPr>
        <w:rFonts w:ascii="Arial" w:hAnsi="Arial"/>
        <w:b/>
        <w:color w:val="FFFFFF"/>
        <w:sz w:val="22"/>
      </w:rPr>
      <w:tblPr/>
      <w:tcPr>
        <w:shd w:val="clear" w:color="F79646" w:themeColor="accent6" w:fill="F79646" w:themeFill="accent6"/>
      </w:tcPr>
    </w:tblStylePr>
    <w:tblStylePr w:type="lastRow">
      <w:rPr>
        <w:rFonts w:ascii="Arial" w:hAnsi="Arial"/>
        <w:b/>
        <w:color w:val="FFFFFF"/>
        <w:sz w:val="22"/>
      </w:rPr>
      <w:tblPr/>
      <w:tcPr>
        <w:tcBorders>
          <w:top w:val="single" w:sz="4" w:space="0" w:color="FFFFFF" w:themeColor="light1"/>
        </w:tcBorders>
        <w:shd w:val="clear" w:color="F79646" w:themeColor="accent6" w:fill="F79646" w:themeFill="accent6"/>
      </w:tcPr>
    </w:tblStylePr>
    <w:tblStylePr w:type="firstCol">
      <w:rPr>
        <w:rFonts w:ascii="Arial" w:hAnsi="Arial"/>
        <w:b/>
        <w:color w:val="FFFFFF"/>
        <w:sz w:val="22"/>
      </w:rPr>
      <w:tblPr/>
      <w:tcPr>
        <w:shd w:val="clear" w:color="F79646" w:themeColor="accent6" w:fill="F79646" w:themeFill="accent6"/>
      </w:tcPr>
    </w:tblStylePr>
    <w:tblStylePr w:type="lastCol">
      <w:rPr>
        <w:rFonts w:ascii="Arial" w:hAnsi="Arial"/>
        <w:b/>
        <w:color w:val="FFFFFF"/>
        <w:sz w:val="22"/>
      </w:rPr>
      <w:tblPr/>
      <w:tcPr>
        <w:shd w:val="clear" w:color="F79646" w:themeColor="accent6" w:fill="F79646" w:themeFill="accent6"/>
      </w:tcPr>
    </w:tblStylePr>
    <w:tblStylePr w:type="band1Vert">
      <w:tblPr/>
      <w:tcPr>
        <w:shd w:val="clear" w:color="FBCEAA" w:themeColor="accent6" w:themeTint="75" w:fill="FBCEAA" w:themeFill="accent6" w:themeFillTint="75"/>
      </w:tcPr>
    </w:tblStylePr>
    <w:tblStylePr w:type="band1Horz">
      <w:tblPr/>
      <w:tcPr>
        <w:shd w:val="clear" w:color="FBCEAA" w:themeColor="accent6" w:themeTint="75" w:fill="FBCEAA" w:themeFill="accent6" w:themeFillTint="75"/>
      </w:tcPr>
    </w:tblStylePr>
  </w:style>
  <w:style w:type="table" w:styleId="61">
    <w:name w:val="Grid Table 6 Colorful"/>
    <w:basedOn w:val="a1"/>
    <w:uiPriority w:val="99"/>
    <w:pPr>
      <w:spacing w:after="0" w:line="240" w:lineRule="auto"/>
    </w:pPr>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a1"/>
    <w:uiPriority w:val="99"/>
    <w:pPr>
      <w:spacing w:after="0" w:line="240" w:lineRule="auto"/>
    </w:pPr>
    <w:tblPr>
      <w:tblStyleRowBandSize w:val="1"/>
      <w:tblStyleColBandSize w:val="1"/>
      <w:tblBorders>
        <w:top w:val="single" w:sz="4" w:space="0" w:color="A6BFDD" w:themeColor="accent1" w:themeTint="80"/>
        <w:left w:val="single" w:sz="4" w:space="0" w:color="A6BFDD" w:themeColor="accent1" w:themeTint="80"/>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Pr>
    <w:tblStylePr w:type="firstRow">
      <w:rPr>
        <w:b/>
        <w:color w:val="A6BFDD" w:themeColor="accent1" w:themeTint="80" w:themeShade="95"/>
      </w:rPr>
      <w:tblPr/>
      <w:tcPr>
        <w:tcBorders>
          <w:bottom w:val="single" w:sz="12" w:space="0" w:color="A6BFDD" w:themeColor="accent1" w:themeTint="80"/>
        </w:tcBorders>
      </w:tcPr>
    </w:tblStylePr>
    <w:tblStylePr w:type="lastRow">
      <w:rPr>
        <w:b/>
        <w:color w:val="A6BFDD" w:themeColor="accent1" w:themeTint="80" w:themeShade="95"/>
      </w:rPr>
    </w:tblStylePr>
    <w:tblStylePr w:type="firstCol">
      <w:rPr>
        <w:b/>
        <w:color w:val="A6BFDD" w:themeColor="accent1" w:themeTint="80" w:themeShade="95"/>
      </w:rPr>
    </w:tblStylePr>
    <w:tblStylePr w:type="lastCol">
      <w:rPr>
        <w:b/>
        <w:color w:val="A6BFDD" w:themeColor="accent1" w:themeTint="80" w:themeShade="95"/>
      </w:r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customStyle="1" w:styleId="GridTable6Colorful-Accent2">
    <w:name w:val="Grid Table 6 Colorful - Accent 2"/>
    <w:basedOn w:val="a1"/>
    <w:uiPriority w:val="99"/>
    <w:pPr>
      <w:spacing w:after="0" w:line="240" w:lineRule="auto"/>
    </w:pPr>
    <w:tblPr>
      <w:tblStyleRowBandSize w:val="1"/>
      <w:tblStyleColBandSize w:val="1"/>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D99695" w:themeColor="accent2" w:themeTint="97" w:themeShade="95"/>
      </w:rPr>
      <w:tblPr/>
      <w:tcPr>
        <w:tcBorders>
          <w:bottom w:val="single" w:sz="12" w:space="0" w:color="D99695" w:themeColor="accent2" w:themeTint="97"/>
        </w:tcBorders>
      </w:tcPr>
    </w:tblStylePr>
    <w:tblStylePr w:type="lastRow">
      <w:rPr>
        <w:b/>
        <w:color w:val="D99695" w:themeColor="accent2" w:themeTint="97" w:themeShade="95"/>
      </w:r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customStyle="1" w:styleId="GridTable6Colorful-Accent3">
    <w:name w:val="Grid Table 6 Colorful - Accent 3"/>
    <w:basedOn w:val="a1"/>
    <w:uiPriority w:val="99"/>
    <w:pPr>
      <w:spacing w:after="0" w:line="240" w:lineRule="auto"/>
    </w:pPr>
    <w:tblPr>
      <w:tblStyleRowBandSize w:val="1"/>
      <w:tblStyleColBandSize w:val="1"/>
      <w:tbl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9ABB59" w:themeColor="accent3" w:themeTint="FE" w:themeShade="95"/>
      </w:rPr>
      <w:tblPr/>
      <w:tcPr>
        <w:tcBorders>
          <w:bottom w:val="single" w:sz="12" w:space="0" w:color="9ABB59" w:themeColor="accent3" w:themeTint="FE"/>
        </w:tcBorders>
      </w:tcPr>
    </w:tblStylePr>
    <w:tblStylePr w:type="lastRow">
      <w:rPr>
        <w:b/>
        <w:color w:val="9ABB59" w:themeColor="accent3" w:themeTint="FE" w:themeShade="95"/>
      </w:rPr>
    </w:tblStylePr>
    <w:tblStylePr w:type="firstCol">
      <w:rPr>
        <w:b/>
        <w:color w:val="9ABB59" w:themeColor="accent3" w:themeTint="FE" w:themeShade="95"/>
      </w:rPr>
    </w:tblStylePr>
    <w:tblStylePr w:type="lastCol">
      <w:rPr>
        <w:b/>
        <w:color w:val="9ABB59" w:themeColor="accent3" w:themeTint="FE" w:themeShade="95"/>
      </w:r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customStyle="1" w:styleId="GridTable6Colorful-Accent4">
    <w:name w:val="Grid Table 6 Colorful - Accent 4"/>
    <w:basedOn w:val="a1"/>
    <w:uiPriority w:val="99"/>
    <w:pPr>
      <w:spacing w:after="0" w:line="240" w:lineRule="auto"/>
    </w:pPr>
    <w:tblPr>
      <w:tblStyleRowBandSize w:val="1"/>
      <w:tblStyleColBandSize w:val="1"/>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B2A1C6" w:themeColor="accent4" w:themeTint="9A" w:themeShade="95"/>
      </w:rPr>
      <w:tblPr/>
      <w:tcPr>
        <w:tcBorders>
          <w:bottom w:val="single" w:sz="12" w:space="0" w:color="B2A1C6" w:themeColor="accent4" w:themeTint="9A"/>
        </w:tcBorders>
      </w:tcPr>
    </w:tblStylePr>
    <w:tblStylePr w:type="lastRow">
      <w:rPr>
        <w:b/>
        <w:color w:val="B2A1C6" w:themeColor="accent4" w:themeTint="9A" w:themeShade="95"/>
      </w:r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customStyle="1" w:styleId="GridTable6Colorful-Accent5">
    <w:name w:val="Grid Table 6 Colorful - Accent 5"/>
    <w:basedOn w:val="a1"/>
    <w:uiPriority w:val="99"/>
    <w:pPr>
      <w:spacing w:after="0" w:line="240" w:lineRule="auto"/>
    </w:pPr>
    <w:tblPr>
      <w:tblStyleRowBandSize w:val="1"/>
      <w:tblStyleColBandSize w:val="1"/>
      <w:tblBorders>
        <w:top w:val="single" w:sz="4" w:space="0" w:color="4BACC6" w:themeColor="accent5"/>
        <w:left w:val="single" w:sz="4" w:space="0" w:color="4BACC6" w:themeColor="accent5"/>
        <w:bottom w:val="single" w:sz="4" w:space="0" w:color="4BACC6" w:themeColor="accent5"/>
        <w:right w:val="single" w:sz="4" w:space="0" w:color="4BACC6" w:themeColor="accent5"/>
        <w:insideH w:val="single" w:sz="4" w:space="0" w:color="4BACC6" w:themeColor="accent5"/>
        <w:insideV w:val="single" w:sz="4" w:space="0" w:color="4BACC6" w:themeColor="accent5"/>
      </w:tblBorders>
    </w:tblPr>
    <w:tblStylePr w:type="firstRow">
      <w:rPr>
        <w:b/>
        <w:color w:val="266779" w:themeColor="accent5" w:themeShade="95"/>
      </w:rPr>
      <w:tblPr/>
      <w:tcPr>
        <w:tcBorders>
          <w:bottom w:val="single" w:sz="12" w:space="0" w:color="4BACC6" w:themeColor="accent5"/>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customStyle="1" w:styleId="GridTable6Colorful-Accent6">
    <w:name w:val="Grid Table 6 Colorful - Accent 6"/>
    <w:basedOn w:val="a1"/>
    <w:uiPriority w:val="99"/>
    <w:pPr>
      <w:spacing w:after="0" w:line="240" w:lineRule="auto"/>
    </w:pPr>
    <w:tblPr>
      <w:tblStyleRowBandSize w:val="1"/>
      <w:tblStyleColBandSize w:val="1"/>
      <w:tblBorders>
        <w:top w:val="single" w:sz="4" w:space="0" w:color="F79646" w:themeColor="accent6"/>
        <w:left w:val="single" w:sz="4" w:space="0" w:color="F79646" w:themeColor="accent6"/>
        <w:bottom w:val="single" w:sz="4" w:space="0" w:color="F79646" w:themeColor="accent6"/>
        <w:right w:val="single" w:sz="4" w:space="0" w:color="F79646" w:themeColor="accent6"/>
        <w:insideH w:val="single" w:sz="4" w:space="0" w:color="F79646" w:themeColor="accent6"/>
        <w:insideV w:val="single" w:sz="4" w:space="0" w:color="F79646" w:themeColor="accent6"/>
      </w:tblBorders>
    </w:tblPr>
    <w:tblStylePr w:type="firstRow">
      <w:rPr>
        <w:b/>
        <w:color w:val="266779" w:themeColor="accent5" w:themeShade="95"/>
      </w:rPr>
      <w:tblPr/>
      <w:tcPr>
        <w:tcBorders>
          <w:bottom w:val="single" w:sz="12" w:space="0" w:color="F79646" w:themeColor="accent6"/>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FDE9D8" w:themeColor="accent6" w:themeTint="34" w:fill="FDE9D8" w:themeFill="accent6" w:themeFillTint="34"/>
      </w:tcPr>
    </w:tblStylePr>
    <w:tblStylePr w:type="band1Horz">
      <w:rPr>
        <w:rFonts w:ascii="Arial" w:hAnsi="Arial"/>
        <w:color w:val="266779" w:themeColor="accent5" w:themeShade="95"/>
        <w:sz w:val="22"/>
      </w:rPr>
      <w:tblPr/>
      <w:tcPr>
        <w:shd w:val="clear" w:color="FDE9D8" w:themeColor="accent6" w:themeTint="34" w:fill="FDE9D8" w:themeFill="accent6" w:themeFillTint="34"/>
      </w:tcPr>
    </w:tblStylePr>
    <w:tblStylePr w:type="band2Horz">
      <w:rPr>
        <w:rFonts w:ascii="Arial" w:hAnsi="Arial"/>
        <w:color w:val="266779" w:themeColor="accent5" w:themeShade="95"/>
        <w:sz w:val="22"/>
      </w:rPr>
    </w:tblStylePr>
  </w:style>
  <w:style w:type="table" w:styleId="71">
    <w:name w:val="Grid Table 7 Colorful"/>
    <w:basedOn w:val="a1"/>
    <w:uiPriority w:val="99"/>
    <w:pPr>
      <w:spacing w:after="0" w:line="240" w:lineRule="auto"/>
    </w:pPr>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a1"/>
    <w:uiPriority w:val="99"/>
    <w:pPr>
      <w:spacing w:after="0" w:line="240" w:lineRule="auto"/>
    </w:pPr>
    <w:tblPr>
      <w:tblStyleRowBandSize w:val="1"/>
      <w:tblStyleColBandSize w:val="1"/>
      <w:tblBorders>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Pr>
    <w:tblStylePr w:type="firstRow">
      <w:rPr>
        <w:rFonts w:ascii="Arial" w:hAnsi="Arial"/>
        <w:b/>
        <w:color w:val="A6BFDD" w:themeColor="accent1" w:themeTint="80" w:themeShade="95"/>
        <w:sz w:val="22"/>
      </w:rPr>
      <w:tblPr/>
      <w:tcPr>
        <w:tcBorders>
          <w:top w:val="none" w:sz="4" w:space="0" w:color="000000"/>
          <w:left w:val="none" w:sz="4" w:space="0" w:color="000000"/>
          <w:bottom w:val="single" w:sz="4" w:space="0" w:color="A6BFDD" w:themeColor="accent1" w:themeTint="80"/>
          <w:right w:val="none" w:sz="4" w:space="0" w:color="000000"/>
        </w:tcBorders>
        <w:shd w:val="clear" w:color="FFFFFF" w:themeColor="light1" w:fill="FFFFFF" w:themeFill="light1"/>
      </w:tcPr>
    </w:tblStylePr>
    <w:tblStylePr w:type="lastRow">
      <w:rPr>
        <w:rFonts w:ascii="Arial" w:hAnsi="Arial"/>
        <w:b/>
        <w:color w:val="A6BFDD" w:themeColor="accent1" w:themeTint="80" w:themeShade="95"/>
        <w:sz w:val="22"/>
      </w:rPr>
      <w:tblPr/>
      <w:tcPr>
        <w:tcBorders>
          <w:top w:val="single" w:sz="4" w:space="0" w:color="A6BFDD" w:themeColor="accen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6BFDD" w:themeColor="accent1" w:themeTint="80" w:themeShade="95"/>
        <w:sz w:val="22"/>
      </w:rPr>
      <w:tblPr/>
      <w:tcPr>
        <w:tcBorders>
          <w:top w:val="none" w:sz="4" w:space="0" w:color="000000"/>
          <w:left w:val="none" w:sz="4" w:space="0" w:color="000000"/>
          <w:bottom w:val="none" w:sz="4" w:space="0" w:color="000000"/>
          <w:right w:val="single" w:sz="4" w:space="0" w:color="A6BFDD" w:themeColor="accent1" w:themeTint="80"/>
        </w:tcBorders>
        <w:shd w:val="clear" w:color="FFFFFF" w:fill="auto"/>
      </w:tcPr>
    </w:tblStylePr>
    <w:tblStylePr w:type="lastCol">
      <w:rPr>
        <w:rFonts w:ascii="Arial" w:hAnsi="Arial"/>
        <w:i/>
        <w:color w:val="A6BFDD" w:themeColor="accent1" w:themeTint="80" w:themeShade="95"/>
        <w:sz w:val="22"/>
      </w:rPr>
      <w:tblPr/>
      <w:tcPr>
        <w:tcBorders>
          <w:top w:val="none" w:sz="4" w:space="0" w:color="000000"/>
          <w:left w:val="single" w:sz="4" w:space="0" w:color="A6BFDD" w:themeColor="accent1" w:themeTint="80"/>
          <w:bottom w:val="none" w:sz="4" w:space="0" w:color="000000"/>
          <w:right w:val="none" w:sz="4" w:space="0" w:color="000000"/>
        </w:tcBorders>
        <w:shd w:val="clear" w:color="FFFFFF" w:fill="auto"/>
      </w:tc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customStyle="1" w:styleId="GridTable7Colorful-Accent2">
    <w:name w:val="Grid Table 7 Colorful - Accent 2"/>
    <w:basedOn w:val="a1"/>
    <w:uiPriority w:val="99"/>
    <w:pPr>
      <w:spacing w:after="0" w:line="240" w:lineRule="auto"/>
    </w:pPr>
    <w:tblPr>
      <w:tblStyleRowBandSize w:val="1"/>
      <w:tblStyleColBandSize w:val="1"/>
      <w:tblBorders>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Pr>
    <w:tblStylePr w:type="firstRow">
      <w:rPr>
        <w:rFonts w:ascii="Arial" w:hAnsi="Arial"/>
        <w:b/>
        <w:color w:val="D99695" w:themeColor="accent2" w:themeTint="97" w:themeShade="95"/>
        <w:sz w:val="22"/>
      </w:rPr>
      <w:tblPr/>
      <w:tcPr>
        <w:tcBorders>
          <w:top w:val="none" w:sz="4" w:space="0" w:color="000000"/>
          <w:left w:val="none" w:sz="4" w:space="0" w:color="000000"/>
          <w:bottom w:val="single" w:sz="4" w:space="0" w:color="D99695" w:themeColor="accent2" w:themeTint="97"/>
          <w:right w:val="none" w:sz="4" w:space="0" w:color="000000"/>
        </w:tcBorders>
        <w:shd w:val="clear" w:color="FFFFFF" w:themeColor="light1" w:fill="FFFFFF" w:themeFill="light1"/>
      </w:tcPr>
    </w:tblStylePr>
    <w:tblStylePr w:type="lastRow">
      <w:rPr>
        <w:rFonts w:ascii="Arial" w:hAnsi="Arial"/>
        <w:b/>
        <w:color w:val="D99695" w:themeColor="accent2" w:themeTint="97" w:themeShade="95"/>
        <w:sz w:val="22"/>
      </w:rPr>
      <w:tblPr/>
      <w:tcPr>
        <w:tcBorders>
          <w:top w:val="single" w:sz="4" w:space="0" w:color="D99695"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4" w:space="0" w:color="000000"/>
          <w:left w:val="none" w:sz="4" w:space="0" w:color="000000"/>
          <w:bottom w:val="none" w:sz="4" w:space="0" w:color="000000"/>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4" w:space="0" w:color="000000"/>
          <w:left w:val="single" w:sz="4" w:space="0" w:color="D99695" w:themeColor="accent2" w:themeTint="97"/>
          <w:bottom w:val="none" w:sz="4" w:space="0" w:color="000000"/>
          <w:right w:val="none" w:sz="4" w:space="0" w:color="000000"/>
        </w:tcBorders>
        <w:shd w:val="clear" w:color="FFFFFF" w:fill="auto"/>
      </w:tc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customStyle="1" w:styleId="GridTable7Colorful-Accent3">
    <w:name w:val="Grid Table 7 Colorful - Accent 3"/>
    <w:basedOn w:val="a1"/>
    <w:uiPriority w:val="99"/>
    <w:pPr>
      <w:spacing w:after="0" w:line="240" w:lineRule="auto"/>
    </w:pPr>
    <w:tblPr>
      <w:tblStyleRowBandSize w:val="1"/>
      <w:tblStyleColBandSize w:val="1"/>
      <w:tblBorders>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Pr>
    <w:tblStylePr w:type="firstRow">
      <w:rPr>
        <w:rFonts w:ascii="Arial" w:hAnsi="Arial"/>
        <w:b/>
        <w:color w:val="9ABB59" w:themeColor="accent3" w:themeTint="FE" w:themeShade="95"/>
        <w:sz w:val="22"/>
      </w:rPr>
      <w:tblPr/>
      <w:tcPr>
        <w:tcBorders>
          <w:top w:val="none" w:sz="4" w:space="0" w:color="000000"/>
          <w:left w:val="none" w:sz="4" w:space="0" w:color="000000"/>
          <w:bottom w:val="single" w:sz="4" w:space="0" w:color="9ABB59" w:themeColor="accent3" w:themeTint="FE"/>
          <w:right w:val="none" w:sz="4" w:space="0" w:color="000000"/>
        </w:tcBorders>
        <w:shd w:val="clear" w:color="FFFFFF" w:themeColor="light1" w:fill="FFFFFF" w:themeFill="light1"/>
      </w:tcPr>
    </w:tblStylePr>
    <w:tblStylePr w:type="lastRow">
      <w:rPr>
        <w:rFonts w:ascii="Arial" w:hAnsi="Arial"/>
        <w:b/>
        <w:color w:val="9ABB59" w:themeColor="accent3" w:themeTint="FE" w:themeShade="95"/>
        <w:sz w:val="22"/>
      </w:rPr>
      <w:tblPr/>
      <w:tcPr>
        <w:tcBorders>
          <w:top w:val="single" w:sz="4" w:space="0" w:color="9ABB59" w:themeColor="accent3" w:themeTint="FE"/>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9ABB59" w:themeColor="accent3" w:themeTint="FE" w:themeShade="95"/>
        <w:sz w:val="22"/>
      </w:rPr>
      <w:tblPr/>
      <w:tcPr>
        <w:tcBorders>
          <w:top w:val="none" w:sz="4" w:space="0" w:color="000000"/>
          <w:left w:val="none" w:sz="4" w:space="0" w:color="000000"/>
          <w:bottom w:val="none" w:sz="4" w:space="0" w:color="000000"/>
          <w:right w:val="single" w:sz="4" w:space="0" w:color="9ABB59" w:themeColor="accent3" w:themeTint="FE"/>
        </w:tcBorders>
        <w:shd w:val="clear" w:color="FFFFFF" w:fill="auto"/>
      </w:tcPr>
    </w:tblStylePr>
    <w:tblStylePr w:type="lastCol">
      <w:rPr>
        <w:rFonts w:ascii="Arial" w:hAnsi="Arial"/>
        <w:i/>
        <w:color w:val="9ABB59" w:themeColor="accent3" w:themeTint="FE" w:themeShade="95"/>
        <w:sz w:val="22"/>
      </w:rPr>
      <w:tblPr/>
      <w:tcPr>
        <w:tcBorders>
          <w:top w:val="none" w:sz="4" w:space="0" w:color="000000"/>
          <w:left w:val="single" w:sz="4" w:space="0" w:color="9ABB59" w:themeColor="accent3" w:themeTint="FE"/>
          <w:bottom w:val="none" w:sz="4" w:space="0" w:color="000000"/>
          <w:right w:val="none" w:sz="4" w:space="0" w:color="000000"/>
        </w:tcBorders>
        <w:shd w:val="clear" w:color="FFFFFF" w:fill="auto"/>
      </w:tc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customStyle="1" w:styleId="GridTable7Colorful-Accent4">
    <w:name w:val="Grid Table 7 Colorful - Accent 4"/>
    <w:basedOn w:val="a1"/>
    <w:uiPriority w:val="99"/>
    <w:pPr>
      <w:spacing w:after="0" w:line="240" w:lineRule="auto"/>
    </w:pPr>
    <w:tblPr>
      <w:tblStyleRowBandSize w:val="1"/>
      <w:tblStyleColBandSize w:val="1"/>
      <w:tblBorders>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Pr>
    <w:tblStylePr w:type="firstRow">
      <w:rPr>
        <w:rFonts w:ascii="Arial" w:hAnsi="Arial"/>
        <w:b/>
        <w:color w:val="B2A1C6" w:themeColor="accent4" w:themeTint="9A" w:themeShade="95"/>
        <w:sz w:val="22"/>
      </w:rPr>
      <w:tblPr/>
      <w:tcPr>
        <w:tcBorders>
          <w:top w:val="none" w:sz="4" w:space="0" w:color="000000"/>
          <w:left w:val="none" w:sz="4" w:space="0" w:color="000000"/>
          <w:bottom w:val="single" w:sz="4" w:space="0" w:color="B2A1C6" w:themeColor="accent4" w:themeTint="9A"/>
          <w:right w:val="none" w:sz="4" w:space="0" w:color="000000"/>
        </w:tcBorders>
        <w:shd w:val="clear" w:color="FFFFFF" w:themeColor="light1" w:fill="FFFFFF" w:themeFill="light1"/>
      </w:tcPr>
    </w:tblStylePr>
    <w:tblStylePr w:type="lastRow">
      <w:rPr>
        <w:rFonts w:ascii="Arial" w:hAnsi="Arial"/>
        <w:b/>
        <w:color w:val="B2A1C6" w:themeColor="accent4" w:themeTint="9A" w:themeShade="95"/>
        <w:sz w:val="22"/>
      </w:rPr>
      <w:tblPr/>
      <w:tcPr>
        <w:tcBorders>
          <w:top w:val="single" w:sz="4" w:space="0" w:color="B2A1C6"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4" w:space="0" w:color="000000"/>
          <w:left w:val="none" w:sz="4" w:space="0" w:color="000000"/>
          <w:bottom w:val="none" w:sz="4" w:space="0" w:color="000000"/>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4" w:space="0" w:color="000000"/>
          <w:left w:val="single" w:sz="4" w:space="0" w:color="B2A1C6" w:themeColor="accent4" w:themeTint="9A"/>
          <w:bottom w:val="none" w:sz="4" w:space="0" w:color="000000"/>
          <w:right w:val="none" w:sz="4" w:space="0" w:color="000000"/>
        </w:tcBorders>
        <w:shd w:val="clear" w:color="FFFFFF" w:fill="auto"/>
      </w:tc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customStyle="1" w:styleId="GridTable7Colorful-Accent5">
    <w:name w:val="Grid Table 7 Colorful - Accent 5"/>
    <w:basedOn w:val="a1"/>
    <w:uiPriority w:val="99"/>
    <w:pPr>
      <w:spacing w:after="0" w:line="240" w:lineRule="auto"/>
    </w:pPr>
    <w:tblPr>
      <w:tblStyleRowBandSize w:val="1"/>
      <w:tblStyleColBandSize w:val="1"/>
      <w:tblBorders>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Pr>
    <w:tblStylePr w:type="firstRow">
      <w:rPr>
        <w:rFonts w:ascii="Arial" w:hAnsi="Arial"/>
        <w:b/>
        <w:color w:val="266779" w:themeColor="accent5" w:themeShade="95"/>
        <w:sz w:val="22"/>
      </w:rPr>
      <w:tblPr/>
      <w:tcPr>
        <w:tcBorders>
          <w:top w:val="none" w:sz="4" w:space="0" w:color="000000"/>
          <w:left w:val="none" w:sz="4" w:space="0" w:color="000000"/>
          <w:bottom w:val="single" w:sz="4" w:space="0" w:color="99D0DE" w:themeColor="accent5" w:themeTint="90"/>
          <w:right w:val="none" w:sz="4" w:space="0" w:color="000000"/>
        </w:tcBorders>
        <w:shd w:val="clear" w:color="FFFFFF" w:themeColor="light1" w:fill="FFFFFF" w:themeFill="light1"/>
      </w:tcPr>
    </w:tblStylePr>
    <w:tblStylePr w:type="lastRow">
      <w:rPr>
        <w:rFonts w:ascii="Arial" w:hAnsi="Arial"/>
        <w:b/>
        <w:color w:val="266779" w:themeColor="accent5" w:themeShade="95"/>
        <w:sz w:val="22"/>
      </w:rPr>
      <w:tblPr/>
      <w:tcPr>
        <w:tcBorders>
          <w:top w:val="single" w:sz="4" w:space="0" w:color="99D0DE" w:themeColor="accent5"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66779" w:themeColor="accent5" w:themeShade="95"/>
        <w:sz w:val="22"/>
      </w:rPr>
      <w:tblPr/>
      <w:tcPr>
        <w:tcBorders>
          <w:top w:val="none" w:sz="4" w:space="0" w:color="000000"/>
          <w:left w:val="none" w:sz="4" w:space="0" w:color="000000"/>
          <w:bottom w:val="none" w:sz="4" w:space="0" w:color="000000"/>
          <w:right w:val="single" w:sz="4" w:space="0" w:color="99D0DE" w:themeColor="accent5" w:themeTint="90"/>
        </w:tcBorders>
        <w:shd w:val="clear" w:color="FFFFFF" w:fill="auto"/>
      </w:tcPr>
    </w:tblStylePr>
    <w:tblStylePr w:type="lastCol">
      <w:rPr>
        <w:rFonts w:ascii="Arial" w:hAnsi="Arial"/>
        <w:i/>
        <w:color w:val="266779" w:themeColor="accent5" w:themeShade="95"/>
        <w:sz w:val="22"/>
      </w:rPr>
      <w:tblPr/>
      <w:tcPr>
        <w:tcBorders>
          <w:top w:val="none" w:sz="4" w:space="0" w:color="000000"/>
          <w:left w:val="single" w:sz="4" w:space="0" w:color="99D0DE" w:themeColor="accent5" w:themeTint="90"/>
          <w:bottom w:val="none" w:sz="4" w:space="0" w:color="000000"/>
          <w:right w:val="none" w:sz="4" w:space="0" w:color="000000"/>
        </w:tcBorders>
        <w:shd w:val="clear" w:color="FFFFFF" w:fill="auto"/>
      </w:tc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customStyle="1" w:styleId="GridTable7Colorful-Accent6">
    <w:name w:val="Grid Table 7 Colorful - Accent 6"/>
    <w:basedOn w:val="a1"/>
    <w:uiPriority w:val="99"/>
    <w:pPr>
      <w:spacing w:after="0" w:line="240" w:lineRule="auto"/>
    </w:pPr>
    <w:tblPr>
      <w:tblStyleRowBandSize w:val="1"/>
      <w:tblStyleColBandSize w:val="1"/>
      <w:tblBorders>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Pr>
    <w:tblStylePr w:type="firstRow">
      <w:rPr>
        <w:rFonts w:ascii="Arial" w:hAnsi="Arial"/>
        <w:b/>
        <w:color w:val="B15407" w:themeColor="accent6" w:themeShade="95"/>
        <w:sz w:val="22"/>
      </w:rPr>
      <w:tblPr/>
      <w:tcPr>
        <w:tcBorders>
          <w:top w:val="none" w:sz="4" w:space="0" w:color="000000"/>
          <w:left w:val="none" w:sz="4" w:space="0" w:color="000000"/>
          <w:bottom w:val="single" w:sz="4" w:space="0" w:color="FAC396" w:themeColor="accent6" w:themeTint="90"/>
          <w:right w:val="none" w:sz="4" w:space="0" w:color="000000"/>
        </w:tcBorders>
        <w:shd w:val="clear" w:color="FFFFFF" w:themeColor="light1" w:fill="FFFFFF" w:themeFill="light1"/>
      </w:tcPr>
    </w:tblStylePr>
    <w:tblStylePr w:type="lastRow">
      <w:rPr>
        <w:rFonts w:ascii="Arial" w:hAnsi="Arial"/>
        <w:b/>
        <w:color w:val="B15407" w:themeColor="accent6" w:themeShade="95"/>
        <w:sz w:val="22"/>
      </w:rPr>
      <w:tblPr/>
      <w:tcPr>
        <w:tcBorders>
          <w:top w:val="single" w:sz="4" w:space="0" w:color="FAC396" w:themeColor="accent6"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B15407" w:themeColor="accent6" w:themeShade="95"/>
        <w:sz w:val="22"/>
      </w:rPr>
      <w:tblPr/>
      <w:tcPr>
        <w:tcBorders>
          <w:top w:val="none" w:sz="4" w:space="0" w:color="000000"/>
          <w:left w:val="none" w:sz="4" w:space="0" w:color="000000"/>
          <w:bottom w:val="none" w:sz="4" w:space="0" w:color="000000"/>
          <w:right w:val="single" w:sz="4" w:space="0" w:color="FAC396" w:themeColor="accent6" w:themeTint="90"/>
        </w:tcBorders>
        <w:shd w:val="clear" w:color="FFFFFF" w:fill="auto"/>
      </w:tcPr>
    </w:tblStylePr>
    <w:tblStylePr w:type="lastCol">
      <w:rPr>
        <w:rFonts w:ascii="Arial" w:hAnsi="Arial"/>
        <w:i/>
        <w:color w:val="B15407" w:themeColor="accent6" w:themeShade="95"/>
        <w:sz w:val="22"/>
      </w:rPr>
      <w:tblPr/>
      <w:tcPr>
        <w:tcBorders>
          <w:top w:val="none" w:sz="4" w:space="0" w:color="000000"/>
          <w:left w:val="single" w:sz="4" w:space="0" w:color="FAC396" w:themeColor="accent6" w:themeTint="90"/>
          <w:bottom w:val="none" w:sz="4" w:space="0" w:color="000000"/>
          <w:right w:val="none" w:sz="4" w:space="0" w:color="000000"/>
        </w:tcBorders>
        <w:shd w:val="clear" w:color="FFFFFF" w:fill="auto"/>
      </w:tcPr>
    </w:tblStylePr>
    <w:tblStylePr w:type="band1Vert">
      <w:tblPr/>
      <w:tcPr>
        <w:shd w:val="clear" w:color="FDE9D8" w:themeColor="accent6" w:themeTint="34" w:fill="FDE9D8" w:themeFill="accent6" w:themeFillTint="34"/>
      </w:tcPr>
    </w:tblStylePr>
    <w:tblStylePr w:type="band1Horz">
      <w:rPr>
        <w:rFonts w:ascii="Arial" w:hAnsi="Arial"/>
        <w:color w:val="B15407" w:themeColor="accent6" w:themeShade="95"/>
        <w:sz w:val="22"/>
      </w:rPr>
      <w:tblPr/>
      <w:tcPr>
        <w:shd w:val="clear" w:color="FDE9D8" w:themeColor="accent6" w:themeTint="34" w:fill="FDE9D8" w:themeFill="accent6" w:themeFillTint="34"/>
      </w:tcPr>
    </w:tblStylePr>
    <w:tblStylePr w:type="band2Horz">
      <w:rPr>
        <w:rFonts w:ascii="Arial" w:hAnsi="Arial"/>
        <w:color w:val="B15407" w:themeColor="accent6" w:themeShade="95"/>
        <w:sz w:val="22"/>
      </w:rPr>
    </w:tblStylePr>
  </w:style>
  <w:style w:type="table" w:styleId="13">
    <w:name w:val="List Table 1 Light"/>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F81BD" w:themeColor="accent1"/>
          <w:right w:val="none" w:sz="4" w:space="0" w:color="000000"/>
        </w:tcBorders>
      </w:tcPr>
    </w:tblStylePr>
    <w:tblStylePr w:type="lastRow">
      <w:rPr>
        <w:b/>
        <w:color w:val="404040"/>
      </w:rPr>
      <w:tblPr/>
      <w:tcPr>
        <w:tcBorders>
          <w:top w:val="single" w:sz="4" w:space="0" w:color="4F81BD"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2DFEE" w:themeColor="accent1" w:themeTint="40" w:fill="D2DFEE" w:themeFill="accent1" w:themeFillTint="40"/>
      </w:tcPr>
    </w:tblStylePr>
    <w:tblStylePr w:type="band1Horz">
      <w:tblPr/>
      <w:tcPr>
        <w:shd w:val="clear" w:color="D2DFEE" w:themeColor="accent1" w:themeTint="40" w:fill="D2DFEE" w:themeFill="accent1" w:themeFillTint="40"/>
      </w:tcPr>
    </w:tblStylePr>
  </w:style>
  <w:style w:type="table" w:customStyle="1" w:styleId="ListTable1Light-Accent2">
    <w:name w:val="List Table 1 Light - Accent 2"/>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C0504D" w:themeColor="accent2"/>
          <w:right w:val="none" w:sz="4" w:space="0" w:color="000000"/>
        </w:tcBorders>
      </w:tcPr>
    </w:tblStylePr>
    <w:tblStylePr w:type="lastRow">
      <w:rPr>
        <w:b/>
        <w:color w:val="404040"/>
      </w:rPr>
      <w:tblPr/>
      <w:tcPr>
        <w:tcBorders>
          <w:top w:val="single" w:sz="4" w:space="0" w:color="C0504D"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FD2D2" w:themeColor="accent2" w:themeTint="40" w:fill="EFD2D2" w:themeFill="accent2" w:themeFillTint="40"/>
      </w:tcPr>
    </w:tblStylePr>
    <w:tblStylePr w:type="band1Horz">
      <w:tblPr/>
      <w:tcPr>
        <w:shd w:val="clear" w:color="EFD2D2" w:themeColor="accent2" w:themeTint="40" w:fill="EFD2D2" w:themeFill="accent2" w:themeFillTint="40"/>
      </w:tcPr>
    </w:tblStylePr>
  </w:style>
  <w:style w:type="table" w:customStyle="1" w:styleId="ListTable1Light-Accent3">
    <w:name w:val="List Table 1 Light - Accent 3"/>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9BBB59" w:themeColor="accent3"/>
          <w:right w:val="none" w:sz="4" w:space="0" w:color="000000"/>
        </w:tcBorders>
      </w:tcPr>
    </w:tblStylePr>
    <w:tblStylePr w:type="lastRow">
      <w:rPr>
        <w:b/>
        <w:color w:val="404040"/>
      </w:rPr>
      <w:tblPr/>
      <w:tcPr>
        <w:tcBorders>
          <w:top w:val="single" w:sz="4" w:space="0" w:color="9BBB59"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5EED5" w:themeColor="accent3" w:themeTint="40" w:fill="E5EED5" w:themeFill="accent3" w:themeFillTint="40"/>
      </w:tcPr>
    </w:tblStylePr>
    <w:tblStylePr w:type="band1Horz">
      <w:tblPr/>
      <w:tcPr>
        <w:shd w:val="clear" w:color="E5EED5" w:themeColor="accent3" w:themeTint="40" w:fill="E5EED5" w:themeFill="accent3" w:themeFillTint="40"/>
      </w:tcPr>
    </w:tblStylePr>
  </w:style>
  <w:style w:type="table" w:customStyle="1" w:styleId="ListTable1Light-Accent4">
    <w:name w:val="List Table 1 Light - Accent 4"/>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8064A2" w:themeColor="accent4"/>
          <w:right w:val="none" w:sz="4" w:space="0" w:color="000000"/>
        </w:tcBorders>
      </w:tcPr>
    </w:tblStylePr>
    <w:tblStylePr w:type="lastRow">
      <w:rPr>
        <w:b/>
        <w:color w:val="404040"/>
      </w:rPr>
      <w:tblPr/>
      <w:tcPr>
        <w:tcBorders>
          <w:top w:val="single" w:sz="4" w:space="0" w:color="8064A2"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FD8E7" w:themeColor="accent4" w:themeTint="40" w:fill="DFD8E7" w:themeFill="accent4" w:themeFillTint="40"/>
      </w:tcPr>
    </w:tblStylePr>
    <w:tblStylePr w:type="band1Horz">
      <w:tblPr/>
      <w:tcPr>
        <w:shd w:val="clear" w:color="DFD8E7" w:themeColor="accent4" w:themeTint="40" w:fill="DFD8E7" w:themeFill="accent4" w:themeFillTint="40"/>
      </w:tcPr>
    </w:tblStylePr>
  </w:style>
  <w:style w:type="table" w:customStyle="1" w:styleId="ListTable1Light-Accent5">
    <w:name w:val="List Table 1 Light - Accent 5"/>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BACC6" w:themeColor="accent5"/>
          <w:right w:val="none" w:sz="4" w:space="0" w:color="000000"/>
        </w:tcBorders>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1EAF0" w:themeColor="accent5" w:themeTint="40" w:fill="D1EAF0" w:themeFill="accent5" w:themeFillTint="40"/>
      </w:tcPr>
    </w:tblStylePr>
    <w:tblStylePr w:type="band1Horz">
      <w:tblPr/>
      <w:tcPr>
        <w:shd w:val="clear" w:color="D1EAF0" w:themeColor="accent5" w:themeTint="40" w:fill="D1EAF0" w:themeFill="accent5" w:themeFillTint="40"/>
      </w:tcPr>
    </w:tblStylePr>
  </w:style>
  <w:style w:type="table" w:customStyle="1" w:styleId="ListTable1Light-Accent6">
    <w:name w:val="List Table 1 Light - Accent 6"/>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F79646" w:themeColor="accent6"/>
          <w:right w:val="none" w:sz="4" w:space="0" w:color="000000"/>
        </w:tcBorders>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DE4D0" w:themeColor="accent6" w:themeTint="40" w:fill="FDE4D0" w:themeFill="accent6" w:themeFillTint="40"/>
      </w:tcPr>
    </w:tblStylePr>
    <w:tblStylePr w:type="band1Horz">
      <w:tblPr/>
      <w:tcPr>
        <w:shd w:val="clear" w:color="FDE4D0" w:themeColor="accent6" w:themeTint="40" w:fill="FDE4D0" w:themeFill="accent6" w:themeFillTint="40"/>
      </w:tcPr>
    </w:tblStylePr>
  </w:style>
  <w:style w:type="table" w:styleId="22">
    <w:name w:val="List Table 2"/>
    <w:basedOn w:val="a1"/>
    <w:uiPriority w:val="99"/>
    <w:pPr>
      <w:spacing w:after="0" w:line="240" w:lineRule="auto"/>
    </w:pPr>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a1"/>
    <w:uiPriority w:val="99"/>
    <w:pPr>
      <w:spacing w:after="0" w:line="240" w:lineRule="auto"/>
    </w:pPr>
    <w:tblPr>
      <w:tblStyleRowBandSize w:val="1"/>
      <w:tblStyleColBandSize w:val="1"/>
      <w:tblBorders>
        <w:top w:val="single" w:sz="4" w:space="0" w:color="9BB7D9" w:themeColor="accent1" w:themeTint="90"/>
        <w:bottom w:val="single" w:sz="4" w:space="0" w:color="9BB7D9" w:themeColor="accent1" w:themeTint="90"/>
        <w:insideH w:val="single" w:sz="4" w:space="0" w:color="9BB7D9" w:themeColor="accent1" w:themeTint="90"/>
      </w:tblBorders>
    </w:tblPr>
    <w:tblStylePr w:type="fir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la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customStyle="1" w:styleId="ListTable2-Accent2">
    <w:name w:val="List Table 2 - Accent 2"/>
    <w:basedOn w:val="a1"/>
    <w:uiPriority w:val="99"/>
    <w:pPr>
      <w:spacing w:after="0" w:line="240" w:lineRule="auto"/>
    </w:pPr>
    <w:tblPr>
      <w:tblStyleRowBandSize w:val="1"/>
      <w:tblStyleColBandSize w:val="1"/>
      <w:tblBorders>
        <w:top w:val="single" w:sz="4" w:space="0" w:color="DB9B9A" w:themeColor="accent2" w:themeTint="90"/>
        <w:bottom w:val="single" w:sz="4" w:space="0" w:color="DB9B9A" w:themeColor="accent2" w:themeTint="90"/>
        <w:insideH w:val="single" w:sz="4" w:space="0" w:color="DB9B9A" w:themeColor="accent2" w:themeTint="90"/>
      </w:tblBorders>
    </w:tblPr>
    <w:tblStylePr w:type="fir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la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customStyle="1" w:styleId="ListTable2-Accent3">
    <w:name w:val="List Table 2 - Accent 3"/>
    <w:basedOn w:val="a1"/>
    <w:uiPriority w:val="99"/>
    <w:pPr>
      <w:spacing w:after="0" w:line="240" w:lineRule="auto"/>
    </w:pPr>
    <w:tblPr>
      <w:tblStyleRowBandSize w:val="1"/>
      <w:tblStyleColBandSize w:val="1"/>
      <w:tblBorders>
        <w:top w:val="single" w:sz="4" w:space="0" w:color="C6D8A1" w:themeColor="accent3" w:themeTint="90"/>
        <w:bottom w:val="single" w:sz="4" w:space="0" w:color="C6D8A1" w:themeColor="accent3" w:themeTint="90"/>
        <w:insideH w:val="single" w:sz="4" w:space="0" w:color="C6D8A1" w:themeColor="accent3" w:themeTint="90"/>
      </w:tblBorders>
    </w:tblPr>
    <w:tblStylePr w:type="fir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la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customStyle="1" w:styleId="ListTable2-Accent4">
    <w:name w:val="List Table 2 - Accent 4"/>
    <w:basedOn w:val="a1"/>
    <w:uiPriority w:val="99"/>
    <w:pPr>
      <w:spacing w:after="0" w:line="240" w:lineRule="auto"/>
    </w:pPr>
    <w:tblPr>
      <w:tblStyleRowBandSize w:val="1"/>
      <w:tblStyleColBandSize w:val="1"/>
      <w:tblBorders>
        <w:top w:val="single" w:sz="4" w:space="0" w:color="B7A7CA" w:themeColor="accent4" w:themeTint="90"/>
        <w:bottom w:val="single" w:sz="4" w:space="0" w:color="B7A7CA" w:themeColor="accent4" w:themeTint="90"/>
        <w:insideH w:val="single" w:sz="4" w:space="0" w:color="B7A7CA" w:themeColor="accent4" w:themeTint="90"/>
      </w:tblBorders>
    </w:tblPr>
    <w:tblStylePr w:type="fir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la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customStyle="1" w:styleId="ListTable2-Accent5">
    <w:name w:val="List Table 2 - Accent 5"/>
    <w:basedOn w:val="a1"/>
    <w:uiPriority w:val="99"/>
    <w:pPr>
      <w:spacing w:after="0" w:line="240" w:lineRule="auto"/>
    </w:pPr>
    <w:tblPr>
      <w:tblStyleRowBandSize w:val="1"/>
      <w:tblStyleColBandSize w:val="1"/>
      <w:tblBorders>
        <w:top w:val="single" w:sz="4" w:space="0" w:color="99D0DE" w:themeColor="accent5" w:themeTint="90"/>
        <w:bottom w:val="single" w:sz="4" w:space="0" w:color="99D0DE" w:themeColor="accent5" w:themeTint="90"/>
        <w:insideH w:val="single" w:sz="4" w:space="0" w:color="99D0DE" w:themeColor="accent5" w:themeTint="90"/>
      </w:tblBorders>
    </w:tblPr>
    <w:tblStylePr w:type="fir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la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customStyle="1" w:styleId="ListTable2-Accent6">
    <w:name w:val="List Table 2 - Accent 6"/>
    <w:basedOn w:val="a1"/>
    <w:uiPriority w:val="99"/>
    <w:pPr>
      <w:spacing w:after="0" w:line="240" w:lineRule="auto"/>
    </w:pPr>
    <w:tblPr>
      <w:tblStyleRowBandSize w:val="1"/>
      <w:tblStyleColBandSize w:val="1"/>
      <w:tblBorders>
        <w:top w:val="single" w:sz="4" w:space="0" w:color="FAC396" w:themeColor="accent6" w:themeTint="90"/>
        <w:bottom w:val="single" w:sz="4" w:space="0" w:color="FAC396" w:themeColor="accent6" w:themeTint="90"/>
        <w:insideH w:val="single" w:sz="4" w:space="0" w:color="FAC396" w:themeColor="accent6" w:themeTint="90"/>
      </w:tblBorders>
    </w:tblPr>
    <w:tblStylePr w:type="fir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la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styleId="32">
    <w:name w:val="List Table 3"/>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a1"/>
    <w:uiPriority w:val="99"/>
    <w:pPr>
      <w:spacing w:after="0" w:line="240" w:lineRule="auto"/>
    </w:pPr>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F81BD" w:themeColor="accent1"/>
          <w:right w:val="single" w:sz="4" w:space="0" w:color="4F81BD" w:themeColor="accent1"/>
        </w:tcBorders>
      </w:tcPr>
    </w:tblStylePr>
    <w:tblStylePr w:type="band1Horz">
      <w:rPr>
        <w:rFonts w:ascii="Arial" w:hAnsi="Arial"/>
        <w:color w:val="404040"/>
        <w:sz w:val="22"/>
      </w:rPr>
      <w:tblPr/>
      <w:tcPr>
        <w:tcBorders>
          <w:top w:val="single" w:sz="4" w:space="0" w:color="4F81BD" w:themeColor="accent1"/>
          <w:bottom w:val="single" w:sz="4" w:space="0" w:color="4F81BD" w:themeColor="accent1"/>
        </w:tcBorders>
      </w:tcPr>
    </w:tblStylePr>
  </w:style>
  <w:style w:type="table" w:customStyle="1" w:styleId="ListTable3-Accent2">
    <w:name w:val="List Table 3 - Accent 2"/>
    <w:basedOn w:val="a1"/>
    <w:uiPriority w:val="99"/>
    <w:pPr>
      <w:spacing w:after="0" w:line="240" w:lineRule="auto"/>
    </w:pPr>
    <w:tblPr>
      <w:tblStyleRowBandSize w:val="1"/>
      <w:tblStyleColBandSize w:val="1"/>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blBorders>
    </w:tblPr>
    <w:tblStylePr w:type="firstRow">
      <w:rPr>
        <w:rFonts w:ascii="Arial" w:hAnsi="Arial"/>
        <w:b/>
        <w:color w:val="FFFFFF"/>
        <w:sz w:val="22"/>
      </w:rPr>
      <w:tblPr/>
      <w:tcPr>
        <w:shd w:val="clear" w:color="D99695" w:themeColor="accent2" w:themeTint="97" w:fill="D99695"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D99695" w:themeColor="accent2" w:themeTint="97"/>
          <w:right w:val="single" w:sz="4" w:space="0" w:color="D99695" w:themeColor="accent2" w:themeTint="97"/>
        </w:tcBorders>
      </w:tcPr>
    </w:tblStylePr>
    <w:tblStylePr w:type="band1Horz">
      <w:rPr>
        <w:rFonts w:ascii="Arial" w:hAnsi="Arial"/>
        <w:color w:val="404040"/>
        <w:sz w:val="22"/>
      </w:rPr>
      <w:tblPr/>
      <w:tcPr>
        <w:tcBorders>
          <w:top w:val="single" w:sz="4" w:space="0" w:color="D99695" w:themeColor="accent2" w:themeTint="97"/>
          <w:bottom w:val="single" w:sz="4" w:space="0" w:color="D99695" w:themeColor="accent2" w:themeTint="97"/>
        </w:tcBorders>
      </w:tcPr>
    </w:tblStylePr>
  </w:style>
  <w:style w:type="table" w:customStyle="1" w:styleId="ListTable3-Accent3">
    <w:name w:val="List Table 3 - Accent 3"/>
    <w:basedOn w:val="a1"/>
    <w:uiPriority w:val="99"/>
    <w:pPr>
      <w:spacing w:after="0" w:line="240" w:lineRule="auto"/>
    </w:pPr>
    <w:tblPr>
      <w:tblStyleRowBandSize w:val="1"/>
      <w:tblStyleColBandSize w:val="1"/>
      <w:tblBorders>
        <w:top w:val="single" w:sz="4" w:space="0" w:color="C3D69B" w:themeColor="accent3" w:themeTint="98"/>
        <w:left w:val="single" w:sz="4" w:space="0" w:color="C3D69B" w:themeColor="accent3" w:themeTint="98"/>
        <w:bottom w:val="single" w:sz="4" w:space="0" w:color="C3D69B" w:themeColor="accent3" w:themeTint="98"/>
        <w:right w:val="single" w:sz="4" w:space="0" w:color="C3D69B" w:themeColor="accent3" w:themeTint="98"/>
      </w:tblBorders>
    </w:tblPr>
    <w:tblStylePr w:type="firstRow">
      <w:rPr>
        <w:rFonts w:ascii="Arial" w:hAnsi="Arial"/>
        <w:b/>
        <w:color w:val="FFFFFF"/>
        <w:sz w:val="22"/>
      </w:rPr>
      <w:tblPr/>
      <w:tcPr>
        <w:shd w:val="clear" w:color="C3D69B" w:themeColor="accent3" w:themeTint="98" w:fill="C3D69B"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3D69B" w:themeColor="accent3" w:themeTint="98"/>
          <w:right w:val="single" w:sz="4" w:space="0" w:color="C3D69B" w:themeColor="accent3" w:themeTint="98"/>
        </w:tcBorders>
      </w:tcPr>
    </w:tblStylePr>
    <w:tblStylePr w:type="band1Horz">
      <w:rPr>
        <w:rFonts w:ascii="Arial" w:hAnsi="Arial"/>
        <w:color w:val="404040"/>
        <w:sz w:val="22"/>
      </w:rPr>
      <w:tblPr/>
      <w:tcPr>
        <w:tcBorders>
          <w:top w:val="single" w:sz="4" w:space="0" w:color="C3D69B" w:themeColor="accent3" w:themeTint="98"/>
          <w:bottom w:val="single" w:sz="4" w:space="0" w:color="C3D69B" w:themeColor="accent3" w:themeTint="98"/>
        </w:tcBorders>
      </w:tcPr>
    </w:tblStylePr>
  </w:style>
  <w:style w:type="table" w:customStyle="1" w:styleId="ListTable3-Accent4">
    <w:name w:val="List Table 3 - Accent 4"/>
    <w:basedOn w:val="a1"/>
    <w:uiPriority w:val="99"/>
    <w:pPr>
      <w:spacing w:after="0" w:line="240" w:lineRule="auto"/>
    </w:pPr>
    <w:tblPr>
      <w:tblStyleRowBandSize w:val="1"/>
      <w:tblStyleColBandSize w:val="1"/>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blBorders>
    </w:tblPr>
    <w:tblStylePr w:type="firstRow">
      <w:rPr>
        <w:rFonts w:ascii="Arial" w:hAnsi="Arial"/>
        <w:b/>
        <w:color w:val="FFFFFF"/>
        <w:sz w:val="22"/>
      </w:rPr>
      <w:tblPr/>
      <w:tcPr>
        <w:shd w:val="clear" w:color="B2A1C6" w:themeColor="accent4" w:themeTint="9A" w:fill="B2A1C6"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B2A1C6" w:themeColor="accent4" w:themeTint="9A"/>
          <w:right w:val="single" w:sz="4" w:space="0" w:color="B2A1C6" w:themeColor="accent4" w:themeTint="9A"/>
        </w:tcBorders>
      </w:tcPr>
    </w:tblStylePr>
    <w:tblStylePr w:type="band1Horz">
      <w:rPr>
        <w:rFonts w:ascii="Arial" w:hAnsi="Arial"/>
        <w:color w:val="404040"/>
        <w:sz w:val="22"/>
      </w:rPr>
      <w:tblPr/>
      <w:tcPr>
        <w:tcBorders>
          <w:top w:val="single" w:sz="4" w:space="0" w:color="B2A1C6" w:themeColor="accent4" w:themeTint="9A"/>
          <w:bottom w:val="single" w:sz="4" w:space="0" w:color="B2A1C6" w:themeColor="accent4" w:themeTint="9A"/>
        </w:tcBorders>
      </w:tcPr>
    </w:tblStylePr>
  </w:style>
  <w:style w:type="table" w:customStyle="1" w:styleId="ListTable3-Accent5">
    <w:name w:val="List Table 3 - Accent 5"/>
    <w:basedOn w:val="a1"/>
    <w:uiPriority w:val="99"/>
    <w:pPr>
      <w:spacing w:after="0" w:line="240" w:lineRule="auto"/>
    </w:pPr>
    <w:tblPr>
      <w:tblStyleRowBandSize w:val="1"/>
      <w:tblStyleColBandSize w:val="1"/>
      <w:tblBorders>
        <w:top w:val="single" w:sz="4" w:space="0" w:color="92CCDC" w:themeColor="accent5" w:themeTint="9A"/>
        <w:left w:val="single" w:sz="4" w:space="0" w:color="92CCDC" w:themeColor="accent5" w:themeTint="9A"/>
        <w:bottom w:val="single" w:sz="4" w:space="0" w:color="92CCDC" w:themeColor="accent5" w:themeTint="9A"/>
        <w:right w:val="single" w:sz="4" w:space="0" w:color="92CCDC" w:themeColor="accent5" w:themeTint="9A"/>
      </w:tblBorders>
    </w:tblPr>
    <w:tblStylePr w:type="firstRow">
      <w:rPr>
        <w:rFonts w:ascii="Arial" w:hAnsi="Arial"/>
        <w:b/>
        <w:color w:val="FFFFFF"/>
        <w:sz w:val="22"/>
      </w:rPr>
      <w:tblPr/>
      <w:tcPr>
        <w:shd w:val="clear" w:color="92CCDC" w:themeColor="accent5" w:themeTint="9A" w:fill="92CCDC"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92CCDC" w:themeColor="accent5" w:themeTint="9A"/>
          <w:right w:val="single" w:sz="4" w:space="0" w:color="92CCDC" w:themeColor="accent5" w:themeTint="9A"/>
        </w:tcBorders>
      </w:tcPr>
    </w:tblStylePr>
    <w:tblStylePr w:type="band1Horz">
      <w:rPr>
        <w:rFonts w:ascii="Arial" w:hAnsi="Arial"/>
        <w:color w:val="404040"/>
        <w:sz w:val="22"/>
      </w:rPr>
      <w:tblPr/>
      <w:tcPr>
        <w:tcBorders>
          <w:top w:val="single" w:sz="4" w:space="0" w:color="92CCDC" w:themeColor="accent5" w:themeTint="9A"/>
          <w:bottom w:val="single" w:sz="4" w:space="0" w:color="92CCDC" w:themeColor="accent5" w:themeTint="9A"/>
        </w:tcBorders>
      </w:tcPr>
    </w:tblStylePr>
  </w:style>
  <w:style w:type="table" w:customStyle="1" w:styleId="ListTable3-Accent6">
    <w:name w:val="List Table 3 - Accent 6"/>
    <w:basedOn w:val="a1"/>
    <w:uiPriority w:val="99"/>
    <w:pPr>
      <w:spacing w:after="0" w:line="240" w:lineRule="auto"/>
    </w:pPr>
    <w:tblPr>
      <w:tblStyleRowBandSize w:val="1"/>
      <w:tblStyleColBandSize w:val="1"/>
      <w:tblBorders>
        <w:top w:val="single" w:sz="4" w:space="0" w:color="FAC090" w:themeColor="accent6" w:themeTint="98"/>
        <w:left w:val="single" w:sz="4" w:space="0" w:color="FAC090" w:themeColor="accent6" w:themeTint="98"/>
        <w:bottom w:val="single" w:sz="4" w:space="0" w:color="FAC090" w:themeColor="accent6" w:themeTint="98"/>
        <w:right w:val="single" w:sz="4" w:space="0" w:color="FAC090" w:themeColor="accent6" w:themeTint="98"/>
      </w:tblBorders>
    </w:tblPr>
    <w:tblStylePr w:type="firstRow">
      <w:rPr>
        <w:rFonts w:ascii="Arial" w:hAnsi="Arial"/>
        <w:b/>
        <w:color w:val="FFFFFF"/>
        <w:sz w:val="22"/>
      </w:rPr>
      <w:tblPr/>
      <w:tcPr>
        <w:shd w:val="clear" w:color="FAC090" w:themeColor="accent6" w:themeTint="98" w:fill="FAC090"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AC090" w:themeColor="accent6" w:themeTint="98"/>
          <w:right w:val="single" w:sz="4" w:space="0" w:color="FAC090" w:themeColor="accent6" w:themeTint="98"/>
        </w:tcBorders>
      </w:tcPr>
    </w:tblStylePr>
    <w:tblStylePr w:type="band1Horz">
      <w:rPr>
        <w:rFonts w:ascii="Arial" w:hAnsi="Arial"/>
        <w:color w:val="404040"/>
        <w:sz w:val="22"/>
      </w:rPr>
      <w:tblPr/>
      <w:tcPr>
        <w:tcBorders>
          <w:top w:val="single" w:sz="4" w:space="0" w:color="FAC090" w:themeColor="accent6" w:themeTint="98"/>
          <w:bottom w:val="single" w:sz="4" w:space="0" w:color="FAC090" w:themeColor="accent6" w:themeTint="98"/>
        </w:tcBorders>
      </w:tcPr>
    </w:tblStylePr>
  </w:style>
  <w:style w:type="table" w:styleId="42">
    <w:name w:val="List Table 4"/>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a1"/>
    <w:uiPriority w:val="99"/>
    <w:pPr>
      <w:spacing w:after="0" w:line="240" w:lineRule="auto"/>
    </w:pPr>
    <w:tblPr>
      <w:tblStyleRowBandSize w:val="1"/>
      <w:tblStyleColBandSize w:val="1"/>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tblBorders>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customStyle="1" w:styleId="ListTable4-Accent2">
    <w:name w:val="List Table 4 - Accent 2"/>
    <w:basedOn w:val="a1"/>
    <w:uiPriority w:val="99"/>
    <w:pPr>
      <w:spacing w:after="0" w:line="240" w:lineRule="auto"/>
    </w:pPr>
    <w:tblPr>
      <w:tblStyleRowBandSize w:val="1"/>
      <w:tblStyleColBandSize w:val="1"/>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tblBorders>
    </w:tblPr>
    <w:tblStylePr w:type="firstRow">
      <w:rPr>
        <w:rFonts w:ascii="Arial" w:hAnsi="Arial"/>
        <w:b/>
        <w:color w:val="FFFFFF"/>
        <w:sz w:val="22"/>
      </w:rPr>
      <w:tblPr/>
      <w:tcPr>
        <w:shd w:val="clear" w:color="C0504D" w:themeColor="accent2" w:fill="C0504D"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customStyle="1" w:styleId="ListTable4-Accent3">
    <w:name w:val="List Table 4 - Accent 3"/>
    <w:basedOn w:val="a1"/>
    <w:uiPriority w:val="99"/>
    <w:pPr>
      <w:spacing w:after="0" w:line="240" w:lineRule="auto"/>
    </w:pPr>
    <w:tblPr>
      <w:tblStyleRowBandSize w:val="1"/>
      <w:tblStyleColBandSize w:val="1"/>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tblBorders>
    </w:tblPr>
    <w:tblStylePr w:type="firstRow">
      <w:rPr>
        <w:rFonts w:ascii="Arial" w:hAnsi="Arial"/>
        <w:b/>
        <w:color w:val="FFFFFF"/>
        <w:sz w:val="22"/>
      </w:rPr>
      <w:tblPr/>
      <w:tcPr>
        <w:shd w:val="clear" w:color="9BBB59" w:themeColor="accent3" w:fill="9BBB59"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customStyle="1" w:styleId="ListTable4-Accent4">
    <w:name w:val="List Table 4 - Accent 4"/>
    <w:basedOn w:val="a1"/>
    <w:uiPriority w:val="99"/>
    <w:pPr>
      <w:spacing w:after="0" w:line="240" w:lineRule="auto"/>
    </w:pPr>
    <w:tblPr>
      <w:tblStyleRowBandSize w:val="1"/>
      <w:tblStyleColBandSize w:val="1"/>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tblBorders>
    </w:tblPr>
    <w:tblStylePr w:type="firstRow">
      <w:rPr>
        <w:rFonts w:ascii="Arial" w:hAnsi="Arial"/>
        <w:b/>
        <w:color w:val="FFFFFF"/>
        <w:sz w:val="22"/>
      </w:rPr>
      <w:tblPr/>
      <w:tcPr>
        <w:shd w:val="clear" w:color="8064A2" w:themeColor="accent4" w:fill="8064A2"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customStyle="1" w:styleId="ListTable4-Accent5">
    <w:name w:val="List Table 4 - Accent 5"/>
    <w:basedOn w:val="a1"/>
    <w:uiPriority w:val="99"/>
    <w:pPr>
      <w:spacing w:after="0" w:line="240" w:lineRule="auto"/>
    </w:pPr>
    <w:tblPr>
      <w:tblStyleRowBandSize w:val="1"/>
      <w:tblStyleColBandSize w:val="1"/>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tblBorders>
    </w:tblPr>
    <w:tblStylePr w:type="firstRow">
      <w:rPr>
        <w:rFonts w:ascii="Arial" w:hAnsi="Arial"/>
        <w:b/>
        <w:color w:val="FFFFFF"/>
        <w:sz w:val="22"/>
      </w:rPr>
      <w:tblPr/>
      <w:tcPr>
        <w:shd w:val="clear" w:color="4BACC6" w:themeColor="accent5" w:fill="4BACC6"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customStyle="1" w:styleId="ListTable4-Accent6">
    <w:name w:val="List Table 4 - Accent 6"/>
    <w:basedOn w:val="a1"/>
    <w:uiPriority w:val="99"/>
    <w:pPr>
      <w:spacing w:after="0" w:line="240" w:lineRule="auto"/>
    </w:pPr>
    <w:tblPr>
      <w:tblStyleRowBandSize w:val="1"/>
      <w:tblStyleColBandSize w:val="1"/>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tblBorders>
    </w:tblPr>
    <w:tblStylePr w:type="firstRow">
      <w:rPr>
        <w:rFonts w:ascii="Arial" w:hAnsi="Arial"/>
        <w:b/>
        <w:color w:val="FFFFFF"/>
        <w:sz w:val="22"/>
      </w:rPr>
      <w:tblPr/>
      <w:tcPr>
        <w:shd w:val="clear" w:color="F79646" w:themeColor="accent6" w:fill="F79646"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styleId="53">
    <w:name w:val="List Table 5 Dark"/>
    <w:basedOn w:val="a1"/>
    <w:uiPriority w:val="99"/>
    <w:pPr>
      <w:spacing w:after="0" w:line="240" w:lineRule="auto"/>
    </w:pPr>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a1"/>
    <w:uiPriority w:val="99"/>
    <w:pPr>
      <w:spacing w:after="0" w:line="240" w:lineRule="auto"/>
    </w:pPr>
    <w:tblPr>
      <w:tblStyleRowBandSize w:val="1"/>
      <w:tblStyleColBandSize w:val="1"/>
      <w:tblBorders>
        <w:top w:val="single" w:sz="32" w:space="0" w:color="4F81BD" w:themeColor="accent1"/>
        <w:left w:val="single" w:sz="32" w:space="0" w:color="4F81BD" w:themeColor="accent1"/>
        <w:bottom w:val="single" w:sz="32" w:space="0" w:color="4F81BD" w:themeColor="accent1"/>
        <w:right w:val="single" w:sz="32" w:space="0" w:color="4F81BD" w:themeColor="accent1"/>
      </w:tblBorders>
      <w:shd w:val="clear" w:color="4F81BD" w:themeColor="accent1" w:fill="4F81BD" w:themeFill="accent1"/>
    </w:tblPr>
    <w:tblStylePr w:type="firstRow">
      <w:rPr>
        <w:rFonts w:ascii="Arial" w:hAnsi="Arial"/>
        <w:b/>
        <w:color w:val="FFFFFF" w:themeColor="light1"/>
        <w:sz w:val="22"/>
      </w:rPr>
      <w:tblPr/>
      <w:tcPr>
        <w:tcBorders>
          <w:top w:val="single" w:sz="32" w:space="0" w:color="4F81BD" w:themeColor="accent1"/>
          <w:bottom w:val="single" w:sz="12" w:space="0" w:color="FFFFFF" w:themeColor="light1"/>
        </w:tcBorders>
        <w:shd w:val="clear" w:color="4F81BD" w:themeColor="accent1" w:fill="4F81BD"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F81BD" w:themeColor="accent1"/>
          <w:right w:val="single" w:sz="4" w:space="0" w:color="FFFFFF" w:themeColor="light1"/>
        </w:tcBorders>
      </w:tcPr>
    </w:tblStylePr>
    <w:tblStylePr w:type="lastCol">
      <w:tblPr/>
      <w:tcPr>
        <w:tcBorders>
          <w:left w:val="single" w:sz="4" w:space="0" w:color="FFFFFF" w:themeColor="light1"/>
          <w:right w:val="single" w:sz="32" w:space="0" w:color="4F81BD" w:themeColor="accent1"/>
        </w:tcBorders>
      </w:tcPr>
    </w:tblStylePr>
    <w:tblStylePr w:type="band1Vert">
      <w:tblPr/>
      <w:tcPr>
        <w:tcBorders>
          <w:left w:val="single" w:sz="4" w:space="0" w:color="FFFFFF" w:themeColor="light1"/>
          <w:right w:val="single" w:sz="4" w:space="0" w:color="FFFFFF" w:themeColor="light1"/>
        </w:tcBorders>
        <w:shd w:val="clear" w:color="4F81BD" w:themeColor="accent1" w:fill="4F81BD"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4F81BD" w:themeColor="accent1" w:fill="4F81BD" w:themeFill="accent1"/>
      </w:tcPr>
    </w:tblStylePr>
    <w:tblStylePr w:type="band2Horz">
      <w:tblPr/>
      <w:tcPr>
        <w:tcBorders>
          <w:top w:val="single" w:sz="4" w:space="0" w:color="FFFFFF" w:themeColor="light1"/>
          <w:bottom w:val="single" w:sz="4" w:space="0" w:color="FFFFFF" w:themeColor="light1"/>
        </w:tcBorders>
        <w:shd w:val="clear" w:color="4F81BD" w:themeColor="accent1" w:fill="4F81BD" w:themeFill="accent1"/>
      </w:tcPr>
    </w:tblStylePr>
  </w:style>
  <w:style w:type="table" w:customStyle="1" w:styleId="ListTable5Dark-Accent2">
    <w:name w:val="List Table 5 Dark - Accent 2"/>
    <w:basedOn w:val="a1"/>
    <w:uiPriority w:val="99"/>
    <w:pPr>
      <w:spacing w:after="0" w:line="240" w:lineRule="auto"/>
    </w:pPr>
    <w:tblPr>
      <w:tblStyleRowBandSize w:val="1"/>
      <w:tblStyleColBandSize w:val="1"/>
      <w:tblBorders>
        <w:top w:val="single" w:sz="32" w:space="0" w:color="D99695" w:themeColor="accent2" w:themeTint="97"/>
        <w:left w:val="single" w:sz="32" w:space="0" w:color="D99695" w:themeColor="accent2" w:themeTint="97"/>
        <w:bottom w:val="single" w:sz="32" w:space="0" w:color="D99695" w:themeColor="accent2" w:themeTint="97"/>
        <w:right w:val="single" w:sz="32" w:space="0" w:color="D99695" w:themeColor="accent2" w:themeTint="97"/>
      </w:tblBorders>
      <w:shd w:val="clear" w:color="D99695" w:themeColor="accent2" w:themeTint="97" w:fill="D99695" w:themeFill="accent2" w:themeFillTint="97"/>
    </w:tblPr>
    <w:tblStylePr w:type="firstRow">
      <w:rPr>
        <w:rFonts w:ascii="Arial" w:hAnsi="Arial"/>
        <w:b/>
        <w:color w:val="FFFFFF" w:themeColor="light1"/>
        <w:sz w:val="22"/>
      </w:rPr>
      <w:tblPr/>
      <w:tcPr>
        <w:tcBorders>
          <w:top w:val="single" w:sz="32" w:space="0" w:color="D99695" w:themeColor="accent2" w:themeTint="97"/>
          <w:bottom w:val="single" w:sz="12" w:space="0" w:color="FFFFFF" w:themeColor="light1"/>
        </w:tcBorders>
        <w:shd w:val="clear" w:color="D99695" w:themeColor="accent2" w:themeTint="97" w:fill="D99695"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D99695" w:themeColor="accent2" w:themeTint="97"/>
          <w:right w:val="single" w:sz="4" w:space="0" w:color="FFFFFF" w:themeColor="light1"/>
        </w:tcBorders>
      </w:tcPr>
    </w:tblStylePr>
    <w:tblStylePr w:type="lastCol">
      <w:tblPr/>
      <w:tcPr>
        <w:tcBorders>
          <w:left w:val="single" w:sz="4" w:space="0" w:color="FFFFFF" w:themeColor="light1"/>
          <w:right w:val="single" w:sz="32" w:space="0" w:color="D99695" w:themeColor="accent2" w:themeTint="97"/>
        </w:tcBorders>
      </w:tcPr>
    </w:tblStylePr>
    <w:tblStylePr w:type="band1Vert">
      <w:tblPr/>
      <w:tcPr>
        <w:tcBorders>
          <w:left w:val="single" w:sz="4" w:space="0" w:color="FFFFFF" w:themeColor="light1"/>
          <w:right w:val="single" w:sz="4" w:space="0" w:color="FFFFFF" w:themeColor="light1"/>
        </w:tcBorders>
        <w:shd w:val="clear" w:color="D99695" w:themeColor="accent2" w:themeTint="97" w:fill="D99695"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tblStylePr w:type="band2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style>
  <w:style w:type="table" w:customStyle="1" w:styleId="ListTable5Dark-Accent3">
    <w:name w:val="List Table 5 Dark - Accent 3"/>
    <w:basedOn w:val="a1"/>
    <w:uiPriority w:val="99"/>
    <w:pPr>
      <w:spacing w:after="0" w:line="240" w:lineRule="auto"/>
    </w:pPr>
    <w:tblPr>
      <w:tblStyleRowBandSize w:val="1"/>
      <w:tblStyleColBandSize w:val="1"/>
      <w:tblBorders>
        <w:top w:val="single" w:sz="32" w:space="0" w:color="C3D69B" w:themeColor="accent3" w:themeTint="98"/>
        <w:left w:val="single" w:sz="32" w:space="0" w:color="C3D69B" w:themeColor="accent3" w:themeTint="98"/>
        <w:bottom w:val="single" w:sz="32" w:space="0" w:color="C3D69B" w:themeColor="accent3" w:themeTint="98"/>
        <w:right w:val="single" w:sz="32" w:space="0" w:color="C3D69B" w:themeColor="accent3" w:themeTint="98"/>
      </w:tblBorders>
      <w:shd w:val="clear" w:color="C3D69B" w:themeColor="accent3" w:themeTint="98" w:fill="C3D69B" w:themeFill="accent3" w:themeFillTint="98"/>
    </w:tblPr>
    <w:tblStylePr w:type="firstRow">
      <w:rPr>
        <w:rFonts w:ascii="Arial" w:hAnsi="Arial"/>
        <w:b/>
        <w:color w:val="FFFFFF" w:themeColor="light1"/>
        <w:sz w:val="22"/>
      </w:rPr>
      <w:tblPr/>
      <w:tcPr>
        <w:tcBorders>
          <w:top w:val="single" w:sz="32" w:space="0" w:color="C3D69B" w:themeColor="accent3" w:themeTint="98"/>
          <w:bottom w:val="single" w:sz="12" w:space="0" w:color="FFFFFF" w:themeColor="light1"/>
        </w:tcBorders>
        <w:shd w:val="clear" w:color="C3D69B" w:themeColor="accent3" w:themeTint="98" w:fill="C3D69B"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3D69B" w:themeColor="accent3" w:themeTint="98"/>
          <w:right w:val="single" w:sz="4" w:space="0" w:color="FFFFFF" w:themeColor="light1"/>
        </w:tcBorders>
      </w:tcPr>
    </w:tblStylePr>
    <w:tblStylePr w:type="lastCol">
      <w:tblPr/>
      <w:tcPr>
        <w:tcBorders>
          <w:left w:val="single" w:sz="4" w:space="0" w:color="FFFFFF" w:themeColor="light1"/>
          <w:right w:val="single" w:sz="32" w:space="0" w:color="C3D69B" w:themeColor="accent3" w:themeTint="98"/>
        </w:tcBorders>
      </w:tcPr>
    </w:tblStylePr>
    <w:tblStylePr w:type="band1Vert">
      <w:tblPr/>
      <w:tcPr>
        <w:tcBorders>
          <w:left w:val="single" w:sz="4" w:space="0" w:color="FFFFFF" w:themeColor="light1"/>
          <w:right w:val="single" w:sz="4" w:space="0" w:color="FFFFFF" w:themeColor="light1"/>
        </w:tcBorders>
        <w:shd w:val="clear" w:color="C3D69B" w:themeColor="accent3" w:themeTint="98" w:fill="C3D69B"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tblStylePr w:type="band2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style>
  <w:style w:type="table" w:customStyle="1" w:styleId="ListTable5Dark-Accent4">
    <w:name w:val="List Table 5 Dark - Accent 4"/>
    <w:basedOn w:val="a1"/>
    <w:uiPriority w:val="99"/>
    <w:pPr>
      <w:spacing w:after="0" w:line="240" w:lineRule="auto"/>
    </w:pPr>
    <w:tblPr>
      <w:tblStyleRowBandSize w:val="1"/>
      <w:tblStyleColBandSize w:val="1"/>
      <w:tblBorders>
        <w:top w:val="single" w:sz="32" w:space="0" w:color="B2A1C6" w:themeColor="accent4" w:themeTint="9A"/>
        <w:left w:val="single" w:sz="32" w:space="0" w:color="B2A1C6" w:themeColor="accent4" w:themeTint="9A"/>
        <w:bottom w:val="single" w:sz="32" w:space="0" w:color="B2A1C6" w:themeColor="accent4" w:themeTint="9A"/>
        <w:right w:val="single" w:sz="32" w:space="0" w:color="B2A1C6" w:themeColor="accent4" w:themeTint="9A"/>
      </w:tblBorders>
      <w:shd w:val="clear" w:color="B2A1C6" w:themeColor="accent4" w:themeTint="9A" w:fill="B2A1C6" w:themeFill="accent4" w:themeFillTint="9A"/>
    </w:tblPr>
    <w:tblStylePr w:type="firstRow">
      <w:rPr>
        <w:rFonts w:ascii="Arial" w:hAnsi="Arial"/>
        <w:b/>
        <w:color w:val="FFFFFF" w:themeColor="light1"/>
        <w:sz w:val="22"/>
      </w:rPr>
      <w:tblPr/>
      <w:tcPr>
        <w:tcBorders>
          <w:top w:val="single" w:sz="32" w:space="0" w:color="B2A1C6" w:themeColor="accent4" w:themeTint="9A"/>
          <w:bottom w:val="single" w:sz="12" w:space="0" w:color="FFFFFF" w:themeColor="light1"/>
        </w:tcBorders>
        <w:shd w:val="clear" w:color="B2A1C6" w:themeColor="accent4" w:themeTint="9A" w:fill="B2A1C6"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B2A1C6" w:themeColor="accent4" w:themeTint="9A"/>
          <w:right w:val="single" w:sz="4" w:space="0" w:color="FFFFFF" w:themeColor="light1"/>
        </w:tcBorders>
      </w:tcPr>
    </w:tblStylePr>
    <w:tblStylePr w:type="lastCol">
      <w:tblPr/>
      <w:tcPr>
        <w:tcBorders>
          <w:left w:val="single" w:sz="4" w:space="0" w:color="FFFFFF" w:themeColor="light1"/>
          <w:right w:val="single" w:sz="32" w:space="0" w:color="B2A1C6" w:themeColor="accent4" w:themeTint="9A"/>
        </w:tcBorders>
      </w:tcPr>
    </w:tblStylePr>
    <w:tblStylePr w:type="band1Vert">
      <w:tblPr/>
      <w:tcPr>
        <w:tcBorders>
          <w:left w:val="single" w:sz="4" w:space="0" w:color="FFFFFF" w:themeColor="light1"/>
          <w:right w:val="single" w:sz="4" w:space="0" w:color="FFFFFF" w:themeColor="light1"/>
        </w:tcBorders>
        <w:shd w:val="clear" w:color="B2A1C6" w:themeColor="accent4" w:themeTint="9A" w:fill="B2A1C6"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tblStylePr w:type="band2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style>
  <w:style w:type="table" w:customStyle="1" w:styleId="ListTable5Dark-Accent5">
    <w:name w:val="List Table 5 Dark - Accent 5"/>
    <w:basedOn w:val="a1"/>
    <w:uiPriority w:val="99"/>
    <w:pPr>
      <w:spacing w:after="0" w:line="240" w:lineRule="auto"/>
    </w:pPr>
    <w:tblPr>
      <w:tblStyleRowBandSize w:val="1"/>
      <w:tblStyleColBandSize w:val="1"/>
      <w:tblBorders>
        <w:top w:val="single" w:sz="32" w:space="0" w:color="92CCDC" w:themeColor="accent5" w:themeTint="9A"/>
        <w:left w:val="single" w:sz="32" w:space="0" w:color="92CCDC" w:themeColor="accent5" w:themeTint="9A"/>
        <w:bottom w:val="single" w:sz="32" w:space="0" w:color="92CCDC" w:themeColor="accent5" w:themeTint="9A"/>
        <w:right w:val="single" w:sz="32" w:space="0" w:color="92CCDC" w:themeColor="accent5" w:themeTint="9A"/>
      </w:tblBorders>
      <w:shd w:val="clear" w:color="92CCDC" w:themeColor="accent5" w:themeTint="9A" w:fill="92CCDC" w:themeFill="accent5" w:themeFillTint="9A"/>
    </w:tblPr>
    <w:tblStylePr w:type="firstRow">
      <w:rPr>
        <w:rFonts w:ascii="Arial" w:hAnsi="Arial"/>
        <w:b/>
        <w:color w:val="FFFFFF" w:themeColor="light1"/>
        <w:sz w:val="22"/>
      </w:rPr>
      <w:tblPr/>
      <w:tcPr>
        <w:tcBorders>
          <w:top w:val="single" w:sz="32" w:space="0" w:color="92CCDC" w:themeColor="accent5" w:themeTint="9A"/>
          <w:bottom w:val="single" w:sz="12" w:space="0" w:color="FFFFFF" w:themeColor="light1"/>
        </w:tcBorders>
        <w:shd w:val="clear" w:color="92CCDC" w:themeColor="accent5" w:themeTint="9A" w:fill="92CCDC"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92CCDC" w:themeColor="accent5" w:themeTint="9A"/>
          <w:right w:val="single" w:sz="4" w:space="0" w:color="FFFFFF" w:themeColor="light1"/>
        </w:tcBorders>
      </w:tcPr>
    </w:tblStylePr>
    <w:tblStylePr w:type="lastCol">
      <w:tblPr/>
      <w:tcPr>
        <w:tcBorders>
          <w:left w:val="single" w:sz="4" w:space="0" w:color="FFFFFF" w:themeColor="light1"/>
          <w:right w:val="single" w:sz="32" w:space="0" w:color="92CCDC" w:themeColor="accent5" w:themeTint="9A"/>
        </w:tcBorders>
      </w:tcPr>
    </w:tblStylePr>
    <w:tblStylePr w:type="band1Vert">
      <w:tblPr/>
      <w:tcPr>
        <w:tcBorders>
          <w:left w:val="single" w:sz="4" w:space="0" w:color="FFFFFF" w:themeColor="light1"/>
          <w:right w:val="single" w:sz="4" w:space="0" w:color="FFFFFF" w:themeColor="light1"/>
        </w:tcBorders>
        <w:shd w:val="clear" w:color="92CCDC" w:themeColor="accent5" w:themeTint="9A" w:fill="92CCDC"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tblStylePr w:type="band2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style>
  <w:style w:type="table" w:customStyle="1" w:styleId="ListTable5Dark-Accent6">
    <w:name w:val="List Table 5 Dark - Accent 6"/>
    <w:basedOn w:val="a1"/>
    <w:uiPriority w:val="99"/>
    <w:pPr>
      <w:spacing w:after="0" w:line="240" w:lineRule="auto"/>
    </w:pPr>
    <w:tblPr>
      <w:tblStyleRowBandSize w:val="1"/>
      <w:tblStyleColBandSize w:val="1"/>
      <w:tblBorders>
        <w:top w:val="single" w:sz="32" w:space="0" w:color="FAC090" w:themeColor="accent6" w:themeTint="98"/>
        <w:left w:val="single" w:sz="32" w:space="0" w:color="FAC090" w:themeColor="accent6" w:themeTint="98"/>
        <w:bottom w:val="single" w:sz="32" w:space="0" w:color="FAC090" w:themeColor="accent6" w:themeTint="98"/>
        <w:right w:val="single" w:sz="32" w:space="0" w:color="FAC090" w:themeColor="accent6" w:themeTint="98"/>
      </w:tblBorders>
      <w:shd w:val="clear" w:color="FAC090" w:themeColor="accent6" w:themeTint="98" w:fill="FAC090" w:themeFill="accent6" w:themeFillTint="98"/>
    </w:tblPr>
    <w:tblStylePr w:type="firstRow">
      <w:rPr>
        <w:rFonts w:ascii="Arial" w:hAnsi="Arial"/>
        <w:b/>
        <w:color w:val="FFFFFF" w:themeColor="light1"/>
        <w:sz w:val="22"/>
      </w:rPr>
      <w:tblPr/>
      <w:tcPr>
        <w:tcBorders>
          <w:top w:val="single" w:sz="32" w:space="0" w:color="FAC090" w:themeColor="accent6" w:themeTint="98"/>
          <w:bottom w:val="single" w:sz="12" w:space="0" w:color="FFFFFF" w:themeColor="light1"/>
        </w:tcBorders>
        <w:shd w:val="clear" w:color="FAC090" w:themeColor="accent6" w:themeTint="98" w:fill="FAC090"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AC090" w:themeColor="accent6" w:themeTint="98"/>
          <w:right w:val="single" w:sz="4" w:space="0" w:color="FFFFFF" w:themeColor="light1"/>
        </w:tcBorders>
      </w:tcPr>
    </w:tblStylePr>
    <w:tblStylePr w:type="lastCol">
      <w:tblPr/>
      <w:tcPr>
        <w:tcBorders>
          <w:left w:val="single" w:sz="4" w:space="0" w:color="FFFFFF" w:themeColor="light1"/>
          <w:right w:val="single" w:sz="32" w:space="0" w:color="FAC090" w:themeColor="accent6" w:themeTint="98"/>
        </w:tcBorders>
      </w:tcPr>
    </w:tblStylePr>
    <w:tblStylePr w:type="band1Vert">
      <w:tblPr/>
      <w:tcPr>
        <w:tcBorders>
          <w:left w:val="single" w:sz="4" w:space="0" w:color="FFFFFF" w:themeColor="light1"/>
          <w:right w:val="single" w:sz="4" w:space="0" w:color="FFFFFF" w:themeColor="light1"/>
        </w:tcBorders>
        <w:shd w:val="clear" w:color="FAC090" w:themeColor="accent6" w:themeTint="98" w:fill="FAC090"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tblStylePr w:type="band2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style>
  <w:style w:type="table" w:styleId="62">
    <w:name w:val="List Table 6 Colorful"/>
    <w:basedOn w:val="a1"/>
    <w:uiPriority w:val="9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a1"/>
    <w:uiPriority w:val="99"/>
    <w:pPr>
      <w:spacing w:after="0" w:line="240" w:lineRule="auto"/>
    </w:pPr>
    <w:tblPr>
      <w:tblStyleRowBandSize w:val="1"/>
      <w:tblStyleColBandSize w:val="1"/>
      <w:tblBorders>
        <w:top w:val="single" w:sz="4" w:space="0" w:color="4F81BD" w:themeColor="accent1"/>
        <w:bottom w:val="single" w:sz="4" w:space="0" w:color="4F81BD" w:themeColor="accent1"/>
      </w:tblBorders>
    </w:tblPr>
    <w:tblStylePr w:type="firstRow">
      <w:rPr>
        <w:b/>
        <w:color w:val="2A4A71" w:themeColor="accent1" w:themeShade="95"/>
      </w:rPr>
      <w:tblPr/>
      <w:tcPr>
        <w:tcBorders>
          <w:bottom w:val="single" w:sz="4" w:space="0" w:color="4F81BD" w:themeColor="accent1"/>
        </w:tcBorders>
      </w:tcPr>
    </w:tblStylePr>
    <w:tblStylePr w:type="lastRow">
      <w:rPr>
        <w:b/>
        <w:color w:val="2A4A71" w:themeColor="accent1" w:themeShade="95"/>
      </w:rPr>
      <w:tblPr/>
      <w:tcPr>
        <w:tcBorders>
          <w:top w:val="single" w:sz="4" w:space="0" w:color="4F81BD" w:themeColor="accent1"/>
        </w:tcBorders>
      </w:tcPr>
    </w:tblStylePr>
    <w:tblStylePr w:type="firstCol">
      <w:rPr>
        <w:b/>
        <w:color w:val="2A4A71" w:themeColor="accent1" w:themeShade="95"/>
      </w:rPr>
    </w:tblStylePr>
    <w:tblStylePr w:type="lastCol">
      <w:rPr>
        <w:b/>
        <w:color w:val="2A4A71" w:themeColor="accent1" w:themeShade="95"/>
      </w:r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customStyle="1" w:styleId="ListTable6Colorful-Accent2">
    <w:name w:val="List Table 6 Colorful - Accent 2"/>
    <w:basedOn w:val="a1"/>
    <w:uiPriority w:val="99"/>
    <w:pPr>
      <w:spacing w:after="0" w:line="240" w:lineRule="auto"/>
    </w:pPr>
    <w:tblPr>
      <w:tblStyleRowBandSize w:val="1"/>
      <w:tblStyleColBandSize w:val="1"/>
      <w:tblBorders>
        <w:top w:val="single" w:sz="4" w:space="0" w:color="D99695" w:themeColor="accent2" w:themeTint="97"/>
        <w:bottom w:val="single" w:sz="4" w:space="0" w:color="D99695" w:themeColor="accent2" w:themeTint="97"/>
      </w:tblBorders>
    </w:tblPr>
    <w:tblStylePr w:type="firstRow">
      <w:rPr>
        <w:b/>
        <w:color w:val="D99695" w:themeColor="accent2" w:themeTint="97" w:themeShade="95"/>
      </w:rPr>
      <w:tblPr/>
      <w:tcPr>
        <w:tcBorders>
          <w:bottom w:val="single" w:sz="4" w:space="0" w:color="D99695" w:themeColor="accent2" w:themeTint="97"/>
        </w:tcBorders>
      </w:tcPr>
    </w:tblStylePr>
    <w:tblStylePr w:type="lastRow">
      <w:rPr>
        <w:b/>
        <w:color w:val="D99695" w:themeColor="accent2" w:themeTint="97" w:themeShade="95"/>
      </w:rPr>
      <w:tblPr/>
      <w:tcPr>
        <w:tcBorders>
          <w:top w:val="single" w:sz="4" w:space="0" w:color="D99695" w:themeColor="accent2" w:themeTint="97"/>
        </w:tcBorders>
      </w:tc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customStyle="1" w:styleId="ListTable6Colorful-Accent3">
    <w:name w:val="List Table 6 Colorful - Accent 3"/>
    <w:basedOn w:val="a1"/>
    <w:uiPriority w:val="99"/>
    <w:pPr>
      <w:spacing w:after="0" w:line="240" w:lineRule="auto"/>
    </w:pPr>
    <w:tblPr>
      <w:tblStyleRowBandSize w:val="1"/>
      <w:tblStyleColBandSize w:val="1"/>
      <w:tblBorders>
        <w:top w:val="single" w:sz="4" w:space="0" w:color="C3D69B" w:themeColor="accent3" w:themeTint="98"/>
        <w:bottom w:val="single" w:sz="4" w:space="0" w:color="C3D69B" w:themeColor="accent3" w:themeTint="98"/>
      </w:tblBorders>
    </w:tblPr>
    <w:tblStylePr w:type="firstRow">
      <w:rPr>
        <w:b/>
        <w:color w:val="C3D69B" w:themeColor="accent3" w:themeTint="98" w:themeShade="95"/>
      </w:rPr>
      <w:tblPr/>
      <w:tcPr>
        <w:tcBorders>
          <w:bottom w:val="single" w:sz="4" w:space="0" w:color="C3D69B" w:themeColor="accent3" w:themeTint="98"/>
        </w:tcBorders>
      </w:tcPr>
    </w:tblStylePr>
    <w:tblStylePr w:type="lastRow">
      <w:rPr>
        <w:b/>
        <w:color w:val="C3D69B" w:themeColor="accent3" w:themeTint="98" w:themeShade="95"/>
      </w:rPr>
      <w:tblPr/>
      <w:tcPr>
        <w:tcBorders>
          <w:top w:val="single" w:sz="4" w:space="0" w:color="C3D69B" w:themeColor="accent3" w:themeTint="98"/>
        </w:tcBorders>
      </w:tcPr>
    </w:tblStylePr>
    <w:tblStylePr w:type="firstCol">
      <w:rPr>
        <w:b/>
        <w:color w:val="C3D69B" w:themeColor="accent3" w:themeTint="98" w:themeShade="95"/>
      </w:rPr>
    </w:tblStylePr>
    <w:tblStylePr w:type="lastCol">
      <w:rPr>
        <w:b/>
        <w:color w:val="C3D69B" w:themeColor="accent3" w:themeTint="98" w:themeShade="95"/>
      </w:r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customStyle="1" w:styleId="ListTable6Colorful-Accent4">
    <w:name w:val="List Table 6 Colorful - Accent 4"/>
    <w:basedOn w:val="a1"/>
    <w:uiPriority w:val="99"/>
    <w:pPr>
      <w:spacing w:after="0" w:line="240" w:lineRule="auto"/>
    </w:pPr>
    <w:tblPr>
      <w:tblStyleRowBandSize w:val="1"/>
      <w:tblStyleColBandSize w:val="1"/>
      <w:tblBorders>
        <w:top w:val="single" w:sz="4" w:space="0" w:color="B2A1C6" w:themeColor="accent4" w:themeTint="9A"/>
        <w:bottom w:val="single" w:sz="4" w:space="0" w:color="B2A1C6" w:themeColor="accent4" w:themeTint="9A"/>
      </w:tblBorders>
    </w:tblPr>
    <w:tblStylePr w:type="firstRow">
      <w:rPr>
        <w:b/>
        <w:color w:val="B2A1C6" w:themeColor="accent4" w:themeTint="9A" w:themeShade="95"/>
      </w:rPr>
      <w:tblPr/>
      <w:tcPr>
        <w:tcBorders>
          <w:bottom w:val="single" w:sz="4" w:space="0" w:color="B2A1C6" w:themeColor="accent4" w:themeTint="9A"/>
        </w:tcBorders>
      </w:tcPr>
    </w:tblStylePr>
    <w:tblStylePr w:type="lastRow">
      <w:rPr>
        <w:b/>
        <w:color w:val="B2A1C6" w:themeColor="accent4" w:themeTint="9A" w:themeShade="95"/>
      </w:rPr>
      <w:tblPr/>
      <w:tcPr>
        <w:tcBorders>
          <w:top w:val="single" w:sz="4" w:space="0" w:color="B2A1C6" w:themeColor="accent4" w:themeTint="9A"/>
        </w:tcBorders>
      </w:tc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customStyle="1" w:styleId="ListTable6Colorful-Accent5">
    <w:name w:val="List Table 6 Colorful - Accent 5"/>
    <w:basedOn w:val="a1"/>
    <w:uiPriority w:val="99"/>
    <w:pPr>
      <w:spacing w:after="0" w:line="240" w:lineRule="auto"/>
    </w:pPr>
    <w:tblPr>
      <w:tblStyleRowBandSize w:val="1"/>
      <w:tblStyleColBandSize w:val="1"/>
      <w:tblBorders>
        <w:top w:val="single" w:sz="4" w:space="0" w:color="92CCDC" w:themeColor="accent5" w:themeTint="9A"/>
        <w:bottom w:val="single" w:sz="4" w:space="0" w:color="92CCDC" w:themeColor="accent5" w:themeTint="9A"/>
      </w:tblBorders>
    </w:tblPr>
    <w:tblStylePr w:type="firstRow">
      <w:rPr>
        <w:b/>
        <w:color w:val="92CCDC" w:themeColor="accent5" w:themeTint="9A" w:themeShade="95"/>
      </w:rPr>
      <w:tblPr/>
      <w:tcPr>
        <w:tcBorders>
          <w:bottom w:val="single" w:sz="4" w:space="0" w:color="92CCDC" w:themeColor="accent5" w:themeTint="9A"/>
        </w:tcBorders>
      </w:tcPr>
    </w:tblStylePr>
    <w:tblStylePr w:type="lastRow">
      <w:rPr>
        <w:b/>
        <w:color w:val="92CCDC" w:themeColor="accent5" w:themeTint="9A" w:themeShade="95"/>
      </w:rPr>
      <w:tblPr/>
      <w:tcPr>
        <w:tcBorders>
          <w:top w:val="single" w:sz="4" w:space="0" w:color="92CCDC" w:themeColor="accent5" w:themeTint="9A"/>
        </w:tcBorders>
      </w:tcPr>
    </w:tblStylePr>
    <w:tblStylePr w:type="firstCol">
      <w:rPr>
        <w:b/>
        <w:color w:val="92CCDC" w:themeColor="accent5" w:themeTint="9A" w:themeShade="95"/>
      </w:rPr>
    </w:tblStylePr>
    <w:tblStylePr w:type="lastCol">
      <w:rPr>
        <w:b/>
        <w:color w:val="92CCDC" w:themeColor="accent5" w:themeTint="9A" w:themeShade="95"/>
      </w:r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customStyle="1" w:styleId="ListTable6Colorful-Accent6">
    <w:name w:val="List Table 6 Colorful - Accent 6"/>
    <w:basedOn w:val="a1"/>
    <w:uiPriority w:val="99"/>
    <w:pPr>
      <w:spacing w:after="0" w:line="240" w:lineRule="auto"/>
    </w:pPr>
    <w:tblPr>
      <w:tblStyleRowBandSize w:val="1"/>
      <w:tblStyleColBandSize w:val="1"/>
      <w:tblBorders>
        <w:top w:val="single" w:sz="4" w:space="0" w:color="FAC090" w:themeColor="accent6" w:themeTint="98"/>
        <w:bottom w:val="single" w:sz="4" w:space="0" w:color="FAC090" w:themeColor="accent6" w:themeTint="98"/>
      </w:tblBorders>
    </w:tblPr>
    <w:tblStylePr w:type="firstRow">
      <w:rPr>
        <w:b/>
        <w:color w:val="FAC090" w:themeColor="accent6" w:themeTint="98" w:themeShade="95"/>
      </w:rPr>
      <w:tblPr/>
      <w:tcPr>
        <w:tcBorders>
          <w:bottom w:val="single" w:sz="4" w:space="0" w:color="FAC090" w:themeColor="accent6" w:themeTint="98"/>
        </w:tcBorders>
      </w:tcPr>
    </w:tblStylePr>
    <w:tblStylePr w:type="lastRow">
      <w:rPr>
        <w:b/>
        <w:color w:val="FAC090" w:themeColor="accent6" w:themeTint="98" w:themeShade="95"/>
      </w:rPr>
      <w:tblPr/>
      <w:tcPr>
        <w:tcBorders>
          <w:top w:val="single" w:sz="4" w:space="0" w:color="FAC090" w:themeColor="accent6" w:themeTint="98"/>
        </w:tcBorders>
      </w:tcPr>
    </w:tblStylePr>
    <w:tblStylePr w:type="firstCol">
      <w:rPr>
        <w:b/>
        <w:color w:val="FAC090" w:themeColor="accent6" w:themeTint="98" w:themeShade="95"/>
      </w:rPr>
    </w:tblStylePr>
    <w:tblStylePr w:type="lastCol">
      <w:rPr>
        <w:b/>
        <w:color w:val="FAC090" w:themeColor="accent6" w:themeTint="98" w:themeShade="95"/>
      </w:r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styleId="72">
    <w:name w:val="List Table 7 Colorful"/>
    <w:basedOn w:val="a1"/>
    <w:uiPriority w:val="99"/>
    <w:pPr>
      <w:spacing w:after="0" w:line="240" w:lineRule="auto"/>
    </w:pPr>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a1"/>
    <w:uiPriority w:val="99"/>
    <w:pPr>
      <w:spacing w:after="0" w:line="240" w:lineRule="auto"/>
    </w:pPr>
    <w:tblPr>
      <w:tblStyleRowBandSize w:val="1"/>
      <w:tblStyleColBandSize w:val="1"/>
      <w:tblBorders>
        <w:right w:val="single" w:sz="4" w:space="0" w:color="4F81BD" w:themeColor="accent1"/>
      </w:tblBorders>
    </w:tblPr>
    <w:tblStylePr w:type="firstRow">
      <w:rPr>
        <w:rFonts w:ascii="Arial" w:hAnsi="Arial"/>
        <w:i/>
        <w:color w:val="2A4A71" w:themeColor="accent1" w:themeShade="95"/>
        <w:sz w:val="22"/>
      </w:rPr>
      <w:tblPr/>
      <w:tcPr>
        <w:tcBorders>
          <w:top w:val="none" w:sz="4" w:space="0" w:color="000000"/>
          <w:left w:val="none" w:sz="4" w:space="0" w:color="000000"/>
          <w:bottom w:val="single" w:sz="4" w:space="0" w:color="4F81BD" w:themeColor="accent1"/>
          <w:right w:val="none" w:sz="4" w:space="0" w:color="000000"/>
        </w:tcBorders>
        <w:shd w:val="clear" w:color="FFFFFF" w:themeColor="light1" w:fill="FFFFFF" w:themeFill="light1"/>
      </w:tcPr>
    </w:tblStylePr>
    <w:tblStylePr w:type="lastRow">
      <w:rPr>
        <w:rFonts w:ascii="Arial" w:hAnsi="Arial"/>
        <w:i/>
        <w:color w:val="2A4A71" w:themeColor="accent1" w:themeShade="95"/>
        <w:sz w:val="22"/>
      </w:rPr>
      <w:tblPr/>
      <w:tcPr>
        <w:tcBorders>
          <w:top w:val="single" w:sz="4" w:space="0" w:color="4F81BD" w:themeColor="accent1"/>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A4A71" w:themeColor="accent1" w:themeShade="95"/>
        <w:sz w:val="22"/>
      </w:rPr>
      <w:tblPr/>
      <w:tcPr>
        <w:tcBorders>
          <w:top w:val="none" w:sz="4" w:space="0" w:color="000000"/>
          <w:left w:val="none" w:sz="4" w:space="0" w:color="000000"/>
          <w:bottom w:val="none" w:sz="4" w:space="0" w:color="000000"/>
          <w:right w:val="single" w:sz="4" w:space="0" w:color="4F81BD" w:themeColor="accent1"/>
        </w:tcBorders>
        <w:shd w:val="clear" w:color="FFFFFF" w:fill="auto"/>
      </w:tcPr>
    </w:tblStylePr>
    <w:tblStylePr w:type="lastCol">
      <w:rPr>
        <w:rFonts w:ascii="Arial" w:hAnsi="Arial"/>
        <w:i/>
        <w:color w:val="2A4A71" w:themeColor="accent1" w:themeShade="95"/>
        <w:sz w:val="22"/>
      </w:rPr>
      <w:tblPr/>
      <w:tcPr>
        <w:tcBorders>
          <w:top w:val="none" w:sz="4" w:space="0" w:color="000000"/>
          <w:left w:val="single" w:sz="4" w:space="0" w:color="4F81BD" w:themeColor="accent1"/>
          <w:bottom w:val="none" w:sz="4" w:space="0" w:color="000000"/>
          <w:right w:val="none" w:sz="4" w:space="0" w:color="000000"/>
        </w:tcBorders>
        <w:shd w:val="clear" w:color="FFFFFF" w:fill="auto"/>
      </w:tc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customStyle="1" w:styleId="ListTable7Colorful-Accent2">
    <w:name w:val="List Table 7 Colorful - Accent 2"/>
    <w:basedOn w:val="a1"/>
    <w:uiPriority w:val="99"/>
    <w:pPr>
      <w:spacing w:after="0" w:line="240" w:lineRule="auto"/>
    </w:pPr>
    <w:tblPr>
      <w:tblStyleRowBandSize w:val="1"/>
      <w:tblStyleColBandSize w:val="1"/>
      <w:tblBorders>
        <w:right w:val="single" w:sz="4" w:space="0" w:color="D99695" w:themeColor="accent2" w:themeTint="97"/>
      </w:tblBorders>
    </w:tblPr>
    <w:tblStylePr w:type="firstRow">
      <w:rPr>
        <w:rFonts w:ascii="Arial" w:hAnsi="Arial"/>
        <w:i/>
        <w:color w:val="D99695" w:themeColor="accent2" w:themeTint="97" w:themeShade="95"/>
        <w:sz w:val="22"/>
      </w:rPr>
      <w:tblPr/>
      <w:tcPr>
        <w:tcBorders>
          <w:top w:val="none" w:sz="4" w:space="0" w:color="000000"/>
          <w:left w:val="none" w:sz="4" w:space="0" w:color="000000"/>
          <w:bottom w:val="single" w:sz="4" w:space="0" w:color="D99695" w:themeColor="accent2" w:themeTint="97"/>
          <w:right w:val="none" w:sz="4" w:space="0" w:color="000000"/>
        </w:tcBorders>
        <w:shd w:val="clear" w:color="FFFFFF" w:themeColor="light1" w:fill="FFFFFF" w:themeFill="light1"/>
      </w:tcPr>
    </w:tblStylePr>
    <w:tblStylePr w:type="lastRow">
      <w:rPr>
        <w:rFonts w:ascii="Arial" w:hAnsi="Arial"/>
        <w:i/>
        <w:color w:val="D99695" w:themeColor="accent2" w:themeTint="97" w:themeShade="95"/>
        <w:sz w:val="22"/>
      </w:rPr>
      <w:tblPr/>
      <w:tcPr>
        <w:tcBorders>
          <w:top w:val="single" w:sz="4" w:space="0" w:color="D99695"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4" w:space="0" w:color="000000"/>
          <w:left w:val="none" w:sz="4" w:space="0" w:color="000000"/>
          <w:bottom w:val="none" w:sz="4" w:space="0" w:color="000000"/>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4" w:space="0" w:color="000000"/>
          <w:left w:val="single" w:sz="4" w:space="0" w:color="D99695" w:themeColor="accent2" w:themeTint="97"/>
          <w:bottom w:val="none" w:sz="4" w:space="0" w:color="000000"/>
          <w:right w:val="none" w:sz="4" w:space="0" w:color="000000"/>
        </w:tcBorders>
        <w:shd w:val="clear" w:color="FFFFFF" w:fill="auto"/>
      </w:tc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customStyle="1" w:styleId="ListTable7Colorful-Accent3">
    <w:name w:val="List Table 7 Colorful - Accent 3"/>
    <w:basedOn w:val="a1"/>
    <w:uiPriority w:val="99"/>
    <w:pPr>
      <w:spacing w:after="0" w:line="240" w:lineRule="auto"/>
    </w:pPr>
    <w:tblPr>
      <w:tblStyleRowBandSize w:val="1"/>
      <w:tblStyleColBandSize w:val="1"/>
      <w:tblBorders>
        <w:right w:val="single" w:sz="4" w:space="0" w:color="C3D69B" w:themeColor="accent3" w:themeTint="98"/>
      </w:tblBorders>
    </w:tblPr>
    <w:tblStylePr w:type="firstRow">
      <w:rPr>
        <w:rFonts w:ascii="Arial" w:hAnsi="Arial"/>
        <w:i/>
        <w:color w:val="C3D69B" w:themeColor="accent3" w:themeTint="98" w:themeShade="95"/>
        <w:sz w:val="22"/>
      </w:rPr>
      <w:tblPr/>
      <w:tcPr>
        <w:tcBorders>
          <w:top w:val="none" w:sz="4" w:space="0" w:color="000000"/>
          <w:left w:val="none" w:sz="4" w:space="0" w:color="000000"/>
          <w:bottom w:val="single" w:sz="4" w:space="0" w:color="C3D69B" w:themeColor="accent3" w:themeTint="98"/>
          <w:right w:val="none" w:sz="4" w:space="0" w:color="000000"/>
        </w:tcBorders>
        <w:shd w:val="clear" w:color="FFFFFF" w:themeColor="light1" w:fill="FFFFFF" w:themeFill="light1"/>
      </w:tcPr>
    </w:tblStylePr>
    <w:tblStylePr w:type="lastRow">
      <w:rPr>
        <w:rFonts w:ascii="Arial" w:hAnsi="Arial"/>
        <w:i/>
        <w:color w:val="C3D69B" w:themeColor="accent3" w:themeTint="98" w:themeShade="95"/>
        <w:sz w:val="22"/>
      </w:rPr>
      <w:tblPr/>
      <w:tcPr>
        <w:tcBorders>
          <w:top w:val="single" w:sz="4" w:space="0" w:color="C3D69B" w:themeColor="accent3"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C3D69B" w:themeColor="accent3" w:themeTint="98" w:themeShade="95"/>
        <w:sz w:val="22"/>
      </w:rPr>
      <w:tblPr/>
      <w:tcPr>
        <w:tcBorders>
          <w:top w:val="none" w:sz="4" w:space="0" w:color="000000"/>
          <w:left w:val="none" w:sz="4" w:space="0" w:color="000000"/>
          <w:bottom w:val="none" w:sz="4" w:space="0" w:color="000000"/>
          <w:right w:val="single" w:sz="4" w:space="0" w:color="C3D69B" w:themeColor="accent3" w:themeTint="98"/>
        </w:tcBorders>
        <w:shd w:val="clear" w:color="FFFFFF" w:fill="auto"/>
      </w:tcPr>
    </w:tblStylePr>
    <w:tblStylePr w:type="lastCol">
      <w:rPr>
        <w:rFonts w:ascii="Arial" w:hAnsi="Arial"/>
        <w:i/>
        <w:color w:val="C3D69B" w:themeColor="accent3" w:themeTint="98" w:themeShade="95"/>
        <w:sz w:val="22"/>
      </w:rPr>
      <w:tblPr/>
      <w:tcPr>
        <w:tcBorders>
          <w:top w:val="none" w:sz="4" w:space="0" w:color="000000"/>
          <w:left w:val="single" w:sz="4" w:space="0" w:color="C3D69B" w:themeColor="accent3" w:themeTint="98"/>
          <w:bottom w:val="none" w:sz="4" w:space="0" w:color="000000"/>
          <w:right w:val="none" w:sz="4" w:space="0" w:color="000000"/>
        </w:tcBorders>
        <w:shd w:val="clear" w:color="FFFFFF" w:fill="auto"/>
      </w:tc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customStyle="1" w:styleId="ListTable7Colorful-Accent4">
    <w:name w:val="List Table 7 Colorful - Accent 4"/>
    <w:basedOn w:val="a1"/>
    <w:uiPriority w:val="99"/>
    <w:pPr>
      <w:spacing w:after="0" w:line="240" w:lineRule="auto"/>
    </w:pPr>
    <w:tblPr>
      <w:tblStyleRowBandSize w:val="1"/>
      <w:tblStyleColBandSize w:val="1"/>
      <w:tblBorders>
        <w:right w:val="single" w:sz="4" w:space="0" w:color="B2A1C6" w:themeColor="accent4" w:themeTint="9A"/>
      </w:tblBorders>
    </w:tblPr>
    <w:tblStylePr w:type="firstRow">
      <w:rPr>
        <w:rFonts w:ascii="Arial" w:hAnsi="Arial"/>
        <w:i/>
        <w:color w:val="B2A1C6" w:themeColor="accent4" w:themeTint="9A" w:themeShade="95"/>
        <w:sz w:val="22"/>
      </w:rPr>
      <w:tblPr/>
      <w:tcPr>
        <w:tcBorders>
          <w:top w:val="none" w:sz="4" w:space="0" w:color="000000"/>
          <w:left w:val="none" w:sz="4" w:space="0" w:color="000000"/>
          <w:bottom w:val="single" w:sz="4" w:space="0" w:color="B2A1C6" w:themeColor="accent4" w:themeTint="9A"/>
          <w:right w:val="none" w:sz="4" w:space="0" w:color="000000"/>
        </w:tcBorders>
        <w:shd w:val="clear" w:color="FFFFFF" w:themeColor="light1" w:fill="FFFFFF" w:themeFill="light1"/>
      </w:tcPr>
    </w:tblStylePr>
    <w:tblStylePr w:type="lastRow">
      <w:rPr>
        <w:rFonts w:ascii="Arial" w:hAnsi="Arial"/>
        <w:i/>
        <w:color w:val="B2A1C6" w:themeColor="accent4" w:themeTint="9A" w:themeShade="95"/>
        <w:sz w:val="22"/>
      </w:rPr>
      <w:tblPr/>
      <w:tcPr>
        <w:tcBorders>
          <w:top w:val="single" w:sz="4" w:space="0" w:color="B2A1C6"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4" w:space="0" w:color="000000"/>
          <w:left w:val="none" w:sz="4" w:space="0" w:color="000000"/>
          <w:bottom w:val="none" w:sz="4" w:space="0" w:color="000000"/>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4" w:space="0" w:color="000000"/>
          <w:left w:val="single" w:sz="4" w:space="0" w:color="B2A1C6" w:themeColor="accent4" w:themeTint="9A"/>
          <w:bottom w:val="none" w:sz="4" w:space="0" w:color="000000"/>
          <w:right w:val="none" w:sz="4" w:space="0" w:color="000000"/>
        </w:tcBorders>
        <w:shd w:val="clear" w:color="FFFFFF" w:fill="auto"/>
      </w:tc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customStyle="1" w:styleId="ListTable7Colorful-Accent5">
    <w:name w:val="List Table 7 Colorful - Accent 5"/>
    <w:basedOn w:val="a1"/>
    <w:uiPriority w:val="99"/>
    <w:pPr>
      <w:spacing w:after="0" w:line="240" w:lineRule="auto"/>
    </w:pPr>
    <w:tblPr>
      <w:tblStyleRowBandSize w:val="1"/>
      <w:tblStyleColBandSize w:val="1"/>
      <w:tblBorders>
        <w:right w:val="single" w:sz="4" w:space="0" w:color="92CCDC" w:themeColor="accent5" w:themeTint="9A"/>
      </w:tblBorders>
    </w:tblPr>
    <w:tblStylePr w:type="firstRow">
      <w:rPr>
        <w:rFonts w:ascii="Arial" w:hAnsi="Arial"/>
        <w:i/>
        <w:color w:val="92CCDC" w:themeColor="accent5" w:themeTint="9A" w:themeShade="95"/>
        <w:sz w:val="22"/>
      </w:rPr>
      <w:tblPr/>
      <w:tcPr>
        <w:tcBorders>
          <w:top w:val="none" w:sz="4" w:space="0" w:color="000000"/>
          <w:left w:val="none" w:sz="4" w:space="0" w:color="000000"/>
          <w:bottom w:val="single" w:sz="4" w:space="0" w:color="92CCDC" w:themeColor="accent5" w:themeTint="9A"/>
          <w:right w:val="none" w:sz="4" w:space="0" w:color="000000"/>
        </w:tcBorders>
        <w:shd w:val="clear" w:color="FFFFFF" w:themeColor="light1" w:fill="FFFFFF" w:themeFill="light1"/>
      </w:tcPr>
    </w:tblStylePr>
    <w:tblStylePr w:type="lastRow">
      <w:rPr>
        <w:rFonts w:ascii="Arial" w:hAnsi="Arial"/>
        <w:i/>
        <w:color w:val="92CCDC" w:themeColor="accent5" w:themeTint="9A" w:themeShade="95"/>
        <w:sz w:val="22"/>
      </w:rPr>
      <w:tblPr/>
      <w:tcPr>
        <w:tcBorders>
          <w:top w:val="single" w:sz="4" w:space="0" w:color="92CCDC" w:themeColor="accent5"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92CCDC" w:themeColor="accent5" w:themeTint="9A" w:themeShade="95"/>
        <w:sz w:val="22"/>
      </w:rPr>
      <w:tblPr/>
      <w:tcPr>
        <w:tcBorders>
          <w:top w:val="none" w:sz="4" w:space="0" w:color="000000"/>
          <w:left w:val="none" w:sz="4" w:space="0" w:color="000000"/>
          <w:bottom w:val="none" w:sz="4" w:space="0" w:color="000000"/>
          <w:right w:val="single" w:sz="4" w:space="0" w:color="92CCDC" w:themeColor="accent5" w:themeTint="9A"/>
        </w:tcBorders>
        <w:shd w:val="clear" w:color="FFFFFF" w:fill="auto"/>
      </w:tcPr>
    </w:tblStylePr>
    <w:tblStylePr w:type="lastCol">
      <w:rPr>
        <w:rFonts w:ascii="Arial" w:hAnsi="Arial"/>
        <w:i/>
        <w:color w:val="92CCDC" w:themeColor="accent5" w:themeTint="9A" w:themeShade="95"/>
        <w:sz w:val="22"/>
      </w:rPr>
      <w:tblPr/>
      <w:tcPr>
        <w:tcBorders>
          <w:top w:val="none" w:sz="4" w:space="0" w:color="000000"/>
          <w:left w:val="single" w:sz="4" w:space="0" w:color="92CCDC" w:themeColor="accent5" w:themeTint="9A"/>
          <w:bottom w:val="none" w:sz="4" w:space="0" w:color="000000"/>
          <w:right w:val="none" w:sz="4" w:space="0" w:color="000000"/>
        </w:tcBorders>
        <w:shd w:val="clear" w:color="FFFFFF" w:fill="auto"/>
      </w:tc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customStyle="1" w:styleId="ListTable7Colorful-Accent6">
    <w:name w:val="List Table 7 Colorful - Accent 6"/>
    <w:basedOn w:val="a1"/>
    <w:uiPriority w:val="99"/>
    <w:pPr>
      <w:spacing w:after="0" w:line="240" w:lineRule="auto"/>
    </w:pPr>
    <w:tblPr>
      <w:tblStyleRowBandSize w:val="1"/>
      <w:tblStyleColBandSize w:val="1"/>
      <w:tblBorders>
        <w:right w:val="single" w:sz="4" w:space="0" w:color="FAC090" w:themeColor="accent6" w:themeTint="98"/>
      </w:tblBorders>
    </w:tblPr>
    <w:tblStylePr w:type="firstRow">
      <w:rPr>
        <w:rFonts w:ascii="Arial" w:hAnsi="Arial"/>
        <w:i/>
        <w:color w:val="FAC090" w:themeColor="accent6" w:themeTint="98" w:themeShade="95"/>
        <w:sz w:val="22"/>
      </w:rPr>
      <w:tblPr/>
      <w:tcPr>
        <w:tcBorders>
          <w:top w:val="none" w:sz="4" w:space="0" w:color="000000"/>
          <w:left w:val="none" w:sz="4" w:space="0" w:color="000000"/>
          <w:bottom w:val="single" w:sz="4" w:space="0" w:color="FAC090" w:themeColor="accent6" w:themeTint="98"/>
          <w:right w:val="none" w:sz="4" w:space="0" w:color="000000"/>
        </w:tcBorders>
        <w:shd w:val="clear" w:color="FFFFFF" w:themeColor="light1" w:fill="FFFFFF" w:themeFill="light1"/>
      </w:tcPr>
    </w:tblStylePr>
    <w:tblStylePr w:type="lastRow">
      <w:rPr>
        <w:rFonts w:ascii="Arial" w:hAnsi="Arial"/>
        <w:i/>
        <w:color w:val="FAC090" w:themeColor="accent6" w:themeTint="98" w:themeShade="95"/>
        <w:sz w:val="22"/>
      </w:rPr>
      <w:tblPr/>
      <w:tcPr>
        <w:tcBorders>
          <w:top w:val="single" w:sz="4" w:space="0" w:color="FAC090" w:themeColor="accent6"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AC090" w:themeColor="accent6" w:themeTint="98" w:themeShade="95"/>
        <w:sz w:val="22"/>
      </w:rPr>
      <w:tblPr/>
      <w:tcPr>
        <w:tcBorders>
          <w:top w:val="none" w:sz="4" w:space="0" w:color="000000"/>
          <w:left w:val="none" w:sz="4" w:space="0" w:color="000000"/>
          <w:bottom w:val="none" w:sz="4" w:space="0" w:color="000000"/>
          <w:right w:val="single" w:sz="4" w:space="0" w:color="FAC090" w:themeColor="accent6" w:themeTint="98"/>
        </w:tcBorders>
        <w:shd w:val="clear" w:color="FFFFFF" w:fill="auto"/>
      </w:tcPr>
    </w:tblStylePr>
    <w:tblStylePr w:type="lastCol">
      <w:rPr>
        <w:rFonts w:ascii="Arial" w:hAnsi="Arial"/>
        <w:i/>
        <w:color w:val="FAC090" w:themeColor="accent6" w:themeTint="98" w:themeShade="95"/>
        <w:sz w:val="22"/>
      </w:rPr>
      <w:tblPr/>
      <w:tcPr>
        <w:tcBorders>
          <w:top w:val="none" w:sz="4" w:space="0" w:color="000000"/>
          <w:left w:val="single" w:sz="4" w:space="0" w:color="FAC090" w:themeColor="accent6" w:themeTint="98"/>
          <w:bottom w:val="none" w:sz="4" w:space="0" w:color="000000"/>
          <w:right w:val="none" w:sz="4" w:space="0" w:color="000000"/>
        </w:tcBorders>
        <w:shd w:val="clear" w:color="FFFFFF" w:fill="auto"/>
      </w:tc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customStyle="1" w:styleId="Lined-Accent">
    <w:name w:val="Lined - Accent"/>
    <w:basedOn w:val="a1"/>
    <w:uiPriority w:val="99"/>
    <w:pPr>
      <w:spacing w:after="0" w:line="240" w:lineRule="auto"/>
    </w:pPr>
    <w:rPr>
      <w:color w:val="404040"/>
      <w:sz w:val="20"/>
      <w:szCs w:val="20"/>
      <w:lang w:val="uk-UA" w:eastAsia="uk-UA"/>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a1"/>
    <w:uiPriority w:val="99"/>
    <w:pPr>
      <w:spacing w:after="0" w:line="240" w:lineRule="auto"/>
    </w:pPr>
    <w:rPr>
      <w:color w:val="404040"/>
      <w:sz w:val="20"/>
      <w:szCs w:val="20"/>
      <w:lang w:val="uk-UA" w:eastAsia="uk-UA"/>
    </w:rPr>
    <w:tblPr>
      <w:tblStyleRowBandSize w:val="1"/>
      <w:tblStyleColBandSize w:val="1"/>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Lined-Accent2">
    <w:name w:val="Lined - Accent 2"/>
    <w:basedOn w:val="a1"/>
    <w:uiPriority w:val="99"/>
    <w:pPr>
      <w:spacing w:after="0" w:line="240" w:lineRule="auto"/>
    </w:pPr>
    <w:rPr>
      <w:color w:val="404040"/>
      <w:sz w:val="20"/>
      <w:szCs w:val="20"/>
      <w:lang w:val="uk-UA" w:eastAsia="uk-UA"/>
    </w:rPr>
    <w:tblPr>
      <w:tblStyleRowBandSize w:val="1"/>
      <w:tblStyleColBandSize w:val="1"/>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Lined-Accent3">
    <w:name w:val="Lined - Accent 3"/>
    <w:basedOn w:val="a1"/>
    <w:uiPriority w:val="99"/>
    <w:pPr>
      <w:spacing w:after="0" w:line="240" w:lineRule="auto"/>
    </w:pPr>
    <w:rPr>
      <w:color w:val="404040"/>
      <w:sz w:val="20"/>
      <w:szCs w:val="20"/>
      <w:lang w:val="uk-UA" w:eastAsia="uk-UA"/>
    </w:rPr>
    <w:tblPr>
      <w:tblStyleRowBandSize w:val="1"/>
      <w:tblStyleColBandSize w:val="1"/>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Lined-Accent4">
    <w:name w:val="Lined - Accent 4"/>
    <w:basedOn w:val="a1"/>
    <w:uiPriority w:val="99"/>
    <w:pPr>
      <w:spacing w:after="0" w:line="240" w:lineRule="auto"/>
    </w:pPr>
    <w:rPr>
      <w:color w:val="404040"/>
      <w:sz w:val="20"/>
      <w:szCs w:val="20"/>
      <w:lang w:val="uk-UA" w:eastAsia="uk-UA"/>
    </w:rPr>
    <w:tblPr>
      <w:tblStyleRowBandSize w:val="1"/>
      <w:tblStyleColBandSize w:val="1"/>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Lined-Accent5">
    <w:name w:val="Lined - Accent 5"/>
    <w:basedOn w:val="a1"/>
    <w:uiPriority w:val="99"/>
    <w:pPr>
      <w:spacing w:after="0" w:line="240" w:lineRule="auto"/>
    </w:pPr>
    <w:rPr>
      <w:color w:val="404040"/>
      <w:sz w:val="20"/>
      <w:szCs w:val="20"/>
      <w:lang w:val="uk-UA" w:eastAsia="uk-UA"/>
    </w:rPr>
    <w:tblPr>
      <w:tblStyleRowBandSize w:val="1"/>
      <w:tblStyleColBandSize w:val="1"/>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Lined-Accent6">
    <w:name w:val="Lined - Accent 6"/>
    <w:basedOn w:val="a1"/>
    <w:uiPriority w:val="99"/>
    <w:pPr>
      <w:spacing w:after="0" w:line="240" w:lineRule="auto"/>
    </w:pPr>
    <w:rPr>
      <w:color w:val="404040"/>
      <w:sz w:val="20"/>
      <w:szCs w:val="20"/>
      <w:lang w:val="uk-UA" w:eastAsia="uk-UA"/>
    </w:rPr>
    <w:tblPr>
      <w:tblStyleRowBandSize w:val="1"/>
      <w:tblStyleColBandSize w:val="1"/>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Lined-Accent">
    <w:name w:val="Bordered &amp; Lined - Accent"/>
    <w:basedOn w:val="a1"/>
    <w:uiPriority w:val="99"/>
    <w:pPr>
      <w:spacing w:after="0" w:line="240" w:lineRule="auto"/>
    </w:pPr>
    <w:rPr>
      <w:color w:val="404040"/>
      <w:sz w:val="20"/>
      <w:szCs w:val="20"/>
      <w:lang w:val="uk-UA" w:eastAsia="uk-UA"/>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a1"/>
    <w:uiPriority w:val="99"/>
    <w:pPr>
      <w:spacing w:after="0" w:line="240" w:lineRule="auto"/>
    </w:pPr>
    <w:rPr>
      <w:color w:val="404040"/>
      <w:sz w:val="20"/>
      <w:szCs w:val="20"/>
      <w:lang w:val="uk-UA" w:eastAsia="uk-UA"/>
    </w:rPr>
    <w:tblPr>
      <w:tblStyleRowBandSize w:val="1"/>
      <w:tblStyleColBandSize w:val="1"/>
      <w:tblBorders>
        <w:top w:val="single" w:sz="4" w:space="0" w:color="2A4A71" w:themeColor="accent1" w:themeShade="95"/>
        <w:left w:val="single" w:sz="4" w:space="0" w:color="2A4A71" w:themeColor="accent1" w:themeShade="95"/>
        <w:bottom w:val="single" w:sz="4" w:space="0" w:color="2A4A71" w:themeColor="accent1" w:themeShade="95"/>
        <w:right w:val="single" w:sz="4" w:space="0" w:color="2A4A71" w:themeColor="accent1" w:themeShade="95"/>
        <w:insideH w:val="single" w:sz="4" w:space="0" w:color="2A4A71" w:themeColor="accent1" w:themeShade="95"/>
        <w:insideV w:val="single" w:sz="4" w:space="0" w:color="2A4A71" w:themeColor="accent1" w:themeShade="95"/>
      </w:tblBorders>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BorderedLined-Accent2">
    <w:name w:val="Bordered &amp; Lined - Accent 2"/>
    <w:basedOn w:val="a1"/>
    <w:uiPriority w:val="99"/>
    <w:pPr>
      <w:spacing w:after="0" w:line="240" w:lineRule="auto"/>
    </w:pPr>
    <w:rPr>
      <w:color w:val="404040"/>
      <w:sz w:val="20"/>
      <w:szCs w:val="20"/>
      <w:lang w:val="uk-UA" w:eastAsia="uk-UA"/>
    </w:rPr>
    <w:tblPr>
      <w:tblStyleRowBandSize w:val="1"/>
      <w:tblStyleColBandSize w:val="1"/>
      <w:tblBorders>
        <w:top w:val="single" w:sz="4" w:space="0" w:color="732A29" w:themeColor="accent2" w:themeShade="95"/>
        <w:left w:val="single" w:sz="4" w:space="0" w:color="732A29" w:themeColor="accent2" w:themeShade="95"/>
        <w:bottom w:val="single" w:sz="4" w:space="0" w:color="732A29" w:themeColor="accent2" w:themeShade="95"/>
        <w:right w:val="single" w:sz="4" w:space="0" w:color="732A29" w:themeColor="accent2" w:themeShade="95"/>
        <w:insideH w:val="single" w:sz="4" w:space="0" w:color="732A29" w:themeColor="accent2" w:themeShade="95"/>
        <w:insideV w:val="single" w:sz="4" w:space="0" w:color="732A29" w:themeColor="accent2" w:themeShade="95"/>
      </w:tblBorders>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BorderedLined-Accent3">
    <w:name w:val="Bordered &amp; Lined - Accent 3"/>
    <w:basedOn w:val="a1"/>
    <w:uiPriority w:val="99"/>
    <w:pPr>
      <w:spacing w:after="0" w:line="240" w:lineRule="auto"/>
    </w:pPr>
    <w:rPr>
      <w:color w:val="404040"/>
      <w:sz w:val="20"/>
      <w:szCs w:val="20"/>
      <w:lang w:val="uk-UA" w:eastAsia="uk-UA"/>
    </w:rPr>
    <w:tblPr>
      <w:tblStyleRowBandSize w:val="1"/>
      <w:tblStyleColBandSize w:val="1"/>
      <w:tblBorders>
        <w:top w:val="single" w:sz="4" w:space="0" w:color="5B722E" w:themeColor="accent3" w:themeShade="95"/>
        <w:left w:val="single" w:sz="4" w:space="0" w:color="5B722E" w:themeColor="accent3" w:themeShade="95"/>
        <w:bottom w:val="single" w:sz="4" w:space="0" w:color="5B722E" w:themeColor="accent3" w:themeShade="95"/>
        <w:right w:val="single" w:sz="4" w:space="0" w:color="5B722E" w:themeColor="accent3" w:themeShade="95"/>
        <w:insideH w:val="single" w:sz="4" w:space="0" w:color="5B722E" w:themeColor="accent3" w:themeShade="95"/>
        <w:insideV w:val="single" w:sz="4" w:space="0" w:color="5B722E" w:themeColor="accent3" w:themeShade="95"/>
      </w:tblBorders>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BorderedLined-Accent4">
    <w:name w:val="Bordered &amp; Lined - Accent 4"/>
    <w:basedOn w:val="a1"/>
    <w:uiPriority w:val="99"/>
    <w:pPr>
      <w:spacing w:after="0" w:line="240" w:lineRule="auto"/>
    </w:pPr>
    <w:rPr>
      <w:color w:val="404040"/>
      <w:sz w:val="20"/>
      <w:szCs w:val="20"/>
      <w:lang w:val="uk-UA" w:eastAsia="uk-UA"/>
    </w:rPr>
    <w:tblPr>
      <w:tblStyleRowBandSize w:val="1"/>
      <w:tblStyleColBandSize w:val="1"/>
      <w:tblBorders>
        <w:top w:val="single" w:sz="4" w:space="0" w:color="4A395F" w:themeColor="accent4" w:themeShade="95"/>
        <w:left w:val="single" w:sz="4" w:space="0" w:color="4A395F" w:themeColor="accent4" w:themeShade="95"/>
        <w:bottom w:val="single" w:sz="4" w:space="0" w:color="4A395F" w:themeColor="accent4" w:themeShade="95"/>
        <w:right w:val="single" w:sz="4" w:space="0" w:color="4A395F" w:themeColor="accent4" w:themeShade="95"/>
        <w:insideH w:val="single" w:sz="4" w:space="0" w:color="4A395F" w:themeColor="accent4" w:themeShade="95"/>
        <w:insideV w:val="single" w:sz="4" w:space="0" w:color="4A395F" w:themeColor="accent4" w:themeShade="95"/>
      </w:tblBorders>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BorderedLined-Accent5">
    <w:name w:val="Bordered &amp; Lined - Accent 5"/>
    <w:basedOn w:val="a1"/>
    <w:uiPriority w:val="99"/>
    <w:pPr>
      <w:spacing w:after="0" w:line="240" w:lineRule="auto"/>
    </w:pPr>
    <w:rPr>
      <w:color w:val="404040"/>
      <w:sz w:val="20"/>
      <w:szCs w:val="20"/>
      <w:lang w:val="uk-UA" w:eastAsia="uk-UA"/>
    </w:rPr>
    <w:tblPr>
      <w:tblStyleRowBandSize w:val="1"/>
      <w:tblStyleColBandSize w:val="1"/>
      <w:tblBorders>
        <w:top w:val="single" w:sz="4" w:space="0" w:color="266779" w:themeColor="accent5" w:themeShade="95"/>
        <w:left w:val="single" w:sz="4" w:space="0" w:color="266779" w:themeColor="accent5" w:themeShade="95"/>
        <w:bottom w:val="single" w:sz="4" w:space="0" w:color="266779" w:themeColor="accent5" w:themeShade="95"/>
        <w:right w:val="single" w:sz="4" w:space="0" w:color="266779" w:themeColor="accent5" w:themeShade="95"/>
        <w:insideH w:val="single" w:sz="4" w:space="0" w:color="266779" w:themeColor="accent5" w:themeShade="95"/>
        <w:insideV w:val="single" w:sz="4" w:space="0" w:color="266779" w:themeColor="accent5" w:themeShade="95"/>
      </w:tblBorders>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BorderedLined-Accent6">
    <w:name w:val="Bordered &amp; Lined - Accent 6"/>
    <w:basedOn w:val="a1"/>
    <w:uiPriority w:val="99"/>
    <w:pPr>
      <w:spacing w:after="0" w:line="240" w:lineRule="auto"/>
    </w:pPr>
    <w:rPr>
      <w:color w:val="404040"/>
      <w:sz w:val="20"/>
      <w:szCs w:val="20"/>
      <w:lang w:val="uk-UA" w:eastAsia="uk-UA"/>
    </w:rPr>
    <w:tblPr>
      <w:tblStyleRowBandSize w:val="1"/>
      <w:tblStyleColBandSize w:val="1"/>
      <w:tblBorders>
        <w:top w:val="single" w:sz="4" w:space="0" w:color="B15407" w:themeColor="accent6" w:themeShade="95"/>
        <w:left w:val="single" w:sz="4" w:space="0" w:color="B15407" w:themeColor="accent6" w:themeShade="95"/>
        <w:bottom w:val="single" w:sz="4" w:space="0" w:color="B15407" w:themeColor="accent6" w:themeShade="95"/>
        <w:right w:val="single" w:sz="4" w:space="0" w:color="B15407" w:themeColor="accent6" w:themeShade="95"/>
        <w:insideH w:val="single" w:sz="4" w:space="0" w:color="B15407" w:themeColor="accent6" w:themeShade="95"/>
        <w:insideV w:val="single" w:sz="4" w:space="0" w:color="B15407" w:themeColor="accent6" w:themeShade="95"/>
      </w:tblBorders>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
    <w:name w:val="Bordered"/>
    <w:basedOn w:val="a1"/>
    <w:uiPriority w:val="99"/>
    <w:pPr>
      <w:spacing w:after="0" w:line="240" w:lineRule="auto"/>
    </w:pPr>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a1"/>
    <w:uiPriority w:val="99"/>
    <w:pPr>
      <w:spacing w:after="0" w:line="240" w:lineRule="auto"/>
    </w:pPr>
    <w:tblPr>
      <w:tblStyleRowBandSize w:val="1"/>
      <w:tblStyleColBandSize w:val="1"/>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Pr>
    <w:tblStylePr w:type="firstRow">
      <w:rPr>
        <w:rFonts w:ascii="Arial" w:hAnsi="Arial"/>
        <w:color w:val="404040"/>
        <w:sz w:val="22"/>
      </w:rPr>
      <w:tblPr/>
      <w:tcPr>
        <w:tcBorders>
          <w:bottom w:val="single" w:sz="12" w:space="0" w:color="4F81BD" w:themeColor="accent1"/>
        </w:tcBorders>
      </w:tcPr>
    </w:tblStylePr>
    <w:tblStylePr w:type="lastRow">
      <w:rPr>
        <w:rFonts w:ascii="Arial" w:hAnsi="Arial"/>
        <w:color w:val="404040"/>
        <w:sz w:val="22"/>
      </w:rPr>
      <w:tblPr/>
      <w:tcPr>
        <w:tcBorders>
          <w:top w:val="single" w:sz="12" w:space="0" w:color="4F81BD"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4F81BD" w:themeColor="accent1"/>
        </w:tcBorders>
      </w:tc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Bordered-Accent2">
    <w:name w:val="Bordered - Accent 2"/>
    <w:basedOn w:val="a1"/>
    <w:uiPriority w:val="99"/>
    <w:pPr>
      <w:spacing w:after="0" w:line="240" w:lineRule="auto"/>
    </w:pPr>
    <w:tblPr>
      <w:tblStyleRowBandSize w:val="1"/>
      <w:tblStyleColBandSize w:val="1"/>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Pr>
    <w:tblStylePr w:type="firstRow">
      <w:rPr>
        <w:rFonts w:ascii="Arial" w:hAnsi="Arial"/>
        <w:color w:val="404040"/>
        <w:sz w:val="22"/>
      </w:rPr>
      <w:tblPr/>
      <w:tcPr>
        <w:tcBorders>
          <w:bottom w:val="single" w:sz="12" w:space="0" w:color="D99695" w:themeColor="accent2" w:themeTint="97"/>
        </w:tcBorders>
      </w:tcPr>
    </w:tblStylePr>
    <w:tblStylePr w:type="lastRow">
      <w:rPr>
        <w:rFonts w:ascii="Arial" w:hAnsi="Arial"/>
        <w:color w:val="404040"/>
        <w:sz w:val="22"/>
      </w:rPr>
      <w:tblPr/>
      <w:tcPr>
        <w:tcBorders>
          <w:top w:val="single" w:sz="12" w:space="0" w:color="D99695"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D99695" w:themeColor="accent2" w:themeTint="97"/>
        </w:tcBorders>
      </w:tc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Bordered-Accent3">
    <w:name w:val="Bordered - Accent 3"/>
    <w:basedOn w:val="a1"/>
    <w:uiPriority w:val="99"/>
    <w:pPr>
      <w:spacing w:after="0" w:line="240" w:lineRule="auto"/>
    </w:pPr>
    <w:tblPr>
      <w:tblStyleRowBandSize w:val="1"/>
      <w:tblStyleColBandSize w:val="1"/>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Pr>
    <w:tblStylePr w:type="firstRow">
      <w:rPr>
        <w:rFonts w:ascii="Arial" w:hAnsi="Arial"/>
        <w:color w:val="404040"/>
        <w:sz w:val="22"/>
      </w:rPr>
      <w:tblPr/>
      <w:tcPr>
        <w:tcBorders>
          <w:bottom w:val="single" w:sz="12" w:space="0" w:color="C3D69B" w:themeColor="accent3" w:themeTint="98"/>
        </w:tcBorders>
      </w:tcPr>
    </w:tblStylePr>
    <w:tblStylePr w:type="lastRow">
      <w:rPr>
        <w:rFonts w:ascii="Arial" w:hAnsi="Arial"/>
        <w:color w:val="404040"/>
        <w:sz w:val="22"/>
      </w:rPr>
      <w:tblPr/>
      <w:tcPr>
        <w:tcBorders>
          <w:top w:val="single" w:sz="12" w:space="0" w:color="C3D69B"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3D69B" w:themeColor="accent3" w:themeTint="98"/>
        </w:tcBorders>
      </w:tc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Bordered-Accent4">
    <w:name w:val="Bordered - Accent 4"/>
    <w:basedOn w:val="a1"/>
    <w:uiPriority w:val="99"/>
    <w:pPr>
      <w:spacing w:after="0" w:line="240" w:lineRule="auto"/>
    </w:pPr>
    <w:tblPr>
      <w:tblStyleRowBandSize w:val="1"/>
      <w:tblStyleColBandSize w:val="1"/>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Pr>
    <w:tblStylePr w:type="firstRow">
      <w:rPr>
        <w:rFonts w:ascii="Arial" w:hAnsi="Arial"/>
        <w:color w:val="404040"/>
        <w:sz w:val="22"/>
      </w:rPr>
      <w:tblPr/>
      <w:tcPr>
        <w:tcBorders>
          <w:bottom w:val="single" w:sz="12" w:space="0" w:color="B2A1C6" w:themeColor="accent4" w:themeTint="9A"/>
        </w:tcBorders>
      </w:tcPr>
    </w:tblStylePr>
    <w:tblStylePr w:type="lastRow">
      <w:rPr>
        <w:rFonts w:ascii="Arial" w:hAnsi="Arial"/>
        <w:color w:val="404040"/>
        <w:sz w:val="22"/>
      </w:rPr>
      <w:tblPr/>
      <w:tcPr>
        <w:tcBorders>
          <w:top w:val="single" w:sz="12" w:space="0" w:color="B2A1C6"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B2A1C6" w:themeColor="accent4" w:themeTint="9A"/>
        </w:tcBorders>
      </w:tc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Bordered-Accent5">
    <w:name w:val="Bordered - Accent 5"/>
    <w:basedOn w:val="a1"/>
    <w:uiPriority w:val="99"/>
    <w:pPr>
      <w:spacing w:after="0" w:line="240" w:lineRule="auto"/>
    </w:pPr>
    <w:tblPr>
      <w:tblStyleRowBandSize w:val="1"/>
      <w:tblStyleColBandSize w:val="1"/>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Pr>
    <w:tblStylePr w:type="firstRow">
      <w:rPr>
        <w:rFonts w:ascii="Arial" w:hAnsi="Arial"/>
        <w:color w:val="404040"/>
        <w:sz w:val="22"/>
      </w:rPr>
      <w:tblPr/>
      <w:tcPr>
        <w:tcBorders>
          <w:bottom w:val="single" w:sz="12" w:space="0" w:color="92CCDC" w:themeColor="accent5" w:themeTint="9A"/>
        </w:tcBorders>
      </w:tcPr>
    </w:tblStylePr>
    <w:tblStylePr w:type="lastRow">
      <w:rPr>
        <w:rFonts w:ascii="Arial" w:hAnsi="Arial"/>
        <w:color w:val="404040"/>
        <w:sz w:val="22"/>
      </w:rPr>
      <w:tblPr/>
      <w:tcPr>
        <w:tcBorders>
          <w:top w:val="single" w:sz="12" w:space="0" w:color="92CCDC"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92CCDC" w:themeColor="accent5" w:themeTint="9A"/>
        </w:tcBorders>
      </w:tc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Bordered-Accent6">
    <w:name w:val="Bordered - Accent 6"/>
    <w:basedOn w:val="a1"/>
    <w:uiPriority w:val="99"/>
    <w:pPr>
      <w:spacing w:after="0" w:line="240" w:lineRule="auto"/>
    </w:pPr>
    <w:tblPr>
      <w:tblStyleRowBandSize w:val="1"/>
      <w:tblStyleColBandSize w:val="1"/>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Pr>
    <w:tblStylePr w:type="firstRow">
      <w:rPr>
        <w:rFonts w:ascii="Arial" w:hAnsi="Arial"/>
        <w:color w:val="404040"/>
        <w:sz w:val="22"/>
      </w:rPr>
      <w:tblPr/>
      <w:tcPr>
        <w:tcBorders>
          <w:bottom w:val="single" w:sz="12" w:space="0" w:color="FAC090" w:themeColor="accent6" w:themeTint="98"/>
        </w:tcBorders>
      </w:tcPr>
    </w:tblStylePr>
    <w:tblStylePr w:type="lastRow">
      <w:rPr>
        <w:rFonts w:ascii="Arial" w:hAnsi="Arial"/>
        <w:color w:val="404040"/>
        <w:sz w:val="22"/>
      </w:rPr>
      <w:tblPr/>
      <w:tcPr>
        <w:tcBorders>
          <w:top w:val="single" w:sz="12" w:space="0" w:color="FAC090"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AC090" w:themeColor="accent6" w:themeTint="98"/>
        </w:tcBorders>
      </w:tc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character" w:customStyle="1" w:styleId="10">
    <w:name w:val="Заголовок 1 Знак"/>
    <w:basedOn w:val="a0"/>
    <w:link w:val="1"/>
    <w:uiPriority w:val="9"/>
    <w:rPr>
      <w:rFonts w:ascii="Arial" w:eastAsia="Arial" w:hAnsi="Arial" w:cs="Arial"/>
      <w:color w:val="365F91" w:themeColor="accent1" w:themeShade="BF"/>
      <w:sz w:val="40"/>
      <w:szCs w:val="40"/>
    </w:rPr>
  </w:style>
  <w:style w:type="character" w:customStyle="1" w:styleId="20">
    <w:name w:val="Заголовок 2 Знак"/>
    <w:basedOn w:val="a0"/>
    <w:link w:val="2"/>
    <w:uiPriority w:val="9"/>
    <w:rPr>
      <w:rFonts w:ascii="Arial" w:eastAsia="Arial" w:hAnsi="Arial" w:cs="Arial"/>
      <w:color w:val="365F91" w:themeColor="accent1" w:themeShade="BF"/>
      <w:sz w:val="32"/>
      <w:szCs w:val="32"/>
    </w:rPr>
  </w:style>
  <w:style w:type="character" w:customStyle="1" w:styleId="30">
    <w:name w:val="Заголовок 3 Знак"/>
    <w:basedOn w:val="a0"/>
    <w:link w:val="3"/>
    <w:uiPriority w:val="9"/>
    <w:rPr>
      <w:rFonts w:ascii="Arial" w:eastAsia="Arial" w:hAnsi="Arial" w:cs="Arial"/>
      <w:color w:val="365F91" w:themeColor="accent1" w:themeShade="BF"/>
      <w:sz w:val="28"/>
      <w:szCs w:val="28"/>
    </w:rPr>
  </w:style>
  <w:style w:type="character" w:customStyle="1" w:styleId="40">
    <w:name w:val="Заголовок 4 Знак"/>
    <w:basedOn w:val="a0"/>
    <w:link w:val="4"/>
    <w:uiPriority w:val="9"/>
    <w:rPr>
      <w:rFonts w:ascii="Arial" w:eastAsia="Arial" w:hAnsi="Arial" w:cs="Arial"/>
      <w:i/>
      <w:iCs/>
      <w:color w:val="365F91" w:themeColor="accent1" w:themeShade="BF"/>
    </w:rPr>
  </w:style>
  <w:style w:type="character" w:customStyle="1" w:styleId="50">
    <w:name w:val="Заголовок 5 Знак"/>
    <w:basedOn w:val="a0"/>
    <w:link w:val="5"/>
    <w:uiPriority w:val="9"/>
    <w:rPr>
      <w:rFonts w:ascii="Arial" w:eastAsia="Arial" w:hAnsi="Arial" w:cs="Arial"/>
      <w:color w:val="365F91" w:themeColor="accent1" w:themeShade="BF"/>
    </w:rPr>
  </w:style>
  <w:style w:type="character" w:customStyle="1" w:styleId="60">
    <w:name w:val="Заголовок 6 Знак"/>
    <w:basedOn w:val="a0"/>
    <w:link w:val="6"/>
    <w:uiPriority w:val="9"/>
    <w:rPr>
      <w:rFonts w:ascii="Arial" w:eastAsia="Arial" w:hAnsi="Arial" w:cs="Arial"/>
      <w:i/>
      <w:iCs/>
      <w:color w:val="595959" w:themeColor="text1" w:themeTint="A6"/>
    </w:rPr>
  </w:style>
  <w:style w:type="character" w:customStyle="1" w:styleId="70">
    <w:name w:val="Заголовок 7 Знак"/>
    <w:basedOn w:val="a0"/>
    <w:link w:val="7"/>
    <w:uiPriority w:val="9"/>
    <w:rPr>
      <w:rFonts w:ascii="Arial" w:eastAsia="Arial" w:hAnsi="Arial" w:cs="Arial"/>
      <w:color w:val="595959" w:themeColor="text1" w:themeTint="A6"/>
    </w:rPr>
  </w:style>
  <w:style w:type="character" w:customStyle="1" w:styleId="80">
    <w:name w:val="Заголовок 8 Знак"/>
    <w:basedOn w:val="a0"/>
    <w:link w:val="8"/>
    <w:uiPriority w:val="9"/>
    <w:rPr>
      <w:rFonts w:ascii="Arial" w:eastAsia="Arial" w:hAnsi="Arial" w:cs="Arial"/>
      <w:i/>
      <w:iCs/>
      <w:color w:val="272727" w:themeColor="text1" w:themeTint="D8"/>
    </w:rPr>
  </w:style>
  <w:style w:type="character" w:customStyle="1" w:styleId="90">
    <w:name w:val="Заголовок 9 Знак"/>
    <w:basedOn w:val="a0"/>
    <w:link w:val="9"/>
    <w:uiPriority w:val="9"/>
    <w:rPr>
      <w:rFonts w:ascii="Arial" w:eastAsia="Arial" w:hAnsi="Arial" w:cs="Arial"/>
      <w:i/>
      <w:iCs/>
      <w:color w:val="272727" w:themeColor="text1" w:themeTint="D8"/>
    </w:rPr>
  </w:style>
  <w:style w:type="paragraph" w:styleId="a3">
    <w:name w:val="Title"/>
    <w:basedOn w:val="a"/>
    <w:next w:val="a"/>
    <w:link w:val="a4"/>
    <w:uiPriority w:val="10"/>
    <w:qFormat/>
    <w:pPr>
      <w:spacing w:after="80"/>
      <w:contextualSpacing/>
    </w:pPr>
    <w:rPr>
      <w:rFonts w:ascii="Arial" w:eastAsia="Arial" w:hAnsi="Arial" w:cs="Arial"/>
      <w:spacing w:val="-10"/>
      <w:sz w:val="56"/>
      <w:szCs w:val="56"/>
    </w:rPr>
  </w:style>
  <w:style w:type="character" w:customStyle="1" w:styleId="a4">
    <w:name w:val="Назва Знак"/>
    <w:basedOn w:val="a0"/>
    <w:link w:val="a3"/>
    <w:uiPriority w:val="10"/>
    <w:rPr>
      <w:rFonts w:ascii="Arial" w:eastAsia="Arial" w:hAnsi="Arial" w:cs="Arial"/>
      <w:spacing w:val="-10"/>
      <w:sz w:val="56"/>
      <w:szCs w:val="56"/>
    </w:rPr>
  </w:style>
  <w:style w:type="paragraph" w:styleId="a5">
    <w:name w:val="Subtitle"/>
    <w:basedOn w:val="a"/>
    <w:next w:val="a"/>
    <w:link w:val="a6"/>
    <w:uiPriority w:val="11"/>
    <w:qFormat/>
    <w:pPr>
      <w:numPr>
        <w:ilvl w:val="1"/>
      </w:numPr>
    </w:pPr>
    <w:rPr>
      <w:color w:val="595959" w:themeColor="text1" w:themeTint="A6"/>
      <w:spacing w:val="15"/>
      <w:sz w:val="28"/>
      <w:szCs w:val="28"/>
    </w:rPr>
  </w:style>
  <w:style w:type="character" w:customStyle="1" w:styleId="a6">
    <w:name w:val="Підзаголовок Знак"/>
    <w:basedOn w:val="a0"/>
    <w:link w:val="a5"/>
    <w:uiPriority w:val="11"/>
    <w:rPr>
      <w:color w:val="595959" w:themeColor="text1" w:themeTint="A6"/>
      <w:spacing w:val="15"/>
      <w:sz w:val="28"/>
      <w:szCs w:val="28"/>
    </w:rPr>
  </w:style>
  <w:style w:type="paragraph" w:styleId="a7">
    <w:name w:val="Quote"/>
    <w:basedOn w:val="a"/>
    <w:next w:val="a"/>
    <w:link w:val="a8"/>
    <w:uiPriority w:val="29"/>
    <w:qFormat/>
    <w:pPr>
      <w:spacing w:before="160"/>
      <w:jc w:val="center"/>
    </w:pPr>
    <w:rPr>
      <w:i/>
      <w:iCs/>
      <w:color w:val="404040" w:themeColor="text1" w:themeTint="BF"/>
    </w:rPr>
  </w:style>
  <w:style w:type="character" w:customStyle="1" w:styleId="a8">
    <w:name w:val="Цитата Знак"/>
    <w:basedOn w:val="a0"/>
    <w:link w:val="a7"/>
    <w:uiPriority w:val="29"/>
    <w:rPr>
      <w:i/>
      <w:iCs/>
      <w:color w:val="404040" w:themeColor="text1" w:themeTint="BF"/>
    </w:rPr>
  </w:style>
  <w:style w:type="character" w:styleId="a9">
    <w:name w:val="Intense Emphasis"/>
    <w:basedOn w:val="a0"/>
    <w:uiPriority w:val="21"/>
    <w:qFormat/>
    <w:rPr>
      <w:i/>
      <w:iCs/>
      <w:color w:val="365F91" w:themeColor="accent1" w:themeShade="BF"/>
    </w:rPr>
  </w:style>
  <w:style w:type="paragraph" w:styleId="aa">
    <w:name w:val="Intense Quote"/>
    <w:basedOn w:val="a"/>
    <w:next w:val="a"/>
    <w:link w:val="ab"/>
    <w:uiPriority w:val="30"/>
    <w:qFormat/>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ab">
    <w:name w:val="Насичена цитата Знак"/>
    <w:basedOn w:val="a0"/>
    <w:link w:val="aa"/>
    <w:uiPriority w:val="30"/>
    <w:rPr>
      <w:i/>
      <w:iCs/>
      <w:color w:val="365F91" w:themeColor="accent1" w:themeShade="BF"/>
    </w:rPr>
  </w:style>
  <w:style w:type="character" w:styleId="ac">
    <w:name w:val="Intense Reference"/>
    <w:basedOn w:val="a0"/>
    <w:uiPriority w:val="32"/>
    <w:qFormat/>
    <w:rPr>
      <w:b/>
      <w:bCs/>
      <w:smallCaps/>
      <w:color w:val="365F91" w:themeColor="accent1" w:themeShade="BF"/>
      <w:spacing w:val="5"/>
    </w:rPr>
  </w:style>
  <w:style w:type="paragraph" w:styleId="ad">
    <w:name w:val="No Spacing"/>
    <w:basedOn w:val="a"/>
    <w:uiPriority w:val="1"/>
    <w:qFormat/>
  </w:style>
  <w:style w:type="character" w:styleId="ae">
    <w:name w:val="Subtle Emphasis"/>
    <w:basedOn w:val="a0"/>
    <w:uiPriority w:val="19"/>
    <w:qFormat/>
    <w:rPr>
      <w:i/>
      <w:iCs/>
      <w:color w:val="404040" w:themeColor="text1" w:themeTint="BF"/>
    </w:rPr>
  </w:style>
  <w:style w:type="character" w:styleId="af">
    <w:name w:val="Emphasis"/>
    <w:basedOn w:val="a0"/>
    <w:uiPriority w:val="20"/>
    <w:qFormat/>
    <w:rPr>
      <w:i/>
      <w:iCs/>
    </w:rPr>
  </w:style>
  <w:style w:type="character" w:styleId="af0">
    <w:name w:val="Subtle Reference"/>
    <w:basedOn w:val="a0"/>
    <w:uiPriority w:val="31"/>
    <w:qFormat/>
    <w:rPr>
      <w:smallCaps/>
      <w:color w:val="5A5A5A" w:themeColor="text1" w:themeTint="A5"/>
    </w:rPr>
  </w:style>
  <w:style w:type="character" w:styleId="af1">
    <w:name w:val="Book Title"/>
    <w:basedOn w:val="a0"/>
    <w:uiPriority w:val="33"/>
    <w:qFormat/>
    <w:rPr>
      <w:b/>
      <w:bCs/>
      <w:i/>
      <w:iCs/>
      <w:spacing w:val="5"/>
    </w:rPr>
  </w:style>
  <w:style w:type="character" w:customStyle="1" w:styleId="HeaderChar">
    <w:name w:val="Header Char"/>
    <w:basedOn w:val="a0"/>
    <w:uiPriority w:val="99"/>
  </w:style>
  <w:style w:type="character" w:customStyle="1" w:styleId="FooterChar">
    <w:name w:val="Footer Char"/>
    <w:basedOn w:val="a0"/>
    <w:uiPriority w:val="99"/>
  </w:style>
  <w:style w:type="paragraph" w:styleId="af2">
    <w:name w:val="caption"/>
    <w:basedOn w:val="a"/>
    <w:next w:val="a"/>
    <w:uiPriority w:val="35"/>
    <w:unhideWhenUsed/>
    <w:qFormat/>
    <w:pPr>
      <w:spacing w:after="200"/>
    </w:pPr>
    <w:rPr>
      <w:i/>
      <w:iCs/>
      <w:color w:val="1F497D" w:themeColor="text2"/>
      <w:sz w:val="18"/>
      <w:szCs w:val="18"/>
    </w:rPr>
  </w:style>
  <w:style w:type="paragraph" w:styleId="af3">
    <w:name w:val="footnote text"/>
    <w:basedOn w:val="a"/>
    <w:link w:val="af4"/>
    <w:uiPriority w:val="99"/>
    <w:semiHidden/>
    <w:unhideWhenUsed/>
    <w:rPr>
      <w:sz w:val="20"/>
      <w:szCs w:val="20"/>
    </w:rPr>
  </w:style>
  <w:style w:type="character" w:customStyle="1" w:styleId="af4">
    <w:name w:val="Текст виноски Знак"/>
    <w:basedOn w:val="a0"/>
    <w:link w:val="af3"/>
    <w:uiPriority w:val="99"/>
    <w:semiHidden/>
    <w:rPr>
      <w:sz w:val="20"/>
      <w:szCs w:val="20"/>
    </w:rPr>
  </w:style>
  <w:style w:type="character" w:styleId="af5">
    <w:name w:val="footnote reference"/>
    <w:basedOn w:val="a0"/>
    <w:uiPriority w:val="99"/>
    <w:semiHidden/>
    <w:unhideWhenUsed/>
    <w:rPr>
      <w:vertAlign w:val="superscript"/>
    </w:rPr>
  </w:style>
  <w:style w:type="paragraph" w:styleId="af6">
    <w:name w:val="endnote text"/>
    <w:basedOn w:val="a"/>
    <w:link w:val="af7"/>
    <w:uiPriority w:val="99"/>
    <w:semiHidden/>
    <w:unhideWhenUsed/>
    <w:rPr>
      <w:sz w:val="20"/>
      <w:szCs w:val="20"/>
    </w:rPr>
  </w:style>
  <w:style w:type="character" w:customStyle="1" w:styleId="af7">
    <w:name w:val="Текст кінцевої виноски Знак"/>
    <w:basedOn w:val="a0"/>
    <w:link w:val="af6"/>
    <w:uiPriority w:val="99"/>
    <w:semiHidden/>
    <w:rPr>
      <w:sz w:val="20"/>
      <w:szCs w:val="20"/>
    </w:rPr>
  </w:style>
  <w:style w:type="character" w:styleId="af8">
    <w:name w:val="endnote reference"/>
    <w:basedOn w:val="a0"/>
    <w:uiPriority w:val="99"/>
    <w:semiHidden/>
    <w:unhideWhenUsed/>
    <w:rPr>
      <w:vertAlign w:val="superscript"/>
    </w:rPr>
  </w:style>
  <w:style w:type="character" w:styleId="af9">
    <w:name w:val="FollowedHyperlink"/>
    <w:basedOn w:val="a0"/>
    <w:uiPriority w:val="99"/>
    <w:semiHidden/>
    <w:unhideWhenUsed/>
    <w:rPr>
      <w:color w:val="800080" w:themeColor="followedHyperlink"/>
      <w:u w:val="single"/>
    </w:rPr>
  </w:style>
  <w:style w:type="paragraph" w:styleId="14">
    <w:name w:val="toc 1"/>
    <w:basedOn w:val="a"/>
    <w:next w:val="a"/>
    <w:uiPriority w:val="39"/>
    <w:unhideWhenUsed/>
    <w:pPr>
      <w:spacing w:after="100"/>
    </w:pPr>
  </w:style>
  <w:style w:type="paragraph" w:styleId="23">
    <w:name w:val="toc 2"/>
    <w:basedOn w:val="a"/>
    <w:next w:val="a"/>
    <w:uiPriority w:val="39"/>
    <w:unhideWhenUsed/>
    <w:pPr>
      <w:spacing w:after="100"/>
      <w:ind w:left="220"/>
    </w:pPr>
  </w:style>
  <w:style w:type="paragraph" w:styleId="33">
    <w:name w:val="toc 3"/>
    <w:basedOn w:val="a"/>
    <w:next w:val="a"/>
    <w:uiPriority w:val="39"/>
    <w:unhideWhenUsed/>
    <w:pPr>
      <w:spacing w:after="100"/>
      <w:ind w:left="440"/>
    </w:pPr>
  </w:style>
  <w:style w:type="paragraph" w:styleId="43">
    <w:name w:val="toc 4"/>
    <w:basedOn w:val="a"/>
    <w:next w:val="a"/>
    <w:uiPriority w:val="39"/>
    <w:unhideWhenUsed/>
    <w:pPr>
      <w:spacing w:after="100"/>
      <w:ind w:left="660"/>
    </w:pPr>
  </w:style>
  <w:style w:type="paragraph" w:styleId="54">
    <w:name w:val="toc 5"/>
    <w:basedOn w:val="a"/>
    <w:next w:val="a"/>
    <w:uiPriority w:val="39"/>
    <w:unhideWhenUsed/>
    <w:pPr>
      <w:spacing w:after="100"/>
      <w:ind w:left="880"/>
    </w:pPr>
  </w:style>
  <w:style w:type="paragraph" w:styleId="63">
    <w:name w:val="toc 6"/>
    <w:basedOn w:val="a"/>
    <w:next w:val="a"/>
    <w:uiPriority w:val="39"/>
    <w:unhideWhenUsed/>
    <w:pPr>
      <w:spacing w:after="100"/>
      <w:ind w:left="1100"/>
    </w:pPr>
  </w:style>
  <w:style w:type="paragraph" w:styleId="73">
    <w:name w:val="toc 7"/>
    <w:basedOn w:val="a"/>
    <w:next w:val="a"/>
    <w:uiPriority w:val="39"/>
    <w:unhideWhenUsed/>
    <w:pPr>
      <w:spacing w:after="100"/>
      <w:ind w:left="1320"/>
    </w:pPr>
  </w:style>
  <w:style w:type="paragraph" w:styleId="81">
    <w:name w:val="toc 8"/>
    <w:basedOn w:val="a"/>
    <w:next w:val="a"/>
    <w:uiPriority w:val="39"/>
    <w:unhideWhenUsed/>
    <w:pPr>
      <w:spacing w:after="100"/>
      <w:ind w:left="1540"/>
    </w:pPr>
  </w:style>
  <w:style w:type="paragraph" w:styleId="91">
    <w:name w:val="toc 9"/>
    <w:basedOn w:val="a"/>
    <w:next w:val="a"/>
    <w:uiPriority w:val="39"/>
    <w:unhideWhenUsed/>
    <w:pPr>
      <w:spacing w:after="100"/>
      <w:ind w:left="1760"/>
    </w:pPr>
  </w:style>
  <w:style w:type="character" w:styleId="afa">
    <w:name w:val="Placeholder Text"/>
    <w:basedOn w:val="a0"/>
    <w:uiPriority w:val="99"/>
    <w:semiHidden/>
    <w:rPr>
      <w:color w:val="666666"/>
    </w:rPr>
  </w:style>
  <w:style w:type="paragraph" w:styleId="afb">
    <w:name w:val="TOC Heading"/>
    <w:uiPriority w:val="39"/>
    <w:unhideWhenUsed/>
  </w:style>
  <w:style w:type="paragraph" w:styleId="afc">
    <w:name w:val="table of figures"/>
    <w:basedOn w:val="a"/>
    <w:next w:val="a"/>
    <w:uiPriority w:val="99"/>
    <w:unhideWhenUsed/>
  </w:style>
  <w:style w:type="character" w:customStyle="1" w:styleId="fontstyle01">
    <w:name w:val="fontstyle01"/>
    <w:basedOn w:val="a0"/>
    <w:rPr>
      <w:rFonts w:ascii="Bold" w:hAnsi="Bold" w:hint="default"/>
      <w:b/>
      <w:bCs/>
      <w:i w:val="0"/>
      <w:iCs w:val="0"/>
      <w:color w:val="242021"/>
      <w:sz w:val="24"/>
      <w:szCs w:val="24"/>
    </w:rPr>
  </w:style>
  <w:style w:type="character" w:customStyle="1" w:styleId="fontstyle11">
    <w:name w:val="fontstyle11"/>
    <w:basedOn w:val="a0"/>
    <w:rPr>
      <w:rFonts w:ascii="TimesNewRoman" w:hAnsi="TimesNewRoman" w:hint="default"/>
      <w:b w:val="0"/>
      <w:bCs w:val="0"/>
      <w:i w:val="0"/>
      <w:iCs w:val="0"/>
      <w:color w:val="242021"/>
      <w:sz w:val="24"/>
      <w:szCs w:val="24"/>
    </w:rPr>
  </w:style>
  <w:style w:type="table" w:styleId="afd">
    <w:name w:val="Table Grid"/>
    <w:basedOn w:val="a1"/>
    <w:uiPriority w:val="39"/>
    <w:pPr>
      <w:spacing w:after="0" w:line="240" w:lineRule="auto"/>
    </w:pPr>
    <w:rPr>
      <w:lang w:val="uk-U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fe">
    <w:name w:val="Strong"/>
    <w:basedOn w:val="a0"/>
    <w:uiPriority w:val="22"/>
    <w:qFormat/>
    <w:rPr>
      <w:b/>
      <w:bCs/>
    </w:rPr>
  </w:style>
  <w:style w:type="paragraph" w:styleId="aff">
    <w:name w:val="header"/>
    <w:basedOn w:val="a"/>
    <w:link w:val="aff0"/>
    <w:uiPriority w:val="99"/>
    <w:unhideWhenUsed/>
    <w:pPr>
      <w:tabs>
        <w:tab w:val="center" w:pos="4677"/>
        <w:tab w:val="right" w:pos="9355"/>
      </w:tabs>
    </w:pPr>
  </w:style>
  <w:style w:type="character" w:customStyle="1" w:styleId="aff0">
    <w:name w:val="Верхній колонтитул Знак"/>
    <w:basedOn w:val="a0"/>
    <w:link w:val="aff"/>
    <w:uiPriority w:val="99"/>
    <w:rPr>
      <w:rFonts w:ascii="Arial Unicode MS" w:eastAsia="Arial Unicode MS" w:hAnsi="Arial Unicode MS" w:cs="Arial Unicode MS"/>
      <w:color w:val="000000"/>
      <w:sz w:val="24"/>
      <w:szCs w:val="24"/>
      <w:lang w:val="uk-UA" w:eastAsia="uk-UA" w:bidi="uk-UA"/>
    </w:rPr>
  </w:style>
  <w:style w:type="paragraph" w:styleId="aff1">
    <w:name w:val="footer"/>
    <w:basedOn w:val="a"/>
    <w:link w:val="aff2"/>
    <w:uiPriority w:val="99"/>
    <w:unhideWhenUsed/>
    <w:pPr>
      <w:tabs>
        <w:tab w:val="center" w:pos="4677"/>
        <w:tab w:val="right" w:pos="9355"/>
      </w:tabs>
    </w:pPr>
  </w:style>
  <w:style w:type="character" w:customStyle="1" w:styleId="aff2">
    <w:name w:val="Нижній колонтитул Знак"/>
    <w:basedOn w:val="a0"/>
    <w:link w:val="aff1"/>
    <w:uiPriority w:val="99"/>
    <w:rPr>
      <w:rFonts w:ascii="Arial Unicode MS" w:eastAsia="Arial Unicode MS" w:hAnsi="Arial Unicode MS" w:cs="Arial Unicode MS"/>
      <w:color w:val="000000"/>
      <w:sz w:val="24"/>
      <w:szCs w:val="24"/>
      <w:lang w:val="uk-UA" w:eastAsia="uk-UA" w:bidi="uk-UA"/>
    </w:rPr>
  </w:style>
  <w:style w:type="paragraph" w:styleId="aff3">
    <w:name w:val="List Paragraph"/>
    <w:basedOn w:val="a"/>
    <w:uiPriority w:val="34"/>
    <w:qFormat/>
    <w:pPr>
      <w:ind w:left="720"/>
      <w:contextualSpacing/>
    </w:pPr>
  </w:style>
  <w:style w:type="paragraph" w:styleId="aff4">
    <w:name w:val="Body Text"/>
    <w:basedOn w:val="a"/>
    <w:link w:val="aff5"/>
    <w:uiPriority w:val="1"/>
    <w:qFormat/>
    <w:pPr>
      <w:ind w:left="114"/>
      <w:jc w:val="both"/>
    </w:pPr>
    <w:rPr>
      <w:rFonts w:ascii="Microsoft Sans Serif" w:eastAsia="Microsoft Sans Serif" w:hAnsi="Microsoft Sans Serif" w:cs="Microsoft Sans Serif"/>
      <w:color w:val="auto"/>
      <w:sz w:val="16"/>
      <w:szCs w:val="16"/>
      <w:lang w:eastAsia="en-US" w:bidi="ar-SA"/>
    </w:rPr>
  </w:style>
  <w:style w:type="character" w:customStyle="1" w:styleId="aff5">
    <w:name w:val="Основний текст Знак"/>
    <w:basedOn w:val="a0"/>
    <w:link w:val="aff4"/>
    <w:uiPriority w:val="1"/>
    <w:rPr>
      <w:rFonts w:ascii="Microsoft Sans Serif" w:eastAsia="Microsoft Sans Serif" w:hAnsi="Microsoft Sans Serif" w:cs="Microsoft Sans Serif"/>
      <w:sz w:val="16"/>
      <w:szCs w:val="16"/>
      <w:lang w:val="uk-UA"/>
    </w:rPr>
  </w:style>
  <w:style w:type="table" w:customStyle="1" w:styleId="15">
    <w:name w:val="Сітка таблиці1"/>
    <w:basedOn w:val="a1"/>
    <w:next w:val="afd"/>
    <w:uiPriority w:val="39"/>
    <w:pPr>
      <w:spacing w:after="0" w:line="240" w:lineRule="auto"/>
    </w:pPr>
    <w:rPr>
      <w:rFonts w:ascii="Times New Roman" w:eastAsia="Calibri" w:hAnsi="Times New Roman" w:cs="Times New Roman"/>
      <w:sz w:val="20"/>
      <w:szCs w:val="20"/>
      <w:lang w:val="uk-U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0">
    <w:name w:val="Сітка таблиці11"/>
    <w:basedOn w:val="a1"/>
    <w:next w:val="afd"/>
    <w:uiPriority w:val="39"/>
    <w:pPr>
      <w:spacing w:after="0" w:line="240" w:lineRule="auto"/>
    </w:pPr>
    <w:rPr>
      <w:rFonts w:ascii="Calibri" w:eastAsia="Calibri" w:hAnsi="Calibri" w:cs="Times New Roman"/>
      <w:lang w:val="uk-U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4">
    <w:name w:val="Сітка таблиці2"/>
    <w:basedOn w:val="a1"/>
    <w:next w:val="afd"/>
    <w:uiPriority w:val="39"/>
    <w:pPr>
      <w:spacing w:after="0" w:line="240" w:lineRule="auto"/>
    </w:pPr>
    <w:rPr>
      <w:rFonts w:ascii="Times New Roman" w:eastAsia="Microsoft YaHei" w:hAnsi="Times New Roman" w:cs="Times New Roman"/>
      <w:sz w:val="20"/>
      <w:szCs w:val="20"/>
      <w:lang w:val="uk-U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4">
    <w:name w:val="Сітка таблиці3"/>
    <w:basedOn w:val="a1"/>
    <w:next w:val="afd"/>
    <w:uiPriority w:val="39"/>
    <w:pPr>
      <w:spacing w:after="0" w:line="240" w:lineRule="auto"/>
    </w:pPr>
    <w:rPr>
      <w:rFonts w:ascii="Times New Roman" w:hAnsi="Times New Roman" w:cs="Times New Roman"/>
      <w:sz w:val="20"/>
      <w:szCs w:val="20"/>
      <w:lang w:val="uk-U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4">
    <w:name w:val="Сітка таблиці4"/>
    <w:basedOn w:val="a1"/>
    <w:next w:val="afd"/>
    <w:uiPriority w:val="39"/>
    <w:pPr>
      <w:spacing w:after="0" w:line="240" w:lineRule="auto"/>
    </w:pPr>
    <w:rPr>
      <w:rFonts w:ascii="Times New Roman" w:eastAsia="Microsoft YaHei" w:hAnsi="Times New Roman" w:cs="Times New Roman"/>
      <w:sz w:val="20"/>
      <w:szCs w:val="20"/>
      <w:lang w:val="uk-U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ff6">
    <w:name w:val="Hyperlink"/>
    <w:uiPriority w:val="99"/>
    <w:qFormat/>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2.png"/><Relationship Id="rId21" Type="http://schemas.openxmlformats.org/officeDocument/2006/relationships/chart" Target="charts/chart7.xml"/><Relationship Id="rId42" Type="http://schemas.openxmlformats.org/officeDocument/2006/relationships/hyperlink" Target="https://opendatabot.ua/c/02774415" TargetMode="External"/><Relationship Id="rId47" Type="http://schemas.openxmlformats.org/officeDocument/2006/relationships/hyperlink" Target="https://opendatabot.ua/c/02774415" TargetMode="External"/><Relationship Id="rId63" Type="http://schemas.openxmlformats.org/officeDocument/2006/relationships/hyperlink" Target="https://journals.khnu.km.ua/vestnik/wp-content/uploads/2022/05/2022-es-21-07.pdf" TargetMode="External"/><Relationship Id="rId68" Type="http://schemas.openxmlformats.org/officeDocument/2006/relationships/hyperlink" Target="https://zakon.rada.gov.ua/laws/show/34-2025-%D1%80" TargetMode="External"/><Relationship Id="rId84" Type="http://schemas.openxmlformats.org/officeDocument/2006/relationships/hyperlink" Target="https://doi.org/10.31499/2616-5236.4(7).2018.212757" TargetMode="External"/><Relationship Id="rId89" Type="http://schemas.openxmlformats.org/officeDocument/2006/relationships/hyperlink" Target="http://eui.zu.edu.ua/article/view/283043/277220" TargetMode="External"/><Relationship Id="rId16" Type="http://schemas.openxmlformats.org/officeDocument/2006/relationships/chart" Target="charts/chart2.xml"/><Relationship Id="rId107" Type="http://schemas.openxmlformats.org/officeDocument/2006/relationships/header" Target="header1.xml"/><Relationship Id="rId11" Type="http://schemas.openxmlformats.org/officeDocument/2006/relationships/chart" Target="charts/chart1.xml"/><Relationship Id="rId32" Type="http://schemas.openxmlformats.org/officeDocument/2006/relationships/hyperlink" Target="https://opendatabot.ua/c/02774415" TargetMode="External"/><Relationship Id="rId37" Type="http://schemas.openxmlformats.org/officeDocument/2006/relationships/hyperlink" Target="https://opendatabot.ua/c/02774415" TargetMode="External"/><Relationship Id="rId53" Type="http://schemas.openxmlformats.org/officeDocument/2006/relationships/hyperlink" Target="https://opendatabot.ua/c/02774415" TargetMode="External"/><Relationship Id="rId58" Type="http://schemas.openxmlformats.org/officeDocument/2006/relationships/hyperlink" Target="http://ir.librarynmu.com/bitstream/123456789/7397/1/&#1045;&#1082;&#1086;&#1085;&#1086;&#1084;&#1110;&#1082;&#1072;%20&#1086;&#1093;&#1086;&#1088;&#1086;&#1085;&#1080;%20&#1079;&#1076;&#1086;&#1088;&#1086;&#1074;%27&#1103;.pdf" TargetMode="External"/><Relationship Id="rId74" Type="http://schemas.openxmlformats.org/officeDocument/2006/relationships/hyperlink" Target="http://ppeu.stu.cn.ua/article/view/334976" TargetMode="External"/><Relationship Id="rId79" Type="http://schemas.openxmlformats.org/officeDocument/2006/relationships/hyperlink" Target="https://odmkl11.od.ua/" TargetMode="External"/><Relationship Id="rId102" Type="http://schemas.openxmlformats.org/officeDocument/2006/relationships/hyperlink" Target="https://moz.gov.ua/uk/evropejski-krainiprijnjali-plan-dij-u-sferi-cifrovoiohoroni-zdorov%E2%80%99ja" TargetMode="External"/><Relationship Id="rId5" Type="http://schemas.openxmlformats.org/officeDocument/2006/relationships/numbering" Target="numbering.xml"/><Relationship Id="rId90" Type="http://schemas.openxmlformats.org/officeDocument/2006/relationships/hyperlink" Target="https://www.economy-confer.com.ua/full-article/6478/" TargetMode="External"/><Relationship Id="rId95" Type="http://schemas.openxmlformats.org/officeDocument/2006/relationships/hyperlink" Target="https://moz.gov.ua/uk/news/koncepciya-rozbudovi-elektronnoyi-ohoroni-zdorov-ya-ukrayini" TargetMode="External"/><Relationship Id="rId22" Type="http://schemas.openxmlformats.org/officeDocument/2006/relationships/chart" Target="charts/chart8.xml"/><Relationship Id="rId27" Type="http://schemas.openxmlformats.org/officeDocument/2006/relationships/image" Target="media/image20.png"/><Relationship Id="rId43" Type="http://schemas.openxmlformats.org/officeDocument/2006/relationships/hyperlink" Target="https://opendatabot.ua/c/02774415" TargetMode="External"/><Relationship Id="rId48" Type="http://schemas.openxmlformats.org/officeDocument/2006/relationships/hyperlink" Target="https://opendatabot.ua/c/02774415" TargetMode="External"/><Relationship Id="rId64" Type="http://schemas.openxmlformats.org/officeDocument/2006/relationships/hyperlink" Target="https://ir.kneu.edu.ua:443/handle/2010/21863" TargetMode="External"/><Relationship Id="rId69" Type="http://schemas.openxmlformats.org/officeDocument/2006/relationships/hyperlink" Target="http://economyandsociety.in.ua/index.php/journal/article/view/466" TargetMode="External"/><Relationship Id="rId80" Type="http://schemas.openxmlformats.org/officeDocument/2006/relationships/hyperlink" Target="https://eco-science.net/wp-content/uploads/2021/07/4.20._topic_Ivanchov-P.V.pdf-27-37.pdf" TargetMode="External"/><Relationship Id="rId85" Type="http://schemas.openxmlformats.org/officeDocument/2006/relationships/hyperlink" Target="http://eh.udpu.edu.ua/article/view/212757" TargetMode="External"/><Relationship Id="rId12" Type="http://schemas.openxmlformats.org/officeDocument/2006/relationships/image" Target="media/image1.jpg"/><Relationship Id="rId17" Type="http://schemas.openxmlformats.org/officeDocument/2006/relationships/chart" Target="charts/chart3.xml"/><Relationship Id="rId33" Type="http://schemas.openxmlformats.org/officeDocument/2006/relationships/hyperlink" Target="https://opendatabot.ua/c/02774415" TargetMode="External"/><Relationship Id="rId38" Type="http://schemas.openxmlformats.org/officeDocument/2006/relationships/hyperlink" Target="https://opendatabot.ua/c/02774415" TargetMode="External"/><Relationship Id="rId59" Type="http://schemas.openxmlformats.org/officeDocument/2006/relationships/hyperlink" Target="https://ingeniusua.org/articles/klasyfikatsiya-osnovnykh-modeley-medychnykh-system-u-sviti-ta-shlyakh-ukrayiny" TargetMode="External"/><Relationship Id="rId103" Type="http://schemas.openxmlformats.org/officeDocument/2006/relationships/hyperlink" Target="https://health.ec.europa.eu/ehealth-digital-health-and-care/european-health-data-space-regulationehds_en" TargetMode="External"/><Relationship Id="rId108" Type="http://schemas.openxmlformats.org/officeDocument/2006/relationships/fontTable" Target="fontTable.xml"/><Relationship Id="rId20" Type="http://schemas.openxmlformats.org/officeDocument/2006/relationships/chart" Target="charts/chart6.xml"/><Relationship Id="rId41" Type="http://schemas.openxmlformats.org/officeDocument/2006/relationships/hyperlink" Target="https://opendatabot.ua/c/02774415" TargetMode="External"/><Relationship Id="rId54" Type="http://schemas.openxmlformats.org/officeDocument/2006/relationships/hyperlink" Target="https://opendatabot.ua/c/02774415" TargetMode="External"/><Relationship Id="rId62" Type="http://schemas.openxmlformats.org/officeDocument/2006/relationships/hyperlink" Target="http://www.economy.nayka.com.ua/pdf/1_2020/57.pdf" TargetMode="External"/><Relationship Id="rId70" Type="http://schemas.openxmlformats.org/officeDocument/2006/relationships/hyperlink" Target="https://doi.org/10.55643/fcaptp.1.42.2022.3674" TargetMode="External"/><Relationship Id="rId75" Type="http://schemas.openxmlformats.org/officeDocument/2006/relationships/hyperlink" Target="https://niss.gov.ua/sites/default/files/2021-09/ohoronazdorovya.pdf" TargetMode="External"/><Relationship Id="rId83" Type="http://schemas.openxmlformats.org/officeDocument/2006/relationships/hyperlink" Target="https://isu-conference.com/wp-content/uploads/2024/01/The-aspects-of-contemporary-scientific-research-Jan-10-12-2024-Venice-Italy.pdf" TargetMode="External"/><Relationship Id="rId88" Type="http://schemas.openxmlformats.org/officeDocument/2006/relationships/hyperlink" Target="http://www.wayscience.com/wp-content/uploads/2023/08/Conference-Proceedings-July-27-28-2023-1.pdf" TargetMode="External"/><Relationship Id="rId91" Type="http://schemas.openxmlformats.org/officeDocument/2006/relationships/hyperlink" Target="https://repo.odmu.edu.ua:443/xmlui/handle/123456789/18193" TargetMode="External"/><Relationship Id="rId96" Type="http://schemas.openxmlformats.org/officeDocument/2006/relationships/hyperlink" Target="https://moz.gov.ua/uk/decrees/nakaz-moz-ukraini-vid-14122017-1597-pro-utvorennja-derzhavnogo-pidpriemstva-elektronne-zdorovja"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10.jpg"/><Relationship Id="rId23" Type="http://schemas.openxmlformats.org/officeDocument/2006/relationships/chart" Target="charts/chart9.xml"/><Relationship Id="rId28" Type="http://schemas.openxmlformats.org/officeDocument/2006/relationships/image" Target="media/image3.png"/><Relationship Id="rId36" Type="http://schemas.openxmlformats.org/officeDocument/2006/relationships/hyperlink" Target="https://opendatabot.ua/c/02774415" TargetMode="External"/><Relationship Id="rId49" Type="http://schemas.openxmlformats.org/officeDocument/2006/relationships/hyperlink" Target="https://opendatabot.ua/c/02774415" TargetMode="External"/><Relationship Id="rId57" Type="http://schemas.openxmlformats.org/officeDocument/2006/relationships/hyperlink" Target="https://opendatabot.ua/c/02774415" TargetMode="External"/><Relationship Id="rId106" Type="http://schemas.openxmlformats.org/officeDocument/2006/relationships/hyperlink" Target="https://ojs.tdmu.edu.ua/index.php/visnyk-gigieny/article/view/15334/14109" TargetMode="External"/><Relationship Id="rId10" Type="http://schemas.openxmlformats.org/officeDocument/2006/relationships/endnotes" Target="endnotes.xml"/><Relationship Id="rId31" Type="http://schemas.openxmlformats.org/officeDocument/2006/relationships/image" Target="media/image40.png"/><Relationship Id="rId44" Type="http://schemas.openxmlformats.org/officeDocument/2006/relationships/hyperlink" Target="https://opendatabot.ua/c/02774415" TargetMode="External"/><Relationship Id="rId52" Type="http://schemas.openxmlformats.org/officeDocument/2006/relationships/hyperlink" Target="https://opendatabot.ua/c/02774415" TargetMode="External"/><Relationship Id="rId60" Type="http://schemas.openxmlformats.org/officeDocument/2006/relationships/hyperlink" Target="https://doi.org/10.32782/2524-0072/2024-64-56" TargetMode="External"/><Relationship Id="rId65" Type="http://schemas.openxmlformats.org/officeDocument/2006/relationships/hyperlink" Target="file:///D:/home/e200466kvy/Downloads/VZAEMODIA_ELEMENTIV_ORGANIZACIJNO-EKONOMICNOGO_MEH%20(1).pdf" TargetMode="External"/><Relationship Id="rId73" Type="http://schemas.openxmlformats.org/officeDocument/2006/relationships/hyperlink" Target="https://doi.org/10.25140/2411-5215-2025-2(42)-164-177" TargetMode="External"/><Relationship Id="rId78" Type="http://schemas.openxmlformats.org/officeDocument/2006/relationships/hyperlink" Target="URL:%20http://www.economy.nayka.com.ua/?op=1&amp;z=7910" TargetMode="External"/><Relationship Id="rId81" Type="http://schemas.openxmlformats.org/officeDocument/2006/relationships/hyperlink" Target="http://www.investplan.com.ua/pdf/7_2018/10.pdf" TargetMode="External"/><Relationship Id="rId86" Type="http://schemas.openxmlformats.org/officeDocument/2006/relationships/hyperlink" Target="https://www.econ.vernadskyjournals.in.ua/journals/2020/31_70_6/16.pdf" TargetMode="External"/><Relationship Id="rId94" Type="http://schemas.openxmlformats.org/officeDocument/2006/relationships/hyperlink" Target="https://ehealth.gov.ua" TargetMode="External"/><Relationship Id="rId99" Type="http://schemas.openxmlformats.org/officeDocument/2006/relationships/hyperlink" Target="https://zakon.rada.gov.ua/laws/show/1175-2021-%D1%80" TargetMode="External"/><Relationship Id="rId101" Type="http://schemas.openxmlformats.org/officeDocument/2006/relationships/hyperlink" Target="https://www.eoss-conf.com/wp-content/uploads/2024/12/Marseille_France_16.12.24.pdf" TargetMode="External"/><Relationship Id="rId4" Type="http://schemas.openxmlformats.org/officeDocument/2006/relationships/customXml" Target="../customXml/item4.xml"/><Relationship Id="rId9" Type="http://schemas.openxmlformats.org/officeDocument/2006/relationships/footnotes" Target="footnotes.xml"/><Relationship Id="rId18" Type="http://schemas.openxmlformats.org/officeDocument/2006/relationships/chart" Target="charts/chart4.xml"/><Relationship Id="rId39" Type="http://schemas.openxmlformats.org/officeDocument/2006/relationships/hyperlink" Target="https://opendatabot.ua/c/02774415" TargetMode="External"/><Relationship Id="rId109" Type="http://schemas.openxmlformats.org/officeDocument/2006/relationships/theme" Target="theme/theme1.xml"/><Relationship Id="rId34" Type="http://schemas.openxmlformats.org/officeDocument/2006/relationships/hyperlink" Target="https://opendatabot.ua/c/02774415" TargetMode="External"/><Relationship Id="rId50" Type="http://schemas.openxmlformats.org/officeDocument/2006/relationships/hyperlink" Target="https://opendatabot.ua/c/02774415" TargetMode="External"/><Relationship Id="rId55" Type="http://schemas.openxmlformats.org/officeDocument/2006/relationships/hyperlink" Target="https://opendatabot.ua/c/02774415" TargetMode="External"/><Relationship Id="rId76" Type="http://schemas.openxmlformats.org/officeDocument/2006/relationships/hyperlink" Target="https://moz.gov.ua/uploads/ckeditor/&#1041;&#1110;&#1073;&#1083;&#1110;&#1086;&#1090;&#1077;&#1082;&#1072;%20&#1087;&#1088;&#1086;&#1077;&#1082;&#1090;&#1110;&#1074;%20USAID/&#1055;&#1086;&#1089;&#1110;&#1073;&#1085;&#1080;&#1082;%20&#1079;%20&#1091;&#1087;&#1088;&#1072;&#1074;&#1083;&#1110;&#1085;&#1085;&#1103;%20&#1084;&#1077;&#1076;&#1079;&#1072;&#1082;&#1083;&#1072;&#1076;&#1086;&#1084;/&#1055;&#1086;&#1089;&#1110;&#1073;&#1085;&#1080;&#1082;%20&#1079;%20&#1091;&#1087;&#1088;&#1072;&#1074;&#1083;&#1110;&#1085;&#1085;&#1103;%20&#1084;&#1077;&#1076;&#1080;&#1095;&#1085;&#1080;&#1084;%20&#1079;&#1072;&#1082;&#1083;&#1072;&#1076;&#1086;&#1084;.pdf" TargetMode="External"/><Relationship Id="rId97" Type="http://schemas.openxmlformats.org/officeDocument/2006/relationships/hyperlink" Target="https://moz.gov.ua/uk/zmicnennja-sistemi-ohoroni-zdorovja-ta-zberezhennjazhittja-heal-ukraine" TargetMode="External"/><Relationship Id="rId104" Type="http://schemas.openxmlformats.org/officeDocument/2006/relationships/hyperlink" Target="http://doi.org/10.35668/2520-6524-2020-2-08" TargetMode="External"/><Relationship Id="rId7" Type="http://schemas.openxmlformats.org/officeDocument/2006/relationships/settings" Target="settings.xml"/><Relationship Id="rId71" Type="http://schemas.openxmlformats.org/officeDocument/2006/relationships/hyperlink" Target="https://cost.ua/byudzhet-ukrayiny/expenditure/main/" TargetMode="External"/><Relationship Id="rId92" Type="http://schemas.openxmlformats.org/officeDocument/2006/relationships/hyperlink" Target="https://zakon.rada.gov.ua/laws/show/2801-12" TargetMode="External"/><Relationship Id="rId2" Type="http://schemas.openxmlformats.org/officeDocument/2006/relationships/customXml" Target="../customXml/item2.xml"/><Relationship Id="rId29" Type="http://schemas.openxmlformats.org/officeDocument/2006/relationships/image" Target="media/image30.png"/><Relationship Id="rId24" Type="http://schemas.openxmlformats.org/officeDocument/2006/relationships/chart" Target="charts/chart10.xml"/><Relationship Id="rId40" Type="http://schemas.openxmlformats.org/officeDocument/2006/relationships/hyperlink" Target="https://opendatabot.ua/c/02774415" TargetMode="External"/><Relationship Id="rId45" Type="http://schemas.openxmlformats.org/officeDocument/2006/relationships/hyperlink" Target="https://opendatabot.ua/c/02774415" TargetMode="External"/><Relationship Id="rId66" Type="http://schemas.openxmlformats.org/officeDocument/2006/relationships/hyperlink" Target="https://doi.org/10.31732/2663-2209-2025-77-398-404" TargetMode="External"/><Relationship Id="rId87" Type="http://schemas.openxmlformats.org/officeDocument/2006/relationships/hyperlink" Target="https://moz.gov.ua/uk/cifrova-transformaciya-ohoroni-zdorov-ya-ukrayini-2" TargetMode="External"/><Relationship Id="rId61" Type="http://schemas.openxmlformats.org/officeDocument/2006/relationships/hyperlink" Target="https://medicallaw.org.ua/uploads/media/02_129.pdf" TargetMode="External"/><Relationship Id="rId82" Type="http://schemas.openxmlformats.org/officeDocument/2006/relationships/hyperlink" Target="https://emsesd.com.ua/uk/journals/2-2023/vpliv-mekhanizmiv-derzhavnogo-regulyuvannya-na-efektivnist-ta-rezultativnist-reformuvannya-okhoroni-zdorov-ya-v-ukrayini" TargetMode="External"/><Relationship Id="rId19" Type="http://schemas.openxmlformats.org/officeDocument/2006/relationships/chart" Target="charts/chart5.xml"/><Relationship Id="rId30" Type="http://schemas.openxmlformats.org/officeDocument/2006/relationships/image" Target="media/image4.png"/><Relationship Id="rId35" Type="http://schemas.openxmlformats.org/officeDocument/2006/relationships/hyperlink" Target="https://opendatabot.ua/c/02774415" TargetMode="External"/><Relationship Id="rId56" Type="http://schemas.openxmlformats.org/officeDocument/2006/relationships/hyperlink" Target="https://opendatabot.ua/c/02774415" TargetMode="External"/><Relationship Id="rId77" Type="http://schemas.openxmlformats.org/officeDocument/2006/relationships/hyperlink" Target="https://omr.gov.ua/ua/city/departments/gorzdrav/report/" TargetMode="External"/><Relationship Id="rId100" Type="http://schemas.openxmlformats.org/officeDocument/2006/relationships/hyperlink" Target="https://zakon.rada.gov.ua/laws/show/36-2022-%D0%BF" TargetMode="External"/><Relationship Id="rId105" Type="http://schemas.openxmlformats.org/officeDocument/2006/relationships/hyperlink" Target="https://doi.org/10.24144/2788-6018.2021.03.27" TargetMode="External"/><Relationship Id="rId8" Type="http://schemas.openxmlformats.org/officeDocument/2006/relationships/webSettings" Target="webSettings.xml"/><Relationship Id="rId51" Type="http://schemas.openxmlformats.org/officeDocument/2006/relationships/hyperlink" Target="https://opendatabot.ua/c/02774415" TargetMode="External"/><Relationship Id="rId72" Type="http://schemas.openxmlformats.org/officeDocument/2006/relationships/hyperlink" Target="https://www.apteka.ua/article/708401" TargetMode="External"/><Relationship Id="rId93" Type="http://schemas.openxmlformats.org/officeDocument/2006/relationships/hyperlink" Target="https://zakon.rada.gov.ua/laws/show/1671-2020-&#1088;" TargetMode="External"/><Relationship Id="rId98" Type="http://schemas.openxmlformats.org/officeDocument/2006/relationships/hyperlink" Target="https://zakon.rada.gov.ua/laws/show/411-2018-%D0%BF" TargetMode="External"/><Relationship Id="rId3" Type="http://schemas.openxmlformats.org/officeDocument/2006/relationships/customXml" Target="../customXml/item3.xml"/><Relationship Id="rId25" Type="http://schemas.openxmlformats.org/officeDocument/2006/relationships/chart" Target="charts/chart11.xml"/><Relationship Id="rId46" Type="http://schemas.openxmlformats.org/officeDocument/2006/relationships/hyperlink" Target="https://opendatabot.ua/c/02774415" TargetMode="External"/><Relationship Id="rId67" Type="http://schemas.openxmlformats.org/officeDocument/2006/relationships/hyperlink" Target="https://conferences.vntu.edu.ua/index.php/fiip/fiip2023/paper/viewFile/17129/14271"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_Microsoft_Excel.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______Microsoft_Excel9.xlsx"/><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package" Target="../embeddings/______Microsoft_Excel10.xlsx"/><Relationship Id="rId1" Type="http://schemas.openxmlformats.org/officeDocument/2006/relationships/themeOverride" Target="../theme/themeOverride11.xm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______Microsoft_Excel1.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______Microsoft_Excel2.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______Microsoft_Excel3.xlsx"/></Relationships>
</file>

<file path=word/charts/_rels/chart5.xml.rels><?xml version="1.0" encoding="UTF-8" standalone="yes"?>
<Relationships xmlns="http://schemas.openxmlformats.org/package/2006/relationships"><Relationship Id="rId2" Type="http://schemas.openxmlformats.org/officeDocument/2006/relationships/package" Target="../embeddings/______Microsoft_Excel4.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______Microsoft_Excel5.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______Microsoft_Excel6.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______Microsoft_Excel7.xlsx"/><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package" Target="../embeddings/______Microsoft_Excel8.xlsx"/><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prstGeom prst="rect">
          <a:avLst/>
        </a:prstGeom>
        <a:noFill/>
        <a:ln>
          <a:noFill/>
        </a:ln>
        <a:effectLst/>
      </c:spPr>
    </c:floor>
    <c:sideWall>
      <c:thickness val="0"/>
      <c:spPr>
        <a:prstGeom prst="rect">
          <a:avLst/>
        </a:prstGeom>
        <a:noFill/>
        <a:ln>
          <a:noFill/>
        </a:ln>
        <a:effectLst/>
      </c:spPr>
    </c:sideWall>
    <c:backWall>
      <c:thickness val="0"/>
      <c:spPr>
        <a:prstGeom prst="rect">
          <a:avLst/>
        </a:prstGeom>
        <a:noFill/>
        <a:ln>
          <a:noFill/>
        </a:ln>
        <a:effectLst/>
      </c:spPr>
    </c:backWall>
    <c:plotArea>
      <c:layout/>
      <c:bar3DChart>
        <c:barDir val="col"/>
        <c:grouping val="stacked"/>
        <c:varyColors val="0"/>
        <c:ser>
          <c:idx val="0"/>
          <c:order val="0"/>
          <c:tx>
            <c:strRef>
              <c:f>Аркуш1!$C$477</c:f>
              <c:strCache>
                <c:ptCount val="1"/>
                <c:pt idx="0">
                  <c:v>Місцеві бюджети </c:v>
                </c:pt>
              </c:strCache>
            </c:strRef>
          </c:tx>
          <c:spPr>
            <a:prstGeom prst="rect">
              <a:avLst/>
            </a:prstGeom>
            <a:solidFill>
              <a:schemeClr val="accent1">
                <a:lumMod val="75000"/>
              </a:schemeClr>
            </a:solidFill>
            <a:ln>
              <a:solidFill>
                <a:schemeClr val="tx1"/>
              </a:solidFill>
            </a:ln>
            <a:effectLst/>
          </c:spPr>
          <c:invertIfNegative val="0"/>
          <c:dLbls>
            <c:spPr>
              <a:solidFill>
                <a:schemeClr val="bg1"/>
              </a:solidFill>
              <a:ln>
                <a:solidFill>
                  <a:schemeClr val="tx1"/>
                </a:solidFill>
              </a:ln>
              <a:effectLst/>
            </c:spPr>
            <c:txPr>
              <a:bodyPr rot="0" spcFirstLastPara="1" vertOverflow="ellipsis" vert="horz" wrap="square" lIns="38100" tIns="19050" rIns="38100" bIns="19050" anchor="ctr" anchorCtr="1">
                <a:spAutoFit/>
              </a:bodyPr>
              <a:lstStyle/>
              <a:p>
                <a:pPr>
                  <a:defRPr sz="900" b="0" i="0" u="none" strike="noStrike">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pPr xmlns:c15="http://schemas.microsoft.com/office/drawing/2012/chart">
                  <a:prstGeom prst="rect">
                    <a:avLst/>
                  </a:prstGeom>
                </c15:spPr>
                <c15:showLeaderLines val="0"/>
              </c:ext>
            </c:extLst>
          </c:dLbls>
          <c:cat>
            <c:numRef>
              <c:f>Аркуш1!$D$476:$L$476</c:f>
              <c:numCache>
                <c:formatCode>General</c:formatCode>
                <c:ptCount val="9"/>
                <c:pt idx="0">
                  <c:v>2016</c:v>
                </c:pt>
                <c:pt idx="1">
                  <c:v>2017</c:v>
                </c:pt>
                <c:pt idx="2">
                  <c:v>2018</c:v>
                </c:pt>
                <c:pt idx="3">
                  <c:v>2019</c:v>
                </c:pt>
                <c:pt idx="4">
                  <c:v>2020</c:v>
                </c:pt>
                <c:pt idx="5">
                  <c:v>2021</c:v>
                </c:pt>
                <c:pt idx="6">
                  <c:v>2022</c:v>
                </c:pt>
                <c:pt idx="7">
                  <c:v>2023</c:v>
                </c:pt>
                <c:pt idx="8">
                  <c:v>2024</c:v>
                </c:pt>
              </c:numCache>
            </c:numRef>
          </c:cat>
          <c:val>
            <c:numRef>
              <c:f>Аркуш1!$D$477:$L$477</c:f>
              <c:numCache>
                <c:formatCode>General</c:formatCode>
                <c:ptCount val="9"/>
                <c:pt idx="0">
                  <c:v>63</c:v>
                </c:pt>
                <c:pt idx="1">
                  <c:v>86</c:v>
                </c:pt>
                <c:pt idx="2">
                  <c:v>93</c:v>
                </c:pt>
                <c:pt idx="3">
                  <c:v>91</c:v>
                </c:pt>
                <c:pt idx="4">
                  <c:v>48</c:v>
                </c:pt>
                <c:pt idx="5">
                  <c:v>30</c:v>
                </c:pt>
                <c:pt idx="6">
                  <c:v>31</c:v>
                </c:pt>
                <c:pt idx="7">
                  <c:v>38</c:v>
                </c:pt>
                <c:pt idx="8">
                  <c:v>35</c:v>
                </c:pt>
              </c:numCache>
            </c:numRef>
          </c:val>
          <c:extLst>
            <c:ext xmlns:c16="http://schemas.microsoft.com/office/drawing/2014/chart" uri="{C3380CC4-5D6E-409C-BE32-E72D297353CC}">
              <c16:uniqueId val="{00000000-850C-479E-A9E4-78DD05F06CCB}"/>
            </c:ext>
          </c:extLst>
        </c:ser>
        <c:ser>
          <c:idx val="1"/>
          <c:order val="1"/>
          <c:tx>
            <c:strRef>
              <c:f>Аркуш1!$C$478</c:f>
              <c:strCache>
                <c:ptCount val="1"/>
                <c:pt idx="0">
                  <c:v>Державний бюджет</c:v>
                </c:pt>
              </c:strCache>
            </c:strRef>
          </c:tx>
          <c:spPr>
            <a:prstGeom prst="rect">
              <a:avLst/>
            </a:prstGeom>
            <a:gradFill>
              <a:gsLst>
                <a:gs pos="0">
                  <a:schemeClr val="accent1">
                    <a:lumMod val="5000"/>
                    <a:lumOff val="95000"/>
                  </a:schemeClr>
                </a:gs>
                <a:gs pos="19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a:solidFill>
                <a:schemeClr val="tx1"/>
              </a:solidFill>
            </a:ln>
            <a:effectLst/>
          </c:spPr>
          <c:invertIfNegative val="0"/>
          <c:dLbls>
            <c:spPr>
              <a:solidFill>
                <a:schemeClr val="bg1"/>
              </a:solidFill>
              <a:ln>
                <a:solidFill>
                  <a:schemeClr val="tx1"/>
                </a:solidFill>
              </a:ln>
              <a:effectLst/>
            </c:spPr>
            <c:txPr>
              <a:bodyPr rot="0" spcFirstLastPara="1" vertOverflow="ellipsis" vert="horz" wrap="square" lIns="38100" tIns="19050" rIns="38100" bIns="19050" anchor="ctr" anchorCtr="1">
                <a:spAutoFit/>
              </a:bodyPr>
              <a:lstStyle/>
              <a:p>
                <a:pPr>
                  <a:defRPr sz="900" b="0" i="0" u="none" strike="noStrike">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pPr xmlns:c15="http://schemas.microsoft.com/office/drawing/2012/chart">
                  <a:prstGeom prst="rect">
                    <a:avLst/>
                  </a:prstGeom>
                </c15:spPr>
                <c15:showLeaderLines val="0"/>
              </c:ext>
            </c:extLst>
          </c:dLbls>
          <c:cat>
            <c:numRef>
              <c:f>Аркуш1!$D$476:$L$476</c:f>
              <c:numCache>
                <c:formatCode>General</c:formatCode>
                <c:ptCount val="9"/>
                <c:pt idx="0">
                  <c:v>2016</c:v>
                </c:pt>
                <c:pt idx="1">
                  <c:v>2017</c:v>
                </c:pt>
                <c:pt idx="2">
                  <c:v>2018</c:v>
                </c:pt>
                <c:pt idx="3">
                  <c:v>2019</c:v>
                </c:pt>
                <c:pt idx="4">
                  <c:v>2020</c:v>
                </c:pt>
                <c:pt idx="5">
                  <c:v>2021</c:v>
                </c:pt>
                <c:pt idx="6">
                  <c:v>2022</c:v>
                </c:pt>
                <c:pt idx="7">
                  <c:v>2023</c:v>
                </c:pt>
                <c:pt idx="8">
                  <c:v>2024</c:v>
                </c:pt>
              </c:numCache>
            </c:numRef>
          </c:cat>
          <c:val>
            <c:numRef>
              <c:f>Аркуш1!$D$478:$L$478</c:f>
              <c:numCache>
                <c:formatCode>General</c:formatCode>
                <c:ptCount val="9"/>
                <c:pt idx="0">
                  <c:v>12</c:v>
                </c:pt>
                <c:pt idx="1">
                  <c:v>17</c:v>
                </c:pt>
                <c:pt idx="2">
                  <c:v>23</c:v>
                </c:pt>
                <c:pt idx="3">
                  <c:v>40</c:v>
                </c:pt>
                <c:pt idx="4">
                  <c:v>115</c:v>
                </c:pt>
                <c:pt idx="5">
                  <c:v>170</c:v>
                </c:pt>
                <c:pt idx="6">
                  <c:v>184</c:v>
                </c:pt>
                <c:pt idx="7">
                  <c:v>179</c:v>
                </c:pt>
                <c:pt idx="8">
                  <c:v>204</c:v>
                </c:pt>
              </c:numCache>
            </c:numRef>
          </c:val>
          <c:extLst>
            <c:ext xmlns:c16="http://schemas.microsoft.com/office/drawing/2014/chart" uri="{C3380CC4-5D6E-409C-BE32-E72D297353CC}">
              <c16:uniqueId val="{00000001-850C-479E-A9E4-78DD05F06CCB}"/>
            </c:ext>
          </c:extLst>
        </c:ser>
        <c:dLbls>
          <c:showLegendKey val="0"/>
          <c:showVal val="0"/>
          <c:showCatName val="0"/>
          <c:showSerName val="0"/>
          <c:showPercent val="0"/>
          <c:showBubbleSize val="0"/>
        </c:dLbls>
        <c:gapWidth val="150"/>
        <c:shape val="box"/>
        <c:axId val="1664047808"/>
        <c:axId val="1664036576"/>
        <c:axId val="0"/>
      </c:bar3DChart>
      <c:catAx>
        <c:axId val="1664047808"/>
        <c:scaling>
          <c:orientation val="minMax"/>
        </c:scaling>
        <c:delete val="0"/>
        <c:axPos val="b"/>
        <c:numFmt formatCode="General" sourceLinked="1"/>
        <c:majorTickMark val="none"/>
        <c:minorTickMark val="none"/>
        <c:tickLblPos val="nextTo"/>
        <c:spPr>
          <a:prstGeom prst="rect">
            <a:avLst/>
          </a:prstGeom>
          <a:noFill/>
          <a:ln>
            <a:noFill/>
          </a:ln>
          <a:effectLst/>
        </c:spPr>
        <c:txPr>
          <a:bodyPr rot="-60000000" spcFirstLastPara="1" vertOverflow="ellipsis" vert="horz" wrap="square" anchor="ctr" anchorCtr="1"/>
          <a:lstStyle/>
          <a:p>
            <a:pPr>
              <a:defRPr sz="900" b="0" i="0" u="none" strike="noStrike">
                <a:solidFill>
                  <a:schemeClr val="tx1">
                    <a:lumMod val="65000"/>
                    <a:lumOff val="35000"/>
                  </a:schemeClr>
                </a:solidFill>
                <a:latin typeface="+mn-lt"/>
                <a:ea typeface="+mn-ea"/>
                <a:cs typeface="+mn-cs"/>
              </a:defRPr>
            </a:pPr>
            <a:endParaRPr lang="uk-UA"/>
          </a:p>
        </c:txPr>
        <c:crossAx val="1664036576"/>
        <c:crosses val="autoZero"/>
        <c:auto val="1"/>
        <c:lblAlgn val="ctr"/>
        <c:lblOffset val="100"/>
        <c:noMultiLvlLbl val="0"/>
      </c:catAx>
      <c:valAx>
        <c:axId val="1664036576"/>
        <c:scaling>
          <c:orientation val="minMax"/>
        </c:scaling>
        <c:delete val="0"/>
        <c:axPos val="l"/>
        <c:majorGridlines>
          <c:spPr>
            <a:prstGeom prst="rect">
              <a:avLst/>
            </a:prstGeom>
            <a:ln w="9525" cap="flat" cmpd="sng" algn="ctr">
              <a:solidFill>
                <a:schemeClr val="tx1">
                  <a:lumMod val="15000"/>
                  <a:lumOff val="85000"/>
                </a:schemeClr>
              </a:solidFill>
              <a:round/>
            </a:ln>
            <a:effectLst/>
          </c:spPr>
        </c:majorGridlines>
        <c:numFmt formatCode="General" sourceLinked="1"/>
        <c:majorTickMark val="none"/>
        <c:minorTickMark val="none"/>
        <c:tickLblPos val="nextTo"/>
        <c:spPr>
          <a:prstGeom prst="rect">
            <a:avLst/>
          </a:prstGeom>
          <a:noFill/>
          <a:ln>
            <a:noFill/>
          </a:ln>
          <a:effectLst/>
        </c:spPr>
        <c:txPr>
          <a:bodyPr rot="-60000000" spcFirstLastPara="1" vertOverflow="ellipsis" vert="horz" wrap="square" anchor="ctr" anchorCtr="1"/>
          <a:lstStyle/>
          <a:p>
            <a:pPr>
              <a:defRPr sz="900" b="0" i="0" u="none" strike="noStrike">
                <a:solidFill>
                  <a:schemeClr val="tx1">
                    <a:lumMod val="65000"/>
                    <a:lumOff val="35000"/>
                  </a:schemeClr>
                </a:solidFill>
                <a:latin typeface="+mn-lt"/>
                <a:ea typeface="+mn-ea"/>
                <a:cs typeface="+mn-cs"/>
              </a:defRPr>
            </a:pPr>
            <a:endParaRPr lang="uk-UA"/>
          </a:p>
        </c:txPr>
        <c:crossAx val="1664047808"/>
        <c:crosses val="autoZero"/>
        <c:crossBetween val="between"/>
      </c:valAx>
      <c:spPr>
        <a:prstGeom prst="rect">
          <a:avLst/>
        </a:prstGeom>
        <a:noFill/>
        <a:ln>
          <a:noFill/>
        </a:ln>
        <a:effectLst/>
      </c:spPr>
    </c:plotArea>
    <c:legend>
      <c:legendPos val="b"/>
      <c:overlay val="0"/>
      <c:spPr>
        <a:prstGeom prst="rect">
          <a:avLst/>
        </a:prstGeom>
        <a:noFill/>
        <a:ln>
          <a:noFill/>
        </a:ln>
        <a:effectLst/>
      </c:spPr>
      <c:txPr>
        <a:bodyPr rot="0" spcFirstLastPara="1" vertOverflow="ellipsis" vert="horz" wrap="square" anchor="ctr" anchorCtr="1"/>
        <a:lstStyle/>
        <a:p>
          <a:pPr>
            <a:defRPr sz="900" b="0" i="0" u="none" strike="noStrike">
              <a:solidFill>
                <a:schemeClr val="tx1">
                  <a:lumMod val="65000"/>
                  <a:lumOff val="35000"/>
                </a:schemeClr>
              </a:solidFill>
              <a:latin typeface="+mn-lt"/>
              <a:ea typeface="+mn-ea"/>
              <a:cs typeface="+mn-cs"/>
            </a:defRPr>
          </a:pPr>
          <a:endParaRPr lang="uk-UA"/>
        </a:p>
      </c:txPr>
    </c:legend>
    <c:plotVisOnly val="1"/>
    <c:dispBlanksAs val="gap"/>
    <c:showDLblsOverMax val="0"/>
  </c:chart>
  <c:spPr>
    <a:prstGeom prst="rect">
      <a:avLst/>
    </a:prstGeom>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prstGeom prst="rect">
          <a:avLst/>
        </a:prstGeom>
        <a:noFill/>
        <a:ln>
          <a:noFill/>
        </a:ln>
        <a:effectLst/>
      </c:spPr>
    </c:floor>
    <c:sideWall>
      <c:thickness val="0"/>
      <c:spPr>
        <a:prstGeom prst="rect">
          <a:avLst/>
        </a:prstGeom>
        <a:noFill/>
        <a:ln>
          <a:noFill/>
        </a:ln>
        <a:effectLst/>
      </c:spPr>
    </c:sideWall>
    <c:backWall>
      <c:thickness val="0"/>
      <c:spPr>
        <a:prstGeom prst="rect">
          <a:avLst/>
        </a:prstGeom>
        <a:noFill/>
        <a:ln>
          <a:noFill/>
        </a:ln>
        <a:effectLst/>
      </c:spPr>
    </c:backWall>
    <c:plotArea>
      <c:layout/>
      <c:bar3DChart>
        <c:barDir val="col"/>
        <c:grouping val="clustered"/>
        <c:varyColors val="0"/>
        <c:ser>
          <c:idx val="0"/>
          <c:order val="0"/>
          <c:tx>
            <c:strRef>
              <c:f>Аркуш1!$C$560</c:f>
              <c:strCache>
                <c:ptCount val="1"/>
                <c:pt idx="0">
                  <c:v>кошти НСЗУ за програмою медичних гарантій</c:v>
                </c:pt>
              </c:strCache>
            </c:strRef>
          </c:tx>
          <c:spPr>
            <a:prstGeom prst="rect">
              <a:avLst/>
            </a:prstGeom>
            <a:gradFill>
              <a:gsLst>
                <a:gs pos="50000">
                  <a:schemeClr val="accent1"/>
                </a:gs>
                <a:gs pos="100000">
                  <a:schemeClr val="accent1">
                    <a:alpha val="0"/>
                  </a:schemeClr>
                </a:gs>
              </a:gsLst>
              <a:lin ang="5400000" scaled="0"/>
            </a:gradFill>
            <a:ln>
              <a:solidFill>
                <a:schemeClr val="tx1"/>
              </a:solidFill>
            </a:ln>
            <a:effectLst/>
          </c:spPr>
          <c:invertIfNegative val="0"/>
          <c:dLbls>
            <c:dLbl>
              <c:idx val="0"/>
              <c:layout>
                <c:manualLayout>
                  <c:x val="0"/>
                  <c:y val="0.23148099999999999"/>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6D1E-4913-B673-6BFF8593811C}"/>
                </c:ext>
              </c:extLst>
            </c:dLbl>
            <c:dLbl>
              <c:idx val="1"/>
              <c:layout>
                <c:manualLayout>
                  <c:x val="8.3330000000000001E-3"/>
                  <c:y val="0.203704"/>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6D1E-4913-B673-6BFF8593811C}"/>
                </c:ext>
              </c:extLst>
            </c:dLbl>
            <c:spPr>
              <a:solidFill>
                <a:schemeClr val="bg1"/>
              </a:solidFill>
              <a:ln>
                <a:solidFill>
                  <a:schemeClr val="tx1"/>
                </a:solidFill>
              </a:ln>
              <a:effectLst/>
            </c:spPr>
            <c:txPr>
              <a:bodyPr rot="0" spcFirstLastPara="1" vertOverflow="ellipsis" vert="horz" wrap="square" lIns="38100" tIns="19050" rIns="38100" bIns="19050" anchor="ctr" anchorCtr="1">
                <a:spAutoFit/>
              </a:bodyPr>
              <a:lstStyle/>
              <a:p>
                <a:pPr>
                  <a:defRPr sz="900" b="0" i="0" u="none" strike="noStrike">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pPr xmlns:c15="http://schemas.microsoft.com/office/drawing/2012/chart">
                  <a:prstGeom prst="rect">
                    <a:avLst/>
                  </a:prstGeom>
                </c15:spPr>
                <c15:showLeaderLines val="0"/>
              </c:ext>
            </c:extLst>
          </c:dLbls>
          <c:cat>
            <c:numRef>
              <c:f>Аркуш1!$D$559:$E$559</c:f>
              <c:numCache>
                <c:formatCode>General</c:formatCode>
                <c:ptCount val="2"/>
                <c:pt idx="0">
                  <c:v>2024</c:v>
                </c:pt>
                <c:pt idx="1">
                  <c:v>2025</c:v>
                </c:pt>
              </c:numCache>
            </c:numRef>
          </c:cat>
          <c:val>
            <c:numRef>
              <c:f>Аркуш1!$D$560:$E$560</c:f>
              <c:numCache>
                <c:formatCode>General</c:formatCode>
                <c:ptCount val="2"/>
                <c:pt idx="0">
                  <c:v>1145.7</c:v>
                </c:pt>
                <c:pt idx="1">
                  <c:v>1159.0999999999999</c:v>
                </c:pt>
              </c:numCache>
            </c:numRef>
          </c:val>
          <c:extLst>
            <c:ext xmlns:c16="http://schemas.microsoft.com/office/drawing/2014/chart" uri="{C3380CC4-5D6E-409C-BE32-E72D297353CC}">
              <c16:uniqueId val="{00000002-6D1E-4913-B673-6BFF8593811C}"/>
            </c:ext>
          </c:extLst>
        </c:ser>
        <c:ser>
          <c:idx val="1"/>
          <c:order val="1"/>
          <c:tx>
            <c:strRef>
              <c:f>Аркуш1!$C$561</c:f>
              <c:strCache>
                <c:ptCount val="1"/>
                <c:pt idx="0">
                  <c:v>кошти бюджету територіальної громади </c:v>
                </c:pt>
              </c:strCache>
            </c:strRef>
          </c:tx>
          <c:spPr>
            <a:prstGeom prst="rect">
              <a:avLst/>
            </a:prstGeom>
            <a:gradFill>
              <a:gsLst>
                <a:gs pos="50000">
                  <a:schemeClr val="accent2"/>
                </a:gs>
                <a:gs pos="100000">
                  <a:schemeClr val="accent2">
                    <a:alpha val="0"/>
                  </a:schemeClr>
                </a:gs>
              </a:gsLst>
              <a:lin ang="5400000" scaled="0"/>
            </a:gradFill>
            <a:ln>
              <a:solidFill>
                <a:schemeClr val="tx1"/>
              </a:solidFill>
            </a:ln>
            <a:effectLst/>
          </c:spPr>
          <c:invertIfNegative val="0"/>
          <c:dLbls>
            <c:dLbl>
              <c:idx val="0"/>
              <c:layout>
                <c:manualLayout>
                  <c:x val="0"/>
                  <c:y val="0.1296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6D1E-4913-B673-6BFF8593811C}"/>
                </c:ext>
              </c:extLst>
            </c:dLbl>
            <c:dLbl>
              <c:idx val="1"/>
              <c:layout>
                <c:manualLayout>
                  <c:x val="2.7780000000000001E-3"/>
                  <c:y val="0.1388890000000000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6D1E-4913-B673-6BFF8593811C}"/>
                </c:ext>
              </c:extLst>
            </c:dLbl>
            <c:spPr>
              <a:solidFill>
                <a:schemeClr val="bg1"/>
              </a:solidFill>
              <a:ln>
                <a:solidFill>
                  <a:schemeClr val="tx1"/>
                </a:solidFill>
              </a:ln>
              <a:effectLst/>
            </c:spPr>
            <c:txPr>
              <a:bodyPr rot="0" spcFirstLastPara="1" vertOverflow="ellipsis" vert="horz" wrap="square" lIns="38100" tIns="19050" rIns="38100" bIns="19050" anchor="ctr" anchorCtr="1">
                <a:spAutoFit/>
              </a:bodyPr>
              <a:lstStyle/>
              <a:p>
                <a:pPr>
                  <a:defRPr sz="900" b="0" i="0" u="none" strike="noStrike">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pPr xmlns:c15="http://schemas.microsoft.com/office/drawing/2012/chart">
                  <a:prstGeom prst="rect">
                    <a:avLst/>
                  </a:prstGeom>
                </c15:spPr>
                <c15:showLeaderLines val="0"/>
              </c:ext>
            </c:extLst>
          </c:dLbls>
          <c:cat>
            <c:numRef>
              <c:f>Аркуш1!$D$559:$E$559</c:f>
              <c:numCache>
                <c:formatCode>General</c:formatCode>
                <c:ptCount val="2"/>
                <c:pt idx="0">
                  <c:v>2024</c:v>
                </c:pt>
                <c:pt idx="1">
                  <c:v>2025</c:v>
                </c:pt>
              </c:numCache>
            </c:numRef>
          </c:cat>
          <c:val>
            <c:numRef>
              <c:f>Аркуш1!$D$561:$E$561</c:f>
              <c:numCache>
                <c:formatCode>General</c:formatCode>
                <c:ptCount val="2"/>
                <c:pt idx="0">
                  <c:v>338.8</c:v>
                </c:pt>
                <c:pt idx="1">
                  <c:v>482.4</c:v>
                </c:pt>
              </c:numCache>
            </c:numRef>
          </c:val>
          <c:extLst>
            <c:ext xmlns:c16="http://schemas.microsoft.com/office/drawing/2014/chart" uri="{C3380CC4-5D6E-409C-BE32-E72D297353CC}">
              <c16:uniqueId val="{00000005-6D1E-4913-B673-6BFF8593811C}"/>
            </c:ext>
          </c:extLst>
        </c:ser>
        <c:dLbls>
          <c:showLegendKey val="0"/>
          <c:showVal val="0"/>
          <c:showCatName val="0"/>
          <c:showSerName val="0"/>
          <c:showPercent val="0"/>
          <c:showBubbleSize val="0"/>
        </c:dLbls>
        <c:gapWidth val="150"/>
        <c:gapDepth val="0"/>
        <c:shape val="box"/>
        <c:axId val="537232528"/>
        <c:axId val="537232944"/>
        <c:axId val="0"/>
      </c:bar3DChart>
      <c:catAx>
        <c:axId val="537232528"/>
        <c:scaling>
          <c:orientation val="minMax"/>
        </c:scaling>
        <c:delete val="0"/>
        <c:axPos val="b"/>
        <c:numFmt formatCode="General" sourceLinked="1"/>
        <c:majorTickMark val="none"/>
        <c:minorTickMark val="none"/>
        <c:tickLblPos val="nextTo"/>
        <c:spPr>
          <a:prstGeom prst="rect">
            <a:avLst/>
          </a:prstGeom>
          <a:noFill/>
          <a:ln>
            <a:noFill/>
          </a:ln>
          <a:effectLst/>
        </c:spPr>
        <c:txPr>
          <a:bodyPr rot="-60000000" spcFirstLastPara="1" vertOverflow="ellipsis" vert="horz" wrap="square" anchor="ctr" anchorCtr="1"/>
          <a:lstStyle/>
          <a:p>
            <a:pPr>
              <a:defRPr sz="900" b="0" i="0" u="none" strike="noStrike">
                <a:solidFill>
                  <a:schemeClr val="tx1">
                    <a:lumMod val="65000"/>
                    <a:lumOff val="35000"/>
                  </a:schemeClr>
                </a:solidFill>
                <a:latin typeface="+mn-lt"/>
                <a:ea typeface="+mn-ea"/>
                <a:cs typeface="+mn-cs"/>
              </a:defRPr>
            </a:pPr>
            <a:endParaRPr lang="uk-UA"/>
          </a:p>
        </c:txPr>
        <c:crossAx val="537232944"/>
        <c:crosses val="autoZero"/>
        <c:auto val="1"/>
        <c:lblAlgn val="ctr"/>
        <c:lblOffset val="100"/>
        <c:noMultiLvlLbl val="0"/>
      </c:catAx>
      <c:valAx>
        <c:axId val="537232944"/>
        <c:scaling>
          <c:orientation val="minMax"/>
        </c:scaling>
        <c:delete val="0"/>
        <c:axPos val="l"/>
        <c:majorGridlines>
          <c:spPr>
            <a:prstGeom prst="rect">
              <a:avLst/>
            </a:prstGeom>
            <a:ln w="9525" cap="flat" cmpd="sng" algn="ctr">
              <a:solidFill>
                <a:schemeClr val="tx1">
                  <a:lumMod val="5000"/>
                  <a:lumOff val="95000"/>
                </a:schemeClr>
              </a:solidFill>
              <a:round/>
            </a:ln>
            <a:effectLst/>
          </c:spPr>
        </c:majorGridlines>
        <c:title>
          <c:tx>
            <c:rich>
              <a:bodyPr rot="-5400000" spcFirstLastPara="1" vertOverflow="ellipsis" vert="horz" wrap="square" anchor="ctr" anchorCtr="1"/>
              <a:lstStyle/>
              <a:p>
                <a:pPr>
                  <a:defRPr sz="900" b="0" i="0" u="none" strike="noStrike" cap="all">
                    <a:solidFill>
                      <a:schemeClr val="tx1">
                        <a:lumMod val="65000"/>
                        <a:lumOff val="35000"/>
                      </a:schemeClr>
                    </a:solidFill>
                    <a:latin typeface="+mj-lt"/>
                    <a:ea typeface="+mn-ea"/>
                    <a:cs typeface="+mn-cs"/>
                  </a:defRPr>
                </a:pPr>
                <a:r>
                  <a:rPr lang="uk-UA">
                    <a:latin typeface="+mj-lt"/>
                  </a:rPr>
                  <a:t>млн грн</a:t>
                </a:r>
                <a:endParaRPr lang="uk-UA"/>
              </a:p>
            </c:rich>
          </c:tx>
          <c:overlay val="0"/>
          <c:spPr>
            <a:prstGeom prst="rect">
              <a:avLst/>
            </a:prstGeom>
            <a:noFill/>
            <a:ln>
              <a:noFill/>
            </a:ln>
            <a:effectLst/>
          </c:spPr>
        </c:title>
        <c:numFmt formatCode="General" sourceLinked="1"/>
        <c:majorTickMark val="none"/>
        <c:minorTickMark val="none"/>
        <c:tickLblPos val="nextTo"/>
        <c:spPr>
          <a:prstGeom prst="rect">
            <a:avLst/>
          </a:prstGeom>
          <a:noFill/>
          <a:ln>
            <a:noFill/>
          </a:ln>
          <a:effectLst/>
        </c:spPr>
        <c:txPr>
          <a:bodyPr rot="-60000000" spcFirstLastPara="1" vertOverflow="ellipsis" vert="horz" wrap="square" anchor="ctr" anchorCtr="1"/>
          <a:lstStyle/>
          <a:p>
            <a:pPr>
              <a:defRPr sz="900" b="0" i="0" u="none" strike="noStrike">
                <a:solidFill>
                  <a:schemeClr val="tx1">
                    <a:lumMod val="65000"/>
                    <a:lumOff val="35000"/>
                  </a:schemeClr>
                </a:solidFill>
                <a:latin typeface="+mn-lt"/>
                <a:ea typeface="+mn-ea"/>
                <a:cs typeface="+mn-cs"/>
              </a:defRPr>
            </a:pPr>
            <a:endParaRPr lang="uk-UA"/>
          </a:p>
        </c:txPr>
        <c:crossAx val="537232528"/>
        <c:crosses val="autoZero"/>
        <c:crossBetween val="between"/>
      </c:valAx>
      <c:spPr>
        <a:prstGeom prst="rect">
          <a:avLst/>
        </a:prstGeom>
        <a:noFill/>
        <a:ln>
          <a:noFill/>
        </a:ln>
        <a:effectLst/>
      </c:spPr>
    </c:plotArea>
    <c:legend>
      <c:legendPos val="b"/>
      <c:layout>
        <c:manualLayout>
          <c:xMode val="edge"/>
          <c:yMode val="edge"/>
          <c:x val="9.3257000000000007E-2"/>
          <c:y val="0.80902700000000005"/>
          <c:w val="0.81348500000000001"/>
          <c:h val="0.190973"/>
        </c:manualLayout>
      </c:layout>
      <c:overlay val="0"/>
      <c:spPr>
        <a:prstGeom prst="rect">
          <a:avLst/>
        </a:prstGeom>
        <a:noFill/>
        <a:ln>
          <a:noFill/>
        </a:ln>
        <a:effectLst/>
      </c:spPr>
      <c:txPr>
        <a:bodyPr rot="0" spcFirstLastPara="1" vertOverflow="ellipsis" vert="horz" wrap="square" anchor="ctr" anchorCtr="1"/>
        <a:lstStyle/>
        <a:p>
          <a:pPr>
            <a:defRPr sz="900" b="0" i="0" u="none" strike="noStrike">
              <a:solidFill>
                <a:schemeClr val="tx1">
                  <a:lumMod val="65000"/>
                  <a:lumOff val="35000"/>
                </a:schemeClr>
              </a:solidFill>
              <a:latin typeface="+mn-lt"/>
              <a:ea typeface="+mn-ea"/>
              <a:cs typeface="+mn-cs"/>
            </a:defRPr>
          </a:pPr>
          <a:endParaRPr lang="uk-UA"/>
        </a:p>
      </c:txPr>
    </c:legend>
    <c:plotVisOnly val="1"/>
    <c:dispBlanksAs val="gap"/>
    <c:showDLblsOverMax val="0"/>
  </c:chart>
  <c:spPr>
    <a:prstGeom prst="rect">
      <a:avLst/>
    </a:prstGeom>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50"/>
      <c:rotY val="0"/>
      <c:depthPercent val="100"/>
      <c:rAngAx val="0"/>
    </c:view3D>
    <c:floor>
      <c:thickness val="0"/>
      <c:spPr>
        <a:prstGeom prst="rect">
          <a:avLst/>
        </a:prstGeom>
        <a:noFill/>
        <a:ln>
          <a:noFill/>
        </a:ln>
        <a:effectLst/>
      </c:spPr>
    </c:floor>
    <c:sideWall>
      <c:thickness val="0"/>
      <c:spPr>
        <a:prstGeom prst="rect">
          <a:avLst/>
        </a:prstGeom>
        <a:noFill/>
        <a:ln>
          <a:noFill/>
        </a:ln>
        <a:effectLst/>
      </c:spPr>
    </c:sideWall>
    <c:backWall>
      <c:thickness val="0"/>
      <c:spPr>
        <a:prstGeom prst="rect">
          <a:avLst/>
        </a:prstGeom>
        <a:noFill/>
        <a:ln>
          <a:noFill/>
        </a:ln>
        <a:effectLst/>
      </c:spPr>
    </c:backWall>
    <c:plotArea>
      <c:layout>
        <c:manualLayout>
          <c:layoutTarget val="inner"/>
          <c:xMode val="edge"/>
          <c:yMode val="edge"/>
          <c:x val="2.8556999999999999E-2"/>
          <c:y val="0.116521"/>
          <c:w val="0.53946000000000005"/>
          <c:h val="0.83770299999999998"/>
        </c:manualLayout>
      </c:layout>
      <c:pie3DChart>
        <c:varyColors val="1"/>
        <c:ser>
          <c:idx val="0"/>
          <c:order val="0"/>
          <c:explosion val="15"/>
          <c:dPt>
            <c:idx val="0"/>
            <c:bubble3D val="0"/>
            <c:spPr>
              <a:prstGeom prst="rect">
                <a:avLst/>
              </a:prstGeom>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FED4-434C-881E-F1CEDB910D5F}"/>
              </c:ext>
            </c:extLst>
          </c:dPt>
          <c:dPt>
            <c:idx val="1"/>
            <c:bubble3D val="0"/>
            <c:spPr>
              <a:prstGeom prst="rect">
                <a:avLst/>
              </a:prstGeom>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FED4-434C-881E-F1CEDB910D5F}"/>
              </c:ext>
            </c:extLst>
          </c:dPt>
          <c:dPt>
            <c:idx val="2"/>
            <c:bubble3D val="0"/>
            <c:spPr>
              <a:prstGeom prst="rect">
                <a:avLst/>
              </a:prstGeom>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FED4-434C-881E-F1CEDB910D5F}"/>
              </c:ext>
            </c:extLst>
          </c:dPt>
          <c:dPt>
            <c:idx val="3"/>
            <c:bubble3D val="0"/>
            <c:spPr>
              <a:prstGeom prst="rect">
                <a:avLst/>
              </a:prstGeom>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FED4-434C-881E-F1CEDB910D5F}"/>
              </c:ext>
            </c:extLst>
          </c:dPt>
          <c:dLbls>
            <c:dLbl>
              <c:idx val="0"/>
              <c:layout>
                <c:manualLayout>
                  <c:x val="-4.4193000000000003E-2"/>
                  <c:y val="-6.77E-3"/>
                </c:manualLayout>
              </c:layout>
              <c:spPr>
                <a:solidFill>
                  <a:srgbClr val="5B9BD5">
                    <a:lumMod val="20000"/>
                    <a:lumOff val="80000"/>
                  </a:srgbClr>
                </a:solid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cap="none" spc="0">
                      <a:ln w="11112">
                        <a:solidFill>
                          <a:schemeClr val="accent2"/>
                        </a:solidFill>
                        <a:prstDash val="solid"/>
                      </a:ln>
                      <a:solidFill>
                        <a:schemeClr val="accent2">
                          <a:lumMod val="40000"/>
                          <a:lumOff val="60000"/>
                        </a:schemeClr>
                      </a:solidFill>
                      <a:latin typeface="+mn-lt"/>
                      <a:ea typeface="+mn-ea"/>
                      <a:cs typeface="+mn-cs"/>
                    </a:defRPr>
                  </a:pPr>
                  <a:endParaRPr lang="uk-UA"/>
                </a:p>
              </c:txPr>
              <c:dLblPos val="bestFit"/>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rect">
                      <a:avLst/>
                    </a:prstGeom>
                  </c15:spPr>
                </c:ext>
                <c:ext xmlns:c16="http://schemas.microsoft.com/office/drawing/2014/chart" uri="{C3380CC4-5D6E-409C-BE32-E72D297353CC}">
                  <c16:uniqueId val="{00000001-FED4-434C-881E-F1CEDB910D5F}"/>
                </c:ext>
              </c:extLst>
            </c:dLbl>
            <c:dLbl>
              <c:idx val="1"/>
              <c:layout>
                <c:manualLayout>
                  <c:x val="-7.5244000000000005E-2"/>
                  <c:y val="9.8337999999999995E-2"/>
                </c:manualLayout>
              </c:layout>
              <c:spPr>
                <a:solidFill>
                  <a:srgbClr val="5B9BD5">
                    <a:lumMod val="20000"/>
                    <a:lumOff val="80000"/>
                  </a:srgbClr>
                </a:solid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cap="none" spc="0">
                      <a:ln w="11112">
                        <a:solidFill>
                          <a:schemeClr val="accent2"/>
                        </a:solidFill>
                        <a:prstDash val="solid"/>
                      </a:ln>
                      <a:solidFill>
                        <a:schemeClr val="accent2">
                          <a:lumMod val="40000"/>
                          <a:lumOff val="60000"/>
                        </a:schemeClr>
                      </a:solidFill>
                      <a:latin typeface="+mn-lt"/>
                      <a:ea typeface="+mn-ea"/>
                      <a:cs typeface="+mn-cs"/>
                    </a:defRPr>
                  </a:pPr>
                  <a:endParaRPr lang="uk-UA"/>
                </a:p>
              </c:txPr>
              <c:dLblPos val="bestFit"/>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rect">
                      <a:avLst/>
                    </a:prstGeom>
                  </c15:spPr>
                </c:ext>
                <c:ext xmlns:c16="http://schemas.microsoft.com/office/drawing/2014/chart" uri="{C3380CC4-5D6E-409C-BE32-E72D297353CC}">
                  <c16:uniqueId val="{00000003-FED4-434C-881E-F1CEDB910D5F}"/>
                </c:ext>
              </c:extLst>
            </c:dLbl>
            <c:dLbl>
              <c:idx val="2"/>
              <c:layout>
                <c:manualLayout>
                  <c:x val="-4.9596000000000001E-2"/>
                  <c:y val="-5.6509999999999998E-2"/>
                </c:manualLayout>
              </c:layout>
              <c:spPr>
                <a:solidFill>
                  <a:srgbClr val="5B9BD5">
                    <a:lumMod val="20000"/>
                    <a:lumOff val="80000"/>
                  </a:srgbClr>
                </a:solid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cap="none" spc="0">
                      <a:ln w="11112">
                        <a:solidFill>
                          <a:schemeClr val="accent2"/>
                        </a:solidFill>
                        <a:prstDash val="solid"/>
                      </a:ln>
                      <a:solidFill>
                        <a:schemeClr val="accent2">
                          <a:lumMod val="40000"/>
                          <a:lumOff val="60000"/>
                        </a:schemeClr>
                      </a:solidFill>
                      <a:latin typeface="+mn-lt"/>
                      <a:ea typeface="+mn-ea"/>
                      <a:cs typeface="+mn-cs"/>
                    </a:defRPr>
                  </a:pPr>
                  <a:endParaRPr lang="uk-UA"/>
                </a:p>
              </c:txPr>
              <c:dLblPos val="bestFit"/>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rect">
                      <a:avLst/>
                    </a:prstGeom>
                  </c15:spPr>
                </c:ext>
                <c:ext xmlns:c16="http://schemas.microsoft.com/office/drawing/2014/chart" uri="{C3380CC4-5D6E-409C-BE32-E72D297353CC}">
                  <c16:uniqueId val="{00000005-FED4-434C-881E-F1CEDB910D5F}"/>
                </c:ext>
              </c:extLst>
            </c:dLbl>
            <c:dLbl>
              <c:idx val="3"/>
              <c:layout>
                <c:manualLayout>
                  <c:x val="1.7279999999999999E-3"/>
                  <c:y val="-0.10865"/>
                </c:manualLayout>
              </c:layout>
              <c:spPr>
                <a:solidFill>
                  <a:srgbClr val="5B9BD5">
                    <a:lumMod val="20000"/>
                    <a:lumOff val="80000"/>
                  </a:srgbClr>
                </a:solid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cap="none" spc="0">
                      <a:ln w="11112">
                        <a:solidFill>
                          <a:schemeClr val="accent2"/>
                        </a:solidFill>
                        <a:prstDash val="solid"/>
                      </a:ln>
                      <a:solidFill>
                        <a:schemeClr val="accent2">
                          <a:lumMod val="40000"/>
                          <a:lumOff val="60000"/>
                        </a:schemeClr>
                      </a:solidFill>
                      <a:latin typeface="+mn-lt"/>
                      <a:ea typeface="+mn-ea"/>
                      <a:cs typeface="+mn-cs"/>
                    </a:defRPr>
                  </a:pPr>
                  <a:endParaRPr lang="uk-UA"/>
                </a:p>
              </c:txPr>
              <c:dLblPos val="bestFit"/>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rect">
                      <a:avLst/>
                    </a:prstGeom>
                  </c15:spPr>
                </c:ext>
                <c:ext xmlns:c16="http://schemas.microsoft.com/office/drawing/2014/chart" uri="{C3380CC4-5D6E-409C-BE32-E72D297353CC}">
                  <c16:uniqueId val="{00000007-FED4-434C-881E-F1CEDB910D5F}"/>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atin typeface="+mn-lt"/>
                    <a:ea typeface="+mn-ea"/>
                    <a:cs typeface="+mn-cs"/>
                  </a:defRPr>
                </a:pPr>
                <a:endParaRPr lang="uk-UA"/>
              </a:p>
            </c:txPr>
            <c:dLblPos val="ctr"/>
            <c:showLegendKey val="0"/>
            <c:showVal val="0"/>
            <c:showCatName val="1"/>
            <c:showSerName val="0"/>
            <c:showPercent val="1"/>
            <c:showBubbleSize val="0"/>
            <c:showLeaderLines val="1"/>
            <c:leaderLines>
              <c:spPr>
                <a:prstGeom prst="rect">
                  <a:avLst/>
                </a:prstGeom>
                <a:ln w="9525">
                  <a:solidFill>
                    <a:schemeClr val="dk1">
                      <a:lumMod val="50000"/>
                      <a:lumOff val="50000"/>
                    </a:schemeClr>
                  </a:solidFill>
                </a:ln>
                <a:effectLst/>
              </c:spPr>
            </c:leaderLines>
            <c:extLst>
              <c:ext xmlns:c15="http://schemas.microsoft.com/office/drawing/2012/chart" uri="{CE6537A1-D6FC-4f65-9D91-7224C49458BB}">
                <c15:spPr xmlns:c15="http://schemas.microsoft.com/office/drawing/2012/chart">
                  <a:prstGeom prst="rect">
                    <a:avLst/>
                  </a:prstGeom>
                </c15:spPr>
              </c:ext>
            </c:extLst>
          </c:dLbls>
          <c:cat>
            <c:strRef>
              <c:f>Аркуш1!$C$578:$C$581</c:f>
              <c:strCache>
                <c:ptCount val="4"/>
                <c:pt idx="0">
                  <c:v>поліпшене харчування </c:v>
                </c:pt>
                <c:pt idx="1">
                  <c:v>стоматологічна допомога</c:v>
                </c:pt>
                <c:pt idx="2">
                  <c:v>проведення медичних комісій </c:v>
                </c:pt>
                <c:pt idx="3">
                  <c:v>ремонти реабілітаційних відділень кластерних лікарень </c:v>
                </c:pt>
              </c:strCache>
            </c:strRef>
          </c:cat>
          <c:val>
            <c:numRef>
              <c:f>Аркуш1!$D$578:$D$581</c:f>
              <c:numCache>
                <c:formatCode>0.0</c:formatCode>
                <c:ptCount val="4"/>
                <c:pt idx="0" formatCode="General">
                  <c:v>11.6</c:v>
                </c:pt>
                <c:pt idx="1">
                  <c:v>7</c:v>
                </c:pt>
                <c:pt idx="2" formatCode="General">
                  <c:v>9.1999999999999993</c:v>
                </c:pt>
                <c:pt idx="3">
                  <c:v>15</c:v>
                </c:pt>
              </c:numCache>
            </c:numRef>
          </c:val>
          <c:extLst>
            <c:ext xmlns:c16="http://schemas.microsoft.com/office/drawing/2014/chart" uri="{C3380CC4-5D6E-409C-BE32-E72D297353CC}">
              <c16:uniqueId val="{00000008-FED4-434C-881E-F1CEDB910D5F}"/>
            </c:ext>
          </c:extLst>
        </c:ser>
        <c:dLbls>
          <c:dLblPos val="ctr"/>
          <c:showLegendKey val="0"/>
          <c:showVal val="0"/>
          <c:showCatName val="1"/>
          <c:showSerName val="0"/>
          <c:showPercent val="0"/>
          <c:showBubbleSize val="0"/>
          <c:showLeaderLines val="1"/>
        </c:dLbls>
      </c:pie3DChart>
      <c:spPr>
        <a:prstGeom prst="rect">
          <a:avLst/>
        </a:prstGeom>
        <a:noFill/>
        <a:ln>
          <a:noFill/>
        </a:ln>
        <a:effectLst/>
      </c:spPr>
    </c:plotArea>
    <c:legend>
      <c:legendPos val="r"/>
      <c:layout>
        <c:manualLayout>
          <c:xMode val="edge"/>
          <c:yMode val="edge"/>
          <c:x val="0.64330200000000004"/>
          <c:y val="0.17852399999999999"/>
          <c:w val="0.34112100000000001"/>
          <c:h val="0.74282700000000002"/>
        </c:manualLayout>
      </c:layout>
      <c:overlay val="0"/>
      <c:spPr>
        <a:prstGeom prst="rect">
          <a:avLst/>
        </a:prstGeom>
        <a:solidFill>
          <a:schemeClr val="lt1">
            <a:lumMod val="95000"/>
            <a:alpha val="39000"/>
          </a:schemeClr>
        </a:solidFill>
        <a:ln>
          <a:noFill/>
        </a:ln>
        <a:effectLst/>
      </c:spPr>
      <c:txPr>
        <a:bodyPr rot="0" spcFirstLastPara="1" vertOverflow="ellipsis" vert="horz" wrap="square" anchor="ctr" anchorCtr="1"/>
        <a:lstStyle/>
        <a:p>
          <a:pPr>
            <a:defRPr sz="900" b="0" i="0" u="none" strike="noStrike">
              <a:solidFill>
                <a:schemeClr val="dk1">
                  <a:lumMod val="75000"/>
                  <a:lumOff val="25000"/>
                </a:schemeClr>
              </a:solidFill>
              <a:latin typeface="+mn-lt"/>
              <a:ea typeface="+mn-ea"/>
              <a:cs typeface="+mn-cs"/>
            </a:defRPr>
          </a:pPr>
          <a:endParaRPr lang="uk-UA"/>
        </a:p>
      </c:txPr>
    </c:legend>
    <c:plotVisOnly val="1"/>
    <c:dispBlanksAs val="gap"/>
    <c:showDLblsOverMax val="0"/>
  </c:chart>
  <c:spPr>
    <a:prstGeom prst="rect">
      <a:avLst/>
    </a:prstGeom>
    <a:solidFill>
      <a:srgbClr val="70AD47">
        <a:lumMod val="20000"/>
        <a:lumOff val="80000"/>
      </a:srgbClr>
    </a:solidFill>
    <a:ln w="9525" cap="flat" cmpd="sng" algn="ctr">
      <a:solidFill>
        <a:schemeClr val="dk1">
          <a:lumMod val="25000"/>
          <a:lumOff val="75000"/>
        </a:schemeClr>
      </a:solidFill>
      <a:round/>
    </a:ln>
    <a:effectLst/>
  </c:spPr>
  <c:txPr>
    <a:bodyPr/>
    <a:lstStyle/>
    <a:p>
      <a:pPr>
        <a:defRPr/>
      </a:pPr>
      <a:endParaRPr lang="uk-UA"/>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3.3333000000000002E-2"/>
          <c:y val="0.194329"/>
          <c:w val="0.93888899999999997"/>
          <c:h val="0.59236800000000001"/>
        </c:manualLayout>
      </c:layout>
      <c:lineChart>
        <c:grouping val="stacked"/>
        <c:varyColors val="0"/>
        <c:ser>
          <c:idx val="0"/>
          <c:order val="0"/>
          <c:tx>
            <c:strRef>
              <c:f>Аркуш1!$C$506</c:f>
              <c:strCache>
                <c:ptCount val="1"/>
                <c:pt idx="0">
                  <c:v>Одеська область</c:v>
                </c:pt>
              </c:strCache>
            </c:strRef>
          </c:tx>
          <c:spPr bwMode="auto">
            <a:prstGeom prst="rect">
              <a:avLst/>
            </a:prstGeom>
            <a:ln w="31750" cap="rnd">
              <a:solidFill>
                <a:srgbClr val="0070C0"/>
              </a:solidFill>
              <a:round/>
            </a:ln>
            <a:effectLst/>
          </c:spPr>
          <c:marker>
            <c:symbol val="circle"/>
            <c:size val="17"/>
            <c:spPr bwMode="auto">
              <a:prstGeom prst="rect">
                <a:avLst/>
              </a:prstGeom>
              <a:solidFill>
                <a:schemeClr val="accent1"/>
              </a:solidFill>
              <a:ln>
                <a:noFill/>
              </a:ln>
              <a:effectLst/>
            </c:spPr>
          </c:marker>
          <c:dLbls>
            <c:dLbl>
              <c:idx val="0"/>
              <c:layout>
                <c:manualLayout>
                  <c:x val="-6.5611000000000003E-2"/>
                  <c:y val="-6.4814999999999998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344D-4B23-AC16-0AF1C4380D80}"/>
                </c:ext>
              </c:extLst>
            </c:dLbl>
            <c:dLbl>
              <c:idx val="1"/>
              <c:layout>
                <c:manualLayout>
                  <c:x val="-6.5611000000000003E-2"/>
                  <c:y val="-5.5556000000000001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44D-4B23-AC16-0AF1C4380D80}"/>
                </c:ext>
              </c:extLst>
            </c:dLbl>
            <c:dLbl>
              <c:idx val="2"/>
              <c:layout>
                <c:manualLayout>
                  <c:x val="-6.5611000000000003E-2"/>
                  <c:y val="-6.0185000000000002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344D-4B23-AC16-0AF1C4380D80}"/>
                </c:ext>
              </c:extLst>
            </c:dLbl>
            <c:dLbl>
              <c:idx val="3"/>
              <c:layout>
                <c:manualLayout>
                  <c:x val="-6.8437999999999999E-2"/>
                  <c:y val="-6.0185000000000002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344D-4B23-AC16-0AF1C4380D80}"/>
                </c:ext>
              </c:extLst>
            </c:dLbl>
            <c:dLbl>
              <c:idx val="4"/>
              <c:layout>
                <c:manualLayout>
                  <c:x val="-7.1215000000000001E-2"/>
                  <c:y val="-6.4814999999999998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344D-4B23-AC16-0AF1C4380D80}"/>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baseline="0">
                    <a:solidFill>
                      <a:schemeClr val="tx1"/>
                    </a:solidFill>
                    <a:latin typeface="+mn-lt"/>
                    <a:ea typeface="+mn-ea"/>
                    <a:cs typeface="+mn-cs"/>
                  </a:defRPr>
                </a:pPr>
                <a:endParaRPr lang="uk-UA"/>
              </a:p>
            </c:txPr>
            <c:dLblPos val="ctr"/>
            <c:showLegendKey val="0"/>
            <c:showVal val="1"/>
            <c:showCatName val="0"/>
            <c:showSerName val="0"/>
            <c:showPercent val="0"/>
            <c:showBubbleSize val="0"/>
            <c:showLeaderLines val="0"/>
            <c:extLst>
              <c:ext xmlns:c15="http://schemas.microsoft.com/office/drawing/2012/chart" uri="{CE6537A1-D6FC-4f65-9D91-7224C49458BB}">
                <c15:spPr xmlns:c15="http://schemas.microsoft.com/office/drawing/2012/chart">
                  <a:prstGeom prst="rect">
                    <a:avLst/>
                  </a:prstGeom>
                  <a:noFill/>
                  <a:ln>
                    <a:noFill/>
                  </a:ln>
                </c15:spPr>
                <c15:showLeaderLines val="0"/>
              </c:ext>
            </c:extLst>
          </c:dLbls>
          <c:cat>
            <c:numRef>
              <c:f>Аркуш1!$D$505:$H$505</c:f>
              <c:numCache>
                <c:formatCode>General</c:formatCode>
                <c:ptCount val="5"/>
                <c:pt idx="0">
                  <c:v>2020</c:v>
                </c:pt>
                <c:pt idx="1">
                  <c:v>2021</c:v>
                </c:pt>
                <c:pt idx="2">
                  <c:v>2022</c:v>
                </c:pt>
                <c:pt idx="3">
                  <c:v>2023</c:v>
                </c:pt>
                <c:pt idx="4">
                  <c:v>2024</c:v>
                </c:pt>
              </c:numCache>
            </c:numRef>
          </c:cat>
          <c:val>
            <c:numRef>
              <c:f>Аркуш1!$D$506:$H$506</c:f>
              <c:numCache>
                <c:formatCode>General</c:formatCode>
                <c:ptCount val="5"/>
                <c:pt idx="0">
                  <c:v>2290</c:v>
                </c:pt>
                <c:pt idx="1">
                  <c:v>2201</c:v>
                </c:pt>
                <c:pt idx="2">
                  <c:v>2307</c:v>
                </c:pt>
                <c:pt idx="3" formatCode="#,##0">
                  <c:v>2230</c:v>
                </c:pt>
                <c:pt idx="4" formatCode="#,##0">
                  <c:v>2195</c:v>
                </c:pt>
              </c:numCache>
            </c:numRef>
          </c:val>
          <c:smooth val="0"/>
          <c:extLst>
            <c:ext xmlns:c16="http://schemas.microsoft.com/office/drawing/2014/chart" uri="{C3380CC4-5D6E-409C-BE32-E72D297353CC}">
              <c16:uniqueId val="{00000005-344D-4B23-AC16-0AF1C4380D80}"/>
            </c:ext>
          </c:extLst>
        </c:ser>
        <c:ser>
          <c:idx val="1"/>
          <c:order val="1"/>
          <c:tx>
            <c:strRef>
              <c:f>Аркуш1!$C$507</c:f>
              <c:strCache>
                <c:ptCount val="1"/>
                <c:pt idx="0">
                  <c:v>Україна</c:v>
                </c:pt>
              </c:strCache>
            </c:strRef>
          </c:tx>
          <c:spPr bwMode="auto">
            <a:prstGeom prst="rect">
              <a:avLst/>
            </a:prstGeom>
            <a:ln w="31750" cap="rnd">
              <a:solidFill>
                <a:schemeClr val="accent2"/>
              </a:solidFill>
              <a:round/>
            </a:ln>
            <a:effectLst/>
          </c:spPr>
          <c:marker>
            <c:symbol val="circle"/>
            <c:size val="17"/>
            <c:spPr bwMode="auto">
              <a:prstGeom prst="rect">
                <a:avLst/>
              </a:prstGeom>
              <a:solidFill>
                <a:schemeClr val="accent2"/>
              </a:solidFill>
              <a:ln>
                <a:noFill/>
              </a:ln>
              <a:effectLst/>
            </c:spPr>
          </c:marker>
          <c:dLbls>
            <c:dLbl>
              <c:idx val="0"/>
              <c:layout>
                <c:manualLayout>
                  <c:x val="-7.1943999999999994E-2"/>
                  <c:y val="-5.5556000000000001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344D-4B23-AC16-0AF1C4380D80}"/>
                </c:ext>
              </c:extLst>
            </c:dLbl>
            <c:dLbl>
              <c:idx val="1"/>
              <c:layout>
                <c:manualLayout>
                  <c:x val="-7.4771000000000004E-2"/>
                  <c:y val="-5.5556000000000001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344D-4B23-AC16-0AF1C4380D80}"/>
                </c:ext>
              </c:extLst>
            </c:dLbl>
            <c:dLbl>
              <c:idx val="2"/>
              <c:layout>
                <c:manualLayout>
                  <c:x val="-7.4771000000000004E-2"/>
                  <c:y val="-6.9444000000000006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344D-4B23-AC16-0AF1C4380D80}"/>
                </c:ext>
              </c:extLst>
            </c:dLbl>
            <c:dLbl>
              <c:idx val="3"/>
              <c:layout>
                <c:manualLayout>
                  <c:x val="-7.4771000000000004E-2"/>
                  <c:y val="-6.4814999999999998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344D-4B23-AC16-0AF1C4380D80}"/>
                </c:ext>
              </c:extLst>
            </c:dLbl>
            <c:dLbl>
              <c:idx val="4"/>
              <c:layout>
                <c:manualLayout>
                  <c:x val="-7.4771000000000004E-2"/>
                  <c:y val="-5.5556000000000001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344D-4B23-AC16-0AF1C4380D80}"/>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baseline="0">
                    <a:solidFill>
                      <a:schemeClr val="tx1"/>
                    </a:solidFill>
                    <a:latin typeface="+mn-lt"/>
                    <a:ea typeface="+mn-ea"/>
                    <a:cs typeface="+mn-cs"/>
                  </a:defRPr>
                </a:pPr>
                <a:endParaRPr lang="uk-UA"/>
              </a:p>
            </c:txPr>
            <c:dLblPos val="ctr"/>
            <c:showLegendKey val="0"/>
            <c:showVal val="1"/>
            <c:showCatName val="0"/>
            <c:showSerName val="0"/>
            <c:showPercent val="0"/>
            <c:showBubbleSize val="0"/>
            <c:showLeaderLines val="0"/>
            <c:extLst>
              <c:ext xmlns:c15="http://schemas.microsoft.com/office/drawing/2012/chart" uri="{CE6537A1-D6FC-4f65-9D91-7224C49458BB}">
                <c15:spPr xmlns:c15="http://schemas.microsoft.com/office/drawing/2012/chart">
                  <a:prstGeom prst="rect">
                    <a:avLst/>
                  </a:prstGeom>
                  <a:noFill/>
                  <a:ln>
                    <a:noFill/>
                  </a:ln>
                </c15:spPr>
                <c15:showLeaderLines val="0"/>
              </c:ext>
            </c:extLst>
          </c:dLbls>
          <c:cat>
            <c:numRef>
              <c:f>Аркуш1!$D$505:$H$505</c:f>
              <c:numCache>
                <c:formatCode>General</c:formatCode>
                <c:ptCount val="5"/>
                <c:pt idx="0">
                  <c:v>2020</c:v>
                </c:pt>
                <c:pt idx="1">
                  <c:v>2021</c:v>
                </c:pt>
                <c:pt idx="2">
                  <c:v>2022</c:v>
                </c:pt>
                <c:pt idx="3">
                  <c:v>2023</c:v>
                </c:pt>
                <c:pt idx="4">
                  <c:v>2024</c:v>
                </c:pt>
              </c:numCache>
            </c:numRef>
          </c:cat>
          <c:val>
            <c:numRef>
              <c:f>Аркуш1!$D$507:$H$507</c:f>
              <c:numCache>
                <c:formatCode>#,##0</c:formatCode>
                <c:ptCount val="5"/>
                <c:pt idx="0" formatCode="General">
                  <c:v>34713</c:v>
                </c:pt>
                <c:pt idx="1">
                  <c:v>34061</c:v>
                </c:pt>
                <c:pt idx="2">
                  <c:v>32610</c:v>
                </c:pt>
                <c:pt idx="3">
                  <c:v>32917</c:v>
                </c:pt>
                <c:pt idx="4">
                  <c:v>32316</c:v>
                </c:pt>
              </c:numCache>
            </c:numRef>
          </c:val>
          <c:smooth val="0"/>
          <c:extLst>
            <c:ext xmlns:c16="http://schemas.microsoft.com/office/drawing/2014/chart" uri="{C3380CC4-5D6E-409C-BE32-E72D297353CC}">
              <c16:uniqueId val="{0000000B-344D-4B23-AC16-0AF1C4380D80}"/>
            </c:ext>
          </c:extLst>
        </c:ser>
        <c:dLbls>
          <c:dLblPos val="ctr"/>
          <c:showLegendKey val="0"/>
          <c:showVal val="1"/>
          <c:showCatName val="0"/>
          <c:showSerName val="0"/>
          <c:showPercent val="0"/>
          <c:showBubbleSize val="0"/>
        </c:dLbls>
        <c:marker val="1"/>
        <c:smooth val="0"/>
        <c:axId val="1390419424"/>
        <c:axId val="1390422336"/>
      </c:lineChart>
      <c:catAx>
        <c:axId val="1390419424"/>
        <c:scaling>
          <c:orientation val="minMax"/>
        </c:scaling>
        <c:delete val="0"/>
        <c:axPos val="b"/>
        <c:numFmt formatCode="General" sourceLinked="1"/>
        <c:majorTickMark val="none"/>
        <c:minorTickMark val="none"/>
        <c:tickLblPos val="nextTo"/>
        <c:spPr bwMode="auto">
          <a:prstGeom prst="rect">
            <a:avLst/>
          </a:prstGeom>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cap="all" baseline="0">
                <a:solidFill>
                  <a:schemeClr val="dk1">
                    <a:lumMod val="75000"/>
                    <a:lumOff val="25000"/>
                  </a:schemeClr>
                </a:solidFill>
                <a:latin typeface="+mn-lt"/>
                <a:ea typeface="+mn-ea"/>
                <a:cs typeface="+mn-cs"/>
              </a:defRPr>
            </a:pPr>
            <a:endParaRPr lang="uk-UA"/>
          </a:p>
        </c:txPr>
        <c:crossAx val="1390422336"/>
        <c:crosses val="autoZero"/>
        <c:auto val="1"/>
        <c:lblAlgn val="ctr"/>
        <c:lblOffset val="100"/>
        <c:noMultiLvlLbl val="0"/>
      </c:catAx>
      <c:valAx>
        <c:axId val="1390422336"/>
        <c:scaling>
          <c:orientation val="minMax"/>
        </c:scaling>
        <c:delete val="1"/>
        <c:axPos val="l"/>
        <c:majorGridlines>
          <c:spPr bwMode="auto">
            <a:prstGeom prst="rect">
              <a:avLst/>
            </a:prstGeom>
            <a:ln w="9525" cap="flat" cmpd="sng" algn="ctr">
              <a:gradFill>
                <a:gsLst>
                  <a:gs pos="0">
                    <a:schemeClr val="lt1">
                      <a:lumMod val="75000"/>
                      <a:alpha val="36000"/>
                    </a:schemeClr>
                  </a:gs>
                  <a:gs pos="100000">
                    <a:schemeClr val="dk1">
                      <a:lumMod val="95000"/>
                      <a:lumOff val="5000"/>
                      <a:alpha val="42000"/>
                    </a:schemeClr>
                  </a:gs>
                </a:gsLst>
                <a:lin ang="5400000" scaled="0"/>
              </a:gradFill>
              <a:round/>
            </a:ln>
            <a:effectLst/>
          </c:spPr>
        </c:majorGridlines>
        <c:numFmt formatCode="General" sourceLinked="1"/>
        <c:majorTickMark val="none"/>
        <c:minorTickMark val="none"/>
        <c:tickLblPos val="nextTo"/>
        <c:crossAx val="1390419424"/>
        <c:crosses val="autoZero"/>
        <c:crossBetween val="between"/>
      </c:valAx>
      <c:spPr>
        <a:prstGeom prst="rect">
          <a:avLst/>
        </a:prstGeom>
        <a:noFill/>
        <a:ln>
          <a:noFill/>
        </a:ln>
        <a:effectLst/>
      </c:spPr>
    </c:plotArea>
    <c:legend>
      <c:legendPos val="b"/>
      <c:overlay val="0"/>
      <c:spPr bwMode="auto">
        <a:prstGeom prst="rect">
          <a:avLst/>
        </a:prstGeom>
        <a:solidFill>
          <a:schemeClr val="lt1">
            <a:lumMod val="95000"/>
            <a:alpha val="39000"/>
          </a:schemeClr>
        </a:solidFill>
        <a:ln>
          <a:noFill/>
        </a:ln>
        <a:effectLst/>
      </c:spPr>
      <c:txPr>
        <a:bodyPr rot="0" spcFirstLastPara="1" vertOverflow="ellipsis" vert="horz" wrap="square" anchor="ctr" anchorCtr="1"/>
        <a:lstStyle/>
        <a:p>
          <a:pPr>
            <a:defRPr sz="900" b="0" i="0" u="none" strike="noStrike" baseline="0">
              <a:solidFill>
                <a:schemeClr val="dk1">
                  <a:lumMod val="75000"/>
                  <a:lumOff val="25000"/>
                </a:schemeClr>
              </a:solidFill>
              <a:latin typeface="+mn-lt"/>
              <a:ea typeface="+mn-ea"/>
              <a:cs typeface="+mn-cs"/>
            </a:defRPr>
          </a:pPr>
          <a:endParaRPr lang="uk-UA"/>
        </a:p>
      </c:txPr>
    </c:legend>
    <c:plotVisOnly val="1"/>
    <c:dispBlanksAs val="zero"/>
    <c:showDLblsOverMax val="0"/>
  </c:chart>
  <c:spPr bwMode="auto">
    <a:prstGeom prst="rect">
      <a:avLst/>
    </a:prstGeom>
    <a:gradFill>
      <a:gsLst>
        <a:gs pos="0">
          <a:schemeClr val="lt1"/>
        </a:gs>
        <a:gs pos="39000">
          <a:schemeClr val="lt1"/>
        </a:gs>
        <a:gs pos="100000">
          <a:schemeClr val="lt1">
            <a:lumMod val="75000"/>
          </a:schemeClr>
        </a:gs>
      </a:gsLst>
      <a:path path="circle"/>
    </a:gradFill>
    <a:ln w="9525" cap="flat" cmpd="sng" algn="ctr">
      <a:solidFill>
        <a:schemeClr val="dk1">
          <a:lumMod val="25000"/>
          <a:lumOff val="75000"/>
        </a:schemeClr>
      </a:solidFill>
      <a:round/>
    </a:ln>
    <a:effectLst/>
  </c:spPr>
  <c:txPr>
    <a:bodyPr/>
    <a:lstStyle/>
    <a:p>
      <a:pPr>
        <a:defRPr/>
      </a:pPr>
      <a:endParaRPr lang="uk-UA"/>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cked"/>
        <c:varyColors val="0"/>
        <c:ser>
          <c:idx val="0"/>
          <c:order val="0"/>
          <c:tx>
            <c:strRef>
              <c:f>Аркуш1!$C$532</c:f>
              <c:strCache>
                <c:ptCount val="1"/>
                <c:pt idx="0">
                  <c:v>Україна</c:v>
                </c:pt>
              </c:strCache>
            </c:strRef>
          </c:tx>
          <c:spPr bwMode="auto">
            <a:prstGeom prst="rect">
              <a:avLst/>
            </a:prstGeom>
            <a:ln w="31750" cap="rnd">
              <a:solidFill>
                <a:schemeClr val="accent1"/>
              </a:solidFill>
              <a:round/>
            </a:ln>
            <a:effectLst/>
          </c:spPr>
          <c:marker>
            <c:symbol val="circle"/>
            <c:size val="17"/>
            <c:spPr bwMode="auto">
              <a:prstGeom prst="rect">
                <a:avLst/>
              </a:prstGeom>
              <a:solidFill>
                <a:schemeClr val="accen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baseline="0">
                    <a:solidFill>
                      <a:schemeClr val="bg1"/>
                    </a:solidFill>
                    <a:latin typeface="+mn-lt"/>
                    <a:ea typeface="+mn-ea"/>
                    <a:cs typeface="+mn-cs"/>
                  </a:defRPr>
                </a:pPr>
                <a:endParaRPr lang="uk-UA"/>
              </a:p>
            </c:txPr>
            <c:dLblPos val="ctr"/>
            <c:showLegendKey val="0"/>
            <c:showVal val="1"/>
            <c:showCatName val="0"/>
            <c:showSerName val="0"/>
            <c:showPercent val="0"/>
            <c:showBubbleSize val="0"/>
            <c:showLeaderLines val="0"/>
            <c:extLst>
              <c:ext xmlns:c15="http://schemas.microsoft.com/office/drawing/2012/chart" uri="{CE6537A1-D6FC-4f65-9D91-7224C49458BB}">
                <c15:spPr xmlns:c15="http://schemas.microsoft.com/office/drawing/2012/chart">
                  <a:prstGeom prst="rect">
                    <a:avLst/>
                  </a:prstGeom>
                  <a:noFill/>
                  <a:ln>
                    <a:noFill/>
                  </a:ln>
                </c15:spPr>
                <c15:showLeaderLines val="0"/>
              </c:ext>
            </c:extLst>
          </c:dLbls>
          <c:cat>
            <c:numRef>
              <c:f>Аркуш1!$D$531:$H$531</c:f>
              <c:numCache>
                <c:formatCode>General</c:formatCode>
                <c:ptCount val="5"/>
                <c:pt idx="0">
                  <c:v>2020</c:v>
                </c:pt>
                <c:pt idx="1">
                  <c:v>2021</c:v>
                </c:pt>
                <c:pt idx="2">
                  <c:v>2022</c:v>
                </c:pt>
                <c:pt idx="3">
                  <c:v>2023</c:v>
                </c:pt>
                <c:pt idx="4">
                  <c:v>2024</c:v>
                </c:pt>
              </c:numCache>
            </c:numRef>
          </c:cat>
          <c:val>
            <c:numRef>
              <c:f>Аркуш1!$D$532:$H$532</c:f>
              <c:numCache>
                <c:formatCode>0.0</c:formatCode>
                <c:ptCount val="5"/>
                <c:pt idx="0">
                  <c:v>23.5</c:v>
                </c:pt>
                <c:pt idx="1">
                  <c:v>23.7</c:v>
                </c:pt>
                <c:pt idx="2">
                  <c:v>23.7</c:v>
                </c:pt>
                <c:pt idx="3">
                  <c:v>24.7</c:v>
                </c:pt>
                <c:pt idx="4">
                  <c:v>25.3</c:v>
                </c:pt>
              </c:numCache>
            </c:numRef>
          </c:val>
          <c:smooth val="0"/>
          <c:extLst>
            <c:ext xmlns:c16="http://schemas.microsoft.com/office/drawing/2014/chart" uri="{C3380CC4-5D6E-409C-BE32-E72D297353CC}">
              <c16:uniqueId val="{00000000-3764-438A-AEFF-31D730F49055}"/>
            </c:ext>
          </c:extLst>
        </c:ser>
        <c:ser>
          <c:idx val="1"/>
          <c:order val="1"/>
          <c:tx>
            <c:strRef>
              <c:f>Аркуш1!$C$533</c:f>
              <c:strCache>
                <c:ptCount val="1"/>
                <c:pt idx="0">
                  <c:v>Одеська область</c:v>
                </c:pt>
              </c:strCache>
            </c:strRef>
          </c:tx>
          <c:spPr bwMode="auto">
            <a:prstGeom prst="rect">
              <a:avLst/>
            </a:prstGeom>
            <a:ln w="31750" cap="rnd">
              <a:solidFill>
                <a:srgbClr val="0070C0">
                  <a:alpha val="99000"/>
                </a:srgbClr>
              </a:solidFill>
              <a:round/>
            </a:ln>
            <a:effectLst/>
          </c:spPr>
          <c:marker>
            <c:symbol val="circle"/>
            <c:size val="17"/>
            <c:spPr bwMode="auto">
              <a:prstGeom prst="rect">
                <a:avLst/>
              </a:prstGeom>
              <a:solidFill>
                <a:schemeClr val="accent2"/>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baseline="0">
                    <a:solidFill>
                      <a:schemeClr val="bg1"/>
                    </a:solidFill>
                    <a:latin typeface="+mn-lt"/>
                    <a:ea typeface="+mn-ea"/>
                    <a:cs typeface="+mn-cs"/>
                  </a:defRPr>
                </a:pPr>
                <a:endParaRPr lang="uk-UA"/>
              </a:p>
            </c:txPr>
            <c:dLblPos val="ctr"/>
            <c:showLegendKey val="0"/>
            <c:showVal val="1"/>
            <c:showCatName val="0"/>
            <c:showSerName val="0"/>
            <c:showPercent val="0"/>
            <c:showBubbleSize val="0"/>
            <c:showLeaderLines val="0"/>
            <c:extLst>
              <c:ext xmlns:c15="http://schemas.microsoft.com/office/drawing/2012/chart" uri="{CE6537A1-D6FC-4f65-9D91-7224C49458BB}">
                <c15:spPr xmlns:c15="http://schemas.microsoft.com/office/drawing/2012/chart">
                  <a:prstGeom prst="rect">
                    <a:avLst/>
                  </a:prstGeom>
                  <a:noFill/>
                  <a:ln>
                    <a:noFill/>
                  </a:ln>
                </c15:spPr>
                <c15:showLeaderLines val="0"/>
              </c:ext>
            </c:extLst>
          </c:dLbls>
          <c:cat>
            <c:numRef>
              <c:f>Аркуш1!$D$531:$H$531</c:f>
              <c:numCache>
                <c:formatCode>General</c:formatCode>
                <c:ptCount val="5"/>
                <c:pt idx="0">
                  <c:v>2020</c:v>
                </c:pt>
                <c:pt idx="1">
                  <c:v>2021</c:v>
                </c:pt>
                <c:pt idx="2">
                  <c:v>2022</c:v>
                </c:pt>
                <c:pt idx="3">
                  <c:v>2023</c:v>
                </c:pt>
                <c:pt idx="4">
                  <c:v>2024</c:v>
                </c:pt>
              </c:numCache>
            </c:numRef>
          </c:cat>
          <c:val>
            <c:numRef>
              <c:f>Аркуш1!$D$533:$H$533</c:f>
              <c:numCache>
                <c:formatCode>#\ ##0.0</c:formatCode>
                <c:ptCount val="5"/>
                <c:pt idx="0">
                  <c:v>24.5</c:v>
                </c:pt>
                <c:pt idx="1">
                  <c:v>24.1</c:v>
                </c:pt>
                <c:pt idx="2">
                  <c:v>26</c:v>
                </c:pt>
                <c:pt idx="3">
                  <c:v>26.6</c:v>
                </c:pt>
                <c:pt idx="4">
                  <c:v>27.5</c:v>
                </c:pt>
              </c:numCache>
            </c:numRef>
          </c:val>
          <c:smooth val="0"/>
          <c:extLst>
            <c:ext xmlns:c16="http://schemas.microsoft.com/office/drawing/2014/chart" uri="{C3380CC4-5D6E-409C-BE32-E72D297353CC}">
              <c16:uniqueId val="{00000001-3764-438A-AEFF-31D730F49055}"/>
            </c:ext>
          </c:extLst>
        </c:ser>
        <c:dLbls>
          <c:dLblPos val="ctr"/>
          <c:showLegendKey val="0"/>
          <c:showVal val="1"/>
          <c:showCatName val="0"/>
          <c:showSerName val="0"/>
          <c:showPercent val="0"/>
          <c:showBubbleSize val="0"/>
        </c:dLbls>
        <c:marker val="1"/>
        <c:smooth val="0"/>
        <c:axId val="1390418176"/>
        <c:axId val="1390432736"/>
      </c:lineChart>
      <c:catAx>
        <c:axId val="1390418176"/>
        <c:scaling>
          <c:orientation val="minMax"/>
        </c:scaling>
        <c:delete val="0"/>
        <c:axPos val="b"/>
        <c:numFmt formatCode="General" sourceLinked="1"/>
        <c:majorTickMark val="none"/>
        <c:minorTickMark val="none"/>
        <c:tickLblPos val="nextTo"/>
        <c:spPr bwMode="auto">
          <a:prstGeom prst="rect">
            <a:avLst/>
          </a:prstGeom>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cap="all" baseline="0">
                <a:solidFill>
                  <a:schemeClr val="dk1">
                    <a:lumMod val="75000"/>
                    <a:lumOff val="25000"/>
                  </a:schemeClr>
                </a:solidFill>
                <a:latin typeface="+mn-lt"/>
                <a:ea typeface="+mn-ea"/>
                <a:cs typeface="+mn-cs"/>
              </a:defRPr>
            </a:pPr>
            <a:endParaRPr lang="uk-UA"/>
          </a:p>
        </c:txPr>
        <c:crossAx val="1390432736"/>
        <c:crosses val="autoZero"/>
        <c:auto val="1"/>
        <c:lblAlgn val="ctr"/>
        <c:lblOffset val="100"/>
        <c:noMultiLvlLbl val="0"/>
      </c:catAx>
      <c:valAx>
        <c:axId val="1390432736"/>
        <c:scaling>
          <c:orientation val="minMax"/>
          <c:min val="0"/>
        </c:scaling>
        <c:delete val="1"/>
        <c:axPos val="l"/>
        <c:majorGridlines>
          <c:spPr bwMode="auto">
            <a:prstGeom prst="rect">
              <a:avLst/>
            </a:prstGeom>
            <a:ln w="9525" cap="flat" cmpd="sng" algn="ctr">
              <a:gradFill>
                <a:gsLst>
                  <a:gs pos="0">
                    <a:schemeClr val="lt1">
                      <a:lumMod val="75000"/>
                      <a:alpha val="36000"/>
                    </a:schemeClr>
                  </a:gs>
                  <a:gs pos="100000">
                    <a:schemeClr val="dk1">
                      <a:lumMod val="95000"/>
                      <a:lumOff val="5000"/>
                      <a:alpha val="42000"/>
                    </a:schemeClr>
                  </a:gs>
                </a:gsLst>
                <a:lin ang="5400000" scaled="0"/>
              </a:gradFill>
              <a:round/>
            </a:ln>
            <a:effectLst/>
          </c:spPr>
        </c:majorGridlines>
        <c:numFmt formatCode="0.0" sourceLinked="1"/>
        <c:majorTickMark val="none"/>
        <c:minorTickMark val="none"/>
        <c:tickLblPos val="nextTo"/>
        <c:crossAx val="1390418176"/>
        <c:crosses val="autoZero"/>
        <c:crossBetween val="between"/>
      </c:valAx>
      <c:spPr>
        <a:prstGeom prst="rect">
          <a:avLst/>
        </a:prstGeom>
        <a:noFill/>
        <a:ln>
          <a:noFill/>
        </a:ln>
        <a:effectLst/>
      </c:spPr>
    </c:plotArea>
    <c:legend>
      <c:legendPos val="b"/>
      <c:overlay val="0"/>
      <c:spPr bwMode="auto">
        <a:prstGeom prst="rect">
          <a:avLst/>
        </a:prstGeom>
        <a:solidFill>
          <a:schemeClr val="lt1">
            <a:lumMod val="95000"/>
            <a:alpha val="39000"/>
          </a:schemeClr>
        </a:solidFill>
        <a:ln>
          <a:noFill/>
        </a:ln>
        <a:effectLst/>
      </c:spPr>
      <c:txPr>
        <a:bodyPr rot="0" spcFirstLastPara="1" vertOverflow="ellipsis" vert="horz" wrap="square" anchor="ctr" anchorCtr="1"/>
        <a:lstStyle/>
        <a:p>
          <a:pPr>
            <a:defRPr sz="900" b="0" i="0" u="none" strike="noStrike" baseline="0">
              <a:solidFill>
                <a:schemeClr val="dk1">
                  <a:lumMod val="75000"/>
                  <a:lumOff val="25000"/>
                </a:schemeClr>
              </a:solidFill>
              <a:latin typeface="+mn-lt"/>
              <a:ea typeface="+mn-ea"/>
              <a:cs typeface="+mn-cs"/>
            </a:defRPr>
          </a:pPr>
          <a:endParaRPr lang="uk-UA"/>
        </a:p>
      </c:txPr>
    </c:legend>
    <c:plotVisOnly val="1"/>
    <c:dispBlanksAs val="gap"/>
    <c:showDLblsOverMax val="0"/>
  </c:chart>
  <c:spPr bwMode="auto">
    <a:prstGeom prst="rect">
      <a:avLst/>
    </a:prstGeom>
    <a:gradFill>
      <a:gsLst>
        <a:gs pos="0">
          <a:schemeClr val="lt1"/>
        </a:gs>
        <a:gs pos="39000">
          <a:schemeClr val="lt1"/>
        </a:gs>
        <a:gs pos="100000">
          <a:schemeClr val="lt1">
            <a:lumMod val="75000"/>
          </a:schemeClr>
        </a:gs>
      </a:gsLst>
      <a:path path="circle"/>
    </a:gradFill>
    <a:ln w="9525" cap="flat" cmpd="sng" algn="ctr">
      <a:solidFill>
        <a:schemeClr val="dk1">
          <a:lumMod val="25000"/>
          <a:lumOff val="75000"/>
        </a:schemeClr>
      </a:solidFill>
      <a:round/>
    </a:ln>
    <a:effectLst/>
  </c:spPr>
  <c:txPr>
    <a:bodyPr/>
    <a:lstStyle/>
    <a:p>
      <a:pPr>
        <a:defRPr/>
      </a:pPr>
      <a:endParaRPr lang="uk-UA"/>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Аркуш1!$C$560</c:f>
              <c:strCache>
                <c:ptCount val="1"/>
                <c:pt idx="0">
                  <c:v>Україна</c:v>
                </c:pt>
              </c:strCache>
            </c:strRef>
          </c:tx>
          <c:spPr bwMode="auto">
            <a:prstGeom prst="rect">
              <a:avLst/>
            </a:prstGeom>
            <a:ln w="31750" cap="rnd">
              <a:solidFill>
                <a:schemeClr val="accent1"/>
              </a:solidFill>
              <a:round/>
            </a:ln>
            <a:effectLst/>
          </c:spPr>
          <c:marker>
            <c:symbol val="circle"/>
            <c:size val="17"/>
            <c:spPr bwMode="auto">
              <a:prstGeom prst="rect">
                <a:avLst/>
              </a:prstGeom>
              <a:solidFill>
                <a:schemeClr val="accen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baseline="0">
                    <a:solidFill>
                      <a:schemeClr val="lt1"/>
                    </a:solidFill>
                    <a:latin typeface="+mn-lt"/>
                    <a:ea typeface="+mn-ea"/>
                    <a:cs typeface="+mn-cs"/>
                  </a:defRPr>
                </a:pPr>
                <a:endParaRPr lang="uk-UA"/>
              </a:p>
            </c:txPr>
            <c:dLblPos val="ctr"/>
            <c:showLegendKey val="0"/>
            <c:showVal val="1"/>
            <c:showCatName val="0"/>
            <c:showSerName val="0"/>
            <c:showPercent val="0"/>
            <c:showBubbleSize val="0"/>
            <c:showLeaderLines val="0"/>
            <c:extLst>
              <c:ext xmlns:c15="http://schemas.microsoft.com/office/drawing/2012/chart" uri="{CE6537A1-D6FC-4f65-9D91-7224C49458BB}">
                <c15:spPr xmlns:c15="http://schemas.microsoft.com/office/drawing/2012/chart">
                  <a:prstGeom prst="rect">
                    <a:avLst/>
                  </a:prstGeom>
                  <a:noFill/>
                  <a:ln>
                    <a:noFill/>
                  </a:ln>
                </c15:spPr>
                <c15:showLeaderLines val="0"/>
              </c:ext>
            </c:extLst>
          </c:dLbls>
          <c:cat>
            <c:numRef>
              <c:f>Аркуш1!$D$559:$H$559</c:f>
              <c:numCache>
                <c:formatCode>General</c:formatCode>
                <c:ptCount val="5"/>
                <c:pt idx="0">
                  <c:v>2020</c:v>
                </c:pt>
                <c:pt idx="1">
                  <c:v>2021</c:v>
                </c:pt>
                <c:pt idx="2">
                  <c:v>2022</c:v>
                </c:pt>
                <c:pt idx="3">
                  <c:v>2023</c:v>
                </c:pt>
                <c:pt idx="4">
                  <c:v>2024</c:v>
                </c:pt>
              </c:numCache>
            </c:numRef>
          </c:cat>
          <c:val>
            <c:numRef>
              <c:f>Аркуш1!$D$560:$H$560</c:f>
              <c:numCache>
                <c:formatCode>General</c:formatCode>
                <c:ptCount val="5"/>
                <c:pt idx="0">
                  <c:v>853</c:v>
                </c:pt>
                <c:pt idx="1">
                  <c:v>815</c:v>
                </c:pt>
                <c:pt idx="2">
                  <c:v>777</c:v>
                </c:pt>
                <c:pt idx="3">
                  <c:v>744</c:v>
                </c:pt>
                <c:pt idx="4">
                  <c:v>691</c:v>
                </c:pt>
              </c:numCache>
            </c:numRef>
          </c:val>
          <c:smooth val="0"/>
          <c:extLst>
            <c:ext xmlns:c16="http://schemas.microsoft.com/office/drawing/2014/chart" uri="{C3380CC4-5D6E-409C-BE32-E72D297353CC}">
              <c16:uniqueId val="{00000000-FE8E-4B8D-9D43-2DFA3B2A4ECC}"/>
            </c:ext>
          </c:extLst>
        </c:ser>
        <c:ser>
          <c:idx val="1"/>
          <c:order val="1"/>
          <c:tx>
            <c:strRef>
              <c:f>Аркуш1!$C$561</c:f>
              <c:strCache>
                <c:ptCount val="1"/>
                <c:pt idx="0">
                  <c:v>Одеська область</c:v>
                </c:pt>
              </c:strCache>
            </c:strRef>
          </c:tx>
          <c:spPr bwMode="auto">
            <a:prstGeom prst="rect">
              <a:avLst/>
            </a:prstGeom>
            <a:ln w="31750" cap="rnd">
              <a:solidFill>
                <a:schemeClr val="accent2"/>
              </a:solidFill>
              <a:round/>
            </a:ln>
            <a:effectLst/>
          </c:spPr>
          <c:marker>
            <c:symbol val="circle"/>
            <c:size val="17"/>
            <c:spPr bwMode="auto">
              <a:prstGeom prst="rect">
                <a:avLst/>
              </a:prstGeom>
              <a:solidFill>
                <a:schemeClr val="accent2"/>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baseline="0">
                    <a:solidFill>
                      <a:schemeClr val="lt1"/>
                    </a:solidFill>
                    <a:latin typeface="+mn-lt"/>
                    <a:ea typeface="+mn-ea"/>
                    <a:cs typeface="+mn-cs"/>
                  </a:defRPr>
                </a:pPr>
                <a:endParaRPr lang="uk-UA"/>
              </a:p>
            </c:txPr>
            <c:dLblPos val="ctr"/>
            <c:showLegendKey val="0"/>
            <c:showVal val="1"/>
            <c:showCatName val="0"/>
            <c:showSerName val="0"/>
            <c:showPercent val="0"/>
            <c:showBubbleSize val="0"/>
            <c:showLeaderLines val="0"/>
            <c:extLst>
              <c:ext xmlns:c15="http://schemas.microsoft.com/office/drawing/2012/chart" uri="{CE6537A1-D6FC-4f65-9D91-7224C49458BB}">
                <c15:spPr xmlns:c15="http://schemas.microsoft.com/office/drawing/2012/chart">
                  <a:prstGeom prst="rect">
                    <a:avLst/>
                  </a:prstGeom>
                  <a:noFill/>
                  <a:ln>
                    <a:noFill/>
                  </a:ln>
                </c15:spPr>
                <c15:showLeaderLines val="0"/>
              </c:ext>
            </c:extLst>
          </c:dLbls>
          <c:cat>
            <c:numRef>
              <c:f>Аркуш1!$D$559:$H$559</c:f>
              <c:numCache>
                <c:formatCode>General</c:formatCode>
                <c:ptCount val="5"/>
                <c:pt idx="0">
                  <c:v>2020</c:v>
                </c:pt>
                <c:pt idx="1">
                  <c:v>2021</c:v>
                </c:pt>
                <c:pt idx="2">
                  <c:v>2022</c:v>
                </c:pt>
                <c:pt idx="3">
                  <c:v>2023</c:v>
                </c:pt>
                <c:pt idx="4">
                  <c:v>2024</c:v>
                </c:pt>
              </c:numCache>
            </c:numRef>
          </c:cat>
          <c:val>
            <c:numRef>
              <c:f>Аркуш1!$D$561:$H$561</c:f>
              <c:numCache>
                <c:formatCode>General</c:formatCode>
                <c:ptCount val="5"/>
                <c:pt idx="0">
                  <c:v>49</c:v>
                </c:pt>
                <c:pt idx="1">
                  <c:v>49</c:v>
                </c:pt>
                <c:pt idx="2">
                  <c:v>49</c:v>
                </c:pt>
                <c:pt idx="3">
                  <c:v>48</c:v>
                </c:pt>
                <c:pt idx="4">
                  <c:v>47</c:v>
                </c:pt>
              </c:numCache>
            </c:numRef>
          </c:val>
          <c:smooth val="0"/>
          <c:extLst>
            <c:ext xmlns:c16="http://schemas.microsoft.com/office/drawing/2014/chart" uri="{C3380CC4-5D6E-409C-BE32-E72D297353CC}">
              <c16:uniqueId val="{00000001-FE8E-4B8D-9D43-2DFA3B2A4ECC}"/>
            </c:ext>
          </c:extLst>
        </c:ser>
        <c:dLbls>
          <c:dLblPos val="ctr"/>
          <c:showLegendKey val="0"/>
          <c:showVal val="1"/>
          <c:showCatName val="0"/>
          <c:showSerName val="0"/>
          <c:showPercent val="0"/>
          <c:showBubbleSize val="0"/>
        </c:dLbls>
        <c:marker val="1"/>
        <c:smooth val="0"/>
        <c:axId val="1664043648"/>
        <c:axId val="1664044896"/>
      </c:lineChart>
      <c:catAx>
        <c:axId val="1664043648"/>
        <c:scaling>
          <c:orientation val="minMax"/>
        </c:scaling>
        <c:delete val="0"/>
        <c:axPos val="b"/>
        <c:numFmt formatCode="General" sourceLinked="1"/>
        <c:majorTickMark val="none"/>
        <c:minorTickMark val="none"/>
        <c:tickLblPos val="nextTo"/>
        <c:spPr bwMode="auto">
          <a:prstGeom prst="rect">
            <a:avLst/>
          </a:prstGeom>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cap="all" baseline="0">
                <a:solidFill>
                  <a:schemeClr val="dk1">
                    <a:lumMod val="75000"/>
                    <a:lumOff val="25000"/>
                  </a:schemeClr>
                </a:solidFill>
                <a:latin typeface="+mn-lt"/>
                <a:ea typeface="+mn-ea"/>
                <a:cs typeface="+mn-cs"/>
              </a:defRPr>
            </a:pPr>
            <a:endParaRPr lang="uk-UA"/>
          </a:p>
        </c:txPr>
        <c:crossAx val="1664044896"/>
        <c:crosses val="autoZero"/>
        <c:auto val="1"/>
        <c:lblAlgn val="ctr"/>
        <c:lblOffset val="100"/>
        <c:noMultiLvlLbl val="0"/>
      </c:catAx>
      <c:valAx>
        <c:axId val="1664044896"/>
        <c:scaling>
          <c:orientation val="minMax"/>
        </c:scaling>
        <c:delete val="1"/>
        <c:axPos val="l"/>
        <c:majorGridlines>
          <c:spPr bwMode="auto">
            <a:prstGeom prst="rect">
              <a:avLst/>
            </a:prstGeom>
            <a:ln w="9525" cap="flat" cmpd="sng" algn="ctr">
              <a:gradFill>
                <a:gsLst>
                  <a:gs pos="0">
                    <a:schemeClr val="lt1">
                      <a:lumMod val="75000"/>
                      <a:alpha val="36000"/>
                    </a:schemeClr>
                  </a:gs>
                  <a:gs pos="100000">
                    <a:schemeClr val="dk1">
                      <a:lumMod val="95000"/>
                      <a:lumOff val="5000"/>
                      <a:alpha val="42000"/>
                    </a:schemeClr>
                  </a:gs>
                </a:gsLst>
                <a:lin ang="5400000" scaled="0"/>
              </a:gradFill>
              <a:round/>
            </a:ln>
            <a:effectLst/>
          </c:spPr>
        </c:majorGridlines>
        <c:numFmt formatCode="General" sourceLinked="1"/>
        <c:majorTickMark val="none"/>
        <c:minorTickMark val="none"/>
        <c:tickLblPos val="nextTo"/>
        <c:crossAx val="1664043648"/>
        <c:crosses val="autoZero"/>
        <c:crossBetween val="between"/>
      </c:valAx>
      <c:spPr>
        <a:prstGeom prst="rect">
          <a:avLst/>
        </a:prstGeom>
        <a:noFill/>
        <a:ln>
          <a:noFill/>
        </a:ln>
        <a:effectLst/>
      </c:spPr>
    </c:plotArea>
    <c:legend>
      <c:legendPos val="b"/>
      <c:overlay val="0"/>
      <c:spPr bwMode="auto">
        <a:prstGeom prst="rect">
          <a:avLst/>
        </a:prstGeom>
        <a:solidFill>
          <a:schemeClr val="lt1">
            <a:lumMod val="95000"/>
            <a:alpha val="39000"/>
          </a:schemeClr>
        </a:solidFill>
        <a:ln>
          <a:noFill/>
        </a:ln>
        <a:effectLst/>
      </c:spPr>
      <c:txPr>
        <a:bodyPr rot="0" spcFirstLastPara="1" vertOverflow="ellipsis" vert="horz" wrap="square" anchor="ctr" anchorCtr="1"/>
        <a:lstStyle/>
        <a:p>
          <a:pPr>
            <a:defRPr sz="900" b="0" i="0" u="none" strike="noStrike" baseline="0">
              <a:solidFill>
                <a:schemeClr val="dk1">
                  <a:lumMod val="75000"/>
                  <a:lumOff val="25000"/>
                </a:schemeClr>
              </a:solidFill>
              <a:latin typeface="+mn-lt"/>
              <a:ea typeface="+mn-ea"/>
              <a:cs typeface="+mn-cs"/>
            </a:defRPr>
          </a:pPr>
          <a:endParaRPr lang="uk-UA"/>
        </a:p>
      </c:txPr>
    </c:legend>
    <c:plotVisOnly val="1"/>
    <c:dispBlanksAs val="gap"/>
    <c:showDLblsOverMax val="0"/>
  </c:chart>
  <c:spPr bwMode="auto">
    <a:prstGeom prst="rect">
      <a:avLst/>
    </a:prstGeom>
    <a:gradFill>
      <a:gsLst>
        <a:gs pos="0">
          <a:schemeClr val="lt1"/>
        </a:gs>
        <a:gs pos="39000">
          <a:schemeClr val="lt1"/>
        </a:gs>
        <a:gs pos="100000">
          <a:schemeClr val="lt1">
            <a:lumMod val="75000"/>
          </a:schemeClr>
        </a:gs>
      </a:gsLst>
      <a:path path="circle"/>
    </a:gradFill>
    <a:ln w="9525" cap="flat" cmpd="sng" algn="ctr">
      <a:solidFill>
        <a:schemeClr val="dk1">
          <a:lumMod val="25000"/>
          <a:lumOff val="75000"/>
        </a:schemeClr>
      </a:solidFill>
      <a:round/>
    </a:ln>
    <a:effectLst/>
  </c:spPr>
  <c:txPr>
    <a:bodyPr/>
    <a:lstStyle/>
    <a:p>
      <a:pPr>
        <a:defRPr/>
      </a:pPr>
      <a:endParaRPr lang="uk-UA"/>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prstGeom prst="rect">
          <a:avLst/>
        </a:prstGeom>
        <a:noFill/>
        <a:ln>
          <a:noFill/>
        </a:ln>
        <a:effectLst/>
      </c:spPr>
    </c:floor>
    <c:sideWall>
      <c:thickness val="0"/>
      <c:spPr>
        <a:prstGeom prst="rect">
          <a:avLst/>
        </a:prstGeom>
        <a:noFill/>
        <a:ln>
          <a:noFill/>
        </a:ln>
        <a:effectLst/>
      </c:spPr>
    </c:sideWall>
    <c:backWall>
      <c:thickness val="0"/>
      <c:spPr>
        <a:prstGeom prst="rect">
          <a:avLst/>
        </a:prstGeom>
        <a:noFill/>
        <a:ln>
          <a:noFill/>
        </a:ln>
        <a:effectLst/>
      </c:spPr>
    </c:backWall>
    <c:plotArea>
      <c:layout>
        <c:manualLayout>
          <c:layoutTarget val="inner"/>
          <c:xMode val="edge"/>
          <c:yMode val="edge"/>
          <c:x val="6.4796999999999993E-2"/>
          <c:y val="4.3980999999999999E-2"/>
          <c:w val="0.67938699999999996"/>
          <c:h val="0.88657399999999997"/>
        </c:manualLayout>
      </c:layout>
      <c:pie3DChart>
        <c:varyColors val="1"/>
        <c:ser>
          <c:idx val="0"/>
          <c:order val="0"/>
          <c:explosion val="31"/>
          <c:dPt>
            <c:idx val="0"/>
            <c:bubble3D val="0"/>
            <c:spPr>
              <a:prstGeom prst="rect">
                <a:avLst/>
              </a:prstGeom>
              <a:solidFill>
                <a:schemeClr val="accent1"/>
              </a:solidFill>
              <a:ln>
                <a:noFill/>
              </a:ln>
              <a:effectLst>
                <a:outerShdw blurRad="88900" sx="102000" sy="102000" algn="ctr" rotWithShape="0">
                  <a:prstClr val="black">
                    <a:alpha val="10000"/>
                  </a:prstClr>
                </a:outerShdw>
              </a:effectLst>
            </c:spPr>
            <c:extLst>
              <c:ext xmlns:c16="http://schemas.microsoft.com/office/drawing/2014/chart" uri="{C3380CC4-5D6E-409C-BE32-E72D297353CC}">
                <c16:uniqueId val="{00000001-5FD3-4C89-BA5F-CEA9616EF5DE}"/>
              </c:ext>
            </c:extLst>
          </c:dPt>
          <c:dPt>
            <c:idx val="1"/>
            <c:bubble3D val="0"/>
            <c:spPr>
              <a:prstGeom prst="rect">
                <a:avLst/>
              </a:prstGeom>
              <a:solidFill>
                <a:schemeClr val="accent2"/>
              </a:solidFill>
              <a:ln>
                <a:noFill/>
              </a:ln>
              <a:effectLst>
                <a:outerShdw blurRad="88900" sx="102000" sy="102000" algn="ctr" rotWithShape="0">
                  <a:prstClr val="black">
                    <a:alpha val="10000"/>
                  </a:prstClr>
                </a:outerShdw>
              </a:effectLst>
            </c:spPr>
            <c:extLst>
              <c:ext xmlns:c16="http://schemas.microsoft.com/office/drawing/2014/chart" uri="{C3380CC4-5D6E-409C-BE32-E72D297353CC}">
                <c16:uniqueId val="{00000003-5FD3-4C89-BA5F-CEA9616EF5DE}"/>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spc="0">
                      <a:solidFill>
                        <a:schemeClr val="accent1"/>
                      </a:solidFill>
                      <a:latin typeface="+mn-lt"/>
                      <a:ea typeface="+mn-ea"/>
                      <a:cs typeface="+mn-cs"/>
                    </a:defRPr>
                  </a:pPr>
                  <a:endParaRPr lang="uk-UA"/>
                </a:p>
              </c:txPr>
              <c:dLblPos val="outEnd"/>
              <c:showLegendKey val="0"/>
              <c:showVal val="1"/>
              <c:showCatName val="1"/>
              <c:showSerName val="0"/>
              <c:showPercent val="0"/>
              <c:showBubbleSize val="0"/>
              <c:extLst>
                <c:ext xmlns:c15="http://schemas.microsoft.com/office/drawing/2012/chart" uri="{CE6537A1-D6FC-4f65-9D91-7224C49458BB}">
                  <c15:spPr xmlns:c15="http://schemas.microsoft.com/office/drawing/2012/chart">
                    <a:prstGeom prst="rect">
                      <a:avLst/>
                    </a:prstGeom>
                  </c15:spPr>
                </c:ext>
                <c:ext xmlns:c16="http://schemas.microsoft.com/office/drawing/2014/chart" uri="{C3380CC4-5D6E-409C-BE32-E72D297353CC}">
                  <c16:uniqueId val="{00000001-5FD3-4C89-BA5F-CEA9616EF5DE}"/>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spc="0">
                      <a:solidFill>
                        <a:schemeClr val="accent2"/>
                      </a:solidFill>
                      <a:latin typeface="+mn-lt"/>
                      <a:ea typeface="+mn-ea"/>
                      <a:cs typeface="+mn-cs"/>
                    </a:defRPr>
                  </a:pPr>
                  <a:endParaRPr lang="uk-UA"/>
                </a:p>
              </c:txPr>
              <c:dLblPos val="outEnd"/>
              <c:showLegendKey val="0"/>
              <c:showVal val="1"/>
              <c:showCatName val="1"/>
              <c:showSerName val="0"/>
              <c:showPercent val="0"/>
              <c:showBubbleSize val="0"/>
              <c:extLst>
                <c:ext xmlns:c15="http://schemas.microsoft.com/office/drawing/2012/chart" uri="{CE6537A1-D6FC-4f65-9D91-7224C49458BB}">
                  <c15:spPr xmlns:c15="http://schemas.microsoft.com/office/drawing/2012/chart">
                    <a:prstGeom prst="rect">
                      <a:avLst/>
                    </a:prstGeom>
                  </c15:spPr>
                </c:ext>
                <c:ext xmlns:c16="http://schemas.microsoft.com/office/drawing/2014/chart" uri="{C3380CC4-5D6E-409C-BE32-E72D297353CC}">
                  <c16:uniqueId val="{00000003-5FD3-4C89-BA5F-CEA9616EF5DE}"/>
                </c:ext>
              </c:extLst>
            </c:dLbl>
            <c:spPr>
              <a:noFill/>
              <a:ln>
                <a:noFill/>
              </a:ln>
              <a:effectLst/>
            </c:spPr>
            <c:dLblPos val="outEnd"/>
            <c:showLegendKey val="0"/>
            <c:showVal val="1"/>
            <c:showCatName val="1"/>
            <c:showSerName val="0"/>
            <c:showPercent val="0"/>
            <c:showBubbleSize val="0"/>
            <c:showLeaderLines val="1"/>
            <c:leaderLines>
              <c:spPr>
                <a:prstGeom prst="rect">
                  <a:avLst/>
                </a:prstGeom>
                <a:ln w="9525" cap="flat" cmpd="sng" algn="ctr">
                  <a:solidFill>
                    <a:schemeClr val="tx1">
                      <a:lumMod val="35000"/>
                      <a:lumOff val="65000"/>
                    </a:schemeClr>
                  </a:solidFill>
                  <a:round/>
                </a:ln>
                <a:effectLst/>
              </c:spPr>
            </c:leaderLines>
            <c:extLst>
              <c:ext xmlns:c15="http://schemas.microsoft.com/office/drawing/2012/chart" uri="{CE6537A1-D6FC-4f65-9D91-7224C49458BB}">
                <c15:spPr xmlns:c15="http://schemas.microsoft.com/office/drawing/2012/chart">
                  <a:prstGeom prst="rect">
                    <a:avLst/>
                  </a:prstGeom>
                </c15:spPr>
              </c:ext>
            </c:extLst>
          </c:dLbls>
          <c:cat>
            <c:strRef>
              <c:f>Аркуш1!$C$612:$C$613</c:f>
              <c:strCache>
                <c:ptCount val="2"/>
                <c:pt idx="0">
                  <c:v>Державний бюджет</c:v>
                </c:pt>
                <c:pt idx="1">
                  <c:v>Міцсцевий бюджет</c:v>
                </c:pt>
              </c:strCache>
            </c:strRef>
          </c:cat>
          <c:val>
            <c:numRef>
              <c:f>Аркуш1!$D$612:$D$613</c:f>
              <c:numCache>
                <c:formatCode>#,##0.00</c:formatCode>
                <c:ptCount val="2"/>
                <c:pt idx="0">
                  <c:v>27238.9</c:v>
                </c:pt>
                <c:pt idx="1">
                  <c:v>562756.9</c:v>
                </c:pt>
              </c:numCache>
            </c:numRef>
          </c:val>
          <c:extLst>
            <c:ext xmlns:c16="http://schemas.microsoft.com/office/drawing/2014/chart" uri="{C3380CC4-5D6E-409C-BE32-E72D297353CC}">
              <c16:uniqueId val="{00000004-5FD3-4C89-BA5F-CEA9616EF5DE}"/>
            </c:ext>
          </c:extLst>
        </c:ser>
        <c:dLbls>
          <c:dLblPos val="outEnd"/>
          <c:showLegendKey val="0"/>
          <c:showVal val="0"/>
          <c:showCatName val="1"/>
          <c:showSerName val="0"/>
          <c:showPercent val="0"/>
          <c:showBubbleSize val="0"/>
          <c:showLeaderLines val="1"/>
        </c:dLbls>
      </c:pie3DChart>
      <c:spPr>
        <a:prstGeom prst="rect">
          <a:avLst/>
        </a:prstGeom>
        <a:noFill/>
        <a:ln>
          <a:noFill/>
        </a:ln>
        <a:effectLst/>
      </c:spPr>
    </c:plotArea>
    <c:plotVisOnly val="1"/>
    <c:dispBlanksAs val="gap"/>
    <c:showDLblsOverMax val="0"/>
  </c:chart>
  <c:spPr>
    <a:prstGeom prst="rect">
      <a:avLst/>
    </a:prstGeom>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prstGeom prst="rect">
          <a:avLst/>
        </a:prstGeom>
        <a:noFill/>
        <a:ln>
          <a:noFill/>
        </a:ln>
        <a:effectLst/>
      </c:spPr>
    </c:floor>
    <c:sideWall>
      <c:thickness val="0"/>
      <c:spPr>
        <a:prstGeom prst="rect">
          <a:avLst/>
        </a:prstGeom>
        <a:noFill/>
        <a:ln>
          <a:noFill/>
        </a:ln>
        <a:effectLst/>
      </c:spPr>
    </c:sideWall>
    <c:backWall>
      <c:thickness val="0"/>
      <c:spPr>
        <a:prstGeom prst="rect">
          <a:avLst/>
        </a:prstGeom>
        <a:noFill/>
        <a:ln>
          <a:noFill/>
        </a:ln>
        <a:effectLst/>
      </c:spPr>
    </c:backWall>
    <c:plotArea>
      <c:layout>
        <c:manualLayout>
          <c:layoutTarget val="inner"/>
          <c:xMode val="edge"/>
          <c:yMode val="edge"/>
          <c:x val="0.17083300000000001"/>
          <c:y val="0.199465"/>
          <c:w val="0.72777800000000004"/>
          <c:h val="0.69121600000000005"/>
        </c:manualLayout>
      </c:layout>
      <c:pie3DChart>
        <c:varyColors val="1"/>
        <c:ser>
          <c:idx val="0"/>
          <c:order val="0"/>
          <c:spPr>
            <a:prstGeom prst="rect">
              <a:avLst/>
            </a:prstGeom>
            <a:gradFill>
              <a:gsLst>
                <a:gs pos="74000">
                  <a:schemeClr val="accent1">
                    <a:lumMod val="45000"/>
                    <a:lumOff val="55000"/>
                  </a:schemeClr>
                </a:gs>
                <a:gs pos="83000">
                  <a:schemeClr val="accent1">
                    <a:lumMod val="45000"/>
                    <a:lumOff val="55000"/>
                  </a:schemeClr>
                </a:gs>
                <a:gs pos="100000">
                  <a:schemeClr val="accent1">
                    <a:lumMod val="7000"/>
                    <a:lumOff val="93000"/>
                  </a:schemeClr>
                </a:gs>
                <a:gs pos="100000">
                  <a:schemeClr val="accent1">
                    <a:lumMod val="30000"/>
                    <a:lumOff val="70000"/>
                  </a:schemeClr>
                </a:gs>
              </a:gsLst>
              <a:lin ang="5400000" scaled="1"/>
            </a:gradFill>
            <a:ln>
              <a:solidFill>
                <a:sysClr val="windowText" lastClr="000000"/>
              </a:solidFill>
            </a:ln>
          </c:spPr>
          <c:dPt>
            <c:idx val="0"/>
            <c:bubble3D val="0"/>
            <c:spPr>
              <a:prstGeom prst="rect">
                <a:avLst/>
              </a:prstGeom>
              <a:gradFill>
                <a:gsLst>
                  <a:gs pos="74000">
                    <a:schemeClr val="accent1">
                      <a:lumMod val="45000"/>
                      <a:lumOff val="55000"/>
                    </a:schemeClr>
                  </a:gs>
                  <a:gs pos="83000">
                    <a:schemeClr val="accent1">
                      <a:lumMod val="45000"/>
                      <a:lumOff val="55000"/>
                    </a:schemeClr>
                  </a:gs>
                  <a:gs pos="100000">
                    <a:schemeClr val="accent1">
                      <a:lumMod val="7000"/>
                      <a:lumOff val="93000"/>
                    </a:schemeClr>
                  </a:gs>
                  <a:gs pos="100000">
                    <a:schemeClr val="accent1">
                      <a:lumMod val="30000"/>
                      <a:lumOff val="70000"/>
                    </a:schemeClr>
                  </a:gs>
                </a:gsLst>
                <a:lin ang="5400000" scaled="1"/>
              </a:gradFill>
              <a:ln>
                <a:solidFill>
                  <a:sysClr val="windowText" lastClr="000000"/>
                </a:solidFill>
              </a:ln>
              <a:effectLst>
                <a:outerShdw blurRad="88900" sx="102000" sy="102000" algn="ctr" rotWithShape="0">
                  <a:prstClr val="black">
                    <a:alpha val="10000"/>
                  </a:prstClr>
                </a:outerShdw>
              </a:effectLst>
            </c:spPr>
            <c:extLst>
              <c:ext xmlns:c16="http://schemas.microsoft.com/office/drawing/2014/chart" uri="{C3380CC4-5D6E-409C-BE32-E72D297353CC}">
                <c16:uniqueId val="{00000001-3F87-4DC7-8B8C-2AB78EC5033A}"/>
              </c:ext>
            </c:extLst>
          </c:dPt>
          <c:dPt>
            <c:idx val="1"/>
            <c:bubble3D val="0"/>
            <c:spPr>
              <a:prstGeom prst="rect">
                <a:avLst/>
              </a:prstGeom>
              <a:gradFill>
                <a:gsLst>
                  <a:gs pos="3000">
                    <a:schemeClr val="accent1">
                      <a:lumMod val="45000"/>
                      <a:lumOff val="55000"/>
                    </a:schemeClr>
                  </a:gs>
                  <a:gs pos="6000">
                    <a:schemeClr val="accent1">
                      <a:lumMod val="30000"/>
                      <a:lumOff val="70000"/>
                    </a:schemeClr>
                  </a:gs>
                  <a:gs pos="8000">
                    <a:schemeClr val="accent1">
                      <a:lumMod val="45000"/>
                      <a:lumOff val="55000"/>
                    </a:schemeClr>
                  </a:gs>
                  <a:gs pos="10000">
                    <a:schemeClr val="accent1">
                      <a:lumMod val="45000"/>
                      <a:lumOff val="55000"/>
                    </a:schemeClr>
                  </a:gs>
                  <a:gs pos="100000">
                    <a:srgbClr val="C00000"/>
                  </a:gs>
                </a:gsLst>
                <a:lin ang="5400000" scaled="1"/>
              </a:gradFill>
              <a:ln>
                <a:solidFill>
                  <a:sysClr val="windowText" lastClr="000000"/>
                </a:solidFill>
              </a:ln>
              <a:effectLst>
                <a:outerShdw blurRad="88900" sx="102000" sy="102000" algn="ctr" rotWithShape="0">
                  <a:prstClr val="black">
                    <a:alpha val="10000"/>
                  </a:prstClr>
                </a:outerShdw>
              </a:effectLst>
            </c:spPr>
            <c:extLst>
              <c:ext xmlns:c16="http://schemas.microsoft.com/office/drawing/2014/chart" uri="{C3380CC4-5D6E-409C-BE32-E72D297353CC}">
                <c16:uniqueId val="{00000003-3F87-4DC7-8B8C-2AB78EC5033A}"/>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spc="0">
                      <a:solidFill>
                        <a:schemeClr val="accent1"/>
                      </a:solidFill>
                      <a:latin typeface="+mn-lt"/>
                      <a:ea typeface="+mn-ea"/>
                      <a:cs typeface="+mn-cs"/>
                    </a:defRPr>
                  </a:pPr>
                  <a:endParaRPr lang="uk-UA"/>
                </a:p>
              </c:txPr>
              <c:dLblPos val="outEnd"/>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rect">
                      <a:avLst/>
                    </a:prstGeom>
                  </c15:spPr>
                </c:ext>
                <c:ext xmlns:c16="http://schemas.microsoft.com/office/drawing/2014/chart" uri="{C3380CC4-5D6E-409C-BE32-E72D297353CC}">
                  <c16:uniqueId val="{00000001-3F87-4DC7-8B8C-2AB78EC5033A}"/>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spc="0">
                      <a:solidFill>
                        <a:schemeClr val="accent2"/>
                      </a:solidFill>
                      <a:latin typeface="+mn-lt"/>
                      <a:ea typeface="+mn-ea"/>
                      <a:cs typeface="+mn-cs"/>
                    </a:defRPr>
                  </a:pPr>
                  <a:endParaRPr lang="uk-UA"/>
                </a:p>
              </c:txPr>
              <c:dLblPos val="bestFit"/>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rect">
                      <a:avLst/>
                    </a:prstGeom>
                  </c15:spPr>
                </c:ext>
                <c:ext xmlns:c16="http://schemas.microsoft.com/office/drawing/2014/chart" uri="{C3380CC4-5D6E-409C-BE32-E72D297353CC}">
                  <c16:uniqueId val="{00000003-3F87-4DC7-8B8C-2AB78EC5033A}"/>
                </c:ext>
              </c:extLst>
            </c:dLbl>
            <c:spPr>
              <a:noFill/>
              <a:ln>
                <a:noFill/>
              </a:ln>
              <a:effectLst/>
            </c:spPr>
            <c:dLblPos val="outEnd"/>
            <c:showLegendKey val="0"/>
            <c:showVal val="0"/>
            <c:showCatName val="1"/>
            <c:showSerName val="0"/>
            <c:showPercent val="0"/>
            <c:showBubbleSize val="0"/>
            <c:showLeaderLines val="1"/>
            <c:leaderLines>
              <c:spPr>
                <a:prstGeom prst="rect">
                  <a:avLst/>
                </a:prstGeom>
                <a:ln w="9525" cap="flat" cmpd="sng" algn="ctr">
                  <a:solidFill>
                    <a:schemeClr val="tx1">
                      <a:lumMod val="35000"/>
                      <a:lumOff val="65000"/>
                    </a:schemeClr>
                  </a:solidFill>
                  <a:round/>
                </a:ln>
                <a:effectLst/>
              </c:spPr>
            </c:leaderLines>
            <c:extLst>
              <c:ext xmlns:c15="http://schemas.microsoft.com/office/drawing/2012/chart" uri="{CE6537A1-D6FC-4f65-9D91-7224C49458BB}">
                <c15:spPr xmlns:c15="http://schemas.microsoft.com/office/drawing/2012/chart">
                  <a:prstGeom prst="rect">
                    <a:avLst/>
                  </a:prstGeom>
                </c15:spPr>
              </c:ext>
            </c:extLst>
          </c:dLbls>
          <c:cat>
            <c:strRef>
              <c:f>Аркуш1!$C$633:$C$634</c:f>
              <c:strCache>
                <c:ptCount val="2"/>
                <c:pt idx="0">
                  <c:v>укладено договори з НСЗУ</c:v>
                </c:pt>
                <c:pt idx="1">
                  <c:v>не укладено договори з НСЗУ</c:v>
                </c:pt>
              </c:strCache>
            </c:strRef>
          </c:cat>
          <c:val>
            <c:numRef>
              <c:f>Аркуш1!$D$633:$D$634</c:f>
              <c:numCache>
                <c:formatCode>General</c:formatCode>
                <c:ptCount val="2"/>
                <c:pt idx="0">
                  <c:v>28</c:v>
                </c:pt>
                <c:pt idx="1">
                  <c:v>4</c:v>
                </c:pt>
              </c:numCache>
            </c:numRef>
          </c:val>
          <c:extLst>
            <c:ext xmlns:c16="http://schemas.microsoft.com/office/drawing/2014/chart" uri="{C3380CC4-5D6E-409C-BE32-E72D297353CC}">
              <c16:uniqueId val="{00000004-3F87-4DC7-8B8C-2AB78EC5033A}"/>
            </c:ext>
          </c:extLst>
        </c:ser>
        <c:dLbls>
          <c:dLblPos val="outEnd"/>
          <c:showLegendKey val="0"/>
          <c:showVal val="0"/>
          <c:showCatName val="1"/>
          <c:showSerName val="0"/>
          <c:showPercent val="0"/>
          <c:showBubbleSize val="0"/>
          <c:showLeaderLines val="1"/>
        </c:dLbls>
      </c:pie3DChart>
      <c:spPr>
        <a:prstGeom prst="rect">
          <a:avLst/>
        </a:prstGeom>
        <a:noFill/>
        <a:ln>
          <a:noFill/>
        </a:ln>
        <a:effectLst/>
      </c:spPr>
    </c:plotArea>
    <c:plotVisOnly val="1"/>
    <c:dispBlanksAs val="gap"/>
    <c:showDLblsOverMax val="0"/>
  </c:chart>
  <c:spPr>
    <a:prstGeom prst="rect">
      <a:avLst/>
    </a:prstGeom>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spPr>
            <a:prstGeom prst="rect">
              <a:avLst/>
            </a:prstGeom>
            <a:gradFill>
              <a:gsLst>
                <a:gs pos="0">
                  <a:schemeClr val="accent1">
                    <a:lumMod val="30000"/>
                    <a:lumOff val="70000"/>
                  </a:schemeClr>
                </a:gs>
                <a:gs pos="13000">
                  <a:schemeClr val="accent1">
                    <a:lumMod val="45000"/>
                    <a:lumOff val="55000"/>
                  </a:schemeClr>
                </a:gs>
                <a:gs pos="82000">
                  <a:srgbClr val="FF0000">
                    <a:alpha val="49000"/>
                  </a:srgbClr>
                </a:gs>
                <a:gs pos="98000">
                  <a:srgbClr val="FF0000"/>
                </a:gs>
                <a:gs pos="98000">
                  <a:schemeClr val="accent1">
                    <a:lumMod val="45000"/>
                    <a:lumOff val="55000"/>
                  </a:schemeClr>
                </a:gs>
              </a:gsLst>
              <a:lin ang="5400000" scaled="1"/>
            </a:gradFill>
            <a:ln>
              <a:solidFill>
                <a:schemeClr val="tx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pPr xmlns:c15="http://schemas.microsoft.com/office/drawing/2012/chart">
                  <a:prstGeom prst="rect">
                    <a:avLst/>
                  </a:prstGeom>
                </c15:spPr>
                <c15:showLeaderLines val="0"/>
              </c:ext>
            </c:extLst>
          </c:dLbls>
          <c:cat>
            <c:strRef>
              <c:f>Аркуш1!$C$654:$C$663</c:f>
              <c:strCache>
                <c:ptCount val="10"/>
                <c:pt idx="0">
                  <c:v>капітальні видатки на розвиток матеріально-технічної бази медичних закладів</c:v>
                </c:pt>
                <c:pt idx="1">
                  <c:v>на придбання сучасного медичного обладнання </c:v>
                </c:pt>
                <c:pt idx="2">
                  <c:v>на медикаменти </c:v>
                </c:pt>
                <c:pt idx="3">
                  <c:v>на ліки та мед. препарати для пільгових категорій населення </c:v>
                </c:pt>
                <c:pt idx="4">
                  <c:v>на медичне обслуговування військових</c:v>
                </c:pt>
                <c:pt idx="5">
                  <c:v>на покращене харчування військовослужбовців</c:v>
                </c:pt>
                <c:pt idx="6">
                  <c:v>на стомат. допомогу пільговим категоріям населення </c:v>
                </c:pt>
                <c:pt idx="7">
                  <c:v>на медичні комісії на придатність громадян до військової служби</c:v>
                </c:pt>
                <c:pt idx="8">
                  <c:v>на забезпечення препаратами пацієнтів з тяжкими та рідкісними захворюваннями</c:v>
                </c:pt>
                <c:pt idx="9">
                  <c:v>на витратні матеріали для високотехнологічних втручань у кардіології та ендоваскулярній хірургії </c:v>
                </c:pt>
              </c:strCache>
            </c:strRef>
          </c:cat>
          <c:val>
            <c:numRef>
              <c:f>Аркуш1!$D$654:$D$663</c:f>
              <c:numCache>
                <c:formatCode>#,##0.00</c:formatCode>
                <c:ptCount val="10"/>
                <c:pt idx="0">
                  <c:v>249290.5</c:v>
                </c:pt>
                <c:pt idx="1">
                  <c:v>247190.5</c:v>
                </c:pt>
                <c:pt idx="2">
                  <c:v>78772.399999999994</c:v>
                </c:pt>
                <c:pt idx="3">
                  <c:v>53408.2</c:v>
                </c:pt>
                <c:pt idx="4">
                  <c:v>44184.7</c:v>
                </c:pt>
                <c:pt idx="5">
                  <c:v>22397.7</c:v>
                </c:pt>
                <c:pt idx="6">
                  <c:v>21344</c:v>
                </c:pt>
                <c:pt idx="7">
                  <c:v>18500.8</c:v>
                </c:pt>
                <c:pt idx="8" formatCode="General">
                  <c:v>13912.2</c:v>
                </c:pt>
                <c:pt idx="9">
                  <c:v>11999.5</c:v>
                </c:pt>
              </c:numCache>
            </c:numRef>
          </c:val>
          <c:extLst>
            <c:ext xmlns:c16="http://schemas.microsoft.com/office/drawing/2014/chart" uri="{C3380CC4-5D6E-409C-BE32-E72D297353CC}">
              <c16:uniqueId val="{00000000-E0C4-4CA9-9430-639C1AA5924B}"/>
            </c:ext>
          </c:extLst>
        </c:ser>
        <c:dLbls>
          <c:showLegendKey val="0"/>
          <c:showVal val="0"/>
          <c:showCatName val="0"/>
          <c:showSerName val="0"/>
          <c:showPercent val="0"/>
          <c:showBubbleSize val="0"/>
        </c:dLbls>
        <c:gapWidth val="182"/>
        <c:axId val="782576399"/>
        <c:axId val="782571823"/>
      </c:barChart>
      <c:catAx>
        <c:axId val="782576399"/>
        <c:scaling>
          <c:orientation val="minMax"/>
        </c:scaling>
        <c:delete val="0"/>
        <c:axPos val="l"/>
        <c:numFmt formatCode="General" sourceLinked="1"/>
        <c:majorTickMark val="none"/>
        <c:minorTickMark val="none"/>
        <c:tickLblPos val="nextTo"/>
        <c:spPr>
          <a:prstGeom prst="rect">
            <a:avLst/>
          </a:prstGeom>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a:solidFill>
                  <a:schemeClr val="tx1">
                    <a:lumMod val="65000"/>
                    <a:lumOff val="35000"/>
                  </a:schemeClr>
                </a:solidFill>
                <a:latin typeface="+mn-lt"/>
                <a:ea typeface="+mn-ea"/>
                <a:cs typeface="+mn-cs"/>
              </a:defRPr>
            </a:pPr>
            <a:endParaRPr lang="uk-UA"/>
          </a:p>
        </c:txPr>
        <c:crossAx val="782571823"/>
        <c:crosses val="autoZero"/>
        <c:auto val="1"/>
        <c:lblAlgn val="ctr"/>
        <c:lblOffset val="100"/>
        <c:noMultiLvlLbl val="0"/>
      </c:catAx>
      <c:valAx>
        <c:axId val="782571823"/>
        <c:scaling>
          <c:orientation val="minMax"/>
        </c:scaling>
        <c:delete val="0"/>
        <c:axPos val="b"/>
        <c:majorGridlines>
          <c:spPr>
            <a:prstGeom prst="rect">
              <a:avLst/>
            </a:prstGeom>
            <a:ln w="9525" cap="flat" cmpd="sng" algn="ctr">
              <a:solidFill>
                <a:schemeClr val="tx1">
                  <a:lumMod val="15000"/>
                  <a:lumOff val="85000"/>
                </a:schemeClr>
              </a:solidFill>
              <a:round/>
            </a:ln>
            <a:effectLst/>
          </c:spPr>
        </c:majorGridlines>
        <c:numFmt formatCode="#,##0.00" sourceLinked="1"/>
        <c:majorTickMark val="none"/>
        <c:minorTickMark val="none"/>
        <c:tickLblPos val="nextTo"/>
        <c:spPr>
          <a:prstGeom prst="rect">
            <a:avLst/>
          </a:prstGeom>
          <a:noFill/>
          <a:ln>
            <a:noFill/>
          </a:ln>
          <a:effectLst/>
        </c:spPr>
        <c:txPr>
          <a:bodyPr rot="-60000000" spcFirstLastPara="1" vertOverflow="ellipsis" vert="horz" wrap="square" anchor="ctr" anchorCtr="1"/>
          <a:lstStyle/>
          <a:p>
            <a:pPr>
              <a:defRPr sz="900" b="0" i="0" u="none" strike="noStrike">
                <a:solidFill>
                  <a:schemeClr val="tx1">
                    <a:lumMod val="65000"/>
                    <a:lumOff val="35000"/>
                  </a:schemeClr>
                </a:solidFill>
                <a:latin typeface="+mn-lt"/>
                <a:ea typeface="+mn-ea"/>
                <a:cs typeface="+mn-cs"/>
              </a:defRPr>
            </a:pPr>
            <a:endParaRPr lang="uk-UA"/>
          </a:p>
        </c:txPr>
        <c:crossAx val="782576399"/>
        <c:crosses val="autoZero"/>
        <c:crossBetween val="between"/>
      </c:valAx>
      <c:spPr>
        <a:prstGeom prst="rect">
          <a:avLst/>
        </a:prstGeom>
        <a:noFill/>
        <a:ln>
          <a:noFill/>
        </a:ln>
        <a:effectLst/>
      </c:spPr>
    </c:plotArea>
    <c:plotVisOnly val="1"/>
    <c:dispBlanksAs val="gap"/>
    <c:showDLblsOverMax val="0"/>
  </c:chart>
  <c:spPr>
    <a:prstGeom prst="rect">
      <a:avLst/>
    </a:prstGeom>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prstGeom prst="rect">
          <a:avLst/>
        </a:prstGeom>
        <a:noFill/>
        <a:ln>
          <a:noFill/>
        </a:ln>
        <a:effectLst/>
      </c:spPr>
    </c:floor>
    <c:sideWall>
      <c:thickness val="0"/>
      <c:spPr>
        <a:prstGeom prst="rect">
          <a:avLst/>
        </a:prstGeom>
        <a:noFill/>
        <a:ln>
          <a:noFill/>
        </a:ln>
        <a:effectLst/>
      </c:spPr>
    </c:sideWall>
    <c:backWall>
      <c:thickness val="0"/>
      <c:spPr>
        <a:prstGeom prst="rect">
          <a:avLst/>
        </a:prstGeom>
        <a:noFill/>
        <a:ln>
          <a:noFill/>
        </a:ln>
        <a:effectLst/>
      </c:spPr>
    </c:backWall>
    <c:plotArea>
      <c:layout/>
      <c:pie3DChart>
        <c:varyColors val="1"/>
        <c:ser>
          <c:idx val="0"/>
          <c:order val="0"/>
          <c:dPt>
            <c:idx val="0"/>
            <c:bubble3D val="0"/>
            <c:spPr>
              <a:prstGeom prst="rect">
                <a:avLst/>
              </a:prstGeom>
              <a:solidFill>
                <a:schemeClr val="accent1"/>
              </a:solidFill>
              <a:ln>
                <a:noFill/>
              </a:ln>
              <a:effectLst>
                <a:outerShdw blurRad="88900" sx="102000" sy="102000" algn="ctr" rotWithShape="0">
                  <a:prstClr val="black">
                    <a:alpha val="10000"/>
                  </a:prstClr>
                </a:outerShdw>
              </a:effectLst>
            </c:spPr>
            <c:extLst>
              <c:ext xmlns:c16="http://schemas.microsoft.com/office/drawing/2014/chart" uri="{C3380CC4-5D6E-409C-BE32-E72D297353CC}">
                <c16:uniqueId val="{00000001-A65A-4DC0-8A4B-DD555E64F023}"/>
              </c:ext>
            </c:extLst>
          </c:dPt>
          <c:dPt>
            <c:idx val="1"/>
            <c:bubble3D val="0"/>
            <c:spPr>
              <a:prstGeom prst="rect">
                <a:avLst/>
              </a:prstGeom>
              <a:solidFill>
                <a:schemeClr val="accent2"/>
              </a:solidFill>
              <a:ln>
                <a:noFill/>
              </a:ln>
              <a:effectLst>
                <a:outerShdw blurRad="88900" sx="102000" sy="102000" algn="ctr" rotWithShape="0">
                  <a:prstClr val="black">
                    <a:alpha val="10000"/>
                  </a:prstClr>
                </a:outerShdw>
              </a:effectLst>
            </c:spPr>
            <c:extLst>
              <c:ext xmlns:c16="http://schemas.microsoft.com/office/drawing/2014/chart" uri="{C3380CC4-5D6E-409C-BE32-E72D297353CC}">
                <c16:uniqueId val="{00000003-A65A-4DC0-8A4B-DD555E64F023}"/>
              </c:ext>
            </c:extLst>
          </c:dPt>
          <c:dPt>
            <c:idx val="2"/>
            <c:bubble3D val="0"/>
            <c:spPr>
              <a:prstGeom prst="rect">
                <a:avLst/>
              </a:prstGeom>
              <a:solidFill>
                <a:schemeClr val="accent3"/>
              </a:solidFill>
              <a:ln>
                <a:noFill/>
              </a:ln>
              <a:effectLst>
                <a:outerShdw blurRad="88900" sx="102000" sy="102000" algn="ctr" rotWithShape="0">
                  <a:prstClr val="black">
                    <a:alpha val="10000"/>
                  </a:prstClr>
                </a:outerShdw>
              </a:effectLst>
            </c:spPr>
            <c:extLst>
              <c:ext xmlns:c16="http://schemas.microsoft.com/office/drawing/2014/chart" uri="{C3380CC4-5D6E-409C-BE32-E72D297353CC}">
                <c16:uniqueId val="{00000005-A65A-4DC0-8A4B-DD555E64F023}"/>
              </c:ext>
            </c:extLst>
          </c:dPt>
          <c:dPt>
            <c:idx val="3"/>
            <c:bubble3D val="0"/>
            <c:spPr>
              <a:prstGeom prst="rect">
                <a:avLst/>
              </a:prstGeom>
              <a:solidFill>
                <a:schemeClr val="accent4"/>
              </a:solidFill>
              <a:ln>
                <a:noFill/>
              </a:ln>
              <a:effectLst>
                <a:outerShdw blurRad="88900" sx="102000" sy="102000" algn="ctr" rotWithShape="0">
                  <a:prstClr val="black">
                    <a:alpha val="10000"/>
                  </a:prstClr>
                </a:outerShdw>
              </a:effectLst>
            </c:spPr>
            <c:extLst>
              <c:ext xmlns:c16="http://schemas.microsoft.com/office/drawing/2014/chart" uri="{C3380CC4-5D6E-409C-BE32-E72D297353CC}">
                <c16:uniqueId val="{00000007-A65A-4DC0-8A4B-DD555E64F023}"/>
              </c:ext>
            </c:extLst>
          </c:dPt>
          <c:dPt>
            <c:idx val="4"/>
            <c:bubble3D val="0"/>
            <c:spPr>
              <a:prstGeom prst="rect">
                <a:avLst/>
              </a:prstGeom>
              <a:solidFill>
                <a:schemeClr val="accent5"/>
              </a:solidFill>
              <a:ln>
                <a:noFill/>
              </a:ln>
              <a:effectLst>
                <a:outerShdw blurRad="88900" sx="102000" sy="102000" algn="ctr" rotWithShape="0">
                  <a:prstClr val="black">
                    <a:alpha val="10000"/>
                  </a:prstClr>
                </a:outerShdw>
              </a:effectLst>
            </c:spPr>
            <c:extLst>
              <c:ext xmlns:c16="http://schemas.microsoft.com/office/drawing/2014/chart" uri="{C3380CC4-5D6E-409C-BE32-E72D297353CC}">
                <c16:uniqueId val="{00000009-A65A-4DC0-8A4B-DD555E64F023}"/>
              </c:ext>
            </c:extLst>
          </c:dPt>
          <c:dPt>
            <c:idx val="5"/>
            <c:bubble3D val="0"/>
            <c:spPr>
              <a:prstGeom prst="rect">
                <a:avLst/>
              </a:prstGeom>
              <a:solidFill>
                <a:schemeClr val="accent6"/>
              </a:solidFill>
              <a:ln>
                <a:noFill/>
              </a:ln>
              <a:effectLst>
                <a:outerShdw blurRad="88900" sx="102000" sy="102000" algn="ctr" rotWithShape="0">
                  <a:prstClr val="black">
                    <a:alpha val="10000"/>
                  </a:prstClr>
                </a:outerShdw>
              </a:effectLst>
            </c:spPr>
            <c:extLst>
              <c:ext xmlns:c16="http://schemas.microsoft.com/office/drawing/2014/chart" uri="{C3380CC4-5D6E-409C-BE32-E72D297353CC}">
                <c16:uniqueId val="{0000000B-A65A-4DC0-8A4B-DD555E64F023}"/>
              </c:ext>
            </c:extLst>
          </c:dPt>
          <c:dPt>
            <c:idx val="6"/>
            <c:bubble3D val="0"/>
            <c:spPr>
              <a:prstGeom prst="rect">
                <a:avLst/>
              </a:prstGeom>
              <a:solidFill>
                <a:schemeClr val="accent1">
                  <a:lumMod val="60000"/>
                </a:schemeClr>
              </a:solidFill>
              <a:ln>
                <a:noFill/>
              </a:ln>
              <a:effectLst>
                <a:outerShdw blurRad="88900" sx="102000" sy="102000" algn="ctr" rotWithShape="0">
                  <a:prstClr val="black">
                    <a:alpha val="10000"/>
                  </a:prstClr>
                </a:outerShdw>
              </a:effectLst>
            </c:spPr>
            <c:extLst>
              <c:ext xmlns:c16="http://schemas.microsoft.com/office/drawing/2014/chart" uri="{C3380CC4-5D6E-409C-BE32-E72D297353CC}">
                <c16:uniqueId val="{0000000D-A65A-4DC0-8A4B-DD555E64F023}"/>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spc="0">
                      <a:solidFill>
                        <a:schemeClr val="accent1"/>
                      </a:solidFill>
                      <a:latin typeface="+mn-lt"/>
                      <a:ea typeface="+mn-ea"/>
                      <a:cs typeface="+mn-cs"/>
                    </a:defRPr>
                  </a:pPr>
                  <a:endParaRPr lang="uk-UA"/>
                </a:p>
              </c:txPr>
              <c:dLblPos val="outEnd"/>
              <c:showLegendKey val="0"/>
              <c:showVal val="1"/>
              <c:showCatName val="1"/>
              <c:showSerName val="0"/>
              <c:showPercent val="1"/>
              <c:showBubbleSize val="0"/>
              <c:extLst>
                <c:ext xmlns:c15="http://schemas.microsoft.com/office/drawing/2012/chart" uri="{CE6537A1-D6FC-4f65-9D91-7224C49458BB}">
                  <c15:spPr xmlns:c15="http://schemas.microsoft.com/office/drawing/2012/chart">
                    <a:prstGeom prst="rect">
                      <a:avLst/>
                    </a:prstGeom>
                  </c15:spPr>
                </c:ext>
                <c:ext xmlns:c16="http://schemas.microsoft.com/office/drawing/2014/chart" uri="{C3380CC4-5D6E-409C-BE32-E72D297353CC}">
                  <c16:uniqueId val="{00000001-A65A-4DC0-8A4B-DD555E64F023}"/>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spc="0">
                      <a:solidFill>
                        <a:schemeClr val="accent2"/>
                      </a:solidFill>
                      <a:latin typeface="+mn-lt"/>
                      <a:ea typeface="+mn-ea"/>
                      <a:cs typeface="+mn-cs"/>
                    </a:defRPr>
                  </a:pPr>
                  <a:endParaRPr lang="uk-UA"/>
                </a:p>
              </c:txPr>
              <c:dLblPos val="outEnd"/>
              <c:showLegendKey val="0"/>
              <c:showVal val="1"/>
              <c:showCatName val="1"/>
              <c:showSerName val="0"/>
              <c:showPercent val="1"/>
              <c:showBubbleSize val="0"/>
              <c:extLst>
                <c:ext xmlns:c15="http://schemas.microsoft.com/office/drawing/2012/chart" uri="{CE6537A1-D6FC-4f65-9D91-7224C49458BB}">
                  <c15:spPr xmlns:c15="http://schemas.microsoft.com/office/drawing/2012/chart">
                    <a:prstGeom prst="rect">
                      <a:avLst/>
                    </a:prstGeom>
                  </c15:spPr>
                </c:ext>
                <c:ext xmlns:c16="http://schemas.microsoft.com/office/drawing/2014/chart" uri="{C3380CC4-5D6E-409C-BE32-E72D297353CC}">
                  <c16:uniqueId val="{00000003-A65A-4DC0-8A4B-DD555E64F023}"/>
                </c:ext>
              </c:extLst>
            </c:dLbl>
            <c:dLbl>
              <c:idx val="2"/>
              <c:layout>
                <c:manualLayout>
                  <c:x val="-3.437E-3"/>
                  <c:y val="7.9140000000000002E-2"/>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spc="0">
                      <a:solidFill>
                        <a:schemeClr val="accent3"/>
                      </a:solidFill>
                      <a:latin typeface="+mn-lt"/>
                      <a:ea typeface="+mn-ea"/>
                      <a:cs typeface="+mn-cs"/>
                    </a:defRPr>
                  </a:pPr>
                  <a:endParaRPr lang="uk-UA"/>
                </a:p>
              </c:txPr>
              <c:dLblPos val="bestFit"/>
              <c:showLegendKey val="0"/>
              <c:showVal val="1"/>
              <c:showCatName val="1"/>
              <c:showSerName val="0"/>
              <c:showPercent val="1"/>
              <c:showBubbleSize val="0"/>
              <c:extLst>
                <c:ext xmlns:c15="http://schemas.microsoft.com/office/drawing/2012/chart" uri="{CE6537A1-D6FC-4f65-9D91-7224C49458BB}">
                  <c15:spPr xmlns:c15="http://schemas.microsoft.com/office/drawing/2012/chart">
                    <a:prstGeom prst="rect">
                      <a:avLst/>
                    </a:prstGeom>
                  </c15:spPr>
                </c:ext>
                <c:ext xmlns:c16="http://schemas.microsoft.com/office/drawing/2014/chart" uri="{C3380CC4-5D6E-409C-BE32-E72D297353CC}">
                  <c16:uniqueId val="{00000005-A65A-4DC0-8A4B-DD555E64F023}"/>
                </c:ext>
              </c:extLst>
            </c:dLbl>
            <c:dLbl>
              <c:idx val="3"/>
              <c:layout>
                <c:manualLayout>
                  <c:x val="-6.0180999999999998E-2"/>
                  <c:y val="0"/>
                </c:manualLayout>
              </c:layout>
              <c:spPr>
                <a:noFill/>
                <a:ln>
                  <a:noFill/>
                </a:ln>
                <a:effectLst/>
              </c:spPr>
              <c:txPr>
                <a:bodyPr rot="0" spcFirstLastPara="1" vertOverflow="ellipsis" vert="horz" wrap="square" lIns="38100" tIns="19050" rIns="38100" bIns="19050" anchor="ctr" anchorCtr="1">
                  <a:noAutofit/>
                </a:bodyPr>
                <a:lstStyle/>
                <a:p>
                  <a:pPr>
                    <a:defRPr sz="1000" b="1" i="0" u="none" strike="noStrike" spc="0">
                      <a:solidFill>
                        <a:schemeClr val="accent4"/>
                      </a:solidFill>
                      <a:latin typeface="+mn-lt"/>
                      <a:ea typeface="+mn-ea"/>
                      <a:cs typeface="+mn-cs"/>
                    </a:defRPr>
                  </a:pPr>
                  <a:endParaRPr lang="uk-UA"/>
                </a:p>
              </c:txPr>
              <c:dLblPos val="bestFit"/>
              <c:showLegendKey val="0"/>
              <c:showVal val="1"/>
              <c:showCatName val="1"/>
              <c:showSerName val="0"/>
              <c:showPercent val="1"/>
              <c:showBubbleSize val="0"/>
              <c:extLst>
                <c:ext xmlns:c15="http://schemas.microsoft.com/office/drawing/2012/chart" uri="{CE6537A1-D6FC-4f65-9D91-7224C49458BB}">
                  <c15:spPr xmlns:c15="http://schemas.microsoft.com/office/drawing/2012/chart">
                    <a:prstGeom prst="rect">
                      <a:avLst/>
                    </a:prstGeom>
                  </c15:spPr>
                </c:ext>
                <c:ext xmlns:c16="http://schemas.microsoft.com/office/drawing/2014/chart" uri="{C3380CC4-5D6E-409C-BE32-E72D297353CC}">
                  <c16:uniqueId val="{00000007-A65A-4DC0-8A4B-DD555E64F023}"/>
                </c:ext>
              </c:extLst>
            </c:dLbl>
            <c:dLbl>
              <c:idx val="4"/>
              <c:spPr>
                <a:noFill/>
                <a:ln>
                  <a:noFill/>
                </a:ln>
                <a:effectLst/>
              </c:spPr>
              <c:txPr>
                <a:bodyPr rot="0" spcFirstLastPara="1" vertOverflow="ellipsis" vert="horz" wrap="square" lIns="38100" tIns="19050" rIns="38100" bIns="19050" anchor="ctr" anchorCtr="1">
                  <a:spAutoFit/>
                </a:bodyPr>
                <a:lstStyle/>
                <a:p>
                  <a:pPr>
                    <a:defRPr sz="1000" b="1" i="0" u="none" strike="noStrike" spc="0">
                      <a:solidFill>
                        <a:schemeClr val="accent5"/>
                      </a:solidFill>
                      <a:latin typeface="+mn-lt"/>
                      <a:ea typeface="+mn-ea"/>
                      <a:cs typeface="+mn-cs"/>
                    </a:defRPr>
                  </a:pPr>
                  <a:endParaRPr lang="uk-UA"/>
                </a:p>
              </c:txPr>
              <c:dLblPos val="outEnd"/>
              <c:showLegendKey val="0"/>
              <c:showVal val="1"/>
              <c:showCatName val="1"/>
              <c:showSerName val="0"/>
              <c:showPercent val="1"/>
              <c:showBubbleSize val="0"/>
              <c:extLst>
                <c:ext xmlns:c15="http://schemas.microsoft.com/office/drawing/2012/chart" uri="{CE6537A1-D6FC-4f65-9D91-7224C49458BB}">
                  <c15:spPr xmlns:c15="http://schemas.microsoft.com/office/drawing/2012/chart">
                    <a:prstGeom prst="rect">
                      <a:avLst/>
                    </a:prstGeom>
                  </c15:spPr>
                </c:ext>
                <c:ext xmlns:c16="http://schemas.microsoft.com/office/drawing/2014/chart" uri="{C3380CC4-5D6E-409C-BE32-E72D297353CC}">
                  <c16:uniqueId val="{00000009-A65A-4DC0-8A4B-DD555E64F023}"/>
                </c:ext>
              </c:extLst>
            </c:dLbl>
            <c:dLbl>
              <c:idx val="5"/>
              <c:spPr>
                <a:noFill/>
                <a:ln>
                  <a:noFill/>
                </a:ln>
                <a:effectLst/>
              </c:spPr>
              <c:txPr>
                <a:bodyPr rot="0" spcFirstLastPara="1" vertOverflow="ellipsis" vert="horz" wrap="square" lIns="38100" tIns="19050" rIns="38100" bIns="19050" anchor="ctr" anchorCtr="1">
                  <a:spAutoFit/>
                </a:bodyPr>
                <a:lstStyle/>
                <a:p>
                  <a:pPr>
                    <a:defRPr sz="1000" b="1" i="0" u="none" strike="noStrike" spc="0">
                      <a:solidFill>
                        <a:schemeClr val="accent6"/>
                      </a:solidFill>
                      <a:latin typeface="+mn-lt"/>
                      <a:ea typeface="+mn-ea"/>
                      <a:cs typeface="+mn-cs"/>
                    </a:defRPr>
                  </a:pPr>
                  <a:endParaRPr lang="uk-UA"/>
                </a:p>
              </c:txPr>
              <c:dLblPos val="outEnd"/>
              <c:showLegendKey val="0"/>
              <c:showVal val="1"/>
              <c:showCatName val="1"/>
              <c:showSerName val="0"/>
              <c:showPercent val="1"/>
              <c:showBubbleSize val="0"/>
              <c:extLst>
                <c:ext xmlns:c15="http://schemas.microsoft.com/office/drawing/2012/chart" uri="{CE6537A1-D6FC-4f65-9D91-7224C49458BB}">
                  <c15:spPr xmlns:c15="http://schemas.microsoft.com/office/drawing/2012/chart">
                    <a:prstGeom prst="rect">
                      <a:avLst/>
                    </a:prstGeom>
                  </c15:spPr>
                </c:ext>
                <c:ext xmlns:c16="http://schemas.microsoft.com/office/drawing/2014/chart" uri="{C3380CC4-5D6E-409C-BE32-E72D297353CC}">
                  <c16:uniqueId val="{0000000B-A65A-4DC0-8A4B-DD555E64F023}"/>
                </c:ext>
              </c:extLst>
            </c:dLbl>
            <c:dLbl>
              <c:idx val="6"/>
              <c:spPr>
                <a:noFill/>
                <a:ln>
                  <a:noFill/>
                </a:ln>
                <a:effectLst/>
              </c:spPr>
              <c:txPr>
                <a:bodyPr rot="0" spcFirstLastPara="1" vertOverflow="ellipsis" vert="horz" wrap="square" lIns="38100" tIns="19050" rIns="38100" bIns="19050" anchor="ctr" anchorCtr="1">
                  <a:spAutoFit/>
                </a:bodyPr>
                <a:lstStyle/>
                <a:p>
                  <a:pPr>
                    <a:defRPr sz="1000" b="1" i="0" u="none" strike="noStrike" spc="0">
                      <a:solidFill>
                        <a:schemeClr val="accent1">
                          <a:lumMod val="60000"/>
                        </a:schemeClr>
                      </a:solidFill>
                      <a:latin typeface="+mn-lt"/>
                      <a:ea typeface="+mn-ea"/>
                      <a:cs typeface="+mn-cs"/>
                    </a:defRPr>
                  </a:pPr>
                  <a:endParaRPr lang="uk-UA"/>
                </a:p>
              </c:txPr>
              <c:dLblPos val="outEnd"/>
              <c:showLegendKey val="0"/>
              <c:showVal val="1"/>
              <c:showCatName val="1"/>
              <c:showSerName val="0"/>
              <c:showPercent val="1"/>
              <c:showBubbleSize val="0"/>
              <c:extLst>
                <c:ext xmlns:c15="http://schemas.microsoft.com/office/drawing/2012/chart" uri="{CE6537A1-D6FC-4f65-9D91-7224C49458BB}">
                  <c15:spPr xmlns:c15="http://schemas.microsoft.com/office/drawing/2012/chart">
                    <a:prstGeom prst="rect">
                      <a:avLst/>
                    </a:prstGeom>
                  </c15:spPr>
                </c:ext>
                <c:ext xmlns:c16="http://schemas.microsoft.com/office/drawing/2014/chart" uri="{C3380CC4-5D6E-409C-BE32-E72D297353CC}">
                  <c16:uniqueId val="{0000000D-A65A-4DC0-8A4B-DD555E64F023}"/>
                </c:ext>
              </c:extLst>
            </c:dLbl>
            <c:spPr>
              <a:noFill/>
              <a:ln>
                <a:noFill/>
              </a:ln>
              <a:effectLst/>
            </c:spPr>
            <c:dLblPos val="outEnd"/>
            <c:showLegendKey val="0"/>
            <c:showVal val="1"/>
            <c:showCatName val="1"/>
            <c:showSerName val="0"/>
            <c:showPercent val="1"/>
            <c:showBubbleSize val="0"/>
            <c:showLeaderLines val="1"/>
            <c:leaderLines>
              <c:spPr>
                <a:prstGeom prst="rect">
                  <a:avLst/>
                </a:prstGeom>
                <a:ln w="9525" cap="flat" cmpd="sng" algn="ctr">
                  <a:solidFill>
                    <a:schemeClr val="tx1">
                      <a:lumMod val="35000"/>
                      <a:lumOff val="65000"/>
                    </a:schemeClr>
                  </a:solidFill>
                  <a:round/>
                </a:ln>
                <a:effectLst/>
              </c:spPr>
            </c:leaderLines>
            <c:extLst>
              <c:ext xmlns:c15="http://schemas.microsoft.com/office/drawing/2012/chart" uri="{CE6537A1-D6FC-4f65-9D91-7224C49458BB}">
                <c15:spPr xmlns:c15="http://schemas.microsoft.com/office/drawing/2012/chart">
                  <a:prstGeom prst="rect">
                    <a:avLst/>
                  </a:prstGeom>
                </c15:spPr>
              </c:ext>
            </c:extLst>
          </c:dLbls>
          <c:cat>
            <c:strRef>
              <c:f>Аркуш1!$C$518:$C$524</c:f>
              <c:strCache>
                <c:ptCount val="7"/>
                <c:pt idx="0">
                  <c:v>Кластерні лікарні</c:v>
                </c:pt>
                <c:pt idx="1">
                  <c:v>Загальні лікарні</c:v>
                </c:pt>
                <c:pt idx="2">
                  <c:v>Консультативно-діагностичні центри</c:v>
                </c:pt>
                <c:pt idx="3">
                  <c:v>Центри первинної медико-санітарної допомоги</c:v>
                </c:pt>
                <c:pt idx="4">
                  <c:v>Дитячі поліклініки</c:v>
                </c:pt>
                <c:pt idx="5">
                  <c:v>Будинки дитини</c:v>
                </c:pt>
                <c:pt idx="6">
                  <c:v>Інші</c:v>
                </c:pt>
              </c:strCache>
            </c:strRef>
          </c:cat>
          <c:val>
            <c:numRef>
              <c:f>Аркуш1!$D$518:$D$524</c:f>
              <c:numCache>
                <c:formatCode>General</c:formatCode>
                <c:ptCount val="7"/>
                <c:pt idx="0">
                  <c:v>4</c:v>
                </c:pt>
                <c:pt idx="1">
                  <c:v>3</c:v>
                </c:pt>
                <c:pt idx="2">
                  <c:v>4</c:v>
                </c:pt>
                <c:pt idx="3">
                  <c:v>6</c:v>
                </c:pt>
                <c:pt idx="4">
                  <c:v>7</c:v>
                </c:pt>
                <c:pt idx="5">
                  <c:v>2</c:v>
                </c:pt>
                <c:pt idx="6">
                  <c:v>6</c:v>
                </c:pt>
              </c:numCache>
            </c:numRef>
          </c:val>
          <c:extLst>
            <c:ext xmlns:c16="http://schemas.microsoft.com/office/drawing/2014/chart" uri="{C3380CC4-5D6E-409C-BE32-E72D297353CC}">
              <c16:uniqueId val="{0000000E-A65A-4DC0-8A4B-DD555E64F023}"/>
            </c:ext>
          </c:extLst>
        </c:ser>
        <c:dLbls>
          <c:dLblPos val="outEnd"/>
          <c:showLegendKey val="0"/>
          <c:showVal val="0"/>
          <c:showCatName val="0"/>
          <c:showSerName val="0"/>
          <c:showPercent val="1"/>
          <c:showBubbleSize val="0"/>
          <c:showLeaderLines val="1"/>
        </c:dLbls>
      </c:pie3DChart>
      <c:spPr>
        <a:prstGeom prst="rect">
          <a:avLst/>
        </a:prstGeom>
        <a:noFill/>
        <a:ln>
          <a:noFill/>
        </a:ln>
        <a:effectLst/>
      </c:spPr>
    </c:plotArea>
    <c:plotVisOnly val="1"/>
    <c:dispBlanksAs val="gap"/>
    <c:showDLblsOverMax val="0"/>
  </c:chart>
  <c:spPr>
    <a:prstGeom prst="rect">
      <a:avLst/>
    </a:prstGeom>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prstGeom prst="rect">
          <a:avLst/>
        </a:prstGeom>
        <a:noFill/>
        <a:ln>
          <a:noFill/>
        </a:ln>
        <a:effectLst/>
      </c:spPr>
    </c:floor>
    <c:sideWall>
      <c:thickness val="0"/>
      <c:spPr>
        <a:prstGeom prst="rect">
          <a:avLst/>
        </a:prstGeom>
        <a:noFill/>
        <a:ln>
          <a:noFill/>
        </a:ln>
        <a:effectLst/>
      </c:spPr>
    </c:sideWall>
    <c:backWall>
      <c:thickness val="0"/>
      <c:spPr>
        <a:prstGeom prst="rect">
          <a:avLst/>
        </a:prstGeom>
        <a:noFill/>
        <a:ln>
          <a:noFill/>
        </a:ln>
        <a:effectLst/>
      </c:spPr>
    </c:backWall>
    <c:plotArea>
      <c:layout/>
      <c:pie3DChart>
        <c:varyColors val="1"/>
        <c:ser>
          <c:idx val="0"/>
          <c:order val="0"/>
          <c:spPr>
            <a:prstGeom prst="rect">
              <a:avLst/>
            </a:prstGeom>
            <a:ln>
              <a:solidFill>
                <a:schemeClr val="tx1"/>
              </a:solidFill>
            </a:ln>
          </c:spPr>
          <c:dPt>
            <c:idx val="0"/>
            <c:bubble3D val="0"/>
            <c:spPr>
              <a:prstGeom prst="rect">
                <a:avLst/>
              </a:prstGeom>
              <a:solidFill>
                <a:schemeClr val="accent1"/>
              </a:solidFill>
              <a:ln>
                <a:solidFill>
                  <a:schemeClr val="tx1"/>
                </a:solidFill>
              </a:ln>
              <a:effectLst>
                <a:outerShdw blurRad="88900" sx="102000" sy="102000" algn="ctr" rotWithShape="0">
                  <a:prstClr val="black">
                    <a:alpha val="10000"/>
                  </a:prstClr>
                </a:outerShdw>
              </a:effectLst>
            </c:spPr>
            <c:extLst>
              <c:ext xmlns:c16="http://schemas.microsoft.com/office/drawing/2014/chart" uri="{C3380CC4-5D6E-409C-BE32-E72D297353CC}">
                <c16:uniqueId val="{00000001-597A-49D7-ACB2-CC61A39B8B61}"/>
              </c:ext>
            </c:extLst>
          </c:dPt>
          <c:dPt>
            <c:idx val="1"/>
            <c:bubble3D val="0"/>
            <c:spPr>
              <a:prstGeom prst="rect">
                <a:avLst/>
              </a:prstGeom>
              <a:solidFill>
                <a:schemeClr val="accent2"/>
              </a:solidFill>
              <a:ln>
                <a:solidFill>
                  <a:schemeClr val="tx1"/>
                </a:solidFill>
              </a:ln>
              <a:effectLst>
                <a:outerShdw blurRad="88900" sx="102000" sy="102000" algn="ctr" rotWithShape="0">
                  <a:prstClr val="black">
                    <a:alpha val="10000"/>
                  </a:prstClr>
                </a:outerShdw>
              </a:effectLst>
            </c:spPr>
            <c:extLst>
              <c:ext xmlns:c16="http://schemas.microsoft.com/office/drawing/2014/chart" uri="{C3380CC4-5D6E-409C-BE32-E72D297353CC}">
                <c16:uniqueId val="{00000003-597A-49D7-ACB2-CC61A39B8B61}"/>
              </c:ext>
            </c:extLst>
          </c:dPt>
          <c:dLbls>
            <c:dLbl>
              <c:idx val="0"/>
              <c:layout>
                <c:manualLayout>
                  <c:x val="-9.0279999999999996E-3"/>
                  <c:y val="9.1139999999999999E-2"/>
                </c:manualLayout>
              </c:layout>
              <c:spPr>
                <a:noFill/>
                <a:ln>
                  <a:noFill/>
                </a:ln>
                <a:effectLst/>
              </c:spPr>
              <c:txPr>
                <a:bodyPr rot="0" spcFirstLastPara="1" vertOverflow="ellipsis" vert="horz" wrap="square" lIns="38100" tIns="19050" rIns="38100" bIns="19050" anchor="ctr" anchorCtr="1">
                  <a:noAutofit/>
                </a:bodyPr>
                <a:lstStyle/>
                <a:p>
                  <a:pPr>
                    <a:defRPr sz="1000" b="1" i="0" u="none" strike="noStrike" spc="0">
                      <a:solidFill>
                        <a:schemeClr val="accent1"/>
                      </a:solidFill>
                      <a:latin typeface="+mn-lt"/>
                      <a:ea typeface="+mn-ea"/>
                      <a:cs typeface="+mn-cs"/>
                    </a:defRPr>
                  </a:pPr>
                  <a:endParaRPr lang="uk-UA"/>
                </a:p>
              </c:txPr>
              <c:dLblPos val="bestFit"/>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rect">
                      <a:avLst/>
                    </a:prstGeom>
                  </c15:spPr>
                </c:ext>
                <c:ext xmlns:c16="http://schemas.microsoft.com/office/drawing/2014/chart" uri="{C3380CC4-5D6E-409C-BE32-E72D297353CC}">
                  <c16:uniqueId val="{00000001-597A-49D7-ACB2-CC61A39B8B61}"/>
                </c:ext>
              </c:extLst>
            </c:dLbl>
            <c:dLbl>
              <c:idx val="1"/>
              <c:layout>
                <c:manualLayout>
                  <c:x val="0"/>
                  <c:y val="-4.6567999999999998E-2"/>
                </c:manualLayout>
              </c:layout>
              <c:spPr>
                <a:noFill/>
                <a:ln>
                  <a:noFill/>
                </a:ln>
                <a:effectLst/>
              </c:spPr>
              <c:txPr>
                <a:bodyPr rot="0" spcFirstLastPara="1" vertOverflow="ellipsis" vert="horz" wrap="square" lIns="38100" tIns="19050" rIns="38100" bIns="19050" anchor="ctr" anchorCtr="1">
                  <a:noAutofit/>
                </a:bodyPr>
                <a:lstStyle/>
                <a:p>
                  <a:pPr>
                    <a:defRPr sz="1000" b="1" i="0" u="none" strike="noStrike" spc="0">
                      <a:solidFill>
                        <a:schemeClr val="accent2"/>
                      </a:solidFill>
                      <a:latin typeface="+mn-lt"/>
                      <a:ea typeface="+mn-ea"/>
                      <a:cs typeface="+mn-cs"/>
                    </a:defRPr>
                  </a:pPr>
                  <a:endParaRPr lang="uk-UA"/>
                </a:p>
              </c:txPr>
              <c:dLblPos val="bestFit"/>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rect">
                      <a:avLst/>
                    </a:prstGeom>
                  </c15:spPr>
                </c:ext>
                <c:ext xmlns:c16="http://schemas.microsoft.com/office/drawing/2014/chart" uri="{C3380CC4-5D6E-409C-BE32-E72D297353CC}">
                  <c16:uniqueId val="{00000003-597A-49D7-ACB2-CC61A39B8B61}"/>
                </c:ext>
              </c:extLst>
            </c:dLbl>
            <c:spPr>
              <a:noFill/>
              <a:ln>
                <a:noFill/>
              </a:ln>
              <a:effectLst/>
            </c:spPr>
            <c:dLblPos val="outEnd"/>
            <c:showLegendKey val="0"/>
            <c:showVal val="0"/>
            <c:showCatName val="1"/>
            <c:showSerName val="0"/>
            <c:showPercent val="1"/>
            <c:showBubbleSize val="0"/>
            <c:showLeaderLines val="1"/>
            <c:leaderLines>
              <c:spPr>
                <a:prstGeom prst="rect">
                  <a:avLst/>
                </a:prstGeom>
                <a:ln w="9525" cap="flat" cmpd="sng" algn="ctr">
                  <a:solidFill>
                    <a:schemeClr val="tx1">
                      <a:lumMod val="35000"/>
                      <a:lumOff val="65000"/>
                    </a:schemeClr>
                  </a:solidFill>
                  <a:round/>
                </a:ln>
                <a:effectLst/>
              </c:spPr>
            </c:leaderLines>
            <c:extLst>
              <c:ext xmlns:c15="http://schemas.microsoft.com/office/drawing/2012/chart" uri="{CE6537A1-D6FC-4f65-9D91-7224C49458BB}">
                <c15:spPr xmlns:c15="http://schemas.microsoft.com/office/drawing/2012/chart">
                  <a:prstGeom prst="rect">
                    <a:avLst/>
                  </a:prstGeom>
                </c15:spPr>
              </c:ext>
            </c:extLst>
          </c:dLbls>
          <c:cat>
            <c:strRef>
              <c:f>Аркуш1!$C$538:$C$539</c:f>
              <c:strCache>
                <c:ptCount val="2"/>
                <c:pt idx="0">
                  <c:v>кошти НСЗУ за програмою медичних гарантій</c:v>
                </c:pt>
                <c:pt idx="1">
                  <c:v>кошти бюджету територіальної громади </c:v>
                </c:pt>
              </c:strCache>
            </c:strRef>
          </c:cat>
          <c:val>
            <c:numRef>
              <c:f>Аркуш1!$D$538:$D$539</c:f>
              <c:numCache>
                <c:formatCode>General</c:formatCode>
                <c:ptCount val="2"/>
                <c:pt idx="0">
                  <c:v>1159.0999999999999</c:v>
                </c:pt>
                <c:pt idx="1">
                  <c:v>482.4</c:v>
                </c:pt>
              </c:numCache>
            </c:numRef>
          </c:val>
          <c:extLst>
            <c:ext xmlns:c16="http://schemas.microsoft.com/office/drawing/2014/chart" uri="{C3380CC4-5D6E-409C-BE32-E72D297353CC}">
              <c16:uniqueId val="{00000004-597A-49D7-ACB2-CC61A39B8B61}"/>
            </c:ext>
          </c:extLst>
        </c:ser>
        <c:dLbls>
          <c:dLblPos val="outEnd"/>
          <c:showLegendKey val="0"/>
          <c:showVal val="0"/>
          <c:showCatName val="0"/>
          <c:showSerName val="0"/>
          <c:showPercent val="1"/>
          <c:showBubbleSize val="0"/>
          <c:showLeaderLines val="1"/>
        </c:dLbls>
      </c:pie3DChart>
      <c:spPr>
        <a:prstGeom prst="rect">
          <a:avLst/>
        </a:prstGeom>
        <a:noFill/>
        <a:ln>
          <a:noFill/>
        </a:ln>
        <a:effectLst/>
      </c:spPr>
    </c:plotArea>
    <c:plotVisOnly val="1"/>
    <c:dispBlanksAs val="gap"/>
    <c:showDLblsOverMax val="0"/>
  </c:chart>
  <c:spPr>
    <a:prstGeom prst="rect">
      <a:avLst/>
    </a:prstGeom>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8">
  <cs:axisTitle>
    <cs:lnRef idx="0"/>
    <cs:fillRef idx="0"/>
    <cs:effectRef idx="0"/>
    <cs:fontRef idx="minor">
      <a:schemeClr val="dk1">
        <a:lumMod val="75000"/>
        <a:lumOff val="25000"/>
      </a:schemeClr>
    </cs:fontRef>
    <cs:defRPr sz="900" b="1"/>
  </cs:axisTitle>
  <cs:categoryAxis>
    <cs:lnRef idx="0"/>
    <cs:fillRef idx="0"/>
    <cs:effectRef idx="0"/>
    <cs:fontRef idx="minor">
      <a:schemeClr val="dk1">
        <a:lumMod val="75000"/>
        <a:lumOff val="25000"/>
      </a:schemeClr>
    </cs:fontRef>
    <cs:spPr bwMode="auto">
      <a:prstGeom prst="rect">
        <a:avLst/>
      </a:prstGeom>
      <a:ln w="19050" cap="flat" cmpd="sng" algn="ctr">
        <a:solidFill>
          <a:schemeClr val="dk1">
            <a:lumMod val="75000"/>
            <a:lumOff val="25000"/>
          </a:schemeClr>
        </a:solidFill>
        <a:round/>
      </a:ln>
    </cs:spPr>
    <cs:defRPr sz="900" cap="all"/>
  </cs:categoryAxis>
  <cs:chartArea>
    <cs:lnRef idx="0"/>
    <cs:fillRef idx="0"/>
    <cs:effectRef idx="0"/>
    <cs:fontRef idx="minor">
      <a:schemeClr val="dk1"/>
    </cs:fontRef>
    <cs:spPr bwMode="auto">
      <a:prstGeom prst="rect">
        <a:avLst/>
      </a:prstGeom>
      <a:gradFill>
        <a:gsLst>
          <a:gs pos="0">
            <a:schemeClr val="lt1"/>
          </a:gs>
          <a:gs pos="39000">
            <a:schemeClr val="lt1"/>
          </a:gs>
          <a:gs pos="100000">
            <a:schemeClr val="lt1">
              <a:lumMod val="75000"/>
            </a:schemeClr>
          </a:gs>
        </a:gsLst>
        <a:path path="circle"/>
      </a:gradFill>
      <a:ln w="9525" cap="flat" cmpd="sng" algn="ctr">
        <a:solidFill>
          <a:schemeClr val="dk1">
            <a:lumMod val="25000"/>
            <a:lumOff val="75000"/>
          </a:schemeClr>
        </a:solidFill>
        <a:round/>
      </a:ln>
    </cs:spPr>
    <cs:defRPr sz="900"/>
  </cs:chartArea>
  <cs:dataLabel>
    <cs:lnRef idx="0"/>
    <cs:fillRef idx="0">
      <cs:styleClr val="auto"/>
    </cs:fillRef>
    <cs:effectRef idx="0"/>
    <cs:fontRef idx="minor">
      <a:schemeClr val="lt1"/>
    </cs:fontRef>
    <cs:defRPr sz="900" b="1" i="0" u="none" strike="noStrike"/>
  </cs:dataLabel>
  <cs:dataLabelCallout>
    <cs:lnRef idx="0"/>
    <cs:fillRef idx="0"/>
    <cs:effectRef idx="0"/>
    <cs:fontRef idx="minor">
      <a:schemeClr val="lt1"/>
    </cs:fontRef>
    <cs:spPr bwMode="auto">
      <a:prstGeom prst="rect">
        <a:avLst/>
      </a:prstGeom>
      <a:solidFill>
        <a:schemeClr val="dk1">
          <a:lumMod val="65000"/>
          <a:lumOff val="35000"/>
          <a:alpha val="75000"/>
        </a:schemeClr>
      </a:solidFill>
    </cs:spPr>
    <cs:defRPr sz="900" b="1"/>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bwMode="auto">
      <a:prstGeom prst="rect">
        <a:avLst/>
      </a:prstGeom>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bwMode="auto">
      <a:prstGeom prst="rect">
        <a:avLst/>
      </a:prstGeom>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bwMode="auto">
      <a:prstGeom prst="rect">
        <a:avLst/>
      </a:prstGeom>
      <a:ln w="31750" cap="rnd">
        <a:solidFill>
          <a:schemeClr val="phClr"/>
        </a:solidFill>
        <a:round/>
      </a:ln>
    </cs:spPr>
  </cs:dataPointLine>
  <cs:dataPointMarker>
    <cs:lnRef idx="0"/>
    <cs:fillRef idx="0">
      <cs:styleClr val="auto"/>
    </cs:fillRef>
    <cs:effectRef idx="0"/>
    <cs:fontRef idx="minor">
      <a:schemeClr val="dk1"/>
    </cs:fontRef>
    <cs:spPr bwMode="auto">
      <a:prstGeom prst="rect">
        <a:avLst/>
      </a:prstGeom>
      <a:solidFill>
        <a:schemeClr val="phClr"/>
      </a:solidFill>
    </cs:spPr>
  </cs:dataPointMarker>
  <cs:dataPointMarkerLayout/>
  <cs:dataPointWireframe>
    <cs:lnRef idx="0">
      <cs:styleClr val="auto"/>
    </cs:lnRef>
    <cs:fillRef idx="0"/>
    <cs:effectRef idx="0"/>
    <cs:fontRef idx="minor">
      <a:schemeClr val="dk1"/>
    </cs:fontRef>
    <cs:spPr bwMode="auto">
      <a:prstGeom prst="rect">
        <a:avLst/>
      </a:prstGeom>
      <a:ln w="9525" cap="rnd">
        <a:solidFill>
          <a:schemeClr val="phClr"/>
        </a:solidFill>
        <a:round/>
      </a:ln>
    </cs:spPr>
  </cs:dataPointWireframe>
  <cs:dataTable>
    <cs:lnRef idx="0"/>
    <cs:fillRef idx="0"/>
    <cs:effectRef idx="0"/>
    <cs:fontRef idx="minor">
      <a:schemeClr val="dk1">
        <a:lumMod val="75000"/>
        <a:lumOff val="25000"/>
      </a:schemeClr>
    </cs:fontRef>
    <cs:spPr bwMode="auto">
      <a:prstGeom prst="rect">
        <a:avLst/>
      </a:prstGeom>
      <a:ln w="9525">
        <a:solidFill>
          <a:schemeClr val="dk1">
            <a:lumMod val="35000"/>
            <a:lumOff val="65000"/>
          </a:schemeClr>
        </a:solidFill>
      </a:ln>
    </cs:spPr>
    <cs:defRPr sz="900"/>
  </cs:dataTable>
  <cs:downBar>
    <cs:lnRef idx="0"/>
    <cs:fillRef idx="0"/>
    <cs:effectRef idx="0"/>
    <cs:fontRef idx="minor">
      <a:schemeClr val="dk1"/>
    </cs:fontRef>
    <cs:spPr bwMode="auto">
      <a:prstGeom prst="rect">
        <a:avLst/>
      </a:prstGeom>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bwMode="auto">
      <a:prstGeom prst="rect">
        <a:avLst/>
      </a:prstGeom>
      <a:ln w="9525">
        <a:solidFill>
          <a:schemeClr val="dk1">
            <a:lumMod val="35000"/>
            <a:lumOff val="65000"/>
          </a:schemeClr>
        </a:solidFill>
        <a:prstDash val="dash"/>
      </a:ln>
    </cs:spPr>
  </cs:dropLine>
  <cs:errorBar>
    <cs:lnRef idx="0"/>
    <cs:fillRef idx="0"/>
    <cs:effectRef idx="0"/>
    <cs:fontRef idx="minor">
      <a:schemeClr val="dk1"/>
    </cs:fontRef>
    <cs:spPr bwMode="auto">
      <a:prstGeom prst="rect">
        <a:avLst/>
      </a:prstGeom>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bwMode="auto">
      <a:prstGeom prst="rect">
        <a:avLst/>
      </a:prstGeom>
      <a:ln w="9525" cap="flat" cmpd="sng" algn="ctr">
        <a:gradFill>
          <a:gsLst>
            <a:gs pos="0">
              <a:schemeClr val="lt1">
                <a:lumMod val="75000"/>
                <a:alpha val="36000"/>
              </a:schemeClr>
            </a:gs>
            <a:gs pos="100000">
              <a:schemeClr val="dk1">
                <a:lumMod val="95000"/>
                <a:lumOff val="5000"/>
                <a:alpha val="42000"/>
              </a:schemeClr>
            </a:gs>
          </a:gsLst>
          <a:lin ang="5400000" scaled="0"/>
        </a:gradFill>
        <a:round/>
      </a:ln>
    </cs:spPr>
  </cs:gridlineMajor>
  <cs:gridlineMinor>
    <cs:lnRef idx="0"/>
    <cs:fillRef idx="0"/>
    <cs:effectRef idx="0"/>
    <cs:fontRef idx="minor">
      <a:schemeClr val="dk1"/>
    </cs:fontRef>
    <cs:spPr bwMode="auto">
      <a:prstGeom prst="rect">
        <a:avLst/>
      </a:prstGeom>
      <a:ln>
        <a:gradFill>
          <a:gsLst>
            <a:gs pos="0">
              <a:schemeClr val="lt1">
                <a:lumMod val="75000"/>
                <a:alpha val="36000"/>
              </a:schemeClr>
            </a:gs>
            <a:gs pos="100000">
              <a:schemeClr val="dk1">
                <a:lumMod val="95000"/>
                <a:lumOff val="5000"/>
                <a:alpha val="42000"/>
              </a:schemeClr>
            </a:gs>
          </a:gsLst>
          <a:lin ang="5400000" scaled="0"/>
        </a:gradFill>
      </a:ln>
    </cs:spPr>
  </cs:gridlineMinor>
  <cs:hiLoLine>
    <cs:lnRef idx="0"/>
    <cs:fillRef idx="0"/>
    <cs:effectRef idx="0"/>
    <cs:fontRef idx="minor">
      <a:schemeClr val="dk1"/>
    </cs:fontRef>
    <cs:spPr bwMode="auto">
      <a:prstGeom prst="rect">
        <a:avLst/>
      </a:prstGeom>
      <a:ln w="9525">
        <a:solidFill>
          <a:schemeClr val="dk1">
            <a:lumMod val="35000"/>
            <a:lumOff val="65000"/>
          </a:schemeClr>
        </a:solidFill>
        <a:prstDash val="dash"/>
      </a:ln>
    </cs:spPr>
  </cs:hiLoLine>
  <cs:leaderLine>
    <cs:lnRef idx="0"/>
    <cs:fillRef idx="0"/>
    <cs:effectRef idx="0"/>
    <cs:fontRef idx="minor">
      <a:schemeClr val="dk1"/>
    </cs:fontRef>
    <cs:spPr bwMode="auto">
      <a:prstGeom prst="rect">
        <a:avLst/>
      </a:prstGeom>
      <a:ln w="9525">
        <a:solidFill>
          <a:schemeClr val="dk1">
            <a:lumMod val="50000"/>
            <a:lumOff val="50000"/>
          </a:schemeClr>
        </a:solidFill>
      </a:ln>
    </cs:spPr>
  </cs:leaderLine>
  <cs:legend>
    <cs:lnRef idx="0"/>
    <cs:fillRef idx="0"/>
    <cs:effectRef idx="0"/>
    <cs:fontRef idx="minor">
      <a:schemeClr val="dk1">
        <a:lumMod val="75000"/>
        <a:lumOff val="25000"/>
      </a:schemeClr>
    </cs:fontRef>
    <cs:spPr bwMode="auto">
      <a:prstGeom prst="rect">
        <a:avLst/>
      </a:prstGeom>
      <a:solidFill>
        <a:schemeClr val="lt1">
          <a:lumMod val="95000"/>
          <a:alpha val="39000"/>
        </a:schemeClr>
      </a:solidFill>
    </cs:spPr>
    <cs:defRPr sz="9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bwMode="auto">
      <a:prstGeom prst="rect">
        <a:avLst/>
      </a:prstGeom>
      <a:ln w="31750" cap="flat" cmpd="sng" algn="ctr">
        <a:solidFill>
          <a:schemeClr val="dk1">
            <a:lumMod val="75000"/>
            <a:lumOff val="25000"/>
          </a:schemeClr>
        </a:solidFill>
        <a:round/>
      </a:ln>
    </cs:spPr>
    <cs:defRPr sz="900"/>
  </cs:seriesAxis>
  <cs:seriesLine>
    <cs:lnRef idx="0"/>
    <cs:fillRef idx="0"/>
    <cs:effectRef idx="0"/>
    <cs:fontRef idx="minor">
      <a:schemeClr val="dk1"/>
    </cs:fontRef>
    <cs:spPr bwMode="auto">
      <a:prstGeom prst="rect">
        <a:avLst/>
      </a:prstGeom>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cs:title>
  <cs:trendline>
    <cs:lnRef idx="0">
      <cs:styleClr val="auto"/>
    </cs:lnRef>
    <cs:fillRef idx="0"/>
    <cs:effectRef idx="0"/>
    <cs:fontRef idx="minor">
      <a:schemeClr val="dk1"/>
    </cs:fontRef>
    <cs:spPr bwMode="auto">
      <a:prstGeom prst="rect">
        <a:avLst/>
      </a:prstGeom>
      <a:ln w="19050" cap="rnd">
        <a:solidFill>
          <a:schemeClr val="phClr"/>
        </a:solidFill>
      </a:ln>
    </cs:spPr>
  </cs:trendline>
  <cs:trendlineLabel>
    <cs:lnRef idx="0"/>
    <cs:fillRef idx="0"/>
    <cs:effectRef idx="0"/>
    <cs:fontRef idx="minor">
      <a:schemeClr val="dk1">
        <a:lumMod val="75000"/>
        <a:lumOff val="25000"/>
      </a:schemeClr>
    </cs:fontRef>
    <cs:defRPr sz="900"/>
  </cs:trendlineLabel>
  <cs:upBar>
    <cs:lnRef idx="0"/>
    <cs:fillRef idx="0"/>
    <cs:effectRef idx="0"/>
    <cs:fontRef idx="minor">
      <a:schemeClr val="dk1"/>
    </cs:fontRef>
    <cs:spPr bwMode="auto">
      <a:prstGeom prst="rect">
        <a:avLst/>
      </a:prstGeom>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bwMode="auto">
      <a:prstGeom prst="rect">
        <a:avLst/>
      </a:prstGeom>
      <a:ln>
        <a:noFill/>
      </a:ln>
    </cs:spPr>
    <cs:defRPr sz="9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28">
  <cs:axisTitle>
    <cs:lnRef idx="0"/>
    <cs:fillRef idx="0"/>
    <cs:effectRef idx="0"/>
    <cs:fontRef idx="minor">
      <a:schemeClr val="dk1">
        <a:lumMod val="75000"/>
        <a:lumOff val="25000"/>
      </a:schemeClr>
    </cs:fontRef>
    <cs:defRPr sz="900" b="1"/>
  </cs:axisTitle>
  <cs:categoryAxis>
    <cs:lnRef idx="0"/>
    <cs:fillRef idx="0"/>
    <cs:effectRef idx="0"/>
    <cs:fontRef idx="minor">
      <a:schemeClr val="dk1">
        <a:lumMod val="75000"/>
        <a:lumOff val="25000"/>
      </a:schemeClr>
    </cs:fontRef>
    <cs:spPr bwMode="auto">
      <a:prstGeom prst="rect">
        <a:avLst/>
      </a:prstGeom>
      <a:ln w="19050" cap="flat" cmpd="sng" algn="ctr">
        <a:solidFill>
          <a:schemeClr val="dk1">
            <a:lumMod val="75000"/>
            <a:lumOff val="25000"/>
          </a:schemeClr>
        </a:solidFill>
        <a:round/>
      </a:ln>
    </cs:spPr>
    <cs:defRPr sz="900" cap="all"/>
  </cs:categoryAxis>
  <cs:chartArea>
    <cs:lnRef idx="0"/>
    <cs:fillRef idx="0"/>
    <cs:effectRef idx="0"/>
    <cs:fontRef idx="minor">
      <a:schemeClr val="dk1"/>
    </cs:fontRef>
    <cs:spPr bwMode="auto">
      <a:prstGeom prst="rect">
        <a:avLst/>
      </a:prstGeom>
      <a:gradFill>
        <a:gsLst>
          <a:gs pos="0">
            <a:schemeClr val="lt1"/>
          </a:gs>
          <a:gs pos="39000">
            <a:schemeClr val="lt1"/>
          </a:gs>
          <a:gs pos="100000">
            <a:schemeClr val="lt1">
              <a:lumMod val="75000"/>
            </a:schemeClr>
          </a:gs>
        </a:gsLst>
        <a:path path="circle"/>
      </a:gradFill>
      <a:ln w="9525" cap="flat" cmpd="sng" algn="ctr">
        <a:solidFill>
          <a:schemeClr val="dk1">
            <a:lumMod val="25000"/>
            <a:lumOff val="75000"/>
          </a:schemeClr>
        </a:solidFill>
        <a:round/>
      </a:ln>
    </cs:spPr>
    <cs:defRPr sz="900"/>
  </cs:chartArea>
  <cs:dataLabel>
    <cs:lnRef idx="0"/>
    <cs:fillRef idx="0">
      <cs:styleClr val="auto"/>
    </cs:fillRef>
    <cs:effectRef idx="0"/>
    <cs:fontRef idx="minor">
      <a:schemeClr val="lt1"/>
    </cs:fontRef>
    <cs:defRPr sz="900" b="1" i="0" u="none" strike="noStrike"/>
  </cs:dataLabel>
  <cs:dataLabelCallout>
    <cs:lnRef idx="0"/>
    <cs:fillRef idx="0"/>
    <cs:effectRef idx="0"/>
    <cs:fontRef idx="minor">
      <a:schemeClr val="lt1"/>
    </cs:fontRef>
    <cs:spPr bwMode="auto">
      <a:prstGeom prst="rect">
        <a:avLst/>
      </a:prstGeom>
      <a:solidFill>
        <a:schemeClr val="dk1">
          <a:lumMod val="65000"/>
          <a:lumOff val="35000"/>
          <a:alpha val="75000"/>
        </a:schemeClr>
      </a:solidFill>
    </cs:spPr>
    <cs:defRPr sz="900" b="1"/>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bwMode="auto">
      <a:prstGeom prst="rect">
        <a:avLst/>
      </a:prstGeom>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bwMode="auto">
      <a:prstGeom prst="rect">
        <a:avLst/>
      </a:prstGeom>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bwMode="auto">
      <a:prstGeom prst="rect">
        <a:avLst/>
      </a:prstGeom>
      <a:ln w="31750" cap="rnd">
        <a:solidFill>
          <a:schemeClr val="phClr"/>
        </a:solidFill>
        <a:round/>
      </a:ln>
    </cs:spPr>
  </cs:dataPointLine>
  <cs:dataPointMarker>
    <cs:lnRef idx="0"/>
    <cs:fillRef idx="0">
      <cs:styleClr val="auto"/>
    </cs:fillRef>
    <cs:effectRef idx="0"/>
    <cs:fontRef idx="minor">
      <a:schemeClr val="dk1"/>
    </cs:fontRef>
    <cs:spPr bwMode="auto">
      <a:prstGeom prst="rect">
        <a:avLst/>
      </a:prstGeom>
      <a:solidFill>
        <a:schemeClr val="phClr"/>
      </a:solidFill>
    </cs:spPr>
  </cs:dataPointMarker>
  <cs:dataPointMarkerLayout/>
  <cs:dataPointWireframe>
    <cs:lnRef idx="0">
      <cs:styleClr val="auto"/>
    </cs:lnRef>
    <cs:fillRef idx="0"/>
    <cs:effectRef idx="0"/>
    <cs:fontRef idx="minor">
      <a:schemeClr val="dk1"/>
    </cs:fontRef>
    <cs:spPr bwMode="auto">
      <a:prstGeom prst="rect">
        <a:avLst/>
      </a:prstGeom>
      <a:ln w="9525" cap="rnd">
        <a:solidFill>
          <a:schemeClr val="phClr"/>
        </a:solidFill>
        <a:round/>
      </a:ln>
    </cs:spPr>
  </cs:dataPointWireframe>
  <cs:dataTable>
    <cs:lnRef idx="0"/>
    <cs:fillRef idx="0"/>
    <cs:effectRef idx="0"/>
    <cs:fontRef idx="minor">
      <a:schemeClr val="dk1">
        <a:lumMod val="75000"/>
        <a:lumOff val="25000"/>
      </a:schemeClr>
    </cs:fontRef>
    <cs:spPr bwMode="auto">
      <a:prstGeom prst="rect">
        <a:avLst/>
      </a:prstGeom>
      <a:ln w="9525">
        <a:solidFill>
          <a:schemeClr val="dk1">
            <a:lumMod val="35000"/>
            <a:lumOff val="65000"/>
          </a:schemeClr>
        </a:solidFill>
      </a:ln>
    </cs:spPr>
    <cs:defRPr sz="900"/>
  </cs:dataTable>
  <cs:downBar>
    <cs:lnRef idx="0"/>
    <cs:fillRef idx="0"/>
    <cs:effectRef idx="0"/>
    <cs:fontRef idx="minor">
      <a:schemeClr val="dk1"/>
    </cs:fontRef>
    <cs:spPr bwMode="auto">
      <a:prstGeom prst="rect">
        <a:avLst/>
      </a:prstGeom>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bwMode="auto">
      <a:prstGeom prst="rect">
        <a:avLst/>
      </a:prstGeom>
      <a:ln w="9525">
        <a:solidFill>
          <a:schemeClr val="dk1">
            <a:lumMod val="35000"/>
            <a:lumOff val="65000"/>
          </a:schemeClr>
        </a:solidFill>
        <a:prstDash val="dash"/>
      </a:ln>
    </cs:spPr>
  </cs:dropLine>
  <cs:errorBar>
    <cs:lnRef idx="0"/>
    <cs:fillRef idx="0"/>
    <cs:effectRef idx="0"/>
    <cs:fontRef idx="minor">
      <a:schemeClr val="dk1"/>
    </cs:fontRef>
    <cs:spPr bwMode="auto">
      <a:prstGeom prst="rect">
        <a:avLst/>
      </a:prstGeom>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bwMode="auto">
      <a:prstGeom prst="rect">
        <a:avLst/>
      </a:prstGeom>
      <a:ln w="9525" cap="flat" cmpd="sng" algn="ctr">
        <a:gradFill>
          <a:gsLst>
            <a:gs pos="0">
              <a:schemeClr val="lt1">
                <a:lumMod val="75000"/>
                <a:alpha val="36000"/>
              </a:schemeClr>
            </a:gs>
            <a:gs pos="100000">
              <a:schemeClr val="dk1">
                <a:lumMod val="95000"/>
                <a:lumOff val="5000"/>
                <a:alpha val="42000"/>
              </a:schemeClr>
            </a:gs>
          </a:gsLst>
          <a:lin ang="5400000" scaled="0"/>
        </a:gradFill>
        <a:round/>
      </a:ln>
    </cs:spPr>
  </cs:gridlineMajor>
  <cs:gridlineMinor>
    <cs:lnRef idx="0"/>
    <cs:fillRef idx="0"/>
    <cs:effectRef idx="0"/>
    <cs:fontRef idx="minor">
      <a:schemeClr val="dk1"/>
    </cs:fontRef>
    <cs:spPr bwMode="auto">
      <a:prstGeom prst="rect">
        <a:avLst/>
      </a:prstGeom>
      <a:ln>
        <a:gradFill>
          <a:gsLst>
            <a:gs pos="0">
              <a:schemeClr val="lt1">
                <a:lumMod val="75000"/>
                <a:alpha val="36000"/>
              </a:schemeClr>
            </a:gs>
            <a:gs pos="100000">
              <a:schemeClr val="dk1">
                <a:lumMod val="95000"/>
                <a:lumOff val="5000"/>
                <a:alpha val="42000"/>
              </a:schemeClr>
            </a:gs>
          </a:gsLst>
          <a:lin ang="5400000" scaled="0"/>
        </a:gradFill>
      </a:ln>
    </cs:spPr>
  </cs:gridlineMinor>
  <cs:hiLoLine>
    <cs:lnRef idx="0"/>
    <cs:fillRef idx="0"/>
    <cs:effectRef idx="0"/>
    <cs:fontRef idx="minor">
      <a:schemeClr val="dk1"/>
    </cs:fontRef>
    <cs:spPr bwMode="auto">
      <a:prstGeom prst="rect">
        <a:avLst/>
      </a:prstGeom>
      <a:ln w="9525">
        <a:solidFill>
          <a:schemeClr val="dk1">
            <a:lumMod val="35000"/>
            <a:lumOff val="65000"/>
          </a:schemeClr>
        </a:solidFill>
        <a:prstDash val="dash"/>
      </a:ln>
    </cs:spPr>
  </cs:hiLoLine>
  <cs:leaderLine>
    <cs:lnRef idx="0"/>
    <cs:fillRef idx="0"/>
    <cs:effectRef idx="0"/>
    <cs:fontRef idx="minor">
      <a:schemeClr val="dk1"/>
    </cs:fontRef>
    <cs:spPr bwMode="auto">
      <a:prstGeom prst="rect">
        <a:avLst/>
      </a:prstGeom>
      <a:ln w="9525">
        <a:solidFill>
          <a:schemeClr val="dk1">
            <a:lumMod val="50000"/>
            <a:lumOff val="50000"/>
          </a:schemeClr>
        </a:solidFill>
      </a:ln>
    </cs:spPr>
  </cs:leaderLine>
  <cs:legend>
    <cs:lnRef idx="0"/>
    <cs:fillRef idx="0"/>
    <cs:effectRef idx="0"/>
    <cs:fontRef idx="minor">
      <a:schemeClr val="dk1">
        <a:lumMod val="75000"/>
        <a:lumOff val="25000"/>
      </a:schemeClr>
    </cs:fontRef>
    <cs:spPr bwMode="auto">
      <a:prstGeom prst="rect">
        <a:avLst/>
      </a:prstGeom>
      <a:solidFill>
        <a:schemeClr val="lt1">
          <a:lumMod val="95000"/>
          <a:alpha val="39000"/>
        </a:schemeClr>
      </a:solidFill>
    </cs:spPr>
    <cs:defRPr sz="9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bwMode="auto">
      <a:prstGeom prst="rect">
        <a:avLst/>
      </a:prstGeom>
      <a:ln w="31750" cap="flat" cmpd="sng" algn="ctr">
        <a:solidFill>
          <a:schemeClr val="dk1">
            <a:lumMod val="75000"/>
            <a:lumOff val="25000"/>
          </a:schemeClr>
        </a:solidFill>
        <a:round/>
      </a:ln>
    </cs:spPr>
    <cs:defRPr sz="900"/>
  </cs:seriesAxis>
  <cs:seriesLine>
    <cs:lnRef idx="0"/>
    <cs:fillRef idx="0"/>
    <cs:effectRef idx="0"/>
    <cs:fontRef idx="minor">
      <a:schemeClr val="dk1"/>
    </cs:fontRef>
    <cs:spPr bwMode="auto">
      <a:prstGeom prst="rect">
        <a:avLst/>
      </a:prstGeom>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cs:title>
  <cs:trendline>
    <cs:lnRef idx="0">
      <cs:styleClr val="auto"/>
    </cs:lnRef>
    <cs:fillRef idx="0"/>
    <cs:effectRef idx="0"/>
    <cs:fontRef idx="minor">
      <a:schemeClr val="dk1"/>
    </cs:fontRef>
    <cs:spPr bwMode="auto">
      <a:prstGeom prst="rect">
        <a:avLst/>
      </a:prstGeom>
      <a:ln w="19050" cap="rnd">
        <a:solidFill>
          <a:schemeClr val="phClr"/>
        </a:solidFill>
      </a:ln>
    </cs:spPr>
  </cs:trendline>
  <cs:trendlineLabel>
    <cs:lnRef idx="0"/>
    <cs:fillRef idx="0"/>
    <cs:effectRef idx="0"/>
    <cs:fontRef idx="minor">
      <a:schemeClr val="dk1">
        <a:lumMod val="75000"/>
        <a:lumOff val="25000"/>
      </a:schemeClr>
    </cs:fontRef>
    <cs:defRPr sz="900"/>
  </cs:trendlineLabel>
  <cs:upBar>
    <cs:lnRef idx="0"/>
    <cs:fillRef idx="0"/>
    <cs:effectRef idx="0"/>
    <cs:fontRef idx="minor">
      <a:schemeClr val="dk1"/>
    </cs:fontRef>
    <cs:spPr bwMode="auto">
      <a:prstGeom prst="rect">
        <a:avLst/>
      </a:prstGeom>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bwMode="auto">
      <a:prstGeom prst="rect">
        <a:avLst/>
      </a:prstGeom>
      <a:ln>
        <a:noFill/>
      </a:ln>
    </cs:spPr>
    <cs:defRPr sz="9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28">
  <cs:axisTitle>
    <cs:lnRef idx="0"/>
    <cs:fillRef idx="0"/>
    <cs:effectRef idx="0"/>
    <cs:fontRef idx="minor">
      <a:schemeClr val="dk1">
        <a:lumMod val="75000"/>
        <a:lumOff val="25000"/>
      </a:schemeClr>
    </cs:fontRef>
    <cs:defRPr sz="900" b="1"/>
  </cs:axisTitle>
  <cs:categoryAxis>
    <cs:lnRef idx="0"/>
    <cs:fillRef idx="0"/>
    <cs:effectRef idx="0"/>
    <cs:fontRef idx="minor">
      <a:schemeClr val="dk1">
        <a:lumMod val="75000"/>
        <a:lumOff val="25000"/>
      </a:schemeClr>
    </cs:fontRef>
    <cs:spPr bwMode="auto">
      <a:prstGeom prst="rect">
        <a:avLst/>
      </a:prstGeom>
      <a:ln w="19050" cap="flat" cmpd="sng" algn="ctr">
        <a:solidFill>
          <a:schemeClr val="dk1">
            <a:lumMod val="75000"/>
            <a:lumOff val="25000"/>
          </a:schemeClr>
        </a:solidFill>
        <a:round/>
      </a:ln>
    </cs:spPr>
    <cs:defRPr sz="900" cap="all"/>
  </cs:categoryAxis>
  <cs:chartArea>
    <cs:lnRef idx="0"/>
    <cs:fillRef idx="0"/>
    <cs:effectRef idx="0"/>
    <cs:fontRef idx="minor">
      <a:schemeClr val="dk1"/>
    </cs:fontRef>
    <cs:spPr bwMode="auto">
      <a:prstGeom prst="rect">
        <a:avLst/>
      </a:prstGeom>
      <a:gradFill>
        <a:gsLst>
          <a:gs pos="0">
            <a:schemeClr val="lt1"/>
          </a:gs>
          <a:gs pos="39000">
            <a:schemeClr val="lt1"/>
          </a:gs>
          <a:gs pos="100000">
            <a:schemeClr val="lt1">
              <a:lumMod val="75000"/>
            </a:schemeClr>
          </a:gs>
        </a:gsLst>
        <a:path path="circle"/>
      </a:gradFill>
      <a:ln w="9525" cap="flat" cmpd="sng" algn="ctr">
        <a:solidFill>
          <a:schemeClr val="dk1">
            <a:lumMod val="25000"/>
            <a:lumOff val="75000"/>
          </a:schemeClr>
        </a:solidFill>
        <a:round/>
      </a:ln>
    </cs:spPr>
    <cs:defRPr sz="900"/>
  </cs:chartArea>
  <cs:dataLabel>
    <cs:lnRef idx="0"/>
    <cs:fillRef idx="0">
      <cs:styleClr val="auto"/>
    </cs:fillRef>
    <cs:effectRef idx="0"/>
    <cs:fontRef idx="minor">
      <a:schemeClr val="lt1"/>
    </cs:fontRef>
    <cs:defRPr sz="900" b="1" i="0" u="none" strike="noStrike"/>
  </cs:dataLabel>
  <cs:dataLabelCallout>
    <cs:lnRef idx="0"/>
    <cs:fillRef idx="0"/>
    <cs:effectRef idx="0"/>
    <cs:fontRef idx="minor">
      <a:schemeClr val="lt1"/>
    </cs:fontRef>
    <cs:spPr bwMode="auto">
      <a:prstGeom prst="rect">
        <a:avLst/>
      </a:prstGeom>
      <a:solidFill>
        <a:schemeClr val="dk1">
          <a:lumMod val="65000"/>
          <a:lumOff val="35000"/>
          <a:alpha val="75000"/>
        </a:schemeClr>
      </a:solidFill>
    </cs:spPr>
    <cs:defRPr sz="900" b="1"/>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bwMode="auto">
      <a:prstGeom prst="rect">
        <a:avLst/>
      </a:prstGeom>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bwMode="auto">
      <a:prstGeom prst="rect">
        <a:avLst/>
      </a:prstGeom>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bwMode="auto">
      <a:prstGeom prst="rect">
        <a:avLst/>
      </a:prstGeom>
      <a:ln w="31750" cap="rnd">
        <a:solidFill>
          <a:schemeClr val="phClr"/>
        </a:solidFill>
        <a:round/>
      </a:ln>
    </cs:spPr>
  </cs:dataPointLine>
  <cs:dataPointMarker>
    <cs:lnRef idx="0"/>
    <cs:fillRef idx="0">
      <cs:styleClr val="auto"/>
    </cs:fillRef>
    <cs:effectRef idx="0"/>
    <cs:fontRef idx="minor">
      <a:schemeClr val="dk1"/>
    </cs:fontRef>
    <cs:spPr bwMode="auto">
      <a:prstGeom prst="rect">
        <a:avLst/>
      </a:prstGeom>
      <a:solidFill>
        <a:schemeClr val="phClr"/>
      </a:solidFill>
    </cs:spPr>
  </cs:dataPointMarker>
  <cs:dataPointMarkerLayout/>
  <cs:dataPointWireframe>
    <cs:lnRef idx="0">
      <cs:styleClr val="auto"/>
    </cs:lnRef>
    <cs:fillRef idx="0"/>
    <cs:effectRef idx="0"/>
    <cs:fontRef idx="minor">
      <a:schemeClr val="dk1"/>
    </cs:fontRef>
    <cs:spPr bwMode="auto">
      <a:prstGeom prst="rect">
        <a:avLst/>
      </a:prstGeom>
      <a:ln w="9525" cap="rnd">
        <a:solidFill>
          <a:schemeClr val="phClr"/>
        </a:solidFill>
        <a:round/>
      </a:ln>
    </cs:spPr>
  </cs:dataPointWireframe>
  <cs:dataTable>
    <cs:lnRef idx="0"/>
    <cs:fillRef idx="0"/>
    <cs:effectRef idx="0"/>
    <cs:fontRef idx="minor">
      <a:schemeClr val="dk1">
        <a:lumMod val="75000"/>
        <a:lumOff val="25000"/>
      </a:schemeClr>
    </cs:fontRef>
    <cs:spPr bwMode="auto">
      <a:prstGeom prst="rect">
        <a:avLst/>
      </a:prstGeom>
      <a:ln w="9525">
        <a:solidFill>
          <a:schemeClr val="dk1">
            <a:lumMod val="35000"/>
            <a:lumOff val="65000"/>
          </a:schemeClr>
        </a:solidFill>
      </a:ln>
    </cs:spPr>
    <cs:defRPr sz="900"/>
  </cs:dataTable>
  <cs:downBar>
    <cs:lnRef idx="0"/>
    <cs:fillRef idx="0"/>
    <cs:effectRef idx="0"/>
    <cs:fontRef idx="minor">
      <a:schemeClr val="dk1"/>
    </cs:fontRef>
    <cs:spPr bwMode="auto">
      <a:prstGeom prst="rect">
        <a:avLst/>
      </a:prstGeom>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bwMode="auto">
      <a:prstGeom prst="rect">
        <a:avLst/>
      </a:prstGeom>
      <a:ln w="9525">
        <a:solidFill>
          <a:schemeClr val="dk1">
            <a:lumMod val="35000"/>
            <a:lumOff val="65000"/>
          </a:schemeClr>
        </a:solidFill>
        <a:prstDash val="dash"/>
      </a:ln>
    </cs:spPr>
  </cs:dropLine>
  <cs:errorBar>
    <cs:lnRef idx="0"/>
    <cs:fillRef idx="0"/>
    <cs:effectRef idx="0"/>
    <cs:fontRef idx="minor">
      <a:schemeClr val="dk1"/>
    </cs:fontRef>
    <cs:spPr bwMode="auto">
      <a:prstGeom prst="rect">
        <a:avLst/>
      </a:prstGeom>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bwMode="auto">
      <a:prstGeom prst="rect">
        <a:avLst/>
      </a:prstGeom>
      <a:ln w="9525" cap="flat" cmpd="sng" algn="ctr">
        <a:gradFill>
          <a:gsLst>
            <a:gs pos="0">
              <a:schemeClr val="lt1">
                <a:lumMod val="75000"/>
                <a:alpha val="36000"/>
              </a:schemeClr>
            </a:gs>
            <a:gs pos="100000">
              <a:schemeClr val="dk1">
                <a:lumMod val="95000"/>
                <a:lumOff val="5000"/>
                <a:alpha val="42000"/>
              </a:schemeClr>
            </a:gs>
          </a:gsLst>
          <a:lin ang="5400000" scaled="0"/>
        </a:gradFill>
        <a:round/>
      </a:ln>
    </cs:spPr>
  </cs:gridlineMajor>
  <cs:gridlineMinor>
    <cs:lnRef idx="0"/>
    <cs:fillRef idx="0"/>
    <cs:effectRef idx="0"/>
    <cs:fontRef idx="minor">
      <a:schemeClr val="dk1"/>
    </cs:fontRef>
    <cs:spPr bwMode="auto">
      <a:prstGeom prst="rect">
        <a:avLst/>
      </a:prstGeom>
      <a:ln>
        <a:gradFill>
          <a:gsLst>
            <a:gs pos="0">
              <a:schemeClr val="lt1">
                <a:lumMod val="75000"/>
                <a:alpha val="36000"/>
              </a:schemeClr>
            </a:gs>
            <a:gs pos="100000">
              <a:schemeClr val="dk1">
                <a:lumMod val="95000"/>
                <a:lumOff val="5000"/>
                <a:alpha val="42000"/>
              </a:schemeClr>
            </a:gs>
          </a:gsLst>
          <a:lin ang="5400000" scaled="0"/>
        </a:gradFill>
      </a:ln>
    </cs:spPr>
  </cs:gridlineMinor>
  <cs:hiLoLine>
    <cs:lnRef idx="0"/>
    <cs:fillRef idx="0"/>
    <cs:effectRef idx="0"/>
    <cs:fontRef idx="minor">
      <a:schemeClr val="dk1"/>
    </cs:fontRef>
    <cs:spPr bwMode="auto">
      <a:prstGeom prst="rect">
        <a:avLst/>
      </a:prstGeom>
      <a:ln w="9525">
        <a:solidFill>
          <a:schemeClr val="dk1">
            <a:lumMod val="35000"/>
            <a:lumOff val="65000"/>
          </a:schemeClr>
        </a:solidFill>
        <a:prstDash val="dash"/>
      </a:ln>
    </cs:spPr>
  </cs:hiLoLine>
  <cs:leaderLine>
    <cs:lnRef idx="0"/>
    <cs:fillRef idx="0"/>
    <cs:effectRef idx="0"/>
    <cs:fontRef idx="minor">
      <a:schemeClr val="dk1"/>
    </cs:fontRef>
    <cs:spPr bwMode="auto">
      <a:prstGeom prst="rect">
        <a:avLst/>
      </a:prstGeom>
      <a:ln w="9525">
        <a:solidFill>
          <a:schemeClr val="dk1">
            <a:lumMod val="50000"/>
            <a:lumOff val="50000"/>
          </a:schemeClr>
        </a:solidFill>
      </a:ln>
    </cs:spPr>
  </cs:leaderLine>
  <cs:legend>
    <cs:lnRef idx="0"/>
    <cs:fillRef idx="0"/>
    <cs:effectRef idx="0"/>
    <cs:fontRef idx="minor">
      <a:schemeClr val="dk1">
        <a:lumMod val="75000"/>
        <a:lumOff val="25000"/>
      </a:schemeClr>
    </cs:fontRef>
    <cs:spPr bwMode="auto">
      <a:prstGeom prst="rect">
        <a:avLst/>
      </a:prstGeom>
      <a:solidFill>
        <a:schemeClr val="lt1">
          <a:lumMod val="95000"/>
          <a:alpha val="39000"/>
        </a:schemeClr>
      </a:solidFill>
    </cs:spPr>
    <cs:defRPr sz="9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bwMode="auto">
      <a:prstGeom prst="rect">
        <a:avLst/>
      </a:prstGeom>
      <a:ln w="31750" cap="flat" cmpd="sng" algn="ctr">
        <a:solidFill>
          <a:schemeClr val="dk1">
            <a:lumMod val="75000"/>
            <a:lumOff val="25000"/>
          </a:schemeClr>
        </a:solidFill>
        <a:round/>
      </a:ln>
    </cs:spPr>
    <cs:defRPr sz="900"/>
  </cs:seriesAxis>
  <cs:seriesLine>
    <cs:lnRef idx="0"/>
    <cs:fillRef idx="0"/>
    <cs:effectRef idx="0"/>
    <cs:fontRef idx="minor">
      <a:schemeClr val="dk1"/>
    </cs:fontRef>
    <cs:spPr bwMode="auto">
      <a:prstGeom prst="rect">
        <a:avLst/>
      </a:prstGeom>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cs:title>
  <cs:trendline>
    <cs:lnRef idx="0">
      <cs:styleClr val="auto"/>
    </cs:lnRef>
    <cs:fillRef idx="0"/>
    <cs:effectRef idx="0"/>
    <cs:fontRef idx="minor">
      <a:schemeClr val="dk1"/>
    </cs:fontRef>
    <cs:spPr bwMode="auto">
      <a:prstGeom prst="rect">
        <a:avLst/>
      </a:prstGeom>
      <a:ln w="19050" cap="rnd">
        <a:solidFill>
          <a:schemeClr val="phClr"/>
        </a:solidFill>
      </a:ln>
    </cs:spPr>
  </cs:trendline>
  <cs:trendlineLabel>
    <cs:lnRef idx="0"/>
    <cs:fillRef idx="0"/>
    <cs:effectRef idx="0"/>
    <cs:fontRef idx="minor">
      <a:schemeClr val="dk1">
        <a:lumMod val="75000"/>
        <a:lumOff val="25000"/>
      </a:schemeClr>
    </cs:fontRef>
    <cs:defRPr sz="900"/>
  </cs:trendlineLabel>
  <cs:upBar>
    <cs:lnRef idx="0"/>
    <cs:fillRef idx="0"/>
    <cs:effectRef idx="0"/>
    <cs:fontRef idx="minor">
      <a:schemeClr val="dk1"/>
    </cs:fontRef>
    <cs:spPr bwMode="auto">
      <a:prstGeom prst="rect">
        <a:avLst/>
      </a:prstGeom>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bwMode="auto">
      <a:prstGeom prst="rect">
        <a:avLst/>
      </a:prstGeom>
      <a:ln>
        <a:noFill/>
      </a:ln>
    </cs:spPr>
    <cs:defRPr sz="9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Arial"/>
        <a:cs typeface="Arial"/>
      </a:majorFont>
      <a:minorFont>
        <a:latin typeface="Calibri"/>
        <a:ea typeface="Arial"/>
        <a:cs typeface="Arial"/>
      </a:minorFont>
    </a:fontScheme>
    <a:fmtScheme name="Стандартная">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gradFill>
        <a:gradFill>
          <a:gsLst>
            <a:gs pos="0">
              <a:schemeClr val="phClr">
                <a:tint val="80000"/>
                <a:satMod val="300000"/>
              </a:schemeClr>
            </a:gs>
            <a:gs pos="100000">
              <a:schemeClr val="phClr">
                <a:shade val="30000"/>
                <a:satMod val="200000"/>
              </a:schemeClr>
            </a:gs>
          </a:gsLst>
          <a:path path="circle"/>
        </a:gradFill>
      </a:bgFillStyleLst>
    </a:fmtScheme>
  </a:themeElements>
  <a:objectDefaults/>
  <a:extraClrSchemeLst/>
</a:theme>
</file>

<file path=word/theme/themeOverride1.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a:ea typeface="Arial"/>
      <a:cs typeface="Arial"/>
    </a:majorFont>
    <a:minorFont>
      <a:latin typeface="Calibri"/>
      <a:ea typeface="Arial"/>
      <a:cs typeface="Arial"/>
    </a:minorFont>
  </a:fontScheme>
  <a:fmtScheme name="Офіс">
    <a:fillStyleLst>
      <a:solidFill>
        <a:schemeClr val="phClr"/>
      </a:solidFill>
      <a:gradFill>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a:ea typeface="Arial"/>
      <a:cs typeface="Arial"/>
    </a:majorFont>
    <a:minorFont>
      <a:latin typeface="Calibri"/>
      <a:ea typeface="Arial"/>
      <a:cs typeface="Arial"/>
    </a:minorFont>
  </a:fontScheme>
  <a:fmtScheme name="Офіс">
    <a:fillStyleLst>
      <a:solidFill>
        <a:schemeClr val="phClr"/>
      </a:solidFill>
      <a:gradFill>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a:ea typeface="Arial"/>
      <a:cs typeface="Arial"/>
    </a:majorFont>
    <a:minorFont>
      <a:latin typeface="Calibri"/>
      <a:ea typeface="Arial"/>
      <a:cs typeface="Arial"/>
    </a:minorFont>
  </a:fontScheme>
  <a:fmtScheme name="Офіс">
    <a:fillStyleLst>
      <a:solidFill>
        <a:schemeClr val="phClr"/>
      </a:solidFill>
      <a:gradFill>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a:ea typeface="Arial"/>
      <a:cs typeface="Arial"/>
    </a:majorFont>
    <a:minorFont>
      <a:latin typeface="Calibri"/>
      <a:ea typeface="Arial"/>
      <a:cs typeface="Arial"/>
    </a:minorFont>
  </a:fontScheme>
  <a:fmtScheme name="Офіс">
    <a:fillStyleLst>
      <a:solidFill>
        <a:schemeClr val="phClr"/>
      </a:solidFill>
      <a:gradFill>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a:ea typeface="Arial"/>
      <a:cs typeface="Arial"/>
    </a:majorFont>
    <a:minorFont>
      <a:latin typeface="Calibri"/>
      <a:ea typeface="Arial"/>
      <a:cs typeface="Arial"/>
    </a:minorFont>
  </a:fontScheme>
  <a:fmtScheme name="Офіс">
    <a:fillStyleLst>
      <a:solidFill>
        <a:schemeClr val="phClr"/>
      </a:solidFill>
      <a:gradFill>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a:ea typeface="Arial"/>
      <a:cs typeface="Arial"/>
    </a:majorFont>
    <a:minorFont>
      <a:latin typeface="Calibri"/>
      <a:ea typeface="Arial"/>
      <a:cs typeface="Arial"/>
    </a:minorFont>
  </a:fontScheme>
  <a:fmtScheme name="Офіс">
    <a:fillStyleLst>
      <a:solidFill>
        <a:schemeClr val="phClr"/>
      </a:solidFill>
      <a:gradFill>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a:ea typeface="Arial"/>
      <a:cs typeface="Arial"/>
    </a:majorFont>
    <a:minorFont>
      <a:latin typeface="Calibri"/>
      <a:ea typeface="Arial"/>
      <a:cs typeface="Arial"/>
    </a:minorFont>
  </a:fontScheme>
  <a:fmtScheme name="Офіс">
    <a:fillStyleLst>
      <a:solidFill>
        <a:schemeClr val="phClr"/>
      </a:solidFill>
      <a:gradFill>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a:ea typeface="Arial"/>
      <a:cs typeface="Arial"/>
    </a:majorFont>
    <a:minorFont>
      <a:latin typeface="Calibri"/>
      <a:ea typeface="Arial"/>
      <a:cs typeface="Arial"/>
    </a:minorFont>
  </a:fontScheme>
  <a:fmtScheme name="Офіс">
    <a:fillStyleLst>
      <a:solidFill>
        <a:schemeClr val="phClr"/>
      </a:solidFill>
      <a:gradFill>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a:ea typeface="Arial"/>
      <a:cs typeface="Arial"/>
    </a:majorFont>
    <a:minorFont>
      <a:latin typeface="Calibri"/>
      <a:ea typeface="Arial"/>
      <a:cs typeface="Arial"/>
    </a:minorFont>
  </a:fontScheme>
  <a:fmtScheme name="Офіс">
    <a:fillStyleLst>
      <a:solidFill>
        <a:schemeClr val="phClr"/>
      </a:solidFill>
      <a:gradFill>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a:ea typeface="Arial"/>
      <a:cs typeface="Arial"/>
    </a:majorFont>
    <a:minorFont>
      <a:latin typeface="Calibri"/>
      <a:ea typeface="Arial"/>
      <a:cs typeface="Arial"/>
    </a:minorFont>
  </a:fontScheme>
  <a:fmtScheme name="Офіс">
    <a:fillStyleLst>
      <a:solidFill>
        <a:schemeClr val="phClr"/>
      </a:solidFill>
      <a:gradFill>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a:ea typeface="Arial"/>
      <a:cs typeface="Arial"/>
    </a:majorFont>
    <a:minorFont>
      <a:latin typeface="Calibri"/>
      <a:ea typeface="Arial"/>
      <a:cs typeface="Arial"/>
    </a:minorFont>
  </a:fontScheme>
  <a:fmtScheme name="Офіс">
    <a:fillStyleLst>
      <a:solidFill>
        <a:schemeClr val="phClr"/>
      </a:solidFill>
      <a:gradFill>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75a0c8a7-fc69-4d5c-a47a-78898665c738" xsi:nil="true"/>
  </documentManagement>
</p:properties>
</file>

<file path=customXml/item3.xml><?xml version="1.0" encoding="utf-8"?>
<ct:contentTypeSchema xmlns:ct="http://schemas.microsoft.com/office/2006/metadata/contentType" xmlns:ma="http://schemas.microsoft.com/office/2006/metadata/properties/metaAttributes" ct:_="" ma:_="" ma:contentTypeName="Документ" ma:contentTypeID="0x01010067EDF1E5197B5E41BF7D5F14A7663C21" ma:contentTypeVersion="16" ma:contentTypeDescription="Создание документа." ma:contentTypeScope="" ma:versionID="ab1fa7de93412395dd3ff95e7101e9f5">
  <xsd:schema xmlns:xsd="http://www.w3.org/2001/XMLSchema" xmlns:xs="http://www.w3.org/2001/XMLSchema" xmlns:p="http://schemas.microsoft.com/office/2006/metadata/properties" xmlns:ns3="75a0c8a7-fc69-4d5c-a47a-78898665c738" xmlns:ns4="e4fab1dd-03fa-4b8b-a663-4f24aa6e222b" targetNamespace="http://schemas.microsoft.com/office/2006/metadata/properties" ma:root="true" ma:fieldsID="1f5adde95e4f895f2ede8969b50002a7" ns3:_="" ns4:_="">
    <xsd:import namespace="75a0c8a7-fc69-4d5c-a47a-78898665c738"/>
    <xsd:import namespace="e4fab1dd-03fa-4b8b-a663-4f24aa6e222b"/>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OCR" minOccurs="0"/>
                <xsd:element ref="ns3:MediaServiceDateTaken" minOccurs="0"/>
                <xsd:element ref="ns3:MediaLengthInSeconds" minOccurs="0"/>
                <xsd:element ref="ns3:MediaServiceLocation" minOccurs="0"/>
                <xsd:element ref="ns3:_activity" minOccurs="0"/>
                <xsd:element ref="ns3:MediaServiceObjectDetectorVersions" minOccurs="0"/>
                <xsd:element ref="ns3:MediaServiceSystemTags" minOccurs="0"/>
                <xsd:element ref="ns4:SharedWithUsers" minOccurs="0"/>
                <xsd:element ref="ns4:SharedWithDetails" minOccurs="0"/>
                <xsd:element ref="ns4:SharingHintHash"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5a0c8a7-fc69-4d5c-a47a-78898665c73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Location" ma:index="16" nillable="true" ma:displayName="Location" ma:internalName="MediaServiceLocation" ma:readOnly="true">
      <xsd:simpleType>
        <xsd:restriction base="dms:Text"/>
      </xsd:simpleType>
    </xsd:element>
    <xsd:element name="_activity" ma:index="17" nillable="true" ma:displayName="_activity" ma:hidden="true" ma:internalName="_activity">
      <xsd:simpleType>
        <xsd:restriction base="dms:Note"/>
      </xsd:simpleType>
    </xsd:element>
    <xsd:element name="MediaServiceObjectDetectorVersions" ma:index="18" nillable="true" ma:displayName="MediaServiceObjectDetectorVersions" ma:description="" ma:hidden="true" ma:indexed="true" ma:internalName="MediaServiceObjectDetectorVersions" ma:readOnly="true">
      <xsd:simpleType>
        <xsd:restriction base="dms:Text"/>
      </xsd:simpleType>
    </xsd:element>
    <xsd:element name="MediaServiceSystemTags" ma:index="19" nillable="true" ma:displayName="MediaServiceSystemTags" ma:hidden="true" ma:internalName="MediaServiceSystemTags" ma:readOnly="true">
      <xsd:simpleType>
        <xsd:restriction base="dms:Note"/>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4fab1dd-03fa-4b8b-a663-4f24aa6e222b" elementFormDefault="qualified">
    <xsd:import namespace="http://schemas.microsoft.com/office/2006/documentManagement/types"/>
    <xsd:import namespace="http://schemas.microsoft.com/office/infopath/2007/PartnerControls"/>
    <xsd:element name="SharedWithUsers" ma:index="20" nillable="true" ma:displayName="Общий доступ с использованием"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Совместно с подробностями" ma:internalName="SharedWithDetails" ma:readOnly="true">
      <xsd:simpleType>
        <xsd:restriction base="dms:Note">
          <xsd:maxLength value="255"/>
        </xsd:restriction>
      </xsd:simpleType>
    </xsd:element>
    <xsd:element name="SharingHintHash" ma:index="22" nillable="true" ma:displayName="Хэш подсказки о совместном доступе"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Тип контента"/>
        <xsd:element ref="dc:title" minOccurs="0" maxOccurs="1" ma:index="4" ma:displayName="Название"/>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This value indicates the number of saves or revisions. The application is responsible for updating this value after each revision.</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2F958C-05AF-43E0-AF24-2F81E74E593A}">
  <ds:schemaRefs>
    <ds:schemaRef ds:uri="http://schemas.microsoft.com/sharepoint/v3/contenttype/forms"/>
  </ds:schemaRefs>
</ds:datastoreItem>
</file>

<file path=customXml/itemProps2.xml><?xml version="1.0" encoding="utf-8"?>
<ds:datastoreItem xmlns:ds="http://schemas.openxmlformats.org/officeDocument/2006/customXml" ds:itemID="{2553F21B-8EB9-47D0-8701-83E972FDBEE4}">
  <ds:schemaRefs>
    <ds:schemaRef ds:uri="http://purl.org/dc/elements/1.1/"/>
    <ds:schemaRef ds:uri="http://purl.org/dc/dcmitype/"/>
    <ds:schemaRef ds:uri="http://schemas.microsoft.com/office/infopath/2007/PartnerControls"/>
    <ds:schemaRef ds:uri="http://schemas.microsoft.com/office/2006/metadata/properties"/>
    <ds:schemaRef ds:uri="75a0c8a7-fc69-4d5c-a47a-78898665c738"/>
    <ds:schemaRef ds:uri="http://schemas.microsoft.com/office/2006/documentManagement/types"/>
    <ds:schemaRef ds:uri="http://www.w3.org/XML/1998/namespace"/>
    <ds:schemaRef ds:uri="http://schemas.openxmlformats.org/package/2006/metadata/core-properties"/>
    <ds:schemaRef ds:uri="e4fab1dd-03fa-4b8b-a663-4f24aa6e222b"/>
    <ds:schemaRef ds:uri="http://purl.org/dc/terms/"/>
  </ds:schemaRefs>
</ds:datastoreItem>
</file>

<file path=customXml/itemProps3.xml><?xml version="1.0" encoding="utf-8"?>
<ds:datastoreItem xmlns:ds="http://schemas.openxmlformats.org/officeDocument/2006/customXml" ds:itemID="{484E419E-654B-4858-905B-4F1B20D97E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5a0c8a7-fc69-4d5c-a47a-78898665c738"/>
    <ds:schemaRef ds:uri="e4fab1dd-03fa-4b8b-a663-4f24aa6e222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 ds:uri="http://www.w3.org/2001/XMLSchema-instance"/>
  </ds:schemaRefs>
</ds:datastoreItem>
</file>

<file path=customXml/itemProps4.xml><?xml version="1.0" encoding="utf-8"?>
<ds:datastoreItem xmlns:ds="http://schemas.openxmlformats.org/officeDocument/2006/customXml" ds:itemID="{3A1A6C3A-E79D-4EBD-93E4-B34B8F8BB2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108</TotalTime>
  <Pages>95</Pages>
  <Words>108380</Words>
  <Characters>61777</Characters>
  <Application>Microsoft Office Word</Application>
  <DocSecurity>0</DocSecurity>
  <Lines>514</Lines>
  <Paragraphs>339</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169818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Натали</dc:creator>
  <cp:lastModifiedBy>Князькова Валентина Яківна</cp:lastModifiedBy>
  <cp:revision>21</cp:revision>
  <dcterms:created xsi:type="dcterms:W3CDTF">2025-09-26T12:59:00Z</dcterms:created>
  <dcterms:modified xsi:type="dcterms:W3CDTF">2025-12-11T10:11:00Z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0x01010067EDF1E5197B5E41BF7D5F14A7663C21</vt:lpwstr>
  </property>
</Properties>
</file>