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48A36F" w14:textId="77777777" w:rsidR="007F162F" w:rsidRPr="007F162F" w:rsidRDefault="007F162F" w:rsidP="007F162F">
      <w:pPr>
        <w:widowControl w:val="0"/>
        <w:snapToGrid w:val="0"/>
        <w:spacing w:after="0" w:line="240" w:lineRule="auto"/>
        <w:jc w:val="center"/>
        <w:rPr>
          <w:rFonts w:ascii="Times New Roman" w:eastAsia="Arial Unicode MS" w:hAnsi="Times New Roman" w:cs="Times New Roman"/>
          <w:b/>
          <w:caps/>
          <w:sz w:val="28"/>
          <w:szCs w:val="28"/>
          <w:lang w:eastAsia="uk-UA" w:bidi="uk-UA"/>
        </w:rPr>
      </w:pPr>
      <w:r w:rsidRPr="007F162F">
        <w:rPr>
          <w:rFonts w:ascii="Times New Roman" w:eastAsia="Arial Unicode MS" w:hAnsi="Times New Roman" w:cs="Times New Roman"/>
          <w:b/>
          <w:caps/>
          <w:sz w:val="28"/>
          <w:szCs w:val="28"/>
          <w:lang w:eastAsia="uk-UA" w:bidi="uk-UA"/>
        </w:rPr>
        <w:t xml:space="preserve">Міністерство ОХОРОНИ ЗДОРОВ’Я України  </w:t>
      </w:r>
    </w:p>
    <w:p w14:paraId="35B29531" w14:textId="77777777" w:rsidR="007F162F" w:rsidRPr="007F162F" w:rsidRDefault="007F162F" w:rsidP="007F162F">
      <w:pPr>
        <w:widowControl w:val="0"/>
        <w:snapToGrid w:val="0"/>
        <w:spacing w:after="0" w:line="240" w:lineRule="auto"/>
        <w:jc w:val="center"/>
        <w:rPr>
          <w:rFonts w:ascii="Times New Roman" w:eastAsia="Arial Unicode MS" w:hAnsi="Times New Roman" w:cs="Times New Roman"/>
          <w:b/>
          <w:sz w:val="28"/>
          <w:szCs w:val="28"/>
          <w:lang w:eastAsia="uk-UA" w:bidi="uk-UA"/>
        </w:rPr>
      </w:pPr>
    </w:p>
    <w:p w14:paraId="1F1257AA" w14:textId="77777777" w:rsidR="007F162F" w:rsidRPr="007F162F" w:rsidRDefault="007F162F" w:rsidP="007F162F">
      <w:pPr>
        <w:widowControl w:val="0"/>
        <w:snapToGrid w:val="0"/>
        <w:spacing w:after="0" w:line="240" w:lineRule="auto"/>
        <w:jc w:val="center"/>
        <w:rPr>
          <w:rFonts w:ascii="Times New Roman" w:eastAsia="Arial Unicode MS" w:hAnsi="Times New Roman" w:cs="Times New Roman"/>
          <w:b/>
          <w:caps/>
          <w:sz w:val="28"/>
          <w:szCs w:val="28"/>
          <w:lang w:eastAsia="uk-UA" w:bidi="uk-UA"/>
        </w:rPr>
      </w:pPr>
      <w:r w:rsidRPr="007F162F">
        <w:rPr>
          <w:rFonts w:ascii="Times New Roman" w:eastAsia="Arial Unicode MS" w:hAnsi="Times New Roman" w:cs="Times New Roman"/>
          <w:b/>
          <w:sz w:val="28"/>
          <w:szCs w:val="28"/>
          <w:lang w:eastAsia="uk-UA" w:bidi="uk-UA"/>
        </w:rPr>
        <w:t xml:space="preserve">ОДЕСЬКИЙ НАЦІОНАЛЬНИЙ МЕДИЧНИЙ </w:t>
      </w:r>
      <w:r w:rsidRPr="007F162F">
        <w:rPr>
          <w:rFonts w:ascii="Times New Roman" w:eastAsia="Arial Unicode MS" w:hAnsi="Times New Roman" w:cs="Times New Roman"/>
          <w:b/>
          <w:caps/>
          <w:sz w:val="28"/>
          <w:szCs w:val="28"/>
          <w:lang w:eastAsia="uk-UA" w:bidi="uk-UA"/>
        </w:rPr>
        <w:t>УНІВЕРСИТЕТ</w:t>
      </w:r>
    </w:p>
    <w:p w14:paraId="1DB9C696" w14:textId="77777777" w:rsidR="007F162F" w:rsidRPr="007F162F" w:rsidRDefault="007F162F" w:rsidP="007F162F">
      <w:pPr>
        <w:widowControl w:val="0"/>
        <w:snapToGrid w:val="0"/>
        <w:spacing w:after="0" w:line="360" w:lineRule="auto"/>
        <w:jc w:val="center"/>
        <w:rPr>
          <w:rFonts w:ascii="Times New Roman" w:eastAsia="Arial Unicode MS" w:hAnsi="Times New Roman" w:cs="Times New Roman"/>
          <w:b/>
          <w:sz w:val="28"/>
          <w:szCs w:val="28"/>
          <w:lang w:eastAsia="uk-UA" w:bidi="uk-UA"/>
        </w:rPr>
      </w:pPr>
    </w:p>
    <w:p w14:paraId="7B043A50" w14:textId="77777777" w:rsidR="007F162F" w:rsidRPr="007F162F" w:rsidRDefault="007F162F" w:rsidP="007F162F">
      <w:pPr>
        <w:widowControl w:val="0"/>
        <w:snapToGrid w:val="0"/>
        <w:spacing w:after="0" w:line="360" w:lineRule="auto"/>
        <w:jc w:val="center"/>
        <w:rPr>
          <w:rFonts w:ascii="Times New Roman" w:eastAsia="Arial Unicode MS" w:hAnsi="Times New Roman" w:cs="Times New Roman"/>
          <w:b/>
          <w:sz w:val="28"/>
          <w:szCs w:val="28"/>
          <w:lang w:eastAsia="uk-UA" w:bidi="uk-UA"/>
        </w:rPr>
      </w:pPr>
      <w:r w:rsidRPr="007F162F">
        <w:rPr>
          <w:rFonts w:ascii="Times New Roman" w:eastAsia="Arial Unicode MS" w:hAnsi="Times New Roman" w:cs="Times New Roman"/>
          <w:b/>
          <w:sz w:val="28"/>
          <w:szCs w:val="28"/>
          <w:lang w:eastAsia="uk-UA" w:bidi="uk-UA"/>
        </w:rPr>
        <w:t>Медико-фармацевтичний факультет</w:t>
      </w:r>
    </w:p>
    <w:p w14:paraId="6C3DF663" w14:textId="77777777" w:rsidR="007F162F" w:rsidRPr="007F162F" w:rsidRDefault="007F162F" w:rsidP="007F162F">
      <w:pPr>
        <w:widowControl w:val="0"/>
        <w:snapToGrid w:val="0"/>
        <w:spacing w:after="0" w:line="360" w:lineRule="auto"/>
        <w:rPr>
          <w:rFonts w:ascii="Times New Roman" w:eastAsia="Arial Unicode MS" w:hAnsi="Times New Roman" w:cs="Times New Roman"/>
          <w:sz w:val="28"/>
          <w:szCs w:val="28"/>
          <w:lang w:eastAsia="uk-UA" w:bidi="uk-UA"/>
        </w:rPr>
      </w:pPr>
      <w:r w:rsidRPr="007F162F">
        <w:rPr>
          <w:rFonts w:ascii="Times New Roman" w:eastAsia="Arial Unicode MS" w:hAnsi="Times New Roman" w:cs="Times New Roman"/>
          <w:sz w:val="28"/>
          <w:szCs w:val="28"/>
          <w:lang w:eastAsia="uk-UA" w:bidi="uk-UA"/>
        </w:rPr>
        <w:t xml:space="preserve"> </w:t>
      </w:r>
    </w:p>
    <w:p w14:paraId="58414982" w14:textId="3D1068B9" w:rsidR="007F162F" w:rsidRDefault="007F162F" w:rsidP="007F162F">
      <w:pPr>
        <w:widowControl w:val="0"/>
        <w:snapToGrid w:val="0"/>
        <w:spacing w:after="0"/>
        <w:jc w:val="center"/>
        <w:rPr>
          <w:rFonts w:ascii="Times New Roman" w:eastAsia="Arial Unicode MS" w:hAnsi="Times New Roman" w:cs="Times New Roman"/>
          <w:sz w:val="32"/>
          <w:szCs w:val="32"/>
          <w:lang w:eastAsia="uk-UA" w:bidi="uk-UA"/>
        </w:rPr>
      </w:pPr>
      <w:r w:rsidRPr="007F162F">
        <w:rPr>
          <w:rFonts w:ascii="Times New Roman" w:eastAsia="Arial Unicode MS" w:hAnsi="Times New Roman" w:cs="Times New Roman"/>
          <w:sz w:val="32"/>
          <w:szCs w:val="32"/>
          <w:lang w:eastAsia="uk-UA" w:bidi="uk-UA"/>
        </w:rPr>
        <w:t>КРАВЧЕНКО ВАЛЕНТИНА ІГОРІВНА</w:t>
      </w:r>
    </w:p>
    <w:p w14:paraId="04ADB3F4" w14:textId="77777777" w:rsidR="007F162F" w:rsidRPr="007F162F" w:rsidRDefault="007F162F" w:rsidP="007F162F">
      <w:pPr>
        <w:widowControl w:val="0"/>
        <w:snapToGrid w:val="0"/>
        <w:spacing w:after="0"/>
        <w:jc w:val="center"/>
        <w:rPr>
          <w:rFonts w:ascii="Times New Roman" w:eastAsia="Arial Unicode MS" w:hAnsi="Times New Roman" w:cs="Times New Roman"/>
          <w:sz w:val="32"/>
          <w:szCs w:val="32"/>
          <w:lang w:eastAsia="uk-UA" w:bidi="uk-UA"/>
        </w:rPr>
      </w:pPr>
    </w:p>
    <w:p w14:paraId="7A6798C7" w14:textId="10281666" w:rsidR="007F162F" w:rsidRPr="007F162F" w:rsidRDefault="007F162F" w:rsidP="007F162F">
      <w:pPr>
        <w:widowControl w:val="0"/>
        <w:spacing w:after="0" w:line="240" w:lineRule="auto"/>
        <w:jc w:val="center"/>
        <w:rPr>
          <w:rFonts w:ascii="Times New Roman" w:eastAsia="Arial Unicode MS" w:hAnsi="Times New Roman" w:cs="Times New Roman"/>
          <w:b/>
          <w:sz w:val="28"/>
          <w:szCs w:val="28"/>
          <w:lang w:eastAsia="uk-UA" w:bidi="uk-UA"/>
        </w:rPr>
      </w:pPr>
      <w:r w:rsidRPr="007F162F">
        <w:rPr>
          <w:rFonts w:ascii="Times New Roman" w:eastAsia="Arial Unicode MS" w:hAnsi="Times New Roman" w:cs="Times New Roman"/>
          <w:b/>
          <w:sz w:val="28"/>
          <w:szCs w:val="28"/>
          <w:lang w:eastAsia="uk-UA" w:bidi="uk-UA"/>
        </w:rPr>
        <w:t xml:space="preserve">УДОСКОНАЛЕННЯ СИСТЕМИ УПРАВЛІНСЬКИХ РІШЕНЬ </w:t>
      </w:r>
    </w:p>
    <w:p w14:paraId="08EC020C" w14:textId="4C392F24" w:rsidR="007F162F" w:rsidRDefault="007F162F" w:rsidP="007F162F">
      <w:pPr>
        <w:widowControl w:val="0"/>
        <w:spacing w:after="0" w:line="240" w:lineRule="auto"/>
        <w:jc w:val="center"/>
        <w:rPr>
          <w:rFonts w:ascii="Times New Roman" w:eastAsia="Arial Unicode MS" w:hAnsi="Times New Roman" w:cs="Times New Roman"/>
          <w:b/>
          <w:sz w:val="28"/>
          <w:szCs w:val="28"/>
          <w:lang w:eastAsia="uk-UA" w:bidi="uk-UA"/>
        </w:rPr>
      </w:pPr>
      <w:r w:rsidRPr="007F162F">
        <w:rPr>
          <w:rFonts w:ascii="Times New Roman" w:eastAsia="Arial Unicode MS" w:hAnsi="Times New Roman" w:cs="Times New Roman"/>
          <w:b/>
          <w:sz w:val="28"/>
          <w:szCs w:val="28"/>
          <w:lang w:eastAsia="uk-UA" w:bidi="uk-UA"/>
        </w:rPr>
        <w:t xml:space="preserve">В ЗАКЛАДАХ ОХОРОНИ ЗДОРОВ’Я </w:t>
      </w:r>
    </w:p>
    <w:p w14:paraId="6F8C6997" w14:textId="1B450EFD" w:rsidR="007F162F" w:rsidRDefault="007F162F" w:rsidP="007F162F">
      <w:pPr>
        <w:widowControl w:val="0"/>
        <w:snapToGrid w:val="0"/>
        <w:spacing w:after="0"/>
        <w:jc w:val="center"/>
        <w:rPr>
          <w:rFonts w:ascii="Times New Roman" w:eastAsia="Arial Unicode MS" w:hAnsi="Times New Roman" w:cs="Times New Roman"/>
          <w:b/>
          <w:sz w:val="28"/>
          <w:szCs w:val="28"/>
          <w:lang w:eastAsia="uk-UA" w:bidi="uk-UA"/>
        </w:rPr>
      </w:pPr>
      <w:r w:rsidRPr="007F162F">
        <w:rPr>
          <w:rFonts w:ascii="Times New Roman" w:eastAsia="Arial Unicode MS" w:hAnsi="Times New Roman" w:cs="Times New Roman"/>
          <w:b/>
          <w:sz w:val="28"/>
          <w:szCs w:val="28"/>
          <w:lang w:eastAsia="uk-UA" w:bidi="uk-UA"/>
        </w:rPr>
        <w:t>Improvement of the system of managerial decision-making in healthcare institutions</w:t>
      </w:r>
    </w:p>
    <w:p w14:paraId="435CB3E9" w14:textId="77777777" w:rsidR="007F162F" w:rsidRPr="007F162F" w:rsidRDefault="007F162F" w:rsidP="007F162F">
      <w:pPr>
        <w:widowControl w:val="0"/>
        <w:snapToGrid w:val="0"/>
        <w:spacing w:after="0"/>
        <w:jc w:val="center"/>
        <w:rPr>
          <w:rFonts w:ascii="Times New Roman" w:eastAsia="Arial Unicode MS" w:hAnsi="Times New Roman" w:cs="Times New Roman"/>
          <w:b/>
          <w:sz w:val="32"/>
          <w:szCs w:val="32"/>
          <w:lang w:eastAsia="uk-UA" w:bidi="uk-UA"/>
        </w:rPr>
      </w:pPr>
    </w:p>
    <w:p w14:paraId="78BBACE1" w14:textId="77777777" w:rsidR="007F162F" w:rsidRPr="007F162F" w:rsidRDefault="007F162F" w:rsidP="007F162F">
      <w:pPr>
        <w:widowControl w:val="0"/>
        <w:snapToGrid w:val="0"/>
        <w:spacing w:after="0" w:line="240" w:lineRule="auto"/>
        <w:jc w:val="center"/>
        <w:rPr>
          <w:rFonts w:ascii="Times New Roman" w:eastAsia="Arial Unicode MS" w:hAnsi="Times New Roman" w:cs="Times New Roman"/>
          <w:sz w:val="28"/>
          <w:szCs w:val="28"/>
          <w:lang w:eastAsia="uk-UA" w:bidi="uk-UA"/>
        </w:rPr>
      </w:pPr>
      <w:r w:rsidRPr="007F162F">
        <w:rPr>
          <w:rFonts w:ascii="Times New Roman" w:eastAsia="Arial Unicode MS" w:hAnsi="Times New Roman" w:cs="Times New Roman"/>
          <w:sz w:val="28"/>
          <w:szCs w:val="28"/>
          <w:lang w:eastAsia="uk-UA" w:bidi="uk-UA"/>
        </w:rPr>
        <w:t>Спеціальність 073 Менеджмент</w:t>
      </w:r>
    </w:p>
    <w:p w14:paraId="52E42AA6" w14:textId="77777777" w:rsidR="007F162F" w:rsidRPr="007F162F" w:rsidRDefault="007F162F" w:rsidP="007F162F">
      <w:pPr>
        <w:widowControl w:val="0"/>
        <w:snapToGrid w:val="0"/>
        <w:spacing w:after="0" w:line="240" w:lineRule="auto"/>
        <w:jc w:val="center"/>
        <w:rPr>
          <w:rFonts w:ascii="Times New Roman" w:eastAsia="Arial Unicode MS" w:hAnsi="Times New Roman" w:cs="Times New Roman"/>
          <w:sz w:val="28"/>
          <w:szCs w:val="28"/>
          <w:lang w:eastAsia="uk-UA" w:bidi="uk-UA"/>
        </w:rPr>
      </w:pPr>
      <w:r w:rsidRPr="007F162F">
        <w:rPr>
          <w:rFonts w:ascii="Times New Roman" w:eastAsia="Arial Unicode MS" w:hAnsi="Times New Roman" w:cs="Times New Roman"/>
          <w:sz w:val="28"/>
          <w:szCs w:val="28"/>
          <w:lang w:eastAsia="uk-UA" w:bidi="uk-UA"/>
        </w:rPr>
        <w:t>Галузь знань: 07 Управління та адміністрування</w:t>
      </w:r>
    </w:p>
    <w:p w14:paraId="16450656" w14:textId="77777777" w:rsidR="007F162F" w:rsidRPr="007F162F" w:rsidRDefault="007F162F" w:rsidP="007F162F">
      <w:pPr>
        <w:widowControl w:val="0"/>
        <w:spacing w:after="0" w:line="240" w:lineRule="auto"/>
        <w:jc w:val="center"/>
        <w:rPr>
          <w:rFonts w:ascii="Times New Roman" w:eastAsia="Arial Unicode MS" w:hAnsi="Times New Roman" w:cs="Times New Roman"/>
          <w:b/>
          <w:sz w:val="28"/>
          <w:szCs w:val="28"/>
          <w:lang w:eastAsia="uk-UA" w:bidi="uk-UA"/>
        </w:rPr>
      </w:pPr>
    </w:p>
    <w:p w14:paraId="7110D786" w14:textId="77777777" w:rsidR="007F162F" w:rsidRPr="007F162F" w:rsidRDefault="007F162F" w:rsidP="007F162F">
      <w:pPr>
        <w:widowControl w:val="0"/>
        <w:spacing w:after="0" w:line="240" w:lineRule="auto"/>
        <w:jc w:val="center"/>
        <w:rPr>
          <w:rFonts w:ascii="Times New Roman" w:eastAsia="Arial Unicode MS" w:hAnsi="Times New Roman" w:cs="Times New Roman"/>
          <w:b/>
          <w:sz w:val="28"/>
          <w:szCs w:val="28"/>
          <w:lang w:eastAsia="uk-UA" w:bidi="uk-UA"/>
        </w:rPr>
      </w:pPr>
      <w:r w:rsidRPr="007F162F">
        <w:rPr>
          <w:rFonts w:ascii="Times New Roman" w:eastAsia="Arial Unicode MS" w:hAnsi="Times New Roman" w:cs="Times New Roman"/>
          <w:b/>
          <w:sz w:val="28"/>
          <w:szCs w:val="28"/>
          <w:lang w:eastAsia="uk-UA" w:bidi="uk-UA"/>
        </w:rPr>
        <w:t>Кваліфікаційна робота</w:t>
      </w:r>
    </w:p>
    <w:p w14:paraId="2E29180E" w14:textId="77777777" w:rsidR="007F162F" w:rsidRPr="007F162F" w:rsidRDefault="007F162F" w:rsidP="007F162F">
      <w:pPr>
        <w:widowControl w:val="0"/>
        <w:spacing w:after="0" w:line="240" w:lineRule="auto"/>
        <w:jc w:val="center"/>
        <w:rPr>
          <w:rFonts w:ascii="Times New Roman" w:eastAsia="Arial Unicode MS" w:hAnsi="Times New Roman" w:cs="Times New Roman"/>
          <w:sz w:val="28"/>
          <w:szCs w:val="28"/>
          <w:lang w:eastAsia="uk-UA" w:bidi="uk-UA"/>
        </w:rPr>
      </w:pPr>
      <w:r w:rsidRPr="007F162F">
        <w:rPr>
          <w:rFonts w:ascii="Times New Roman" w:eastAsia="Arial Unicode MS" w:hAnsi="Times New Roman" w:cs="Times New Roman"/>
          <w:sz w:val="28"/>
          <w:szCs w:val="28"/>
          <w:lang w:eastAsia="uk-UA" w:bidi="uk-UA"/>
        </w:rPr>
        <w:t>на здобуття ступеня вищої освіти «магістр»</w:t>
      </w:r>
    </w:p>
    <w:p w14:paraId="798CABF9" w14:textId="77777777" w:rsidR="007F162F" w:rsidRPr="007F162F" w:rsidRDefault="007F162F" w:rsidP="007F162F">
      <w:pPr>
        <w:widowControl w:val="0"/>
        <w:snapToGrid w:val="0"/>
        <w:spacing w:after="0"/>
        <w:jc w:val="center"/>
        <w:rPr>
          <w:rFonts w:ascii="Times New Roman" w:eastAsia="Arial Unicode MS" w:hAnsi="Times New Roman" w:cs="Times New Roman"/>
          <w:b/>
          <w:sz w:val="32"/>
          <w:szCs w:val="32"/>
          <w:lang w:eastAsia="uk-UA" w:bidi="uk-UA"/>
        </w:rPr>
      </w:pPr>
    </w:p>
    <w:p w14:paraId="24AE55F6" w14:textId="77777777" w:rsidR="007F162F" w:rsidRPr="007F162F" w:rsidRDefault="007F162F" w:rsidP="007F162F">
      <w:pPr>
        <w:widowControl w:val="0"/>
        <w:spacing w:after="0" w:line="240" w:lineRule="auto"/>
        <w:jc w:val="center"/>
        <w:rPr>
          <w:rFonts w:ascii="Times New Roman" w:eastAsia="Arial Unicode MS" w:hAnsi="Times New Roman" w:cs="Times New Roman"/>
          <w:b/>
          <w:sz w:val="28"/>
          <w:szCs w:val="28"/>
          <w:lang w:eastAsia="uk-UA" w:bidi="uk-UA"/>
        </w:rPr>
      </w:pPr>
    </w:p>
    <w:p w14:paraId="4F24846D" w14:textId="77777777" w:rsidR="007F162F" w:rsidRPr="007F162F" w:rsidRDefault="007F162F" w:rsidP="007F162F">
      <w:pPr>
        <w:widowControl w:val="0"/>
        <w:spacing w:after="0" w:line="240" w:lineRule="auto"/>
        <w:jc w:val="center"/>
        <w:rPr>
          <w:rFonts w:ascii="Times New Roman" w:eastAsia="Arial Unicode MS" w:hAnsi="Times New Roman" w:cs="Times New Roman"/>
          <w:b/>
          <w:sz w:val="28"/>
          <w:szCs w:val="28"/>
          <w:lang w:eastAsia="uk-UA" w:bidi="uk-UA"/>
        </w:rPr>
      </w:pPr>
    </w:p>
    <w:tbl>
      <w:tblPr>
        <w:tblW w:w="5000" w:type="pct"/>
        <w:tblCellMar>
          <w:left w:w="0" w:type="dxa"/>
          <w:right w:w="0" w:type="dxa"/>
        </w:tblCellMar>
        <w:tblLook w:val="04A0" w:firstRow="1" w:lastRow="0" w:firstColumn="1" w:lastColumn="0" w:noHBand="0" w:noVBand="1"/>
      </w:tblPr>
      <w:tblGrid>
        <w:gridCol w:w="4679"/>
        <w:gridCol w:w="4675"/>
      </w:tblGrid>
      <w:tr w:rsidR="007F162F" w:rsidRPr="007F162F" w14:paraId="063C6F4D" w14:textId="77777777" w:rsidTr="007F162F">
        <w:trPr>
          <w:trHeight w:val="1933"/>
        </w:trPr>
        <w:tc>
          <w:tcPr>
            <w:tcW w:w="2501" w:type="pct"/>
            <w:shd w:val="clear" w:color="auto" w:fill="auto"/>
            <w:tcMar>
              <w:top w:w="0" w:type="dxa"/>
              <w:left w:w="108" w:type="dxa"/>
              <w:bottom w:w="0" w:type="dxa"/>
              <w:right w:w="108" w:type="dxa"/>
            </w:tcMar>
          </w:tcPr>
          <w:p w14:paraId="46F91D11" w14:textId="77777777" w:rsidR="007F162F" w:rsidRPr="007F162F" w:rsidRDefault="007F162F" w:rsidP="007F162F">
            <w:pPr>
              <w:widowControl w:val="0"/>
              <w:snapToGrid w:val="0"/>
              <w:spacing w:after="0" w:line="360" w:lineRule="auto"/>
              <w:jc w:val="center"/>
              <w:rPr>
                <w:rFonts w:ascii="Times New Roman" w:eastAsia="Arial Unicode MS" w:hAnsi="Times New Roman" w:cs="Times New Roman"/>
                <w:sz w:val="28"/>
                <w:szCs w:val="28"/>
                <w:lang w:eastAsia="uk-UA" w:bidi="uk-UA"/>
              </w:rPr>
            </w:pPr>
          </w:p>
          <w:p w14:paraId="5DDCFC5A" w14:textId="77777777" w:rsidR="007F162F" w:rsidRPr="007F162F" w:rsidRDefault="007F162F" w:rsidP="007F162F">
            <w:pPr>
              <w:widowControl w:val="0"/>
              <w:snapToGrid w:val="0"/>
              <w:spacing w:after="0" w:line="360" w:lineRule="auto"/>
              <w:jc w:val="center"/>
              <w:rPr>
                <w:rFonts w:ascii="Times New Roman" w:eastAsia="Arial Unicode MS" w:hAnsi="Times New Roman" w:cs="Times New Roman"/>
                <w:sz w:val="28"/>
                <w:szCs w:val="28"/>
                <w:lang w:eastAsia="uk-UA" w:bidi="uk-UA"/>
              </w:rPr>
            </w:pPr>
          </w:p>
        </w:tc>
        <w:tc>
          <w:tcPr>
            <w:tcW w:w="2499" w:type="pct"/>
            <w:shd w:val="clear" w:color="auto" w:fill="auto"/>
            <w:tcMar>
              <w:top w:w="0" w:type="dxa"/>
              <w:left w:w="108" w:type="dxa"/>
              <w:bottom w:w="0" w:type="dxa"/>
              <w:right w:w="108" w:type="dxa"/>
            </w:tcMar>
          </w:tcPr>
          <w:p w14:paraId="01C9E71C" w14:textId="77777777" w:rsidR="007F162F" w:rsidRPr="007F162F" w:rsidRDefault="007F162F" w:rsidP="007F162F">
            <w:pPr>
              <w:widowControl w:val="0"/>
              <w:snapToGrid w:val="0"/>
              <w:spacing w:after="0" w:line="240" w:lineRule="auto"/>
              <w:rPr>
                <w:rFonts w:ascii="Times New Roman" w:eastAsia="Arial Unicode MS" w:hAnsi="Times New Roman" w:cs="Times New Roman"/>
                <w:b/>
                <w:sz w:val="28"/>
                <w:szCs w:val="28"/>
                <w:lang w:eastAsia="uk-UA" w:bidi="uk-UA"/>
              </w:rPr>
            </w:pPr>
            <w:r w:rsidRPr="007F162F">
              <w:rPr>
                <w:rFonts w:ascii="Times New Roman" w:eastAsia="Arial Unicode MS" w:hAnsi="Times New Roman" w:cs="Times New Roman"/>
                <w:b/>
                <w:sz w:val="28"/>
                <w:szCs w:val="28"/>
                <w:lang w:eastAsia="uk-UA" w:bidi="uk-UA"/>
              </w:rPr>
              <w:t xml:space="preserve">Науковий керівник: </w:t>
            </w:r>
          </w:p>
          <w:p w14:paraId="39B3CB8E" w14:textId="6985253F" w:rsidR="007F162F" w:rsidRPr="007F162F" w:rsidRDefault="007F162F" w:rsidP="007F162F">
            <w:pPr>
              <w:widowControl w:val="0"/>
              <w:snapToGrid w:val="0"/>
              <w:spacing w:after="0" w:line="240" w:lineRule="auto"/>
              <w:rPr>
                <w:rFonts w:ascii="Times New Roman" w:eastAsia="Arial Unicode MS" w:hAnsi="Times New Roman" w:cs="Times New Roman"/>
                <w:sz w:val="28"/>
                <w:szCs w:val="28"/>
                <w:lang w:eastAsia="uk-UA" w:bidi="uk-UA"/>
              </w:rPr>
            </w:pPr>
            <w:r w:rsidRPr="007F162F">
              <w:rPr>
                <w:rFonts w:ascii="Times New Roman" w:eastAsia="Arial Unicode MS" w:hAnsi="Times New Roman" w:cs="Times New Roman"/>
                <w:sz w:val="28"/>
                <w:szCs w:val="28"/>
                <w:lang w:eastAsia="uk-UA" w:bidi="uk-UA"/>
              </w:rPr>
              <w:t>к.</w:t>
            </w:r>
            <w:r>
              <w:rPr>
                <w:rFonts w:ascii="Times New Roman" w:eastAsia="Arial Unicode MS" w:hAnsi="Times New Roman" w:cs="Times New Roman"/>
                <w:sz w:val="28"/>
                <w:szCs w:val="28"/>
                <w:lang w:eastAsia="uk-UA" w:bidi="uk-UA"/>
              </w:rPr>
              <w:t>екон</w:t>
            </w:r>
            <w:r w:rsidRPr="007F162F">
              <w:rPr>
                <w:rFonts w:ascii="Times New Roman" w:eastAsia="Arial Unicode MS" w:hAnsi="Times New Roman" w:cs="Times New Roman"/>
                <w:sz w:val="28"/>
                <w:szCs w:val="28"/>
                <w:lang w:eastAsia="uk-UA" w:bidi="uk-UA"/>
              </w:rPr>
              <w:t xml:space="preserve">.н., доцент </w:t>
            </w:r>
            <w:r>
              <w:rPr>
                <w:rFonts w:ascii="Times New Roman" w:eastAsia="Arial Unicode MS" w:hAnsi="Times New Roman" w:cs="Times New Roman"/>
                <w:sz w:val="28"/>
                <w:szCs w:val="28"/>
                <w:lang w:eastAsia="uk-UA" w:bidi="uk-UA"/>
              </w:rPr>
              <w:t>Князькова В.Я</w:t>
            </w:r>
            <w:r w:rsidRPr="007F162F">
              <w:rPr>
                <w:rFonts w:ascii="Times New Roman" w:eastAsia="Arial Unicode MS" w:hAnsi="Times New Roman" w:cs="Times New Roman"/>
                <w:sz w:val="28"/>
                <w:szCs w:val="28"/>
                <w:lang w:eastAsia="uk-UA" w:bidi="uk-UA"/>
              </w:rPr>
              <w:t>.</w:t>
            </w:r>
          </w:p>
          <w:p w14:paraId="4194CAC6" w14:textId="77777777" w:rsidR="007F162F" w:rsidRPr="007F162F" w:rsidRDefault="007F162F" w:rsidP="007F162F">
            <w:pPr>
              <w:widowControl w:val="0"/>
              <w:snapToGrid w:val="0"/>
              <w:spacing w:after="0" w:line="240" w:lineRule="auto"/>
              <w:rPr>
                <w:rFonts w:ascii="Times New Roman" w:eastAsia="Arial Unicode MS" w:hAnsi="Times New Roman" w:cs="Times New Roman"/>
                <w:sz w:val="28"/>
                <w:szCs w:val="28"/>
                <w:lang w:eastAsia="uk-UA" w:bidi="uk-UA"/>
              </w:rPr>
            </w:pPr>
          </w:p>
          <w:p w14:paraId="0433E3A7" w14:textId="77777777" w:rsidR="007F162F" w:rsidRPr="007F162F" w:rsidRDefault="007F162F" w:rsidP="007F162F">
            <w:pPr>
              <w:widowControl w:val="0"/>
              <w:snapToGrid w:val="0"/>
              <w:spacing w:after="0" w:line="240" w:lineRule="auto"/>
              <w:rPr>
                <w:rFonts w:ascii="Times New Roman" w:eastAsia="Arial Unicode MS" w:hAnsi="Times New Roman" w:cs="Times New Roman"/>
                <w:b/>
                <w:sz w:val="28"/>
                <w:szCs w:val="28"/>
                <w:lang w:eastAsia="uk-UA" w:bidi="uk-UA"/>
              </w:rPr>
            </w:pPr>
            <w:r w:rsidRPr="007F162F">
              <w:rPr>
                <w:rFonts w:ascii="Times New Roman" w:eastAsia="Arial Unicode MS" w:hAnsi="Times New Roman" w:cs="Times New Roman"/>
                <w:b/>
                <w:sz w:val="28"/>
                <w:szCs w:val="28"/>
                <w:lang w:eastAsia="uk-UA" w:bidi="uk-UA"/>
              </w:rPr>
              <w:t>Рецензент:</w:t>
            </w:r>
          </w:p>
          <w:p w14:paraId="088C3791" w14:textId="62EA6F58" w:rsidR="007F162F" w:rsidRPr="007F162F" w:rsidRDefault="007F162F" w:rsidP="007F162F">
            <w:pPr>
              <w:widowControl w:val="0"/>
              <w:snapToGrid w:val="0"/>
              <w:spacing w:after="0" w:line="360" w:lineRule="auto"/>
              <w:rPr>
                <w:rFonts w:ascii="Times New Roman" w:eastAsia="Arial Unicode MS" w:hAnsi="Times New Roman" w:cs="Times New Roman"/>
                <w:sz w:val="28"/>
                <w:szCs w:val="28"/>
                <w:lang w:eastAsia="uk-UA" w:bidi="uk-UA"/>
              </w:rPr>
            </w:pPr>
            <w:r w:rsidRPr="007F162F">
              <w:rPr>
                <w:rFonts w:ascii="Times New Roman" w:eastAsia="Arial Unicode MS" w:hAnsi="Times New Roman" w:cs="Times New Roman"/>
                <w:sz w:val="28"/>
                <w:szCs w:val="28"/>
                <w:lang w:eastAsia="uk-UA" w:bidi="uk-UA"/>
              </w:rPr>
              <w:t>к.екон.н., доцент Красностанова Н.Е.</w:t>
            </w:r>
          </w:p>
        </w:tc>
      </w:tr>
    </w:tbl>
    <w:p w14:paraId="5786843C" w14:textId="77777777" w:rsidR="007F162F" w:rsidRPr="007F162F" w:rsidRDefault="007F162F" w:rsidP="007F162F">
      <w:pPr>
        <w:widowControl w:val="0"/>
        <w:tabs>
          <w:tab w:val="left" w:pos="0"/>
        </w:tabs>
        <w:snapToGrid w:val="0"/>
        <w:spacing w:after="0" w:line="360" w:lineRule="auto"/>
        <w:rPr>
          <w:rFonts w:ascii="Times New Roman" w:eastAsia="Arial Unicode MS" w:hAnsi="Times New Roman" w:cs="Times New Roman"/>
          <w:sz w:val="28"/>
          <w:szCs w:val="28"/>
          <w:lang w:eastAsia="uk-UA" w:bidi="uk-UA"/>
        </w:rPr>
      </w:pPr>
    </w:p>
    <w:tbl>
      <w:tblPr>
        <w:tblStyle w:val="25"/>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gridCol w:w="4815"/>
      </w:tblGrid>
      <w:tr w:rsidR="007F162F" w:rsidRPr="007F162F" w14:paraId="38365D46" w14:textId="77777777" w:rsidTr="006C10F4">
        <w:tc>
          <w:tcPr>
            <w:tcW w:w="4683" w:type="dxa"/>
          </w:tcPr>
          <w:p w14:paraId="5E8BD287" w14:textId="77777777" w:rsidR="007F162F" w:rsidRPr="007F162F" w:rsidRDefault="007F162F" w:rsidP="007F162F">
            <w:pPr>
              <w:widowControl w:val="0"/>
              <w:rPr>
                <w:rFonts w:ascii="Times New Roman" w:eastAsia="Calibri" w:hAnsi="Times New Roman" w:cs="Times New Roman"/>
                <w:sz w:val="28"/>
                <w:szCs w:val="28"/>
              </w:rPr>
            </w:pPr>
            <w:r w:rsidRPr="007F162F">
              <w:rPr>
                <w:rFonts w:ascii="Times New Roman" w:eastAsia="Calibri" w:hAnsi="Times New Roman" w:cs="Times New Roman"/>
                <w:sz w:val="28"/>
                <w:szCs w:val="28"/>
              </w:rPr>
              <w:t xml:space="preserve">Рекомендовано до захисту: </w:t>
            </w:r>
          </w:p>
          <w:p w14:paraId="351871FD" w14:textId="77777777" w:rsidR="007F162F" w:rsidRPr="007F162F" w:rsidRDefault="007F162F" w:rsidP="007F162F">
            <w:pPr>
              <w:widowControl w:val="0"/>
              <w:rPr>
                <w:rFonts w:ascii="Times New Roman" w:eastAsia="Calibri" w:hAnsi="Times New Roman" w:cs="Times New Roman"/>
                <w:sz w:val="28"/>
                <w:szCs w:val="28"/>
              </w:rPr>
            </w:pPr>
          </w:p>
          <w:p w14:paraId="05D9D4CD" w14:textId="77777777" w:rsidR="007F162F" w:rsidRPr="007F162F" w:rsidRDefault="007F162F" w:rsidP="007F162F">
            <w:pPr>
              <w:widowControl w:val="0"/>
              <w:rPr>
                <w:rFonts w:ascii="Times New Roman" w:eastAsia="Calibri" w:hAnsi="Times New Roman" w:cs="Times New Roman"/>
                <w:sz w:val="28"/>
                <w:szCs w:val="28"/>
              </w:rPr>
            </w:pPr>
            <w:r w:rsidRPr="007F162F">
              <w:rPr>
                <w:rFonts w:ascii="Times New Roman" w:eastAsia="Calibri" w:hAnsi="Times New Roman" w:cs="Times New Roman"/>
                <w:sz w:val="28"/>
                <w:szCs w:val="28"/>
              </w:rPr>
              <w:t xml:space="preserve">Протокол засідання кафедри </w:t>
            </w:r>
          </w:p>
          <w:p w14:paraId="10C56071" w14:textId="77777777" w:rsidR="007F162F" w:rsidRPr="007F162F" w:rsidRDefault="007F162F" w:rsidP="007F162F">
            <w:pPr>
              <w:widowControl w:val="0"/>
              <w:tabs>
                <w:tab w:val="left" w:pos="0"/>
              </w:tabs>
              <w:snapToGrid w:val="0"/>
              <w:spacing w:line="360" w:lineRule="auto"/>
              <w:rPr>
                <w:rFonts w:ascii="Times New Roman" w:eastAsia="Calibri" w:hAnsi="Times New Roman" w:cs="Times New Roman"/>
                <w:sz w:val="28"/>
                <w:szCs w:val="28"/>
              </w:rPr>
            </w:pPr>
          </w:p>
          <w:p w14:paraId="7F1189B7" w14:textId="77777777" w:rsidR="007F162F" w:rsidRPr="007F162F" w:rsidRDefault="007F162F" w:rsidP="007F162F">
            <w:pPr>
              <w:widowControl w:val="0"/>
              <w:tabs>
                <w:tab w:val="left" w:pos="0"/>
              </w:tabs>
              <w:snapToGrid w:val="0"/>
              <w:spacing w:line="360" w:lineRule="auto"/>
              <w:rPr>
                <w:rFonts w:ascii="Times New Roman" w:eastAsia="Calibri" w:hAnsi="Times New Roman" w:cs="Times New Roman"/>
                <w:sz w:val="28"/>
                <w:szCs w:val="28"/>
              </w:rPr>
            </w:pPr>
            <w:r w:rsidRPr="007F162F">
              <w:rPr>
                <w:rFonts w:ascii="Times New Roman" w:eastAsia="Calibri" w:hAnsi="Times New Roman" w:cs="Times New Roman"/>
                <w:sz w:val="28"/>
                <w:szCs w:val="28"/>
              </w:rPr>
              <w:t>№ __ від «___» _______ 2025 р.</w:t>
            </w:r>
          </w:p>
          <w:p w14:paraId="5EDD3A4C" w14:textId="77777777" w:rsidR="007F162F" w:rsidRPr="007F162F" w:rsidRDefault="007F162F" w:rsidP="007F162F">
            <w:pPr>
              <w:widowControl w:val="0"/>
              <w:tabs>
                <w:tab w:val="left" w:pos="0"/>
              </w:tabs>
              <w:snapToGrid w:val="0"/>
              <w:spacing w:line="360" w:lineRule="auto"/>
              <w:rPr>
                <w:rFonts w:ascii="Times New Roman" w:eastAsia="Calibri" w:hAnsi="Times New Roman" w:cs="Times New Roman"/>
                <w:sz w:val="28"/>
                <w:szCs w:val="28"/>
              </w:rPr>
            </w:pPr>
          </w:p>
          <w:p w14:paraId="68126985" w14:textId="77777777" w:rsidR="007F162F" w:rsidRPr="007F162F" w:rsidRDefault="007F162F" w:rsidP="007F162F">
            <w:pPr>
              <w:widowControl w:val="0"/>
              <w:rPr>
                <w:rFonts w:ascii="Times New Roman" w:eastAsia="Calibri" w:hAnsi="Times New Roman" w:cs="Times New Roman"/>
                <w:sz w:val="28"/>
                <w:szCs w:val="28"/>
              </w:rPr>
            </w:pPr>
            <w:r w:rsidRPr="007F162F">
              <w:rPr>
                <w:rFonts w:ascii="Times New Roman" w:eastAsia="Calibri" w:hAnsi="Times New Roman" w:cs="Times New Roman"/>
                <w:sz w:val="28"/>
                <w:szCs w:val="28"/>
              </w:rPr>
              <w:t xml:space="preserve">Гарант ОПП </w:t>
            </w:r>
            <w:r w:rsidRPr="007F162F">
              <w:rPr>
                <w:rFonts w:ascii="Times New Roman" w:eastAsia="TimesNewRomanPSMT" w:hAnsi="Times New Roman" w:cs="Times New Roman"/>
                <w:sz w:val="28"/>
                <w:szCs w:val="28"/>
              </w:rPr>
              <w:t xml:space="preserve">______ </w:t>
            </w:r>
            <w:r w:rsidRPr="007F162F">
              <w:rPr>
                <w:rFonts w:ascii="Times New Roman" w:eastAsia="Calibri" w:hAnsi="Times New Roman" w:cs="Times New Roman"/>
                <w:sz w:val="28"/>
                <w:szCs w:val="28"/>
              </w:rPr>
              <w:t>Вікторія БОРЩ</w:t>
            </w:r>
          </w:p>
          <w:p w14:paraId="25671372" w14:textId="77777777" w:rsidR="007F162F" w:rsidRPr="007F162F" w:rsidRDefault="007F162F" w:rsidP="007F162F">
            <w:pPr>
              <w:widowControl w:val="0"/>
              <w:rPr>
                <w:rFonts w:ascii="Times New Roman" w:eastAsia="Arial Unicode MS" w:hAnsi="Times New Roman" w:cs="Times New Roman"/>
                <w:sz w:val="28"/>
                <w:szCs w:val="28"/>
                <w:lang w:eastAsia="uk-UA" w:bidi="uk-UA"/>
              </w:rPr>
            </w:pPr>
          </w:p>
        </w:tc>
        <w:tc>
          <w:tcPr>
            <w:tcW w:w="4815" w:type="dxa"/>
          </w:tcPr>
          <w:p w14:paraId="7E61C71D" w14:textId="77777777" w:rsidR="007F162F" w:rsidRPr="007F162F" w:rsidRDefault="007F162F" w:rsidP="007F162F">
            <w:pPr>
              <w:widowControl w:val="0"/>
              <w:rPr>
                <w:rFonts w:ascii="Times New Roman" w:eastAsia="Calibri" w:hAnsi="Times New Roman" w:cs="Times New Roman"/>
                <w:sz w:val="28"/>
                <w:szCs w:val="28"/>
              </w:rPr>
            </w:pPr>
            <w:r w:rsidRPr="007F162F">
              <w:rPr>
                <w:rFonts w:ascii="Times New Roman" w:eastAsia="Calibri" w:hAnsi="Times New Roman" w:cs="Times New Roman"/>
                <w:sz w:val="28"/>
                <w:szCs w:val="28"/>
              </w:rPr>
              <w:t>Захищено на засіданні ЕК № ___</w:t>
            </w:r>
          </w:p>
          <w:p w14:paraId="0820A76A" w14:textId="77777777" w:rsidR="007F162F" w:rsidRPr="007F162F" w:rsidRDefault="007F162F" w:rsidP="007F162F">
            <w:pPr>
              <w:widowControl w:val="0"/>
              <w:rPr>
                <w:rFonts w:ascii="Times New Roman" w:eastAsia="Calibri" w:hAnsi="Times New Roman" w:cs="Times New Roman"/>
                <w:sz w:val="28"/>
                <w:szCs w:val="28"/>
              </w:rPr>
            </w:pPr>
          </w:p>
          <w:p w14:paraId="67C334FE" w14:textId="77777777" w:rsidR="007F162F" w:rsidRPr="007F162F" w:rsidRDefault="007F162F" w:rsidP="007F162F">
            <w:pPr>
              <w:widowControl w:val="0"/>
              <w:rPr>
                <w:rFonts w:ascii="Times New Roman" w:eastAsia="Calibri" w:hAnsi="Times New Roman" w:cs="Times New Roman"/>
                <w:sz w:val="28"/>
                <w:szCs w:val="28"/>
              </w:rPr>
            </w:pPr>
            <w:r w:rsidRPr="007F162F">
              <w:rPr>
                <w:rFonts w:ascii="Times New Roman" w:eastAsia="Calibri" w:hAnsi="Times New Roman" w:cs="Times New Roman"/>
                <w:sz w:val="28"/>
                <w:szCs w:val="28"/>
              </w:rPr>
              <w:t>Протокол № __ від «__» ___</w:t>
            </w:r>
            <w:r w:rsidRPr="007F162F">
              <w:rPr>
                <w:rFonts w:ascii="Times New Roman" w:eastAsia="TimesNewRomanPSMT" w:hAnsi="Times New Roman" w:cs="Times New Roman"/>
                <w:sz w:val="28"/>
                <w:szCs w:val="28"/>
              </w:rPr>
              <w:t xml:space="preserve">_ 2025 </w:t>
            </w:r>
            <w:r w:rsidRPr="007F162F">
              <w:rPr>
                <w:rFonts w:ascii="Times New Roman" w:eastAsia="Calibri" w:hAnsi="Times New Roman" w:cs="Times New Roman"/>
                <w:sz w:val="28"/>
                <w:szCs w:val="28"/>
              </w:rPr>
              <w:t>р.</w:t>
            </w:r>
          </w:p>
          <w:p w14:paraId="46D4E9E9" w14:textId="77777777" w:rsidR="007F162F" w:rsidRPr="007F162F" w:rsidRDefault="007F162F" w:rsidP="007F162F">
            <w:pPr>
              <w:widowControl w:val="0"/>
              <w:tabs>
                <w:tab w:val="left" w:pos="0"/>
              </w:tabs>
              <w:snapToGrid w:val="0"/>
              <w:spacing w:line="360" w:lineRule="auto"/>
              <w:rPr>
                <w:rFonts w:ascii="Times New Roman" w:eastAsia="Arial Unicode MS" w:hAnsi="Times New Roman" w:cs="Times New Roman"/>
                <w:sz w:val="28"/>
                <w:szCs w:val="28"/>
                <w:lang w:eastAsia="uk-UA" w:bidi="uk-UA"/>
              </w:rPr>
            </w:pPr>
          </w:p>
          <w:p w14:paraId="711E7039" w14:textId="77777777" w:rsidR="007F162F" w:rsidRPr="007F162F" w:rsidRDefault="007F162F" w:rsidP="007F162F">
            <w:pPr>
              <w:widowControl w:val="0"/>
              <w:tabs>
                <w:tab w:val="left" w:pos="0"/>
              </w:tabs>
              <w:snapToGrid w:val="0"/>
              <w:spacing w:line="360" w:lineRule="auto"/>
              <w:rPr>
                <w:rFonts w:ascii="Times New Roman" w:eastAsia="Arial Unicode MS" w:hAnsi="Times New Roman" w:cs="Times New Roman"/>
                <w:sz w:val="28"/>
                <w:szCs w:val="28"/>
                <w:lang w:eastAsia="uk-UA" w:bidi="uk-UA"/>
              </w:rPr>
            </w:pPr>
            <w:r w:rsidRPr="007F162F">
              <w:rPr>
                <w:rFonts w:ascii="Times New Roman" w:eastAsia="Arial Unicode MS" w:hAnsi="Times New Roman" w:cs="Times New Roman"/>
                <w:sz w:val="28"/>
                <w:szCs w:val="28"/>
                <w:lang w:eastAsia="uk-UA" w:bidi="uk-UA"/>
              </w:rPr>
              <w:t xml:space="preserve">Оцінка </w:t>
            </w:r>
          </w:p>
          <w:p w14:paraId="37C44015" w14:textId="77777777" w:rsidR="007F162F" w:rsidRPr="007F162F" w:rsidRDefault="007F162F" w:rsidP="007F162F">
            <w:pPr>
              <w:widowControl w:val="0"/>
              <w:tabs>
                <w:tab w:val="left" w:pos="0"/>
              </w:tabs>
              <w:snapToGrid w:val="0"/>
              <w:spacing w:line="360" w:lineRule="auto"/>
              <w:rPr>
                <w:rFonts w:ascii="Times New Roman" w:eastAsia="Arial Unicode MS" w:hAnsi="Times New Roman" w:cs="Times New Roman"/>
                <w:sz w:val="28"/>
                <w:szCs w:val="28"/>
                <w:lang w:eastAsia="uk-UA" w:bidi="uk-UA"/>
              </w:rPr>
            </w:pPr>
            <w:r w:rsidRPr="007F162F">
              <w:rPr>
                <w:rFonts w:ascii="Times New Roman" w:eastAsia="Arial Unicode MS" w:hAnsi="Times New Roman" w:cs="Times New Roman"/>
                <w:sz w:val="28"/>
                <w:szCs w:val="28"/>
                <w:lang w:eastAsia="uk-UA" w:bidi="uk-UA"/>
              </w:rPr>
              <w:t>_________ / __________ / _________</w:t>
            </w:r>
          </w:p>
          <w:p w14:paraId="7EDB2564" w14:textId="77777777" w:rsidR="007F162F" w:rsidRPr="007F162F" w:rsidRDefault="007F162F" w:rsidP="007F162F">
            <w:pPr>
              <w:widowControl w:val="0"/>
              <w:rPr>
                <w:rFonts w:ascii="Times New Roman" w:eastAsia="Arial Unicode MS" w:hAnsi="Times New Roman" w:cs="Times New Roman"/>
                <w:sz w:val="28"/>
                <w:szCs w:val="28"/>
                <w:lang w:eastAsia="uk-UA" w:bidi="uk-UA"/>
              </w:rPr>
            </w:pPr>
            <w:r w:rsidRPr="007F162F">
              <w:rPr>
                <w:rFonts w:ascii="Times New Roman" w:eastAsia="Calibri" w:hAnsi="Times New Roman" w:cs="Times New Roman"/>
                <w:sz w:val="28"/>
                <w:szCs w:val="28"/>
              </w:rPr>
              <w:t>Голова ЕК</w:t>
            </w:r>
            <w:r w:rsidRPr="007F162F">
              <w:rPr>
                <w:rFonts w:ascii="Times New Roman" w:eastAsia="TimesNewRomanPSMT" w:hAnsi="Times New Roman" w:cs="Times New Roman"/>
                <w:sz w:val="28"/>
                <w:szCs w:val="28"/>
              </w:rPr>
              <w:t>_______Олена САДЧЕНКО</w:t>
            </w:r>
          </w:p>
        </w:tc>
      </w:tr>
    </w:tbl>
    <w:p w14:paraId="18A5084B" w14:textId="77777777" w:rsidR="007F162F" w:rsidRPr="007F162F" w:rsidRDefault="007F162F" w:rsidP="007F162F">
      <w:pPr>
        <w:widowControl w:val="0"/>
        <w:tabs>
          <w:tab w:val="left" w:pos="0"/>
        </w:tabs>
        <w:snapToGrid w:val="0"/>
        <w:spacing w:after="0" w:line="360" w:lineRule="auto"/>
        <w:rPr>
          <w:rFonts w:ascii="Times New Roman" w:eastAsia="Arial Unicode MS" w:hAnsi="Times New Roman" w:cs="Times New Roman"/>
          <w:sz w:val="28"/>
          <w:szCs w:val="28"/>
          <w:lang w:eastAsia="uk-UA" w:bidi="uk-UA"/>
        </w:rPr>
      </w:pPr>
    </w:p>
    <w:p w14:paraId="0E3BF220" w14:textId="77777777" w:rsidR="007F162F" w:rsidRPr="007F162F" w:rsidRDefault="007F162F" w:rsidP="007F162F">
      <w:pPr>
        <w:widowControl w:val="0"/>
        <w:tabs>
          <w:tab w:val="left" w:pos="0"/>
        </w:tabs>
        <w:snapToGrid w:val="0"/>
        <w:spacing w:after="0" w:line="360" w:lineRule="auto"/>
        <w:jc w:val="center"/>
        <w:rPr>
          <w:rFonts w:ascii="Times New Roman" w:eastAsia="Arial Unicode MS" w:hAnsi="Times New Roman" w:cs="Times New Roman"/>
          <w:b/>
          <w:sz w:val="28"/>
          <w:szCs w:val="28"/>
          <w:lang w:eastAsia="uk-UA" w:bidi="uk-UA"/>
        </w:rPr>
      </w:pPr>
    </w:p>
    <w:p w14:paraId="2CC4770A" w14:textId="77777777" w:rsidR="007F162F" w:rsidRPr="007F162F" w:rsidRDefault="007F162F" w:rsidP="007F162F">
      <w:pPr>
        <w:widowControl w:val="0"/>
        <w:tabs>
          <w:tab w:val="left" w:pos="0"/>
        </w:tabs>
        <w:snapToGrid w:val="0"/>
        <w:spacing w:after="0" w:line="360" w:lineRule="auto"/>
        <w:jc w:val="center"/>
        <w:rPr>
          <w:rFonts w:ascii="Times New Roman" w:eastAsia="Arial Unicode MS" w:hAnsi="Times New Roman" w:cs="Times New Roman"/>
          <w:color w:val="000000"/>
          <w:sz w:val="28"/>
          <w:szCs w:val="28"/>
          <w:lang w:eastAsia="uk-UA" w:bidi="uk-UA"/>
        </w:rPr>
      </w:pPr>
      <w:r w:rsidRPr="007F162F">
        <w:rPr>
          <w:rFonts w:ascii="Times New Roman" w:eastAsia="Arial Unicode MS" w:hAnsi="Times New Roman" w:cs="Times New Roman"/>
          <w:b/>
          <w:sz w:val="28"/>
          <w:szCs w:val="28"/>
          <w:lang w:eastAsia="uk-UA" w:bidi="uk-UA"/>
        </w:rPr>
        <w:t>Одеса 2025</w:t>
      </w:r>
    </w:p>
    <w:p w14:paraId="2FE6B165" w14:textId="0CA2C390" w:rsidR="00471728" w:rsidRDefault="006415EC" w:rsidP="00C06D45">
      <w:pPr>
        <w:spacing w:after="0" w:line="360" w:lineRule="auto"/>
        <w:jc w:val="center"/>
        <w:rPr>
          <w:rFonts w:ascii="Times New Roman Полужирный" w:hAnsi="Times New Roman Полужирный" w:cs="Times New Roman"/>
          <w:b/>
          <w:bCs/>
          <w:caps/>
          <w:sz w:val="28"/>
          <w:szCs w:val="28"/>
        </w:rPr>
      </w:pPr>
      <w:r>
        <w:rPr>
          <w:rFonts w:ascii="Times New Roman Полужирный" w:hAnsi="Times New Roman Полужирный" w:cs="Times New Roman"/>
          <w:b/>
          <w:bCs/>
          <w:caps/>
          <w:sz w:val="28"/>
          <w:szCs w:val="28"/>
        </w:rPr>
        <w:lastRenderedPageBreak/>
        <w:t xml:space="preserve">Анотація </w:t>
      </w:r>
    </w:p>
    <w:p w14:paraId="2FE6B166" w14:textId="77777777" w:rsidR="00471728" w:rsidRDefault="00471728" w:rsidP="00C06D45">
      <w:pPr>
        <w:spacing w:after="0" w:line="360" w:lineRule="auto"/>
        <w:jc w:val="center"/>
        <w:rPr>
          <w:rFonts w:ascii="Times New Roman Полужирный" w:hAnsi="Times New Roman Полужирный" w:cs="Times New Roman"/>
          <w:b/>
          <w:bCs/>
          <w:caps/>
          <w:sz w:val="28"/>
          <w:szCs w:val="28"/>
        </w:rPr>
      </w:pPr>
    </w:p>
    <w:p w14:paraId="2FE6B167" w14:textId="34E4C8C8" w:rsidR="00471728" w:rsidRDefault="006415EC" w:rsidP="00C06D4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Кравченко В.І. </w:t>
      </w:r>
      <w:r>
        <w:rPr>
          <w:rFonts w:ascii="Times New Roman" w:eastAsia="Times New Roman" w:hAnsi="Times New Roman" w:cs="Times New Roman"/>
          <w:color w:val="000000"/>
          <w:sz w:val="28"/>
          <w:szCs w:val="28"/>
        </w:rPr>
        <w:t>Удосконалення системи управлінських рішень в закладах охорони здоров</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я</w:t>
      </w:r>
      <w:r>
        <w:rPr>
          <w:rFonts w:ascii="Times New Roman" w:eastAsia="TimesNewRomanPSMT" w:hAnsi="Times New Roman" w:cs="Times New Roman"/>
          <w:sz w:val="28"/>
          <w:szCs w:val="28"/>
        </w:rPr>
        <w:t xml:space="preserve">: </w:t>
      </w:r>
      <w:r>
        <w:rPr>
          <w:rFonts w:ascii="Times New Roman" w:hAnsi="Times New Roman" w:cs="Times New Roman"/>
          <w:sz w:val="28"/>
          <w:szCs w:val="28"/>
        </w:rPr>
        <w:t>кваліфікаційна робота на здобуття освітнього ступеня «магістр»: спец. 073 «Менеджмент» / Одеський національний медичний університет. Кафедра менеджменту охорони здоров’я та психології. Науковий ке</w:t>
      </w:r>
      <w:r w:rsidR="00C06D45">
        <w:rPr>
          <w:rFonts w:ascii="Times New Roman" w:hAnsi="Times New Roman" w:cs="Times New Roman"/>
          <w:sz w:val="28"/>
          <w:szCs w:val="28"/>
        </w:rPr>
        <w:t>рівник: Князькова В.Я., к.е.н.</w:t>
      </w:r>
      <w:r>
        <w:rPr>
          <w:rFonts w:ascii="Times New Roman" w:hAnsi="Times New Roman" w:cs="Times New Roman"/>
          <w:sz w:val="28"/>
          <w:szCs w:val="28"/>
        </w:rPr>
        <w:t xml:space="preserve"> Одеса, 2025. 98 с.</w:t>
      </w:r>
    </w:p>
    <w:p w14:paraId="2FE6B168" w14:textId="56E93D30" w:rsidR="00471728" w:rsidRDefault="006415EC" w:rsidP="00C06D45">
      <w:pPr>
        <w:pStyle w:val="aff5"/>
        <w:shd w:val="clear" w:color="auto" w:fill="auto"/>
        <w:tabs>
          <w:tab w:val="left" w:pos="1134"/>
        </w:tabs>
        <w:spacing w:line="360" w:lineRule="auto"/>
        <w:ind w:firstLine="709"/>
        <w:jc w:val="both"/>
        <w:rPr>
          <w:sz w:val="28"/>
          <w:szCs w:val="28"/>
        </w:rPr>
      </w:pPr>
      <w:r>
        <w:rPr>
          <w:rFonts w:eastAsiaTheme="minorHAnsi"/>
          <w:color w:val="auto"/>
          <w:sz w:val="28"/>
          <w:szCs w:val="28"/>
          <w:lang w:eastAsia="en-US" w:bidi="ar-SA"/>
        </w:rPr>
        <w:t xml:space="preserve">Анотація. </w:t>
      </w:r>
      <w:r w:rsidR="00C06D45">
        <w:rPr>
          <w:sz w:val="28"/>
          <w:szCs w:val="28"/>
          <w:lang w:eastAsia="en-US" w:bidi="ar-SA"/>
        </w:rPr>
        <w:t>Д</w:t>
      </w:r>
      <w:r>
        <w:rPr>
          <w:sz w:val="28"/>
          <w:szCs w:val="28"/>
        </w:rPr>
        <w:t>осліджується проблема удосконалення системи управлінських рішень в закладах охорони здоров</w:t>
      </w:r>
      <w:r>
        <w:rPr>
          <w:sz w:val="28"/>
          <w:szCs w:val="28"/>
          <w:lang w:val="en-US"/>
        </w:rPr>
        <w:t>’</w:t>
      </w:r>
      <w:r>
        <w:rPr>
          <w:sz w:val="28"/>
          <w:szCs w:val="28"/>
        </w:rPr>
        <w:t>я. Роз</w:t>
      </w:r>
      <w:r w:rsidR="00574815">
        <w:rPr>
          <w:sz w:val="28"/>
          <w:szCs w:val="28"/>
        </w:rPr>
        <w:t>глянуто теоретичні та методи</w:t>
      </w:r>
      <w:r>
        <w:rPr>
          <w:sz w:val="28"/>
          <w:szCs w:val="28"/>
        </w:rPr>
        <w:t xml:space="preserve">чні засади прийняття та реалізації управлінських рішень у медичних закладах. </w:t>
      </w:r>
      <w:r>
        <w:rPr>
          <w:rFonts w:eastAsiaTheme="minorHAnsi"/>
          <w:color w:val="auto"/>
          <w:sz w:val="28"/>
          <w:szCs w:val="28"/>
          <w:lang w:eastAsia="en-US" w:bidi="ar-SA"/>
        </w:rPr>
        <w:t>Наведено к</w:t>
      </w:r>
      <w:r>
        <w:rPr>
          <w:sz w:val="28"/>
          <w:szCs w:val="28"/>
        </w:rPr>
        <w:t>ласифікацію і типологію управлінських рішень</w:t>
      </w:r>
      <w:r>
        <w:rPr>
          <w:sz w:val="28"/>
          <w:szCs w:val="28"/>
          <w:lang w:val="ru-RU"/>
        </w:rPr>
        <w:t>, ф</w:t>
      </w:r>
      <w:r>
        <w:rPr>
          <w:sz w:val="28"/>
          <w:szCs w:val="28"/>
        </w:rPr>
        <w:t xml:space="preserve">орми </w:t>
      </w:r>
      <w:r>
        <w:rPr>
          <w:sz w:val="28"/>
          <w:szCs w:val="28"/>
          <w:lang w:val="ru-RU"/>
        </w:rPr>
        <w:t xml:space="preserve">їх </w:t>
      </w:r>
      <w:r>
        <w:rPr>
          <w:sz w:val="28"/>
          <w:szCs w:val="28"/>
        </w:rPr>
        <w:t>розробки і прийняття</w:t>
      </w:r>
      <w:r>
        <w:rPr>
          <w:rFonts w:eastAsiaTheme="minorHAnsi"/>
          <w:color w:val="auto"/>
          <w:sz w:val="28"/>
          <w:szCs w:val="28"/>
          <w:lang w:eastAsia="en-US" w:bidi="ar-SA"/>
        </w:rPr>
        <w:t>. Розглянуто о</w:t>
      </w:r>
      <w:r>
        <w:rPr>
          <w:sz w:val="28"/>
          <w:szCs w:val="28"/>
        </w:rPr>
        <w:t>собливості процесу прийняття та реалізації управлінських рішень в медичному закладі в сучасних умовах. Особливе місце відведено дослідженню впливу керівництва та його управлінських рішень на розвиток медичного закладу на прикладі Комунального некомерційного підприємства «Міська клінічна лікарня №10» Одеської міської ради. Підкреслена роль особистості керівника медичного закладу у вирішенні проблем прийняття управлінського рішення. Визначено вплив ухвалення ефективних управлінських рішень на перспективи розвитку КНП «МКЛ №10» ОМР</w:t>
      </w:r>
      <w:r>
        <w:rPr>
          <w:rFonts w:eastAsiaTheme="minorHAnsi"/>
          <w:color w:val="auto"/>
          <w:sz w:val="28"/>
          <w:szCs w:val="28"/>
          <w:lang w:eastAsia="en-US" w:bidi="ar-SA"/>
        </w:rPr>
        <w:t xml:space="preserve">. </w:t>
      </w:r>
      <w:r>
        <w:rPr>
          <w:sz w:val="28"/>
          <w:szCs w:val="28"/>
        </w:rPr>
        <w:t>Окреслено напрями удосконалення системи управлінських рішень у діяльності та стратегічному розвитку МКЛ №10.</w:t>
      </w:r>
      <w:r>
        <w:t xml:space="preserve"> </w:t>
      </w:r>
      <w:r>
        <w:rPr>
          <w:sz w:val="28"/>
          <w:szCs w:val="28"/>
        </w:rPr>
        <w:t>Здійснено аналіз організації управління закладом та розглянуто забезпечення його роботи в період воєнного стану. Оцінено основні показники діяльності КНП «МКЛ №10» ОМР та визначено напрями його подальшого розвитку. Надано стратегічні та інноваційні пропозиції подальшого розвитку КНП «МКЛ №10» ОМР на основі оптимізації управлінських рішень.</w:t>
      </w:r>
    </w:p>
    <w:p w14:paraId="2FE6B169" w14:textId="77777777" w:rsidR="00471728" w:rsidRDefault="006415EC" w:rsidP="00C06D45">
      <w:pPr>
        <w:spacing w:after="0" w:line="360" w:lineRule="auto"/>
        <w:ind w:firstLine="708"/>
        <w:jc w:val="both"/>
        <w:rPr>
          <w:rFonts w:ascii="Times New Roman" w:hAnsi="Times New Roman" w:cs="Times New Roman"/>
          <w:sz w:val="28"/>
          <w:szCs w:val="28"/>
        </w:rPr>
      </w:pPr>
      <w:r w:rsidRPr="00C06D45">
        <w:rPr>
          <w:rFonts w:ascii="Times New Roman" w:hAnsi="Times New Roman" w:cs="Times New Roman"/>
          <w:b/>
          <w:sz w:val="28"/>
          <w:szCs w:val="28"/>
        </w:rPr>
        <w:t>Ключові слова:</w:t>
      </w:r>
      <w:r>
        <w:rPr>
          <w:rFonts w:ascii="Times New Roman" w:hAnsi="Times New Roman" w:cs="Times New Roman"/>
          <w:sz w:val="28"/>
          <w:szCs w:val="28"/>
        </w:rPr>
        <w:t xml:space="preserve"> заклади охорони здоров’я, надання медичної допомоги, прийняття управлінських рішень, </w:t>
      </w:r>
      <w:r>
        <w:rPr>
          <w:rFonts w:ascii="Times New Roman" w:eastAsia="Times New Roman" w:hAnsi="Times New Roman" w:cs="Times New Roman"/>
          <w:sz w:val="28"/>
          <w:szCs w:val="28"/>
        </w:rPr>
        <w:t>кластерна лікарня спроможної мережі Одеського госпітального округу</w:t>
      </w:r>
      <w:r>
        <w:rPr>
          <w:rFonts w:ascii="Times New Roman" w:hAnsi="Times New Roman" w:cs="Times New Roman"/>
          <w:sz w:val="28"/>
          <w:szCs w:val="28"/>
        </w:rPr>
        <w:t>, Комунальне некомерційне підприємство «Міська клінічна лікарня № 10» Одеської міської ради</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rPr>
        <w:t>перспективи розвитку.</w:t>
      </w:r>
    </w:p>
    <w:p w14:paraId="2FE6B16A" w14:textId="77777777" w:rsidR="00471728" w:rsidRDefault="00471728" w:rsidP="00C06D45">
      <w:pPr>
        <w:spacing w:after="0" w:line="360" w:lineRule="auto"/>
        <w:ind w:firstLine="708"/>
        <w:jc w:val="both"/>
        <w:rPr>
          <w:rFonts w:ascii="TimesNewRoman" w:hAnsi="TimesNewRoman" w:cs="TimesNewRoman"/>
          <w:sz w:val="23"/>
          <w:szCs w:val="23"/>
        </w:rPr>
      </w:pPr>
    </w:p>
    <w:p w14:paraId="2FE6B16B" w14:textId="77777777" w:rsidR="00471728" w:rsidRDefault="00471728" w:rsidP="00C06D45">
      <w:pPr>
        <w:spacing w:after="0" w:line="360" w:lineRule="auto"/>
        <w:ind w:firstLine="708"/>
        <w:jc w:val="both"/>
        <w:rPr>
          <w:rFonts w:ascii="TimesNewRoman" w:hAnsi="TimesNewRoman" w:cs="TimesNewRoman"/>
          <w:sz w:val="23"/>
          <w:szCs w:val="23"/>
        </w:rPr>
      </w:pPr>
    </w:p>
    <w:p w14:paraId="2FE6B16C" w14:textId="77777777" w:rsidR="00471728" w:rsidRDefault="00471728" w:rsidP="00C06D45">
      <w:pPr>
        <w:spacing w:after="0" w:line="360" w:lineRule="auto"/>
        <w:ind w:firstLine="708"/>
        <w:jc w:val="both"/>
        <w:rPr>
          <w:rFonts w:ascii="TimesNewRoman" w:hAnsi="TimesNewRoman" w:cs="TimesNewRoman"/>
          <w:sz w:val="23"/>
          <w:szCs w:val="23"/>
        </w:rPr>
      </w:pPr>
    </w:p>
    <w:p w14:paraId="2FE6B16D" w14:textId="77777777" w:rsidR="00471728" w:rsidRDefault="00471728" w:rsidP="00C06D45">
      <w:pPr>
        <w:spacing w:after="0" w:line="360" w:lineRule="auto"/>
        <w:ind w:firstLine="708"/>
        <w:jc w:val="both"/>
        <w:rPr>
          <w:rFonts w:ascii="TimesNewRoman" w:hAnsi="TimesNewRoman" w:cs="TimesNewRoman"/>
          <w:sz w:val="23"/>
          <w:szCs w:val="23"/>
        </w:rPr>
      </w:pPr>
    </w:p>
    <w:p w14:paraId="2FE6B16E" w14:textId="77777777" w:rsidR="00471728" w:rsidRDefault="00471728">
      <w:pPr>
        <w:spacing w:after="0" w:line="360" w:lineRule="auto"/>
        <w:ind w:firstLine="708"/>
        <w:jc w:val="both"/>
        <w:rPr>
          <w:rFonts w:ascii="TimesNewRoman" w:hAnsi="TimesNewRoman" w:cs="TimesNewRoman"/>
          <w:sz w:val="23"/>
          <w:szCs w:val="23"/>
        </w:rPr>
      </w:pPr>
    </w:p>
    <w:p w14:paraId="2FE6B16F" w14:textId="77777777" w:rsidR="00471728" w:rsidRDefault="00471728">
      <w:pPr>
        <w:spacing w:after="0" w:line="360" w:lineRule="auto"/>
        <w:ind w:firstLine="708"/>
        <w:jc w:val="both"/>
        <w:rPr>
          <w:rFonts w:ascii="TimesNewRoman" w:hAnsi="TimesNewRoman" w:cs="TimesNewRoman"/>
          <w:sz w:val="23"/>
          <w:szCs w:val="23"/>
        </w:rPr>
      </w:pPr>
    </w:p>
    <w:p w14:paraId="2FE6B170" w14:textId="77777777" w:rsidR="00471728" w:rsidRDefault="00471728">
      <w:pPr>
        <w:spacing w:after="0" w:line="360" w:lineRule="auto"/>
        <w:ind w:firstLine="708"/>
        <w:jc w:val="both"/>
        <w:rPr>
          <w:rFonts w:ascii="TimesNewRoman" w:hAnsi="TimesNewRoman" w:cs="TimesNewRoman"/>
          <w:sz w:val="23"/>
          <w:szCs w:val="23"/>
        </w:rPr>
      </w:pPr>
    </w:p>
    <w:p w14:paraId="2FE6B171" w14:textId="77777777" w:rsidR="00471728" w:rsidRDefault="00471728">
      <w:pPr>
        <w:spacing w:after="0" w:line="360" w:lineRule="auto"/>
        <w:ind w:firstLine="708"/>
        <w:jc w:val="both"/>
        <w:rPr>
          <w:rFonts w:ascii="TimesNewRoman" w:hAnsi="TimesNewRoman" w:cs="TimesNewRoman"/>
          <w:sz w:val="23"/>
          <w:szCs w:val="23"/>
        </w:rPr>
      </w:pPr>
    </w:p>
    <w:p w14:paraId="2FE6B172" w14:textId="77777777" w:rsidR="00471728" w:rsidRDefault="00471728">
      <w:pPr>
        <w:spacing w:after="0" w:line="360" w:lineRule="auto"/>
        <w:ind w:firstLine="708"/>
        <w:jc w:val="both"/>
        <w:rPr>
          <w:rFonts w:ascii="TimesNewRoman" w:hAnsi="TimesNewRoman" w:cs="TimesNewRoman"/>
          <w:sz w:val="23"/>
          <w:szCs w:val="23"/>
        </w:rPr>
      </w:pPr>
    </w:p>
    <w:p w14:paraId="2FE6B173" w14:textId="77777777" w:rsidR="00471728" w:rsidRDefault="00471728">
      <w:pPr>
        <w:spacing w:after="0" w:line="360" w:lineRule="auto"/>
        <w:ind w:firstLine="708"/>
        <w:jc w:val="both"/>
        <w:rPr>
          <w:rFonts w:ascii="TimesNewRoman" w:hAnsi="TimesNewRoman" w:cs="TimesNewRoman"/>
          <w:sz w:val="23"/>
          <w:szCs w:val="23"/>
        </w:rPr>
      </w:pPr>
    </w:p>
    <w:p w14:paraId="2FE6B174" w14:textId="77777777" w:rsidR="00471728" w:rsidRDefault="00471728">
      <w:pPr>
        <w:spacing w:after="0" w:line="360" w:lineRule="auto"/>
        <w:ind w:firstLine="708"/>
        <w:jc w:val="both"/>
        <w:rPr>
          <w:rFonts w:ascii="TimesNewRoman" w:hAnsi="TimesNewRoman" w:cs="TimesNewRoman"/>
          <w:sz w:val="23"/>
          <w:szCs w:val="23"/>
        </w:rPr>
      </w:pPr>
    </w:p>
    <w:p w14:paraId="2FE6B175" w14:textId="77777777" w:rsidR="00471728" w:rsidRDefault="00471728">
      <w:pPr>
        <w:spacing w:after="0" w:line="360" w:lineRule="auto"/>
        <w:ind w:firstLine="708"/>
        <w:jc w:val="both"/>
        <w:rPr>
          <w:rFonts w:ascii="TimesNewRoman" w:hAnsi="TimesNewRoman" w:cs="TimesNewRoman"/>
          <w:sz w:val="23"/>
          <w:szCs w:val="23"/>
        </w:rPr>
      </w:pPr>
    </w:p>
    <w:p w14:paraId="2FE6B176" w14:textId="77777777" w:rsidR="00471728" w:rsidRDefault="00471728">
      <w:pPr>
        <w:spacing w:after="0" w:line="360" w:lineRule="auto"/>
        <w:ind w:firstLine="708"/>
        <w:jc w:val="both"/>
        <w:rPr>
          <w:rFonts w:ascii="TimesNewRoman" w:hAnsi="TimesNewRoman" w:cs="TimesNewRoman"/>
          <w:sz w:val="23"/>
          <w:szCs w:val="23"/>
        </w:rPr>
      </w:pPr>
    </w:p>
    <w:p w14:paraId="2FE6B177" w14:textId="77777777" w:rsidR="00471728" w:rsidRDefault="00471728">
      <w:pPr>
        <w:spacing w:after="0" w:line="360" w:lineRule="auto"/>
        <w:ind w:firstLine="708"/>
        <w:jc w:val="both"/>
        <w:rPr>
          <w:rFonts w:ascii="TimesNewRoman" w:hAnsi="TimesNewRoman" w:cs="TimesNewRoman"/>
          <w:sz w:val="23"/>
          <w:szCs w:val="23"/>
        </w:rPr>
      </w:pPr>
    </w:p>
    <w:p w14:paraId="2FE6B178" w14:textId="77777777" w:rsidR="00471728" w:rsidRDefault="00471728">
      <w:pPr>
        <w:spacing w:after="0" w:line="360" w:lineRule="auto"/>
        <w:ind w:firstLine="708"/>
        <w:jc w:val="both"/>
        <w:rPr>
          <w:rFonts w:ascii="TimesNewRoman" w:hAnsi="TimesNewRoman" w:cs="TimesNewRoman"/>
          <w:sz w:val="23"/>
          <w:szCs w:val="23"/>
        </w:rPr>
      </w:pPr>
    </w:p>
    <w:p w14:paraId="2FE6B179" w14:textId="77777777" w:rsidR="00471728" w:rsidRDefault="00471728">
      <w:pPr>
        <w:spacing w:after="0" w:line="360" w:lineRule="auto"/>
        <w:ind w:firstLine="708"/>
        <w:jc w:val="both"/>
        <w:rPr>
          <w:rFonts w:ascii="TimesNewRoman" w:hAnsi="TimesNewRoman" w:cs="TimesNewRoman"/>
          <w:sz w:val="23"/>
          <w:szCs w:val="23"/>
        </w:rPr>
      </w:pPr>
    </w:p>
    <w:p w14:paraId="2FE6B17A" w14:textId="77777777" w:rsidR="00471728" w:rsidRDefault="00471728">
      <w:pPr>
        <w:spacing w:after="0" w:line="360" w:lineRule="auto"/>
        <w:ind w:firstLine="708"/>
        <w:jc w:val="both"/>
        <w:rPr>
          <w:rFonts w:ascii="TimesNewRoman" w:hAnsi="TimesNewRoman" w:cs="TimesNewRoman"/>
          <w:sz w:val="23"/>
          <w:szCs w:val="23"/>
        </w:rPr>
      </w:pPr>
    </w:p>
    <w:p w14:paraId="2FE6B17B" w14:textId="77777777" w:rsidR="00471728" w:rsidRDefault="00471728">
      <w:pPr>
        <w:spacing w:after="0" w:line="360" w:lineRule="auto"/>
        <w:ind w:firstLine="708"/>
        <w:jc w:val="both"/>
        <w:rPr>
          <w:rFonts w:ascii="TimesNewRoman" w:hAnsi="TimesNewRoman" w:cs="TimesNewRoman"/>
          <w:sz w:val="23"/>
          <w:szCs w:val="23"/>
        </w:rPr>
      </w:pPr>
    </w:p>
    <w:p w14:paraId="2FE6B17C" w14:textId="77777777" w:rsidR="00471728" w:rsidRDefault="00471728">
      <w:pPr>
        <w:spacing w:after="0" w:line="360" w:lineRule="auto"/>
        <w:ind w:firstLine="708"/>
        <w:jc w:val="both"/>
        <w:rPr>
          <w:rFonts w:ascii="TimesNewRoman" w:hAnsi="TimesNewRoman" w:cs="TimesNewRoman"/>
          <w:sz w:val="23"/>
          <w:szCs w:val="23"/>
        </w:rPr>
      </w:pPr>
    </w:p>
    <w:p w14:paraId="2FE6B17D" w14:textId="77777777" w:rsidR="00471728" w:rsidRDefault="00471728">
      <w:pPr>
        <w:spacing w:after="0" w:line="360" w:lineRule="auto"/>
        <w:ind w:firstLine="708"/>
        <w:jc w:val="both"/>
        <w:rPr>
          <w:rFonts w:ascii="TimesNewRoman" w:hAnsi="TimesNewRoman" w:cs="TimesNewRoman"/>
          <w:sz w:val="23"/>
          <w:szCs w:val="23"/>
        </w:rPr>
      </w:pPr>
    </w:p>
    <w:p w14:paraId="2FE6B17E" w14:textId="77777777" w:rsidR="00471728" w:rsidRDefault="00471728">
      <w:pPr>
        <w:spacing w:after="0" w:line="360" w:lineRule="auto"/>
        <w:ind w:firstLine="708"/>
        <w:jc w:val="both"/>
        <w:rPr>
          <w:rFonts w:ascii="TimesNewRoman" w:hAnsi="TimesNewRoman" w:cs="TimesNewRoman"/>
          <w:sz w:val="23"/>
          <w:szCs w:val="23"/>
        </w:rPr>
      </w:pPr>
    </w:p>
    <w:p w14:paraId="2FE6B17F" w14:textId="77777777" w:rsidR="00471728" w:rsidRDefault="00471728">
      <w:pPr>
        <w:spacing w:after="0" w:line="360" w:lineRule="auto"/>
        <w:ind w:firstLine="708"/>
        <w:jc w:val="both"/>
        <w:rPr>
          <w:rFonts w:ascii="TimesNewRoman" w:hAnsi="TimesNewRoman" w:cs="TimesNewRoman"/>
          <w:sz w:val="23"/>
          <w:szCs w:val="23"/>
        </w:rPr>
      </w:pPr>
    </w:p>
    <w:p w14:paraId="2FE6B180" w14:textId="77777777" w:rsidR="00471728" w:rsidRDefault="00471728">
      <w:pPr>
        <w:spacing w:after="0" w:line="360" w:lineRule="auto"/>
        <w:ind w:firstLine="708"/>
        <w:jc w:val="both"/>
        <w:rPr>
          <w:rFonts w:ascii="TimesNewRoman" w:hAnsi="TimesNewRoman" w:cs="TimesNewRoman"/>
          <w:sz w:val="23"/>
          <w:szCs w:val="23"/>
        </w:rPr>
      </w:pPr>
    </w:p>
    <w:p w14:paraId="2FE6B181" w14:textId="77777777" w:rsidR="00471728" w:rsidRDefault="00471728">
      <w:pPr>
        <w:spacing w:after="0" w:line="360" w:lineRule="auto"/>
        <w:ind w:firstLine="708"/>
        <w:jc w:val="both"/>
        <w:rPr>
          <w:rFonts w:ascii="TimesNewRoman" w:hAnsi="TimesNewRoman" w:cs="TimesNewRoman"/>
          <w:sz w:val="23"/>
          <w:szCs w:val="23"/>
        </w:rPr>
      </w:pPr>
    </w:p>
    <w:p w14:paraId="2FE6B182" w14:textId="77777777" w:rsidR="00471728" w:rsidRDefault="00471728">
      <w:pPr>
        <w:spacing w:after="0" w:line="360" w:lineRule="auto"/>
        <w:ind w:firstLine="708"/>
        <w:jc w:val="both"/>
        <w:rPr>
          <w:rFonts w:ascii="TimesNewRoman" w:hAnsi="TimesNewRoman" w:cs="TimesNewRoman"/>
          <w:sz w:val="23"/>
          <w:szCs w:val="23"/>
        </w:rPr>
      </w:pPr>
    </w:p>
    <w:p w14:paraId="2FE6B183" w14:textId="77777777" w:rsidR="00471728" w:rsidRDefault="00471728">
      <w:pPr>
        <w:spacing w:after="0" w:line="360" w:lineRule="auto"/>
        <w:ind w:firstLine="708"/>
        <w:jc w:val="both"/>
        <w:rPr>
          <w:rFonts w:ascii="TimesNewRoman" w:hAnsi="TimesNewRoman" w:cs="TimesNewRoman"/>
          <w:sz w:val="23"/>
          <w:szCs w:val="23"/>
        </w:rPr>
      </w:pPr>
    </w:p>
    <w:p w14:paraId="2FE6B184" w14:textId="77777777" w:rsidR="00471728" w:rsidRDefault="00471728">
      <w:pPr>
        <w:spacing w:after="0" w:line="360" w:lineRule="auto"/>
        <w:ind w:firstLine="708"/>
        <w:jc w:val="both"/>
        <w:rPr>
          <w:rFonts w:ascii="TimesNewRoman" w:hAnsi="TimesNewRoman" w:cs="TimesNewRoman"/>
          <w:sz w:val="23"/>
          <w:szCs w:val="23"/>
        </w:rPr>
      </w:pPr>
    </w:p>
    <w:p w14:paraId="2FE6B185" w14:textId="31AEDC07" w:rsidR="00471728" w:rsidRDefault="00471728">
      <w:pPr>
        <w:spacing w:after="0" w:line="360" w:lineRule="auto"/>
        <w:ind w:firstLine="708"/>
        <w:jc w:val="both"/>
        <w:rPr>
          <w:rFonts w:ascii="TimesNewRoman" w:hAnsi="TimesNewRoman" w:cs="TimesNewRoman"/>
          <w:sz w:val="23"/>
          <w:szCs w:val="23"/>
        </w:rPr>
      </w:pPr>
    </w:p>
    <w:p w14:paraId="1C3BB58A" w14:textId="68DE9B4C" w:rsidR="00DD172B" w:rsidRDefault="00DD172B">
      <w:pPr>
        <w:spacing w:after="0" w:line="360" w:lineRule="auto"/>
        <w:ind w:firstLine="708"/>
        <w:jc w:val="both"/>
        <w:rPr>
          <w:rFonts w:ascii="TimesNewRoman" w:hAnsi="TimesNewRoman" w:cs="TimesNewRoman"/>
          <w:sz w:val="23"/>
          <w:szCs w:val="23"/>
        </w:rPr>
      </w:pPr>
    </w:p>
    <w:p w14:paraId="3EF8942B" w14:textId="22F72579" w:rsidR="00DD172B" w:rsidRDefault="00DD172B">
      <w:pPr>
        <w:spacing w:after="0" w:line="360" w:lineRule="auto"/>
        <w:ind w:firstLine="708"/>
        <w:jc w:val="both"/>
        <w:rPr>
          <w:rFonts w:ascii="TimesNewRoman" w:hAnsi="TimesNewRoman" w:cs="TimesNewRoman"/>
          <w:sz w:val="23"/>
          <w:szCs w:val="23"/>
        </w:rPr>
      </w:pPr>
    </w:p>
    <w:p w14:paraId="7E654528" w14:textId="1D41879A" w:rsidR="00DD172B" w:rsidRDefault="00DD172B">
      <w:pPr>
        <w:spacing w:after="0" w:line="360" w:lineRule="auto"/>
        <w:ind w:firstLine="708"/>
        <w:jc w:val="both"/>
        <w:rPr>
          <w:rFonts w:ascii="TimesNewRoman" w:hAnsi="TimesNewRoman" w:cs="TimesNewRoman"/>
          <w:sz w:val="23"/>
          <w:szCs w:val="23"/>
        </w:rPr>
      </w:pPr>
    </w:p>
    <w:p w14:paraId="75FBDCFC" w14:textId="574B599A" w:rsidR="00DD172B" w:rsidRDefault="00DD172B">
      <w:pPr>
        <w:spacing w:after="0" w:line="360" w:lineRule="auto"/>
        <w:ind w:firstLine="708"/>
        <w:jc w:val="both"/>
        <w:rPr>
          <w:rFonts w:ascii="TimesNewRoman" w:hAnsi="TimesNewRoman" w:cs="TimesNewRoman"/>
          <w:sz w:val="23"/>
          <w:szCs w:val="23"/>
        </w:rPr>
      </w:pPr>
    </w:p>
    <w:p w14:paraId="00B957C5" w14:textId="77777777" w:rsidR="00DD172B" w:rsidRDefault="00DD172B">
      <w:pPr>
        <w:spacing w:after="0" w:line="360" w:lineRule="auto"/>
        <w:ind w:firstLine="708"/>
        <w:jc w:val="both"/>
        <w:rPr>
          <w:rFonts w:ascii="TimesNewRoman" w:hAnsi="TimesNewRoman" w:cs="TimesNewRoman"/>
          <w:sz w:val="23"/>
          <w:szCs w:val="23"/>
        </w:rPr>
      </w:pPr>
    </w:p>
    <w:p w14:paraId="2FE6B186" w14:textId="77777777" w:rsidR="00471728" w:rsidRDefault="00471728">
      <w:pPr>
        <w:spacing w:after="0" w:line="360" w:lineRule="auto"/>
        <w:ind w:firstLine="708"/>
        <w:jc w:val="both"/>
        <w:rPr>
          <w:rFonts w:ascii="TimesNewRoman" w:hAnsi="TimesNewRoman" w:cs="TimesNewRoman"/>
          <w:sz w:val="23"/>
          <w:szCs w:val="23"/>
        </w:rPr>
      </w:pPr>
    </w:p>
    <w:p w14:paraId="2FE6B187" w14:textId="77777777" w:rsidR="00471728" w:rsidRDefault="00471728">
      <w:pPr>
        <w:spacing w:after="0" w:line="360" w:lineRule="auto"/>
        <w:ind w:firstLine="708"/>
        <w:jc w:val="both"/>
        <w:rPr>
          <w:rFonts w:ascii="TimesNewRoman" w:hAnsi="TimesNewRoman" w:cs="TimesNewRoman"/>
          <w:sz w:val="23"/>
          <w:szCs w:val="23"/>
        </w:rPr>
      </w:pPr>
    </w:p>
    <w:p w14:paraId="2FE6B188" w14:textId="77777777" w:rsidR="00471728" w:rsidRDefault="00471728">
      <w:pPr>
        <w:spacing w:after="0" w:line="360" w:lineRule="auto"/>
        <w:ind w:firstLine="708"/>
        <w:jc w:val="both"/>
        <w:rPr>
          <w:rFonts w:ascii="TimesNewRoman" w:hAnsi="TimesNewRoman" w:cs="TimesNewRoman"/>
          <w:sz w:val="23"/>
          <w:szCs w:val="23"/>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87"/>
        <w:gridCol w:w="567"/>
      </w:tblGrid>
      <w:tr w:rsidR="00471728" w14:paraId="2FE6B18C" w14:textId="77777777">
        <w:trPr>
          <w:trHeight w:val="361"/>
        </w:trPr>
        <w:tc>
          <w:tcPr>
            <w:tcW w:w="8787" w:type="dxa"/>
            <w:vMerge w:val="restart"/>
          </w:tcPr>
          <w:p w14:paraId="2FE6B189" w14:textId="77777777" w:rsidR="00471728" w:rsidRDefault="006415EC">
            <w:pPr>
              <w:spacing w:line="20" w:lineRule="atLeast"/>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p w14:paraId="2FE6B18A" w14:textId="77777777" w:rsidR="00471728" w:rsidRDefault="00471728">
            <w:pPr>
              <w:spacing w:line="20" w:lineRule="atLeast"/>
              <w:jc w:val="center"/>
              <w:rPr>
                <w:rFonts w:ascii="Times New Roman" w:hAnsi="Times New Roman" w:cs="Times New Roman"/>
                <w:b/>
                <w:bCs/>
                <w:sz w:val="28"/>
                <w:szCs w:val="28"/>
              </w:rPr>
            </w:pPr>
          </w:p>
        </w:tc>
        <w:tc>
          <w:tcPr>
            <w:tcW w:w="567" w:type="dxa"/>
            <w:vMerge w:val="restart"/>
          </w:tcPr>
          <w:p w14:paraId="2FE6B18B" w14:textId="77777777" w:rsidR="00471728" w:rsidRDefault="00471728">
            <w:pPr>
              <w:spacing w:line="20" w:lineRule="atLeast"/>
              <w:jc w:val="right"/>
              <w:rPr>
                <w:rFonts w:ascii="Times New Roman" w:hAnsi="Times New Roman" w:cs="Times New Roman"/>
                <w:b/>
                <w:bCs/>
                <w:sz w:val="28"/>
                <w:szCs w:val="28"/>
              </w:rPr>
            </w:pPr>
          </w:p>
        </w:tc>
      </w:tr>
      <w:tr w:rsidR="00471728" w14:paraId="2FE6B18F" w14:textId="77777777">
        <w:tc>
          <w:tcPr>
            <w:tcW w:w="8787" w:type="dxa"/>
          </w:tcPr>
          <w:p w14:paraId="2FE6B18D" w14:textId="77777777" w:rsidR="00471728" w:rsidRDefault="006415EC">
            <w:pPr>
              <w:spacing w:line="20" w:lineRule="atLeast"/>
              <w:rPr>
                <w:rFonts w:ascii="Times New Roman" w:hAnsi="Times New Roman" w:cs="Times New Roman"/>
                <w:sz w:val="28"/>
                <w:szCs w:val="28"/>
              </w:rPr>
            </w:pPr>
            <w:r>
              <w:rPr>
                <w:rFonts w:ascii="Times New Roman" w:hAnsi="Times New Roman" w:cs="Times New Roman"/>
                <w:sz w:val="28"/>
                <w:szCs w:val="28"/>
              </w:rPr>
              <w:t>ВСТУП............................................................................................................</w:t>
            </w:r>
          </w:p>
        </w:tc>
        <w:tc>
          <w:tcPr>
            <w:tcW w:w="567" w:type="dxa"/>
          </w:tcPr>
          <w:p w14:paraId="2FE6B18E"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6</w:t>
            </w:r>
          </w:p>
        </w:tc>
      </w:tr>
      <w:tr w:rsidR="00471728" w14:paraId="2FE6B196" w14:textId="77777777">
        <w:tc>
          <w:tcPr>
            <w:tcW w:w="8787" w:type="dxa"/>
          </w:tcPr>
          <w:p w14:paraId="2FE6B190" w14:textId="77777777" w:rsidR="00471728" w:rsidRDefault="00471728">
            <w:pPr>
              <w:spacing w:line="20" w:lineRule="atLeast"/>
              <w:rPr>
                <w:rFonts w:ascii="Times New Roman" w:hAnsi="Times New Roman" w:cs="Times New Roman"/>
                <w:sz w:val="28"/>
                <w:szCs w:val="28"/>
              </w:rPr>
            </w:pPr>
          </w:p>
          <w:p w14:paraId="2FE6B191" w14:textId="0EBC94E8" w:rsidR="00471728" w:rsidRDefault="00574815">
            <w:pPr>
              <w:spacing w:line="20" w:lineRule="atLeast"/>
              <w:rPr>
                <w:rFonts w:ascii="Times New Roman" w:hAnsi="Times New Roman" w:cs="Times New Roman"/>
                <w:sz w:val="28"/>
                <w:szCs w:val="28"/>
              </w:rPr>
            </w:pPr>
            <w:r>
              <w:rPr>
                <w:rFonts w:ascii="Times New Roman" w:hAnsi="Times New Roman" w:cs="Times New Roman"/>
                <w:sz w:val="28"/>
                <w:szCs w:val="28"/>
              </w:rPr>
              <w:t>РОЗДІЛ 1. ТЕОРЕТИКО-МЕТОДИ</w:t>
            </w:r>
            <w:r w:rsidR="006415EC">
              <w:rPr>
                <w:rFonts w:ascii="Times New Roman" w:hAnsi="Times New Roman" w:cs="Times New Roman"/>
                <w:sz w:val="28"/>
                <w:szCs w:val="28"/>
              </w:rPr>
              <w:t>ЧНІ ЗАСАДИ ПРИЙНЯТТЯ ТА РЕАЛІЗАЦІЇ УПРАВЛІНСЬКИХ РІШЕНЬ У СИСТЕМІ ОХОРОНИ ЗДОРОВ’Я...............................................................................</w:t>
            </w:r>
            <w:r w:rsidR="00DD172B">
              <w:rPr>
                <w:rFonts w:ascii="Times New Roman" w:hAnsi="Times New Roman" w:cs="Times New Roman"/>
                <w:sz w:val="28"/>
                <w:szCs w:val="28"/>
              </w:rPr>
              <w:t>.......................</w:t>
            </w:r>
            <w:r w:rsidR="006415EC">
              <w:rPr>
                <w:rFonts w:ascii="Times New Roman" w:hAnsi="Times New Roman" w:cs="Times New Roman"/>
                <w:sz w:val="28"/>
                <w:szCs w:val="28"/>
              </w:rPr>
              <w:t xml:space="preserve">        </w:t>
            </w:r>
          </w:p>
        </w:tc>
        <w:tc>
          <w:tcPr>
            <w:tcW w:w="567" w:type="dxa"/>
          </w:tcPr>
          <w:p w14:paraId="2FE6B192" w14:textId="77777777" w:rsidR="00471728" w:rsidRDefault="00471728">
            <w:pPr>
              <w:spacing w:line="20" w:lineRule="atLeast"/>
              <w:jc w:val="right"/>
              <w:rPr>
                <w:rFonts w:ascii="Times New Roman" w:hAnsi="Times New Roman" w:cs="Times New Roman"/>
                <w:bCs/>
                <w:sz w:val="28"/>
                <w:szCs w:val="28"/>
              </w:rPr>
            </w:pPr>
          </w:p>
          <w:p w14:paraId="2FE6B193" w14:textId="77777777" w:rsidR="00471728" w:rsidRDefault="00471728">
            <w:pPr>
              <w:spacing w:line="20" w:lineRule="atLeast"/>
              <w:jc w:val="right"/>
              <w:rPr>
                <w:rFonts w:ascii="Times New Roman" w:hAnsi="Times New Roman" w:cs="Times New Roman"/>
                <w:bCs/>
                <w:sz w:val="28"/>
                <w:szCs w:val="28"/>
              </w:rPr>
            </w:pPr>
          </w:p>
          <w:p w14:paraId="2FE6B194" w14:textId="77777777" w:rsidR="00471728" w:rsidRDefault="00471728">
            <w:pPr>
              <w:spacing w:line="20" w:lineRule="atLeast"/>
              <w:jc w:val="right"/>
              <w:rPr>
                <w:rFonts w:ascii="Times New Roman" w:hAnsi="Times New Roman" w:cs="Times New Roman"/>
                <w:bCs/>
                <w:sz w:val="28"/>
                <w:szCs w:val="28"/>
              </w:rPr>
            </w:pPr>
          </w:p>
          <w:p w14:paraId="2FE6B195"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10</w:t>
            </w:r>
          </w:p>
        </w:tc>
      </w:tr>
      <w:tr w:rsidR="00471728" w14:paraId="2FE6B19A" w14:textId="77777777">
        <w:tc>
          <w:tcPr>
            <w:tcW w:w="8787" w:type="dxa"/>
          </w:tcPr>
          <w:p w14:paraId="2FE6B197" w14:textId="585A9EC7" w:rsidR="00471728" w:rsidRDefault="006415EC" w:rsidP="00574815">
            <w:pPr>
              <w:spacing w:line="20" w:lineRule="atLeast"/>
              <w:jc w:val="both"/>
              <w:rPr>
                <w:rFonts w:ascii="Times New Roman" w:hAnsi="Times New Roman" w:cs="Times New Roman"/>
                <w:sz w:val="28"/>
                <w:szCs w:val="28"/>
              </w:rPr>
            </w:pPr>
            <w:r>
              <w:rPr>
                <w:rFonts w:ascii="Times New Roman" w:hAnsi="Times New Roman" w:cs="Times New Roman"/>
                <w:sz w:val="28"/>
                <w:szCs w:val="28"/>
              </w:rPr>
              <w:t>1.1. Управлінське рішення як складова менеджменту у системі охорони здоров’я............................................................................</w:t>
            </w:r>
            <w:r w:rsidR="00574815">
              <w:rPr>
                <w:rFonts w:ascii="Times New Roman" w:hAnsi="Times New Roman" w:cs="Times New Roman"/>
                <w:sz w:val="28"/>
                <w:szCs w:val="28"/>
              </w:rPr>
              <w:t>...............................</w:t>
            </w:r>
          </w:p>
        </w:tc>
        <w:tc>
          <w:tcPr>
            <w:tcW w:w="567" w:type="dxa"/>
          </w:tcPr>
          <w:p w14:paraId="2FE6B198" w14:textId="77777777" w:rsidR="00471728" w:rsidRDefault="00471728">
            <w:pPr>
              <w:spacing w:line="20" w:lineRule="atLeast"/>
              <w:jc w:val="right"/>
              <w:rPr>
                <w:rFonts w:ascii="Times New Roman" w:hAnsi="Times New Roman" w:cs="Times New Roman"/>
                <w:bCs/>
                <w:sz w:val="28"/>
                <w:szCs w:val="28"/>
              </w:rPr>
            </w:pPr>
          </w:p>
          <w:p w14:paraId="2FE6B199"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10</w:t>
            </w:r>
          </w:p>
        </w:tc>
      </w:tr>
      <w:tr w:rsidR="00471728" w14:paraId="2FE6B19E" w14:textId="77777777">
        <w:tc>
          <w:tcPr>
            <w:tcW w:w="8787" w:type="dxa"/>
          </w:tcPr>
          <w:p w14:paraId="2FE6B19B" w14:textId="5E8CBC5E" w:rsidR="00471728" w:rsidRDefault="006415EC">
            <w:pPr>
              <w:spacing w:line="20" w:lineRule="atLeast"/>
              <w:jc w:val="both"/>
              <w:rPr>
                <w:rFonts w:ascii="Times New Roman" w:hAnsi="Times New Roman" w:cs="Times New Roman"/>
                <w:sz w:val="28"/>
                <w:szCs w:val="28"/>
              </w:rPr>
            </w:pPr>
            <w:r>
              <w:rPr>
                <w:rFonts w:ascii="Times New Roman" w:hAnsi="Times New Roman" w:cs="Times New Roman"/>
                <w:sz w:val="28"/>
                <w:szCs w:val="28"/>
              </w:rPr>
              <w:t>1.2. Класифікація і типологія управлінських рішень</w:t>
            </w:r>
            <w:r>
              <w:rPr>
                <w:rFonts w:ascii="Times New Roman" w:hAnsi="Times New Roman" w:cs="Times New Roman"/>
                <w:sz w:val="28"/>
                <w:szCs w:val="28"/>
                <w:lang w:val="ru-RU"/>
              </w:rPr>
              <w:t>, ф</w:t>
            </w:r>
            <w:r>
              <w:rPr>
                <w:rFonts w:ascii="Times New Roman" w:hAnsi="Times New Roman" w:cs="Times New Roman"/>
                <w:sz w:val="28"/>
                <w:szCs w:val="28"/>
              </w:rPr>
              <w:t xml:space="preserve">орми </w:t>
            </w:r>
            <w:r>
              <w:rPr>
                <w:rFonts w:ascii="Times New Roman" w:hAnsi="Times New Roman" w:cs="Times New Roman"/>
                <w:sz w:val="28"/>
                <w:szCs w:val="28"/>
                <w:lang w:val="ru-RU"/>
              </w:rPr>
              <w:t xml:space="preserve">їх </w:t>
            </w:r>
            <w:r>
              <w:rPr>
                <w:rFonts w:ascii="Times New Roman" w:hAnsi="Times New Roman" w:cs="Times New Roman"/>
                <w:sz w:val="28"/>
                <w:szCs w:val="28"/>
              </w:rPr>
              <w:t>розробки і прийняття....................................................................................................</w:t>
            </w:r>
            <w:r w:rsidR="00DD172B">
              <w:rPr>
                <w:rFonts w:ascii="Times New Roman" w:hAnsi="Times New Roman" w:cs="Times New Roman"/>
                <w:sz w:val="28"/>
                <w:szCs w:val="28"/>
              </w:rPr>
              <w:t>.</w:t>
            </w:r>
          </w:p>
        </w:tc>
        <w:tc>
          <w:tcPr>
            <w:tcW w:w="567" w:type="dxa"/>
          </w:tcPr>
          <w:p w14:paraId="2FE6B19C" w14:textId="77777777" w:rsidR="00471728" w:rsidRDefault="00471728">
            <w:pPr>
              <w:spacing w:line="20" w:lineRule="atLeast"/>
              <w:jc w:val="right"/>
              <w:rPr>
                <w:rFonts w:ascii="Times New Roman" w:hAnsi="Times New Roman" w:cs="Times New Roman"/>
                <w:bCs/>
                <w:sz w:val="28"/>
                <w:szCs w:val="28"/>
              </w:rPr>
            </w:pPr>
          </w:p>
          <w:p w14:paraId="2FE6B19D"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19</w:t>
            </w:r>
          </w:p>
        </w:tc>
      </w:tr>
      <w:tr w:rsidR="00471728" w14:paraId="2FE6B1A4" w14:textId="77777777">
        <w:tc>
          <w:tcPr>
            <w:tcW w:w="8787" w:type="dxa"/>
          </w:tcPr>
          <w:p w14:paraId="2FE6B19F" w14:textId="77777777" w:rsidR="00471728" w:rsidRDefault="006415EC">
            <w:pPr>
              <w:spacing w:line="20" w:lineRule="atLeast"/>
              <w:jc w:val="both"/>
              <w:rPr>
                <w:rFonts w:ascii="Times New Roman" w:hAnsi="Times New Roman" w:cs="Times New Roman"/>
                <w:sz w:val="28"/>
                <w:szCs w:val="28"/>
              </w:rPr>
            </w:pPr>
            <w:r>
              <w:rPr>
                <w:rFonts w:ascii="Times New Roman" w:hAnsi="Times New Roman" w:cs="Times New Roman"/>
                <w:sz w:val="28"/>
                <w:szCs w:val="28"/>
              </w:rPr>
              <w:t>1.3. Особливості процесу прийняття та реалізації управлінських рішень в медичному закладі в сучасних умовах.......................................................</w:t>
            </w:r>
          </w:p>
          <w:p w14:paraId="2FE6B1A0" w14:textId="77777777" w:rsidR="00471728" w:rsidRDefault="006415EC">
            <w:pPr>
              <w:spacing w:line="20" w:lineRule="atLeast"/>
              <w:jc w:val="both"/>
              <w:rPr>
                <w:rFonts w:ascii="Times New Roman" w:hAnsi="Times New Roman" w:cs="Times New Roman"/>
                <w:sz w:val="28"/>
                <w:szCs w:val="28"/>
              </w:rPr>
            </w:pPr>
            <w:r>
              <w:rPr>
                <w:rFonts w:ascii="Times New Roman" w:hAnsi="Times New Roman" w:cs="Times New Roman"/>
                <w:sz w:val="28"/>
                <w:szCs w:val="28"/>
              </w:rPr>
              <w:t>Висновок до розділу 1....................................................................................</w:t>
            </w:r>
          </w:p>
        </w:tc>
        <w:tc>
          <w:tcPr>
            <w:tcW w:w="567" w:type="dxa"/>
          </w:tcPr>
          <w:p w14:paraId="2FE6B1A1" w14:textId="77777777" w:rsidR="00471728" w:rsidRDefault="00471728">
            <w:pPr>
              <w:spacing w:line="20" w:lineRule="atLeast"/>
              <w:jc w:val="right"/>
              <w:rPr>
                <w:rFonts w:ascii="Times New Roman" w:hAnsi="Times New Roman" w:cs="Times New Roman"/>
                <w:bCs/>
                <w:sz w:val="28"/>
                <w:szCs w:val="28"/>
              </w:rPr>
            </w:pPr>
          </w:p>
          <w:p w14:paraId="2FE6B1A2"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24</w:t>
            </w:r>
          </w:p>
          <w:p w14:paraId="2FE6B1A3"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29</w:t>
            </w:r>
          </w:p>
        </w:tc>
      </w:tr>
      <w:tr w:rsidR="00471728" w14:paraId="2FE6B1B6" w14:textId="77777777">
        <w:tc>
          <w:tcPr>
            <w:tcW w:w="8787" w:type="dxa"/>
          </w:tcPr>
          <w:p w14:paraId="2FE6B1A5" w14:textId="77777777" w:rsidR="00471728" w:rsidRDefault="00471728">
            <w:pPr>
              <w:spacing w:line="20" w:lineRule="atLeast"/>
              <w:rPr>
                <w:rFonts w:ascii="Times New Roman" w:hAnsi="Times New Roman" w:cs="Times New Roman"/>
                <w:sz w:val="28"/>
                <w:szCs w:val="28"/>
              </w:rPr>
            </w:pPr>
          </w:p>
          <w:p w14:paraId="2FE6B1A6" w14:textId="63E5190B" w:rsidR="00471728" w:rsidRDefault="006415EC">
            <w:pPr>
              <w:spacing w:line="20" w:lineRule="atLeas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2. ВПЛИВ </w:t>
            </w:r>
            <w:r w:rsidR="006C10F4">
              <w:rPr>
                <w:rFonts w:ascii="Times New Roman" w:eastAsia="Times New Roman" w:hAnsi="Times New Roman" w:cs="Times New Roman"/>
                <w:sz w:val="28"/>
                <w:szCs w:val="28"/>
              </w:rPr>
              <w:t>СИСТЕМИ УПРАВЛІННЯ ТА ЇЇ</w:t>
            </w:r>
            <w:r>
              <w:rPr>
                <w:rFonts w:ascii="Times New Roman" w:eastAsia="Times New Roman" w:hAnsi="Times New Roman" w:cs="Times New Roman"/>
                <w:sz w:val="28"/>
                <w:szCs w:val="28"/>
              </w:rPr>
              <w:t xml:space="preserve"> УПРАВЛІНСЬКИХ РІШЕНЬ НА РОЗВИТОК МЕДИЧНОГО ЗАКЛАДУ (НА ПРИКЛАДІ КНП «МКЛ №10» ОМР).............</w:t>
            </w:r>
            <w:r w:rsidR="006C10F4">
              <w:rPr>
                <w:rFonts w:ascii="Times New Roman" w:eastAsia="Times New Roman" w:hAnsi="Times New Roman" w:cs="Times New Roman"/>
                <w:sz w:val="28"/>
                <w:szCs w:val="28"/>
              </w:rPr>
              <w:t>..................</w:t>
            </w:r>
          </w:p>
          <w:p w14:paraId="2FE6B1A8" w14:textId="374305F2" w:rsidR="00471728" w:rsidRDefault="006415EC">
            <w:pPr>
              <w:spacing w:line="20" w:lineRule="atLeast"/>
              <w:jc w:val="both"/>
              <w:rPr>
                <w:rFonts w:ascii="Times New Roman" w:hAnsi="Times New Roman" w:cs="Times New Roman"/>
                <w:sz w:val="28"/>
                <w:szCs w:val="28"/>
              </w:rPr>
            </w:pPr>
            <w:r>
              <w:rPr>
                <w:rFonts w:ascii="Times New Roman" w:hAnsi="Times New Roman" w:cs="Times New Roman"/>
                <w:sz w:val="28"/>
                <w:szCs w:val="28"/>
              </w:rPr>
              <w:t>2.</w:t>
            </w:r>
            <w:r w:rsidR="006C10F4">
              <w:rPr>
                <w:rFonts w:ascii="Times New Roman" w:hAnsi="Times New Roman" w:cs="Times New Roman"/>
                <w:sz w:val="28"/>
                <w:szCs w:val="28"/>
              </w:rPr>
              <w:t>1</w:t>
            </w:r>
            <w:r>
              <w:rPr>
                <w:rFonts w:ascii="Times New Roman" w:hAnsi="Times New Roman" w:cs="Times New Roman"/>
                <w:sz w:val="28"/>
                <w:szCs w:val="28"/>
              </w:rPr>
              <w:t>. Загальна характеристика Комунального некомерційного підприємства «Міська клінічна лікарня №10» Одеської міської ради....</w:t>
            </w:r>
          </w:p>
          <w:p w14:paraId="2147DAAD" w14:textId="7932F2BB" w:rsidR="006C10F4" w:rsidRDefault="006C10F4">
            <w:pPr>
              <w:spacing w:line="20" w:lineRule="atLeast"/>
              <w:jc w:val="both"/>
              <w:rPr>
                <w:rFonts w:ascii="Times New Roman" w:hAnsi="Times New Roman" w:cs="Times New Roman"/>
                <w:sz w:val="28"/>
                <w:szCs w:val="28"/>
              </w:rPr>
            </w:pPr>
            <w:r>
              <w:rPr>
                <w:rFonts w:ascii="Times New Roman" w:hAnsi="Times New Roman" w:cs="Times New Roman"/>
                <w:sz w:val="28"/>
                <w:szCs w:val="28"/>
              </w:rPr>
              <w:t xml:space="preserve">2.2. </w:t>
            </w:r>
            <w:r w:rsidR="006D2299" w:rsidRPr="006D2299">
              <w:rPr>
                <w:rFonts w:ascii="Times New Roman" w:hAnsi="Times New Roman" w:cs="Times New Roman"/>
                <w:sz w:val="28"/>
                <w:szCs w:val="28"/>
              </w:rPr>
              <w:t xml:space="preserve">Аналіз системи управління у КНП «МКЛ № 10» ОМР та забезпечення його роботи в період воєнного стану </w:t>
            </w:r>
            <w:r w:rsidR="006D2299">
              <w:rPr>
                <w:rFonts w:ascii="Times New Roman" w:hAnsi="Times New Roman" w:cs="Times New Roman"/>
                <w:sz w:val="28"/>
                <w:szCs w:val="28"/>
              </w:rPr>
              <w:t>……..</w:t>
            </w:r>
            <w:r>
              <w:rPr>
                <w:rFonts w:ascii="Times New Roman" w:hAnsi="Times New Roman" w:cs="Times New Roman"/>
                <w:sz w:val="28"/>
                <w:szCs w:val="28"/>
              </w:rPr>
              <w:t>………………</w:t>
            </w:r>
            <w:r w:rsidR="00DD172B">
              <w:rPr>
                <w:rFonts w:ascii="Times New Roman" w:hAnsi="Times New Roman" w:cs="Times New Roman"/>
                <w:sz w:val="28"/>
                <w:szCs w:val="28"/>
              </w:rPr>
              <w:t>..</w:t>
            </w:r>
          </w:p>
          <w:p w14:paraId="2FE6B1A9" w14:textId="4AE1B767" w:rsidR="00471728" w:rsidRDefault="006415EC">
            <w:pPr>
              <w:pStyle w:val="aff4"/>
              <w:tabs>
                <w:tab w:val="left" w:pos="993"/>
              </w:tabs>
              <w:spacing w:line="20" w:lineRule="atLeast"/>
              <w:ind w:left="0"/>
              <w:jc w:val="both"/>
              <w:rPr>
                <w:rFonts w:ascii="Times New Roman" w:hAnsi="Times New Roman" w:cs="Times New Roman"/>
                <w:sz w:val="28"/>
                <w:szCs w:val="28"/>
              </w:rPr>
            </w:pPr>
            <w:r>
              <w:rPr>
                <w:rFonts w:ascii="Times New Roman" w:hAnsi="Times New Roman" w:cs="Times New Roman"/>
                <w:sz w:val="28"/>
                <w:szCs w:val="28"/>
              </w:rPr>
              <w:t>2.3. Вплив ухвалення ефективних управлінських рішень на перспективи розвитку КНП «МКЛ №10» ОМР...............................................................</w:t>
            </w:r>
            <w:r w:rsidR="00DD172B">
              <w:rPr>
                <w:rFonts w:ascii="Times New Roman" w:hAnsi="Times New Roman" w:cs="Times New Roman"/>
                <w:sz w:val="28"/>
                <w:szCs w:val="28"/>
              </w:rPr>
              <w:t>..</w:t>
            </w:r>
          </w:p>
          <w:p w14:paraId="2FE6B1AA" w14:textId="0C508D84" w:rsidR="00471728" w:rsidRDefault="006415EC">
            <w:pPr>
              <w:spacing w:line="20" w:lineRule="atLeast"/>
              <w:jc w:val="both"/>
              <w:rPr>
                <w:rFonts w:ascii="Times New Roman" w:hAnsi="Times New Roman" w:cs="Times New Roman"/>
                <w:sz w:val="28"/>
                <w:szCs w:val="28"/>
              </w:rPr>
            </w:pPr>
            <w:r>
              <w:rPr>
                <w:rFonts w:ascii="Times New Roman" w:hAnsi="Times New Roman" w:cs="Times New Roman"/>
                <w:sz w:val="28"/>
                <w:szCs w:val="28"/>
              </w:rPr>
              <w:t>Висновок до розділу 2..................................................................................</w:t>
            </w:r>
            <w:r w:rsidR="00DD172B">
              <w:rPr>
                <w:rFonts w:ascii="Times New Roman" w:hAnsi="Times New Roman" w:cs="Times New Roman"/>
                <w:sz w:val="28"/>
                <w:szCs w:val="28"/>
              </w:rPr>
              <w:t>.</w:t>
            </w:r>
            <w:r>
              <w:rPr>
                <w:rFonts w:ascii="Times New Roman" w:hAnsi="Times New Roman" w:cs="Times New Roman"/>
                <w:sz w:val="28"/>
                <w:szCs w:val="28"/>
              </w:rPr>
              <w:t>.</w:t>
            </w:r>
          </w:p>
        </w:tc>
        <w:tc>
          <w:tcPr>
            <w:tcW w:w="567" w:type="dxa"/>
          </w:tcPr>
          <w:p w14:paraId="2FE6B1AB" w14:textId="77777777" w:rsidR="00471728" w:rsidRDefault="00471728">
            <w:pPr>
              <w:spacing w:line="20" w:lineRule="atLeast"/>
              <w:jc w:val="right"/>
              <w:rPr>
                <w:rFonts w:ascii="Times New Roman" w:hAnsi="Times New Roman" w:cs="Times New Roman"/>
                <w:bCs/>
                <w:sz w:val="28"/>
                <w:szCs w:val="28"/>
              </w:rPr>
            </w:pPr>
          </w:p>
          <w:p w14:paraId="2FE6B1AC" w14:textId="77777777" w:rsidR="00471728" w:rsidRDefault="00471728">
            <w:pPr>
              <w:spacing w:line="20" w:lineRule="atLeast"/>
              <w:jc w:val="right"/>
              <w:rPr>
                <w:rFonts w:ascii="Times New Roman" w:hAnsi="Times New Roman" w:cs="Times New Roman"/>
                <w:bCs/>
                <w:sz w:val="28"/>
                <w:szCs w:val="28"/>
              </w:rPr>
            </w:pPr>
          </w:p>
          <w:p w14:paraId="2FE6B1AD" w14:textId="77777777" w:rsidR="00471728" w:rsidRDefault="00471728">
            <w:pPr>
              <w:spacing w:line="20" w:lineRule="atLeast"/>
              <w:jc w:val="right"/>
              <w:rPr>
                <w:rFonts w:ascii="Times New Roman" w:hAnsi="Times New Roman" w:cs="Times New Roman"/>
                <w:bCs/>
                <w:sz w:val="28"/>
                <w:szCs w:val="28"/>
              </w:rPr>
            </w:pPr>
          </w:p>
          <w:p w14:paraId="2FE6B1AE"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32</w:t>
            </w:r>
          </w:p>
          <w:p w14:paraId="2FE6B1AF" w14:textId="77777777" w:rsidR="00471728" w:rsidRDefault="00471728">
            <w:pPr>
              <w:spacing w:line="20" w:lineRule="atLeast"/>
              <w:jc w:val="right"/>
              <w:rPr>
                <w:rFonts w:ascii="Times New Roman" w:hAnsi="Times New Roman" w:cs="Times New Roman"/>
                <w:bCs/>
                <w:sz w:val="28"/>
                <w:szCs w:val="28"/>
              </w:rPr>
            </w:pPr>
          </w:p>
          <w:p w14:paraId="2FE6B1B0" w14:textId="77777777" w:rsidR="00471728" w:rsidRDefault="006415EC">
            <w:pPr>
              <w:spacing w:line="20" w:lineRule="atLeast"/>
              <w:rPr>
                <w:rFonts w:ascii="Times New Roman" w:hAnsi="Times New Roman" w:cs="Times New Roman"/>
                <w:bCs/>
                <w:sz w:val="28"/>
                <w:szCs w:val="28"/>
              </w:rPr>
            </w:pPr>
            <w:r>
              <w:rPr>
                <w:rFonts w:ascii="Times New Roman" w:hAnsi="Times New Roman" w:cs="Times New Roman"/>
                <w:bCs/>
                <w:sz w:val="28"/>
                <w:szCs w:val="28"/>
              </w:rPr>
              <w:t xml:space="preserve"> 32</w:t>
            </w:r>
          </w:p>
          <w:p w14:paraId="2FE6B1B1" w14:textId="77777777" w:rsidR="00471728" w:rsidRDefault="00471728">
            <w:pPr>
              <w:spacing w:line="20" w:lineRule="atLeast"/>
              <w:rPr>
                <w:rFonts w:ascii="Times New Roman" w:hAnsi="Times New Roman" w:cs="Times New Roman"/>
                <w:bCs/>
                <w:sz w:val="28"/>
                <w:szCs w:val="28"/>
              </w:rPr>
            </w:pPr>
          </w:p>
          <w:p w14:paraId="2FE6B1B2" w14:textId="78132403" w:rsidR="00471728" w:rsidRDefault="006415EC">
            <w:pPr>
              <w:spacing w:line="20" w:lineRule="atLeast"/>
              <w:rPr>
                <w:rFonts w:ascii="Times New Roman" w:hAnsi="Times New Roman" w:cs="Times New Roman"/>
                <w:bCs/>
                <w:sz w:val="28"/>
                <w:szCs w:val="28"/>
              </w:rPr>
            </w:pPr>
            <w:r>
              <w:rPr>
                <w:rFonts w:ascii="Times New Roman" w:hAnsi="Times New Roman" w:cs="Times New Roman"/>
                <w:bCs/>
                <w:sz w:val="28"/>
                <w:szCs w:val="28"/>
              </w:rPr>
              <w:t xml:space="preserve"> 4</w:t>
            </w:r>
            <w:r w:rsidR="0005435F">
              <w:rPr>
                <w:rFonts w:ascii="Times New Roman" w:hAnsi="Times New Roman" w:cs="Times New Roman"/>
                <w:bCs/>
                <w:sz w:val="28"/>
                <w:szCs w:val="28"/>
              </w:rPr>
              <w:t>3</w:t>
            </w:r>
          </w:p>
          <w:p w14:paraId="2FE6B1B3" w14:textId="77777777" w:rsidR="00471728" w:rsidRDefault="00471728">
            <w:pPr>
              <w:spacing w:line="20" w:lineRule="atLeast"/>
              <w:rPr>
                <w:rFonts w:ascii="Times New Roman" w:hAnsi="Times New Roman" w:cs="Times New Roman"/>
                <w:bCs/>
                <w:sz w:val="28"/>
                <w:szCs w:val="28"/>
              </w:rPr>
            </w:pPr>
          </w:p>
          <w:p w14:paraId="2FE6B1B4" w14:textId="046BF38B" w:rsidR="00471728" w:rsidRDefault="006415EC">
            <w:pPr>
              <w:spacing w:line="20" w:lineRule="atLeast"/>
              <w:rPr>
                <w:rFonts w:ascii="Times New Roman" w:hAnsi="Times New Roman" w:cs="Times New Roman"/>
                <w:bCs/>
                <w:sz w:val="28"/>
                <w:szCs w:val="28"/>
              </w:rPr>
            </w:pPr>
            <w:r>
              <w:rPr>
                <w:rFonts w:ascii="Times New Roman" w:hAnsi="Times New Roman" w:cs="Times New Roman"/>
                <w:bCs/>
                <w:sz w:val="28"/>
                <w:szCs w:val="28"/>
              </w:rPr>
              <w:t xml:space="preserve"> </w:t>
            </w:r>
            <w:r w:rsidR="0005435F">
              <w:rPr>
                <w:rFonts w:ascii="Times New Roman" w:hAnsi="Times New Roman" w:cs="Times New Roman"/>
                <w:bCs/>
                <w:sz w:val="28"/>
                <w:szCs w:val="28"/>
              </w:rPr>
              <w:t>62</w:t>
            </w:r>
          </w:p>
          <w:p w14:paraId="33A55144" w14:textId="6405503E" w:rsidR="00471728" w:rsidRDefault="0005435F">
            <w:pPr>
              <w:spacing w:line="20" w:lineRule="atLeast"/>
              <w:rPr>
                <w:rFonts w:ascii="Times New Roman" w:hAnsi="Times New Roman" w:cs="Times New Roman"/>
                <w:bCs/>
                <w:sz w:val="28"/>
                <w:szCs w:val="28"/>
              </w:rPr>
            </w:pPr>
            <w:r>
              <w:rPr>
                <w:rFonts w:ascii="Times New Roman" w:hAnsi="Times New Roman" w:cs="Times New Roman"/>
                <w:bCs/>
                <w:sz w:val="28"/>
                <w:szCs w:val="28"/>
              </w:rPr>
              <w:t xml:space="preserve"> 6</w:t>
            </w:r>
            <w:r w:rsidR="006415EC">
              <w:rPr>
                <w:rFonts w:ascii="Times New Roman" w:hAnsi="Times New Roman" w:cs="Times New Roman"/>
                <w:bCs/>
                <w:sz w:val="28"/>
                <w:szCs w:val="28"/>
              </w:rPr>
              <w:t>5</w:t>
            </w:r>
          </w:p>
          <w:p w14:paraId="2FE6B1B5" w14:textId="3CF59015" w:rsidR="0005435F" w:rsidRDefault="0005435F">
            <w:pPr>
              <w:spacing w:line="20" w:lineRule="atLeast"/>
              <w:rPr>
                <w:rFonts w:ascii="Times New Roman" w:hAnsi="Times New Roman" w:cs="Times New Roman"/>
                <w:bCs/>
                <w:sz w:val="28"/>
                <w:szCs w:val="28"/>
              </w:rPr>
            </w:pPr>
          </w:p>
        </w:tc>
      </w:tr>
      <w:tr w:rsidR="00471728" w14:paraId="2FE6B1C9" w14:textId="77777777">
        <w:tc>
          <w:tcPr>
            <w:tcW w:w="8787" w:type="dxa"/>
          </w:tcPr>
          <w:p w14:paraId="2FE6B1B8" w14:textId="33E121DF" w:rsidR="00471728" w:rsidRDefault="006415EC">
            <w:pPr>
              <w:pStyle w:val="aff5"/>
              <w:shd w:val="clear" w:color="auto" w:fill="auto"/>
              <w:tabs>
                <w:tab w:val="left" w:pos="1134"/>
              </w:tabs>
              <w:spacing w:line="20" w:lineRule="atLeast"/>
              <w:ind w:firstLine="0"/>
              <w:rPr>
                <w:sz w:val="28"/>
                <w:szCs w:val="28"/>
              </w:rPr>
            </w:pPr>
            <w:r>
              <w:rPr>
                <w:sz w:val="28"/>
                <w:szCs w:val="28"/>
              </w:rPr>
              <w:t xml:space="preserve">РОЗДІЛ 3. УДОСКОНАЛЕННЯ СИСТЕМИ УПРАВЛІНСЬКИХ РІШЕНЬ У ДІЯЛЬНОСТІ ТА СТРАТЕГІЧНОМУ РОЗВИТКУ КНП </w:t>
            </w:r>
            <w:r>
              <w:rPr>
                <w:sz w:val="28"/>
                <w:szCs w:val="28"/>
                <w:lang w:val="ru-RU"/>
              </w:rPr>
              <w:t>«</w:t>
            </w:r>
            <w:r>
              <w:rPr>
                <w:sz w:val="28"/>
                <w:szCs w:val="28"/>
              </w:rPr>
              <w:t>МКЛ №10» ОМР......................................................................................</w:t>
            </w:r>
            <w:r w:rsidR="00DD172B">
              <w:rPr>
                <w:sz w:val="28"/>
                <w:szCs w:val="28"/>
              </w:rPr>
              <w:t>...</w:t>
            </w:r>
            <w:r>
              <w:rPr>
                <w:sz w:val="28"/>
                <w:szCs w:val="28"/>
              </w:rPr>
              <w:t>..</w:t>
            </w:r>
          </w:p>
          <w:p w14:paraId="2FE6B1BA" w14:textId="5550A4C1" w:rsidR="00471728" w:rsidRDefault="006415EC" w:rsidP="006C10F4">
            <w:pPr>
              <w:pStyle w:val="aff5"/>
              <w:shd w:val="clear" w:color="auto" w:fill="auto"/>
              <w:tabs>
                <w:tab w:val="left" w:pos="1134"/>
              </w:tabs>
              <w:spacing w:line="20" w:lineRule="atLeast"/>
              <w:ind w:firstLine="0"/>
              <w:rPr>
                <w:sz w:val="28"/>
                <w:szCs w:val="28"/>
              </w:rPr>
            </w:pPr>
            <w:r>
              <w:rPr>
                <w:sz w:val="28"/>
                <w:szCs w:val="28"/>
              </w:rPr>
              <w:t>3.1</w:t>
            </w:r>
            <w:r w:rsidR="006C10F4">
              <w:rPr>
                <w:sz w:val="28"/>
                <w:szCs w:val="28"/>
              </w:rPr>
              <w:t xml:space="preserve">. </w:t>
            </w:r>
            <w:r w:rsidR="006507D0" w:rsidRPr="006507D0">
              <w:rPr>
                <w:sz w:val="28"/>
                <w:szCs w:val="28"/>
              </w:rPr>
              <w:t xml:space="preserve">Роль управлінських компетенцій керівника у формуванні та реалізації дієвих рішень в діяльності закладу охорони здоров’я </w:t>
            </w:r>
            <w:r w:rsidR="006507D0">
              <w:rPr>
                <w:sz w:val="28"/>
                <w:szCs w:val="28"/>
              </w:rPr>
              <w:t>………</w:t>
            </w:r>
            <w:r w:rsidR="00DD172B">
              <w:rPr>
                <w:sz w:val="28"/>
                <w:szCs w:val="28"/>
              </w:rPr>
              <w:t>.</w:t>
            </w:r>
          </w:p>
          <w:p w14:paraId="2FE6B1BB" w14:textId="609E5C90" w:rsidR="00471728" w:rsidRDefault="006415EC">
            <w:pPr>
              <w:pStyle w:val="aff5"/>
              <w:shd w:val="clear" w:color="auto" w:fill="auto"/>
              <w:spacing w:line="20" w:lineRule="atLeast"/>
              <w:ind w:firstLine="0"/>
              <w:jc w:val="both"/>
              <w:rPr>
                <w:sz w:val="28"/>
                <w:szCs w:val="28"/>
              </w:rPr>
            </w:pPr>
            <w:r>
              <w:rPr>
                <w:sz w:val="28"/>
                <w:szCs w:val="28"/>
              </w:rPr>
              <w:t>3.</w:t>
            </w:r>
            <w:r w:rsidR="006507D0">
              <w:rPr>
                <w:sz w:val="28"/>
                <w:szCs w:val="28"/>
              </w:rPr>
              <w:t>2</w:t>
            </w:r>
            <w:r>
              <w:rPr>
                <w:sz w:val="28"/>
                <w:szCs w:val="28"/>
              </w:rPr>
              <w:t>. Стратегічні та інноваційні пропозиції подальшого розвитку КНП «МКЛ №10» ОМР на основі оптимізації управлінських рішень............</w:t>
            </w:r>
            <w:r w:rsidR="00DD172B">
              <w:rPr>
                <w:sz w:val="28"/>
                <w:szCs w:val="28"/>
              </w:rPr>
              <w:t>...</w:t>
            </w:r>
          </w:p>
          <w:p w14:paraId="2FE6B1BC" w14:textId="77777777" w:rsidR="00471728" w:rsidRDefault="006415EC">
            <w:pPr>
              <w:spacing w:line="20" w:lineRule="atLeast"/>
              <w:jc w:val="both"/>
              <w:rPr>
                <w:rFonts w:ascii="Times New Roman" w:hAnsi="Times New Roman" w:cs="Times New Roman"/>
                <w:sz w:val="28"/>
                <w:szCs w:val="28"/>
              </w:rPr>
            </w:pPr>
            <w:r>
              <w:rPr>
                <w:rFonts w:ascii="Times New Roman" w:hAnsi="Times New Roman" w:cs="Times New Roman"/>
                <w:sz w:val="28"/>
                <w:szCs w:val="28"/>
              </w:rPr>
              <w:t>Висновок до розділу 3....................................................................................</w:t>
            </w:r>
          </w:p>
        </w:tc>
        <w:tc>
          <w:tcPr>
            <w:tcW w:w="567" w:type="dxa"/>
          </w:tcPr>
          <w:p w14:paraId="2FE6B1BD" w14:textId="77777777" w:rsidR="00471728" w:rsidRDefault="00471728">
            <w:pPr>
              <w:spacing w:line="20" w:lineRule="atLeast"/>
              <w:jc w:val="right"/>
              <w:rPr>
                <w:rFonts w:ascii="Times New Roman" w:hAnsi="Times New Roman" w:cs="Times New Roman"/>
                <w:bCs/>
                <w:sz w:val="28"/>
                <w:szCs w:val="28"/>
              </w:rPr>
            </w:pPr>
          </w:p>
          <w:p w14:paraId="2FE6B1BF" w14:textId="77777777" w:rsidR="00471728" w:rsidRDefault="00471728">
            <w:pPr>
              <w:spacing w:line="20" w:lineRule="atLeast"/>
              <w:jc w:val="right"/>
              <w:rPr>
                <w:rFonts w:ascii="Times New Roman" w:hAnsi="Times New Roman" w:cs="Times New Roman"/>
                <w:bCs/>
                <w:sz w:val="28"/>
                <w:szCs w:val="28"/>
              </w:rPr>
            </w:pPr>
          </w:p>
          <w:p w14:paraId="2FE6B1C0" w14:textId="7004C50F" w:rsidR="00471728" w:rsidRDefault="0005435F">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6</w:t>
            </w:r>
            <w:r w:rsidR="006415EC">
              <w:rPr>
                <w:rFonts w:ascii="Times New Roman" w:hAnsi="Times New Roman" w:cs="Times New Roman"/>
                <w:bCs/>
                <w:sz w:val="28"/>
                <w:szCs w:val="28"/>
              </w:rPr>
              <w:t>8</w:t>
            </w:r>
          </w:p>
          <w:p w14:paraId="2FE6B1C1" w14:textId="77777777" w:rsidR="00471728" w:rsidRDefault="00471728">
            <w:pPr>
              <w:spacing w:line="20" w:lineRule="atLeast"/>
              <w:jc w:val="right"/>
              <w:rPr>
                <w:rFonts w:ascii="Times New Roman" w:hAnsi="Times New Roman" w:cs="Times New Roman"/>
                <w:bCs/>
                <w:sz w:val="28"/>
                <w:szCs w:val="28"/>
              </w:rPr>
            </w:pPr>
          </w:p>
          <w:p w14:paraId="2FE6B1C2" w14:textId="7BA9BDD0" w:rsidR="00471728" w:rsidRDefault="0005435F">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6</w:t>
            </w:r>
            <w:r w:rsidR="006415EC">
              <w:rPr>
                <w:rFonts w:ascii="Times New Roman" w:hAnsi="Times New Roman" w:cs="Times New Roman"/>
                <w:bCs/>
                <w:sz w:val="28"/>
                <w:szCs w:val="28"/>
              </w:rPr>
              <w:t>8</w:t>
            </w:r>
          </w:p>
          <w:p w14:paraId="2FE6B1C3" w14:textId="77777777" w:rsidR="00471728" w:rsidRDefault="00471728">
            <w:pPr>
              <w:spacing w:line="20" w:lineRule="atLeast"/>
              <w:jc w:val="right"/>
              <w:rPr>
                <w:rFonts w:ascii="Times New Roman" w:hAnsi="Times New Roman" w:cs="Times New Roman"/>
                <w:bCs/>
                <w:sz w:val="28"/>
                <w:szCs w:val="28"/>
              </w:rPr>
            </w:pPr>
          </w:p>
          <w:p w14:paraId="2FE6B1C6"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77</w:t>
            </w:r>
          </w:p>
          <w:p w14:paraId="2FE6B1C7" w14:textId="2D3D6B2B" w:rsidR="00471728" w:rsidRDefault="0005435F">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80</w:t>
            </w:r>
          </w:p>
          <w:p w14:paraId="2FE6B1C8" w14:textId="77777777" w:rsidR="00471728" w:rsidRDefault="00471728">
            <w:pPr>
              <w:spacing w:line="20" w:lineRule="atLeast"/>
              <w:rPr>
                <w:rFonts w:ascii="Times New Roman" w:hAnsi="Times New Roman" w:cs="Times New Roman"/>
                <w:bCs/>
                <w:sz w:val="28"/>
                <w:szCs w:val="28"/>
              </w:rPr>
            </w:pPr>
          </w:p>
        </w:tc>
      </w:tr>
      <w:tr w:rsidR="00471728" w14:paraId="2FE6B1D4" w14:textId="77777777">
        <w:tc>
          <w:tcPr>
            <w:tcW w:w="8787" w:type="dxa"/>
          </w:tcPr>
          <w:p w14:paraId="2FE6B1CA" w14:textId="1F098771" w:rsidR="00471728" w:rsidRDefault="006415EC">
            <w:pPr>
              <w:spacing w:line="20" w:lineRule="atLeast"/>
              <w:rPr>
                <w:rFonts w:ascii="Times New Roman" w:hAnsi="Times New Roman" w:cs="Times New Roman"/>
                <w:sz w:val="28"/>
                <w:szCs w:val="28"/>
              </w:rPr>
            </w:pPr>
            <w:r>
              <w:rPr>
                <w:rFonts w:ascii="Times New Roman" w:hAnsi="Times New Roman" w:cs="Times New Roman"/>
                <w:sz w:val="28"/>
                <w:szCs w:val="28"/>
              </w:rPr>
              <w:t>ВИСНОВКИ...................................................................................................</w:t>
            </w:r>
            <w:r w:rsidR="00DD172B">
              <w:rPr>
                <w:rFonts w:ascii="Times New Roman" w:hAnsi="Times New Roman" w:cs="Times New Roman"/>
                <w:sz w:val="28"/>
                <w:szCs w:val="28"/>
              </w:rPr>
              <w:t>.</w:t>
            </w:r>
          </w:p>
          <w:p w14:paraId="2FE6B1CB" w14:textId="77777777" w:rsidR="00471728" w:rsidRDefault="00471728">
            <w:pPr>
              <w:spacing w:line="20" w:lineRule="atLeast"/>
              <w:jc w:val="both"/>
              <w:rPr>
                <w:rFonts w:ascii="Times New Roman" w:eastAsia="Microsoft YaHei" w:hAnsi="Times New Roman" w:cs="Times New Roman"/>
                <w:sz w:val="28"/>
                <w:szCs w:val="28"/>
              </w:rPr>
            </w:pPr>
          </w:p>
          <w:p w14:paraId="2FE6B1CC" w14:textId="395E7125" w:rsidR="00471728" w:rsidRDefault="006415EC">
            <w:pPr>
              <w:spacing w:line="20" w:lineRule="atLeast"/>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СПИСОК ЛІТЕРАТУРИ...............................................................................</w:t>
            </w:r>
            <w:r w:rsidR="00DD172B">
              <w:rPr>
                <w:rFonts w:ascii="Times New Roman" w:eastAsia="Microsoft YaHei" w:hAnsi="Times New Roman" w:cs="Times New Roman"/>
                <w:sz w:val="28"/>
                <w:szCs w:val="28"/>
              </w:rPr>
              <w:t>.</w:t>
            </w:r>
          </w:p>
          <w:p w14:paraId="2FE6B1CD" w14:textId="77777777" w:rsidR="00471728" w:rsidRDefault="00471728">
            <w:pPr>
              <w:spacing w:line="20" w:lineRule="atLeast"/>
              <w:rPr>
                <w:rFonts w:ascii="Times New Roman" w:eastAsia="Microsoft YaHei" w:hAnsi="Times New Roman" w:cs="Times New Roman"/>
                <w:sz w:val="28"/>
                <w:szCs w:val="28"/>
              </w:rPr>
            </w:pPr>
          </w:p>
          <w:p w14:paraId="2FE6B1CE" w14:textId="03766055" w:rsidR="00471728" w:rsidRDefault="006415EC">
            <w:pPr>
              <w:spacing w:line="20" w:lineRule="atLeast"/>
              <w:rPr>
                <w:rFonts w:ascii="Times New Roman" w:hAnsi="Times New Roman" w:cs="Times New Roman"/>
                <w:sz w:val="28"/>
                <w:szCs w:val="28"/>
              </w:rPr>
            </w:pPr>
            <w:r>
              <w:rPr>
                <w:rFonts w:ascii="Times New Roman" w:eastAsia="Microsoft YaHei" w:hAnsi="Times New Roman" w:cs="Times New Roman"/>
                <w:sz w:val="28"/>
                <w:szCs w:val="28"/>
              </w:rPr>
              <w:t>ДОДАТКИ......................................................................................................</w:t>
            </w:r>
            <w:r w:rsidR="00DD172B">
              <w:rPr>
                <w:rFonts w:ascii="Times New Roman" w:eastAsia="Microsoft YaHei" w:hAnsi="Times New Roman" w:cs="Times New Roman"/>
                <w:sz w:val="28"/>
                <w:szCs w:val="28"/>
              </w:rPr>
              <w:t>.</w:t>
            </w:r>
            <w:bookmarkStart w:id="0" w:name="_GoBack"/>
            <w:bookmarkEnd w:id="0"/>
          </w:p>
        </w:tc>
        <w:tc>
          <w:tcPr>
            <w:tcW w:w="567" w:type="dxa"/>
          </w:tcPr>
          <w:p w14:paraId="2FE6B1CF"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83</w:t>
            </w:r>
          </w:p>
          <w:p w14:paraId="2FE6B1D0" w14:textId="77777777" w:rsidR="00471728" w:rsidRDefault="00471728">
            <w:pPr>
              <w:spacing w:line="20" w:lineRule="atLeast"/>
              <w:jc w:val="right"/>
              <w:rPr>
                <w:rFonts w:ascii="Times New Roman" w:hAnsi="Times New Roman" w:cs="Times New Roman"/>
                <w:bCs/>
                <w:sz w:val="28"/>
                <w:szCs w:val="28"/>
              </w:rPr>
            </w:pPr>
          </w:p>
          <w:p w14:paraId="2FE6B1D1"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91</w:t>
            </w:r>
          </w:p>
          <w:p w14:paraId="2FE6B1D2" w14:textId="77777777" w:rsidR="00471728" w:rsidRDefault="00471728">
            <w:pPr>
              <w:spacing w:line="20" w:lineRule="atLeast"/>
              <w:jc w:val="right"/>
              <w:rPr>
                <w:rFonts w:ascii="Times New Roman" w:hAnsi="Times New Roman" w:cs="Times New Roman"/>
                <w:bCs/>
                <w:sz w:val="28"/>
                <w:szCs w:val="28"/>
              </w:rPr>
            </w:pPr>
          </w:p>
          <w:p w14:paraId="2FE6B1D3" w14:textId="77777777" w:rsidR="00471728" w:rsidRDefault="006415EC">
            <w:pPr>
              <w:spacing w:line="20" w:lineRule="atLeast"/>
              <w:jc w:val="right"/>
              <w:rPr>
                <w:rFonts w:ascii="Times New Roman" w:hAnsi="Times New Roman" w:cs="Times New Roman"/>
                <w:bCs/>
                <w:sz w:val="28"/>
                <w:szCs w:val="28"/>
              </w:rPr>
            </w:pPr>
            <w:r>
              <w:rPr>
                <w:rFonts w:ascii="Times New Roman" w:hAnsi="Times New Roman" w:cs="Times New Roman"/>
                <w:bCs/>
                <w:sz w:val="28"/>
                <w:szCs w:val="28"/>
              </w:rPr>
              <w:t>99</w:t>
            </w:r>
          </w:p>
        </w:tc>
      </w:tr>
    </w:tbl>
    <w:p w14:paraId="2FE6B1D5" w14:textId="77777777" w:rsidR="00471728" w:rsidRDefault="00471728">
      <w:pPr>
        <w:spacing w:after="0" w:line="360" w:lineRule="auto"/>
        <w:jc w:val="center"/>
        <w:rPr>
          <w:rFonts w:ascii="Times New Roman" w:hAnsi="Times New Roman" w:cs="Times New Roman"/>
          <w:b/>
          <w:sz w:val="28"/>
          <w:szCs w:val="28"/>
        </w:rPr>
      </w:pPr>
    </w:p>
    <w:p w14:paraId="2FE6B1D6" w14:textId="69D18C4D" w:rsidR="00471728" w:rsidRDefault="00471728">
      <w:pPr>
        <w:spacing w:after="0" w:line="360" w:lineRule="auto"/>
        <w:jc w:val="center"/>
        <w:rPr>
          <w:rFonts w:ascii="Times New Roman" w:hAnsi="Times New Roman" w:cs="Times New Roman"/>
          <w:b/>
          <w:sz w:val="28"/>
          <w:szCs w:val="28"/>
        </w:rPr>
      </w:pPr>
    </w:p>
    <w:p w14:paraId="27004FB3" w14:textId="77777777" w:rsidR="006507D0" w:rsidRDefault="006507D0">
      <w:pPr>
        <w:spacing w:after="0" w:line="360" w:lineRule="auto"/>
        <w:jc w:val="center"/>
        <w:rPr>
          <w:rFonts w:ascii="Times New Roman" w:hAnsi="Times New Roman" w:cs="Times New Roman"/>
          <w:b/>
          <w:sz w:val="28"/>
          <w:szCs w:val="28"/>
        </w:rPr>
      </w:pPr>
    </w:p>
    <w:p w14:paraId="2FE6B1D7" w14:textId="77777777" w:rsidR="00471728" w:rsidRDefault="006415EC">
      <w:pPr>
        <w:spacing w:after="0" w:line="360" w:lineRule="auto"/>
        <w:jc w:val="center"/>
        <w:rPr>
          <w:rFonts w:ascii="Times New Roman" w:hAnsi="Times New Roman" w:cs="Times New Roman"/>
          <w:b/>
          <w:bCs/>
          <w:sz w:val="28"/>
          <w:szCs w:val="28"/>
        </w:rPr>
      </w:pPr>
      <w:r>
        <w:rPr>
          <w:rFonts w:ascii="Times New Roman" w:hAnsi="Times New Roman" w:cs="Times New Roman"/>
          <w:b/>
          <w:sz w:val="28"/>
          <w:szCs w:val="28"/>
        </w:rPr>
        <w:lastRenderedPageBreak/>
        <w:t>ПЕРЕЛІК УМОВНИХ ПОЗНАЧЕНЬ</w:t>
      </w:r>
    </w:p>
    <w:p w14:paraId="2FE6B1D8" w14:textId="77777777" w:rsidR="00471728" w:rsidRDefault="00471728">
      <w:pPr>
        <w:spacing w:after="0" w:line="360" w:lineRule="auto"/>
        <w:jc w:val="center"/>
        <w:rPr>
          <w:rFonts w:ascii="Times New Roman" w:hAnsi="Times New Roman" w:cs="Times New Roman"/>
          <w:b/>
          <w:sz w:val="28"/>
          <w:szCs w:val="28"/>
        </w:rPr>
      </w:pPr>
    </w:p>
    <w:p w14:paraId="2FE6B1D9" w14:textId="77777777" w:rsidR="00471728" w:rsidRDefault="006415EC">
      <w:pPr>
        <w:tabs>
          <w:tab w:val="left" w:pos="709"/>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ЗОЗ                              Закклад охорони здоров</w:t>
      </w:r>
      <w:r>
        <w:rPr>
          <w:rFonts w:ascii="Times New Roman" w:hAnsi="Times New Roman" w:cs="Times New Roman"/>
          <w:sz w:val="28"/>
          <w:szCs w:val="28"/>
          <w:lang w:val="en-US"/>
        </w:rPr>
        <w:t>’</w:t>
      </w:r>
      <w:r>
        <w:rPr>
          <w:rFonts w:ascii="Times New Roman" w:hAnsi="Times New Roman" w:cs="Times New Roman"/>
          <w:sz w:val="28"/>
          <w:szCs w:val="28"/>
        </w:rPr>
        <w:t xml:space="preserve">я </w:t>
      </w:r>
    </w:p>
    <w:p w14:paraId="2FE6B1DA" w14:textId="77777777" w:rsidR="00471728" w:rsidRDefault="006415EC">
      <w:pPr>
        <w:tabs>
          <w:tab w:val="left" w:pos="709"/>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МОЗ                            Міністерство охорони здоров’я </w:t>
      </w:r>
    </w:p>
    <w:p w14:paraId="2FE6B1DB" w14:textId="77777777" w:rsidR="00471728" w:rsidRDefault="006415EC">
      <w:pPr>
        <w:tabs>
          <w:tab w:val="left" w:pos="709"/>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НСЗУ                          Національна служба здоров’я України</w:t>
      </w:r>
    </w:p>
    <w:p w14:paraId="2FE6B1DC" w14:textId="77777777" w:rsidR="00471728" w:rsidRDefault="006415EC">
      <w:pPr>
        <w:tabs>
          <w:tab w:val="left" w:pos="709"/>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ПМГ                            Програма медичних гарантій</w:t>
      </w:r>
    </w:p>
    <w:p w14:paraId="2FE6B1DD" w14:textId="77777777" w:rsidR="00471728" w:rsidRDefault="006415EC">
      <w:pPr>
        <w:tabs>
          <w:tab w:val="left" w:pos="709"/>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ПМД                            Первинна медична допомога</w:t>
      </w:r>
    </w:p>
    <w:p w14:paraId="2FE6B1DE" w14:textId="77777777" w:rsidR="00471728" w:rsidRDefault="006415EC">
      <w:pPr>
        <w:tabs>
          <w:tab w:val="left" w:pos="709"/>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COVID-19                   Коронавірусна хвороба 2019</w:t>
      </w:r>
    </w:p>
    <w:p w14:paraId="2FE6B1DF" w14:textId="77777777" w:rsidR="00471728" w:rsidRDefault="006415EC">
      <w:pPr>
        <w:tabs>
          <w:tab w:val="left" w:pos="709"/>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КНП «МКЛ № 10» ОМР    Комунальне некомерційне підприємство  </w:t>
      </w:r>
    </w:p>
    <w:p w14:paraId="2FE6B1E0" w14:textId="77777777" w:rsidR="00471728" w:rsidRDefault="006415EC">
      <w:pPr>
        <w:tabs>
          <w:tab w:val="left" w:pos="709"/>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«Міська клінічна лікарня № 10» </w:t>
      </w:r>
    </w:p>
    <w:p w14:paraId="2FE6B1E1" w14:textId="77777777" w:rsidR="00471728" w:rsidRDefault="006415EC">
      <w:pPr>
        <w:tabs>
          <w:tab w:val="left" w:pos="709"/>
          <w:tab w:val="left" w:pos="993"/>
        </w:tabs>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                                              Одеської міської ради</w:t>
      </w:r>
    </w:p>
    <w:p w14:paraId="2FE6B1E2" w14:textId="77777777" w:rsidR="00471728" w:rsidRDefault="00471728">
      <w:pPr>
        <w:spacing w:after="0" w:line="360" w:lineRule="auto"/>
        <w:jc w:val="center"/>
        <w:rPr>
          <w:rFonts w:ascii="Times New Roman" w:hAnsi="Times New Roman" w:cs="Times New Roman"/>
          <w:b/>
          <w:sz w:val="28"/>
          <w:szCs w:val="28"/>
        </w:rPr>
      </w:pPr>
    </w:p>
    <w:p w14:paraId="2FE6B1E3" w14:textId="77777777" w:rsidR="00471728" w:rsidRDefault="00471728">
      <w:pPr>
        <w:spacing w:after="0" w:line="360" w:lineRule="auto"/>
        <w:jc w:val="center"/>
        <w:rPr>
          <w:rFonts w:ascii="Times New Roman" w:hAnsi="Times New Roman" w:cs="Times New Roman"/>
          <w:b/>
          <w:sz w:val="28"/>
          <w:szCs w:val="28"/>
        </w:rPr>
      </w:pPr>
    </w:p>
    <w:p w14:paraId="2FE6B1E4" w14:textId="77777777" w:rsidR="00471728" w:rsidRDefault="006415EC">
      <w:pPr>
        <w:spacing w:after="0" w:line="360" w:lineRule="auto"/>
        <w:rPr>
          <w:rFonts w:ascii="Times New Roman" w:hAnsi="Times New Roman" w:cs="Times New Roman"/>
          <w:b/>
          <w:sz w:val="28"/>
          <w:szCs w:val="28"/>
        </w:rPr>
      </w:pPr>
      <w:r>
        <w:rPr>
          <w:rFonts w:ascii="Times New Roman" w:hAnsi="Times New Roman" w:cs="Times New Roman"/>
          <w:b/>
          <w:sz w:val="28"/>
          <w:szCs w:val="28"/>
        </w:rPr>
        <w:br w:type="page" w:clear="all"/>
      </w:r>
    </w:p>
    <w:p w14:paraId="2FE6B1E5" w14:textId="77777777" w:rsidR="00471728" w:rsidRDefault="006415E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2FE6B1E6" w14:textId="77777777" w:rsidR="00471728" w:rsidRDefault="00471728">
      <w:pPr>
        <w:spacing w:after="0" w:line="360" w:lineRule="auto"/>
        <w:rPr>
          <w:rFonts w:ascii="Times New Roman" w:hAnsi="Times New Roman" w:cs="Times New Roman"/>
          <w:b/>
          <w:sz w:val="28"/>
          <w:szCs w:val="28"/>
        </w:rPr>
      </w:pPr>
    </w:p>
    <w:p w14:paraId="2FE6B1E7" w14:textId="77777777" w:rsidR="00471728" w:rsidRDefault="006415EC">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Актуальність теми.</w:t>
      </w:r>
      <w:r>
        <w:rPr>
          <w:rFonts w:ascii="Times New Roman" w:hAnsi="Times New Roman" w:cs="Times New Roman"/>
          <w:sz w:val="28"/>
          <w:szCs w:val="28"/>
        </w:rPr>
        <w:t xml:space="preserve"> </w:t>
      </w:r>
    </w:p>
    <w:p w14:paraId="2FE6B1E8" w14:textId="77777777" w:rsidR="00471728" w:rsidRDefault="006415EC">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Сучасні заклади охорони здоров’я функціонують у складному, динамічному середовищі, що постійно змінюється під впливом соціально-економічних, технологічних та демографічних факторів. Такі умови висувають підвищені вимоги до системи управління, роблячи її гнучкість і ефективність ключовими умовами стабільного розвитку медичних установ. У зв’язку з цим особливої актуальності набуває питання удосконалення системи управлінських рішень у закладах охорони здоров’я.</w:t>
      </w:r>
    </w:p>
    <w:p w14:paraId="2FE6B1E9" w14:textId="77777777" w:rsidR="00471728" w:rsidRDefault="006415EC">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Від якісно організованого процесу ухвалення та реалізації управлінських рішень залежить ефективність діяльності медичного закладу, рівень організації роботи персоналу, раціональне використання ресурсів і, зрештою, якість та доступність медичних послуг для населення. Наявні управлінські моделі часто виявляються недостатньо адаптованими до сучасних викликів, таких як цифровізація охорони здоров’я, кадрові зміни, фінансова децентралізація чи необхідність швидкого реагування на кризові ситуації.</w:t>
      </w:r>
    </w:p>
    <w:p w14:paraId="2FE6B1EA" w14:textId="77777777" w:rsidR="00471728" w:rsidRDefault="006415EC">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удосконалення системи управлінських рішень є необхідною умовою забезпечення сталого розвитку медичних закладів. Йдеться не лише про модернізацію адміністративних процедур, а й про впровадження стратегічного менеджменту, заснованого на аналітичних підходах, доказовості, інноваціях та партнерстві. Така система дозволить підвищити ефективність управління, покращити якість медичної допомоги та зміцнити довіру пацієнтів до системи охорони здоров’я загалом.</w:t>
      </w:r>
    </w:p>
    <w:p w14:paraId="2FE6B1EB" w14:textId="77777777" w:rsidR="00471728" w:rsidRDefault="006415EC">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rPr>
        <w:t xml:space="preserve">Актуальність проблеми удосконалення системи управлінських рішень у закладах охорони здоров’я зумовлена необхідністю забезпечення ефективного функціонування медичних установ в умовах постійних реформ, обмеженого фінансування, кадрового дефіциту та зростаючих вимог до якості медичних послуг. Вона полягає у потребі створення гнучкої, науково обґрунтованої та </w:t>
      </w:r>
      <w:r>
        <w:rPr>
          <w:rFonts w:ascii="Times New Roman" w:eastAsia="Times New Roman" w:hAnsi="Times New Roman" w:cs="Times New Roman"/>
          <w:color w:val="000000"/>
          <w:sz w:val="28"/>
          <w:szCs w:val="28"/>
        </w:rPr>
        <w:lastRenderedPageBreak/>
        <w:t>адаптивної моделі управління, здатної оперативно реагувати на зміни у зовнішньому середовищі, забезпечувати раціональне використання ресурсів, підвищувати мотивацію персоналу та задовольняти потреби населення у доступній і якісній медичній допомозі.</w:t>
      </w:r>
    </w:p>
    <w:p w14:paraId="2FE6B1EC" w14:textId="77777777" w:rsidR="00471728" w:rsidRDefault="006415EC">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Мета і завдання дослідження</w:t>
      </w:r>
      <w:r>
        <w:rPr>
          <w:rFonts w:ascii="Times New Roman" w:eastAsia="Times New Roman" w:hAnsi="Times New Roman" w:cs="Times New Roman"/>
          <w:sz w:val="28"/>
          <w:szCs w:val="28"/>
        </w:rPr>
        <w:t xml:space="preserve">. </w:t>
      </w:r>
    </w:p>
    <w:p w14:paraId="2FE6B1ED" w14:textId="77777777" w:rsidR="00471728" w:rsidRDefault="006415EC">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i/>
          <w:sz w:val="28"/>
          <w:szCs w:val="28"/>
        </w:rPr>
        <w:t xml:space="preserve">Метою дослідження </w:t>
      </w:r>
      <w:r>
        <w:rPr>
          <w:rFonts w:ascii="Times New Roman" w:eastAsia="Times New Roman" w:hAnsi="Times New Roman" w:cs="Times New Roman"/>
          <w:sz w:val="28"/>
          <w:szCs w:val="28"/>
        </w:rPr>
        <w:t xml:space="preserve">є </w:t>
      </w:r>
      <w:r>
        <w:rPr>
          <w:rFonts w:ascii="Times New Roman" w:eastAsia="Times New Roman" w:hAnsi="Times New Roman" w:cs="Times New Roman"/>
          <w:color w:val="000000"/>
          <w:sz w:val="28"/>
          <w:szCs w:val="28"/>
        </w:rPr>
        <w:t>визначення шляхів удосконалення системи управлінських рішень у закладах охорони здоров’я</w:t>
      </w:r>
      <w:r>
        <w:rPr>
          <w:rFonts w:ascii="Times New Roman" w:eastAsia="Times New Roman" w:hAnsi="Times New Roman" w:cs="Times New Roman"/>
          <w:sz w:val="28"/>
          <w:szCs w:val="28"/>
        </w:rPr>
        <w:t xml:space="preserve"> з метою підвищення ефективності їх діяльності, оптимізації управлінських процесів і забезпечення сталого розвитку медичних установ. </w:t>
      </w:r>
    </w:p>
    <w:p w14:paraId="2FE6B1EE" w14:textId="77777777" w:rsidR="00471728" w:rsidRDefault="006415EC">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Cs/>
          <w:sz w:val="28"/>
          <w:szCs w:val="28"/>
        </w:rPr>
        <w:t>Виходяч</w:t>
      </w:r>
      <w:r>
        <w:rPr>
          <w:rFonts w:ascii="Times New Roman" w:hAnsi="Times New Roman" w:cs="Times New Roman"/>
          <w:bCs/>
          <w:sz w:val="28"/>
          <w:szCs w:val="28"/>
        </w:rPr>
        <w:t>и з поставленої мети, визначено наступні</w:t>
      </w:r>
      <w:r>
        <w:rPr>
          <w:rFonts w:ascii="Times New Roman" w:hAnsi="Times New Roman" w:cs="Times New Roman"/>
          <w:bCs/>
          <w:i/>
          <w:sz w:val="28"/>
          <w:szCs w:val="28"/>
        </w:rPr>
        <w:t xml:space="preserve"> завдання дослідження:</w:t>
      </w:r>
    </w:p>
    <w:p w14:paraId="2FE6B1EF"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розглянути теоретичні та методологічні засади прийняття та реалізації управлінських рішень у системі охорони здоров</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я;</w:t>
      </w:r>
    </w:p>
    <w:p w14:paraId="2FE6B1F0"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 дослідити управлінське рішення в медицині як складову менеджменту у системі охорони здоров’я</w:t>
      </w:r>
      <w:r>
        <w:rPr>
          <w:rFonts w:ascii="Times New Roman" w:hAnsi="Times New Roman" w:cs="Times New Roman"/>
          <w:sz w:val="28"/>
          <w:szCs w:val="28"/>
        </w:rPr>
        <w:t>;</w:t>
      </w:r>
    </w:p>
    <w:p w14:paraId="2FE6B1F1"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навести к</w:t>
      </w:r>
      <w:r>
        <w:rPr>
          <w:rFonts w:ascii="Times New Roman" w:eastAsia="Times New Roman" w:hAnsi="Times New Roman" w:cs="Times New Roman"/>
          <w:sz w:val="28"/>
          <w:szCs w:val="28"/>
        </w:rPr>
        <w:t>ласифікацію і типологію управлінських рішень</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розглянути </w:t>
      </w:r>
      <w:r>
        <w:rPr>
          <w:rFonts w:ascii="Times New Roman" w:eastAsia="Times New Roman" w:hAnsi="Times New Roman" w:cs="Times New Roman"/>
          <w:sz w:val="28"/>
          <w:szCs w:val="28"/>
          <w:lang w:val="ru-RU"/>
        </w:rPr>
        <w:t>ф</w:t>
      </w:r>
      <w:r>
        <w:rPr>
          <w:rFonts w:ascii="Times New Roman" w:eastAsia="Times New Roman" w:hAnsi="Times New Roman" w:cs="Times New Roman"/>
          <w:sz w:val="28"/>
          <w:szCs w:val="28"/>
        </w:rPr>
        <w:t xml:space="preserve">орми </w:t>
      </w:r>
      <w:r>
        <w:rPr>
          <w:rFonts w:ascii="Times New Roman" w:eastAsia="Times New Roman" w:hAnsi="Times New Roman" w:cs="Times New Roman"/>
          <w:sz w:val="28"/>
          <w:szCs w:val="28"/>
          <w:lang w:val="ru-RU"/>
        </w:rPr>
        <w:t xml:space="preserve">їх </w:t>
      </w:r>
      <w:r>
        <w:rPr>
          <w:rFonts w:ascii="Times New Roman" w:eastAsia="Times New Roman" w:hAnsi="Times New Roman" w:cs="Times New Roman"/>
          <w:sz w:val="28"/>
          <w:szCs w:val="28"/>
        </w:rPr>
        <w:t>розробки і прийняття</w:t>
      </w:r>
      <w:r>
        <w:rPr>
          <w:rFonts w:ascii="Times New Roman" w:hAnsi="Times New Roman" w:cs="Times New Roman"/>
          <w:sz w:val="28"/>
          <w:szCs w:val="28"/>
        </w:rPr>
        <w:t>;</w:t>
      </w:r>
    </w:p>
    <w:p w14:paraId="2FE6B1F2"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розглянути о</w:t>
      </w:r>
      <w:r>
        <w:rPr>
          <w:rFonts w:ascii="Times New Roman" w:eastAsia="Times New Roman" w:hAnsi="Times New Roman" w:cs="Times New Roman"/>
          <w:sz w:val="28"/>
          <w:szCs w:val="28"/>
        </w:rPr>
        <w:t>собливості процесу прийняття та реалізації управлінських рішень в медичному закладі в сучасних умовах;</w:t>
      </w:r>
    </w:p>
    <w:p w14:paraId="2FE6B1F3"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дослідити вплив керівництва та його управлінських рішень на розвиток медичного закладу на прикладі Комунального некомерційного підприємства «Міська клінічна лікарня №10» Одеської міської ради;</w:t>
      </w:r>
    </w:p>
    <w:p w14:paraId="2FE6B1F4"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підкреслити  роль особистості керівника медичного закладу у вирішенні проблем прийняття управлінського рішення;</w:t>
      </w:r>
    </w:p>
    <w:p w14:paraId="2FE6B1F5"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навести загальну характеристику КНП «МКЛ №10» ОМР;</w:t>
      </w:r>
    </w:p>
    <w:p w14:paraId="2FE6B1F6"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визначити вплив ухвалення ефективних управлінських рішень на перспективи розвитку КНП «МКЛ №10» ОМР;</w:t>
      </w:r>
    </w:p>
    <w:p w14:paraId="2FE6B1F7"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t>окреслити напрями удосконалення системи управлінських рішень у діяльності та стратегічному розвитку МКЛ №10;</w:t>
      </w:r>
    </w:p>
    <w:p w14:paraId="2FE6B1F8"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rPr>
        <w:lastRenderedPageBreak/>
        <w:t>здійснити аналіз організації управління закладом та розглянути забезпечення його роботи в період воєнного стану;</w:t>
      </w:r>
    </w:p>
    <w:p w14:paraId="2FE6B1F9"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color w:val="000000"/>
          <w:sz w:val="28"/>
          <w:szCs w:val="28"/>
        </w:rPr>
      </w:pPr>
      <w:r>
        <w:rPr>
          <w:rFonts w:ascii="Times New Roman" w:eastAsia="Times New Roman" w:hAnsi="Times New Roman" w:cs="Times New Roman"/>
          <w:sz w:val="28"/>
          <w:szCs w:val="28"/>
        </w:rPr>
        <w:t>оцінити о</w:t>
      </w:r>
      <w:r>
        <w:rPr>
          <w:rFonts w:ascii="Times New Roman" w:eastAsia="Times New Roman" w:hAnsi="Times New Roman" w:cs="Times New Roman"/>
          <w:color w:val="000000"/>
          <w:sz w:val="28"/>
          <w:szCs w:val="28"/>
          <w:lang w:eastAsia="uk-UA" w:bidi="uk-UA"/>
        </w:rPr>
        <w:t>сновні показники діяльності КНП «МКЛ №10» ОМР</w:t>
      </w:r>
      <w:r>
        <w:rPr>
          <w:rFonts w:ascii="Times New Roman" w:eastAsia="Times New Roman" w:hAnsi="Times New Roman" w:cs="Times New Roman"/>
          <w:color w:val="000000"/>
          <w:sz w:val="28"/>
          <w:szCs w:val="28"/>
        </w:rPr>
        <w:t xml:space="preserve"> та визначити напрями його подальшого розвитку;</w:t>
      </w:r>
    </w:p>
    <w:p w14:paraId="2FE6B1FA" w14:textId="77777777" w:rsidR="00471728" w:rsidRDefault="006415EC">
      <w:pPr>
        <w:pStyle w:val="aff4"/>
        <w:numPr>
          <w:ilvl w:val="0"/>
          <w:numId w:val="4"/>
        </w:numPr>
        <w:tabs>
          <w:tab w:val="left" w:pos="992"/>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rPr>
        <w:t>надати с</w:t>
      </w:r>
      <w:r>
        <w:rPr>
          <w:rFonts w:ascii="Times New Roman" w:eastAsia="Times New Roman" w:hAnsi="Times New Roman" w:cs="Times New Roman"/>
          <w:sz w:val="28"/>
          <w:szCs w:val="28"/>
        </w:rPr>
        <w:t>тратегічні та інноваційні пропозиції подальшого розвитку КНП «МКЛ №10» ОМР на основі оптимізації управлінських рішень.</w:t>
      </w:r>
    </w:p>
    <w:p w14:paraId="2FE6B1FB" w14:textId="77777777" w:rsidR="00471728" w:rsidRDefault="006415EC">
      <w:pPr>
        <w:tabs>
          <w:tab w:val="left" w:pos="992"/>
        </w:tabs>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i/>
          <w:sz w:val="28"/>
          <w:szCs w:val="28"/>
        </w:rPr>
        <w:t xml:space="preserve">Об’єкт дослідження </w:t>
      </w:r>
      <w:r>
        <w:rPr>
          <w:rFonts w:ascii="Times New Roman" w:eastAsia="Times New Roman" w:hAnsi="Times New Roman" w:cs="Times New Roman"/>
          <w:sz w:val="28"/>
          <w:szCs w:val="28"/>
        </w:rPr>
        <w:t>- сучасна система прийняття управлінських рішень в медичних закладах в сучасних умовах нестабільності .</w:t>
      </w:r>
    </w:p>
    <w:p w14:paraId="2FE6B1FC" w14:textId="77777777" w:rsidR="00471728" w:rsidRDefault="006415EC">
      <w:pPr>
        <w:tabs>
          <w:tab w:val="left" w:pos="992"/>
        </w:tabs>
        <w:spacing w:after="0" w:line="360" w:lineRule="auto"/>
        <w:ind w:firstLine="709"/>
        <w:jc w:val="both"/>
        <w:rPr>
          <w:rStyle w:val="af0"/>
          <w:rFonts w:ascii="Times New Roman" w:hAnsi="Times New Roman" w:cs="Times New Roman"/>
          <w:b w:val="0"/>
          <w:sz w:val="28"/>
          <w:szCs w:val="28"/>
        </w:rPr>
      </w:pPr>
      <w:r>
        <w:rPr>
          <w:rFonts w:ascii="Times New Roman" w:eastAsia="Times New Roman" w:hAnsi="Times New Roman" w:cs="Times New Roman"/>
          <w:i/>
          <w:sz w:val="28"/>
          <w:szCs w:val="28"/>
        </w:rPr>
        <w:t>Предмет дослідження</w:t>
      </w:r>
      <w:r>
        <w:rPr>
          <w:rFonts w:ascii="Times New Roman" w:eastAsia="Times New Roman" w:hAnsi="Times New Roman" w:cs="Times New Roman"/>
          <w:sz w:val="28"/>
          <w:szCs w:val="28"/>
        </w:rPr>
        <w:t xml:space="preserve"> - сукупність теоретичних та методологічних аспектів щодо удосконалення системи прийняття управлінських рішень в медичних закладах на прикладі </w:t>
      </w:r>
      <w:r>
        <w:rPr>
          <w:rStyle w:val="af0"/>
          <w:rFonts w:ascii="Times New Roman" w:eastAsia="Times New Roman" w:hAnsi="Times New Roman" w:cs="Times New Roman"/>
          <w:b w:val="0"/>
          <w:sz w:val="28"/>
          <w:szCs w:val="28"/>
        </w:rPr>
        <w:t>Комунального некомерційного підприємства «Міська клінічна лікарня № 10» Одеської міської ради.</w:t>
      </w:r>
    </w:p>
    <w:p w14:paraId="2FE6B1FD" w14:textId="77777777" w:rsidR="00471728" w:rsidRDefault="006415EC">
      <w:pPr>
        <w:tabs>
          <w:tab w:val="left" w:pos="992"/>
        </w:tabs>
        <w:spacing w:after="0" w:line="360" w:lineRule="auto"/>
        <w:ind w:firstLine="709"/>
        <w:jc w:val="both"/>
        <w:rPr>
          <w:rFonts w:ascii="Times New Roman" w:eastAsia="Times New Roman" w:hAnsi="Times New Roman" w:cs="Times New Roman"/>
          <w:bCs/>
          <w:i/>
          <w:sz w:val="28"/>
          <w:szCs w:val="28"/>
        </w:rPr>
      </w:pPr>
      <w:r>
        <w:rPr>
          <w:rFonts w:ascii="Times New Roman" w:eastAsia="Times New Roman" w:hAnsi="Times New Roman" w:cs="Times New Roman"/>
          <w:i/>
          <w:sz w:val="28"/>
          <w:szCs w:val="28"/>
        </w:rPr>
        <w:t>Методи дослідження.</w:t>
      </w:r>
    </w:p>
    <w:p w14:paraId="2FE6B1FE" w14:textId="77777777" w:rsidR="00471728" w:rsidRDefault="006415EC">
      <w:pPr>
        <w:tabs>
          <w:tab w:val="left" w:pos="992"/>
        </w:tabs>
        <w:spacing w:after="0" w:line="360" w:lineRule="auto"/>
        <w:ind w:firstLine="709"/>
        <w:jc w:val="both"/>
        <w:rPr>
          <w:rFonts w:ascii="Times New Roman" w:hAnsi="Times New Roman" w:cs="Times New Roman"/>
          <w:bCs/>
          <w:i/>
          <w:sz w:val="28"/>
          <w:szCs w:val="28"/>
        </w:rPr>
      </w:pPr>
      <w:r>
        <w:rPr>
          <w:rFonts w:ascii="Times New Roman" w:eastAsia="Times New Roman" w:hAnsi="Times New Roman" w:cs="Times New Roman"/>
          <w:sz w:val="28"/>
          <w:szCs w:val="28"/>
        </w:rPr>
        <w:t>Відповідно до поставлених завдань у межах проведеного дослідження використано комплексний підхід, який охоплює сукупність методів: аналіз і узагальнення практичного досвіду, контент-аналіз, статистичні та економічні інструменти, метод порівняльного аналізу, експертного оцінювання, а також соціологічні методи та інші способи наукового пізнання.</w:t>
      </w:r>
    </w:p>
    <w:p w14:paraId="2FE6B1FF" w14:textId="77777777" w:rsidR="00471728" w:rsidRDefault="006415EC">
      <w:pPr>
        <w:shd w:val="clear" w:color="auto" w:fill="FFFFFF"/>
        <w:spacing w:after="0" w:line="360" w:lineRule="auto"/>
        <w:ind w:right="45" w:firstLine="709"/>
        <w:jc w:val="both"/>
        <w:rPr>
          <w:rFonts w:ascii="Times New Roman" w:eastAsia="TimesNewRomanPSMT" w:hAnsi="Times New Roman" w:cs="Times New Roman"/>
          <w:i/>
          <w:sz w:val="28"/>
          <w:szCs w:val="28"/>
        </w:rPr>
      </w:pPr>
      <w:r>
        <w:rPr>
          <w:rFonts w:ascii="Times New Roman" w:eastAsia="TimesNewRomanPSMT" w:hAnsi="Times New Roman" w:cs="Times New Roman"/>
          <w:i/>
          <w:sz w:val="28"/>
          <w:szCs w:val="28"/>
        </w:rPr>
        <w:t>Інформаційна база.</w:t>
      </w:r>
    </w:p>
    <w:p w14:paraId="2FE6B200" w14:textId="77777777" w:rsidR="00471728" w:rsidRDefault="006415EC">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Емпіричну та доказову базу дослідження становлять результати наукових праць українських і зарубіжних дослідників, нормативно-правові акти Міністерства охорони здоров’я України та Кабінету Міністрів України, статистичні дані Державної служби статистики України та Всесвітньої організації охорони здоров’я. Додатковими джерелами інформації виступили звітні та аналітичні матеріали Одеської міської ради, а також дані Комунального некомерційного підприємства «Міська клінічна лікарня № 10» Одеської міської ради.</w:t>
      </w:r>
    </w:p>
    <w:p w14:paraId="2FE6B201" w14:textId="77777777" w:rsidR="00471728" w:rsidRDefault="006415EC">
      <w:pPr>
        <w:shd w:val="clear" w:color="auto" w:fill="FFFFFF"/>
        <w:spacing w:after="0" w:line="360" w:lineRule="auto"/>
        <w:ind w:right="45" w:firstLine="709"/>
        <w:jc w:val="both"/>
        <w:rPr>
          <w:rFonts w:ascii="Times New Roman" w:hAnsi="Times New Roman" w:cs="Times New Roman"/>
          <w:sz w:val="28"/>
          <w:szCs w:val="28"/>
        </w:rPr>
      </w:pPr>
      <w:r>
        <w:rPr>
          <w:rFonts w:ascii="Times New Roman" w:hAnsi="Times New Roman" w:cs="Times New Roman"/>
          <w:i/>
          <w:sz w:val="28"/>
          <w:szCs w:val="28"/>
        </w:rPr>
        <w:t>Теоретичне та практичне значення отриманих результатів</w:t>
      </w:r>
      <w:r>
        <w:rPr>
          <w:rFonts w:ascii="Times New Roman" w:hAnsi="Times New Roman" w:cs="Times New Roman"/>
          <w:sz w:val="28"/>
          <w:szCs w:val="28"/>
        </w:rPr>
        <w:t xml:space="preserve">. </w:t>
      </w:r>
    </w:p>
    <w:p w14:paraId="2FE6B202" w14:textId="77777777" w:rsidR="00471728" w:rsidRDefault="006415EC">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Теоретичне значення отриманих результатів полягає у поглибленні наукових уявлень про сутність, структуру та механізми функціонування </w:t>
      </w:r>
      <w:r>
        <w:rPr>
          <w:rFonts w:ascii="Times New Roman" w:eastAsia="Times New Roman" w:hAnsi="Times New Roman" w:cs="Times New Roman"/>
          <w:sz w:val="28"/>
          <w:szCs w:val="28"/>
        </w:rPr>
        <w:lastRenderedPageBreak/>
        <w:t>системи управлінських рішень у закладах охорони здоров’я. У дослідженні обґрунтовано концептуальні підходи до вдосконалення процесу прийняття управлінських рішень з урахуванням сучасних викликів - реформування медичної галузі, підвищення вимог до якості та безпеки медичних послуг. Розроблені теоретичні положення сприяють розвитку наукової бази з питань менеджменту в охороні здоров’я та можуть бути використані для подальших досліджень у сфері організаційного розвитку медичних закладів.</w:t>
      </w:r>
    </w:p>
    <w:p w14:paraId="2FE6B203" w14:textId="77777777" w:rsidR="00471728" w:rsidRDefault="006415EC">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Практичне значення отриманих результатів полягає у можливості застосування розроблених рекомендацій і підходів для вдосконалення системи управління у медичних закладах різного рівня. Запропоновані заходи спрямовані на підвищення ефективності управлінських процесів, покращення якості прийняття рішень, оптимізацію використання ресурсів, а також забезпечення прозорості та підзвітності управлінських дій. Результати дослідження можуть бути використані керівниками закладів охорони здоров’я, органами місцевого самоврядування та органами державної влади при формуванні стратегій розвитку медичних установ і впровадженні сучасних моделей управління.</w:t>
      </w:r>
    </w:p>
    <w:p w14:paraId="2FE6B204" w14:textId="77777777" w:rsidR="00471728" w:rsidRDefault="006415EC">
      <w:pPr>
        <w:spacing w:after="0" w:line="360" w:lineRule="auto"/>
        <w:ind w:firstLine="709"/>
        <w:jc w:val="both"/>
        <w:rPr>
          <w:rFonts w:ascii="Times New Roman" w:hAnsi="Times New Roman" w:cs="Times New Roman"/>
          <w:i/>
          <w:sz w:val="28"/>
          <w:szCs w:val="28"/>
        </w:rPr>
      </w:pPr>
      <w:r>
        <w:rPr>
          <w:rFonts w:ascii="Times New Roman" w:eastAsia="Times New Roman" w:hAnsi="Times New Roman" w:cs="Times New Roman"/>
          <w:i/>
          <w:sz w:val="28"/>
          <w:szCs w:val="28"/>
        </w:rPr>
        <w:t>Апробація результатів роботи.</w:t>
      </w:r>
    </w:p>
    <w:p w14:paraId="2FE6B205" w14:textId="77777777" w:rsidR="00471728" w:rsidRDefault="006415EC">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Апробація результатів і висновків випускної кваліфікаційної роботи реалізована шляхом участі у </w:t>
      </w:r>
      <w:r>
        <w:rPr>
          <w:rFonts w:ascii="Times New Roman" w:eastAsia="Times New Roman" w:hAnsi="Times New Roman" w:cs="Times New Roman"/>
          <w:bCs/>
          <w:sz w:val="28"/>
          <w:szCs w:val="28"/>
          <w:lang w:eastAsia="uk-UA"/>
        </w:rPr>
        <w:t xml:space="preserve">Міжнародній мультидисциплінарній науковій інтернет-конференції </w:t>
      </w:r>
      <w:r>
        <w:rPr>
          <w:rFonts w:ascii="Times New Roman" w:eastAsia="Times New Roman" w:hAnsi="Times New Roman" w:cs="Times New Roman"/>
          <w:bCs/>
          <w:i/>
          <w:sz w:val="28"/>
          <w:szCs w:val="28"/>
          <w:lang w:eastAsia="uk-UA"/>
        </w:rPr>
        <w:t>«Світ наукових досліджень»</w:t>
      </w:r>
      <w:r>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sz w:val="28"/>
          <w:szCs w:val="28"/>
        </w:rPr>
        <w:t>з тезами на тему «</w:t>
      </w:r>
      <w:hyperlink r:id="rId8" w:tooltip="https://www.economy-confer.com.ua/full-article/6478/" w:history="1">
        <w:r>
          <w:rPr>
            <w:rStyle w:val="afe"/>
            <w:rFonts w:ascii="Times New Roman" w:eastAsia="Times New Roman" w:hAnsi="Times New Roman" w:cs="Times New Roman"/>
            <w:bCs/>
            <w:color w:val="auto"/>
            <w:sz w:val="28"/>
            <w:szCs w:val="28"/>
            <w:u w:val="none"/>
            <w:lang w:eastAsia="uk-UA"/>
          </w:rPr>
          <w:t>Удосконалення системи управлінських рішень в закладах охорони здоров’я</w:t>
        </w:r>
      </w:hyperlink>
      <w:r>
        <w:rPr>
          <w:rFonts w:ascii="Times New Roman" w:eastAsia="Times New Roman" w:hAnsi="Times New Roman" w:cs="Times New Roman"/>
          <w:sz w:val="28"/>
          <w:szCs w:val="28"/>
        </w:rPr>
        <w:t>».  2025.</w:t>
      </w:r>
      <w:r>
        <w:rPr>
          <w:rFonts w:ascii="Times New Roman" w:eastAsia="Times New Roman" w:hAnsi="Times New Roman" w:cs="Times New Roman"/>
          <w:bCs/>
          <w:sz w:val="28"/>
          <w:szCs w:val="28"/>
          <w:lang w:eastAsia="uk-UA"/>
        </w:rPr>
        <w:t xml:space="preserve"> Випуск 45. С. 134-138. </w:t>
      </w:r>
      <w:r>
        <w:rPr>
          <w:rFonts w:ascii="Times New Roman" w:eastAsia="Times New Roman" w:hAnsi="Times New Roman" w:cs="Times New Roman"/>
          <w:sz w:val="28"/>
          <w:szCs w:val="28"/>
        </w:rPr>
        <w:t xml:space="preserve">URL: </w:t>
      </w:r>
      <w:hyperlink r:id="rId9" w:tooltip="https://www.economy-confer.com.ua/full-article/6478/" w:history="1">
        <w:r>
          <w:rPr>
            <w:rStyle w:val="afe"/>
            <w:rFonts w:ascii="Times New Roman" w:eastAsia="Times New Roman" w:hAnsi="Times New Roman" w:cs="Times New Roman"/>
            <w:bCs/>
            <w:color w:val="auto"/>
            <w:sz w:val="28"/>
            <w:szCs w:val="28"/>
            <w:u w:val="none"/>
            <w:lang w:eastAsia="uk-UA"/>
          </w:rPr>
          <w:t>https://www.economy-confer.com.ua/full-article/6478/</w:t>
        </w:r>
      </w:hyperlink>
      <w:r>
        <w:rPr>
          <w:rFonts w:ascii="Times New Roman" w:eastAsia="Times New Roman" w:hAnsi="Times New Roman" w:cs="Times New Roman"/>
          <w:sz w:val="28"/>
          <w:szCs w:val="28"/>
        </w:rPr>
        <w:t xml:space="preserve"> </w:t>
      </w:r>
    </w:p>
    <w:p w14:paraId="2FE6B206" w14:textId="77777777" w:rsidR="00471728" w:rsidRDefault="006415EC">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Структура кваліфікаційної роботи.</w:t>
      </w:r>
      <w:r>
        <w:rPr>
          <w:rFonts w:ascii="Times New Roman" w:hAnsi="Times New Roman" w:cs="Times New Roman"/>
          <w:sz w:val="28"/>
          <w:szCs w:val="28"/>
        </w:rPr>
        <w:t xml:space="preserve"> </w:t>
      </w:r>
    </w:p>
    <w:p w14:paraId="2FE6B207" w14:textId="77777777" w:rsidR="00471728" w:rsidRDefault="006415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Робота складається із вступу, трьох розділів, висновків, списку літератури, додатків. </w:t>
      </w:r>
    </w:p>
    <w:p w14:paraId="2FE6B208" w14:textId="77777777" w:rsidR="00471728" w:rsidRDefault="006415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Загальний обсяг роботи складає </w:t>
      </w:r>
      <w:r>
        <w:rPr>
          <w:rFonts w:ascii="Times New Roman" w:hAnsi="Times New Roman" w:cs="Times New Roman"/>
          <w:sz w:val="28"/>
          <w:szCs w:val="28"/>
          <w:lang w:val="en-US"/>
        </w:rPr>
        <w:t>9</w:t>
      </w:r>
      <w:r>
        <w:rPr>
          <w:rFonts w:ascii="Times New Roman" w:hAnsi="Times New Roman" w:cs="Times New Roman"/>
          <w:sz w:val="28"/>
          <w:szCs w:val="28"/>
        </w:rPr>
        <w:t xml:space="preserve">8 сторінок, список літератури містить </w:t>
      </w:r>
      <w:r>
        <w:rPr>
          <w:rFonts w:ascii="Times New Roman" w:hAnsi="Times New Roman" w:cs="Times New Roman"/>
          <w:sz w:val="28"/>
          <w:szCs w:val="28"/>
          <w:lang w:val="ru-RU"/>
        </w:rPr>
        <w:t>5</w:t>
      </w:r>
      <w:r>
        <w:rPr>
          <w:rFonts w:ascii="Times New Roman" w:hAnsi="Times New Roman" w:cs="Times New Roman"/>
          <w:sz w:val="28"/>
          <w:szCs w:val="28"/>
        </w:rPr>
        <w:t xml:space="preserve">6 найменувань. У роботі вміщено </w:t>
      </w:r>
      <w:r>
        <w:rPr>
          <w:rFonts w:ascii="Times New Roman" w:hAnsi="Times New Roman" w:cs="Times New Roman"/>
          <w:sz w:val="28"/>
          <w:szCs w:val="28"/>
          <w:lang w:val="ru-RU"/>
        </w:rPr>
        <w:t>12</w:t>
      </w:r>
      <w:r>
        <w:rPr>
          <w:rFonts w:ascii="Times New Roman" w:hAnsi="Times New Roman" w:cs="Times New Roman"/>
          <w:sz w:val="28"/>
          <w:szCs w:val="28"/>
        </w:rPr>
        <w:t xml:space="preserve"> таблиць, </w:t>
      </w:r>
      <w:r>
        <w:rPr>
          <w:rFonts w:ascii="Times New Roman" w:hAnsi="Times New Roman" w:cs="Times New Roman"/>
          <w:sz w:val="28"/>
          <w:szCs w:val="28"/>
          <w:lang w:val="ru-RU"/>
        </w:rPr>
        <w:t>4</w:t>
      </w:r>
      <w:r>
        <w:rPr>
          <w:rFonts w:ascii="Times New Roman" w:hAnsi="Times New Roman" w:cs="Times New Roman"/>
          <w:sz w:val="28"/>
          <w:szCs w:val="28"/>
        </w:rPr>
        <w:t xml:space="preserve"> рисунки та 3 додатки.</w:t>
      </w:r>
    </w:p>
    <w:p w14:paraId="2FE6B209" w14:textId="77777777" w:rsidR="00471728" w:rsidRDefault="00471728">
      <w:pPr>
        <w:spacing w:after="0" w:line="360" w:lineRule="auto"/>
        <w:ind w:firstLine="709"/>
        <w:jc w:val="both"/>
        <w:rPr>
          <w:rFonts w:ascii="Times New Roman" w:hAnsi="Times New Roman" w:cs="Times New Roman"/>
          <w:caps/>
          <w:sz w:val="28"/>
          <w:szCs w:val="28"/>
        </w:rPr>
      </w:pPr>
    </w:p>
    <w:p w14:paraId="2FE6B20A" w14:textId="77777777" w:rsidR="00471728" w:rsidRDefault="006415EC">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r>
        <w:rPr>
          <w:rFonts w:ascii="Times New Roman" w:eastAsia="Microsoft YaHei" w:hAnsi="Times New Roman" w:cs="Times New Roman"/>
          <w:b/>
          <w:color w:val="000000"/>
          <w:sz w:val="28"/>
          <w:szCs w:val="28"/>
          <w:lang w:eastAsia="uk-UA" w:bidi="uk-UA"/>
        </w:rPr>
        <w:lastRenderedPageBreak/>
        <w:t>РОЗДІЛ 1</w:t>
      </w:r>
    </w:p>
    <w:p w14:paraId="2FE6B20B" w14:textId="600C7F98" w:rsidR="00471728" w:rsidRDefault="00574815">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r>
        <w:rPr>
          <w:rFonts w:ascii="Times New Roman" w:eastAsia="Microsoft YaHei" w:hAnsi="Times New Roman" w:cs="Times New Roman"/>
          <w:b/>
          <w:color w:val="000000"/>
          <w:sz w:val="28"/>
          <w:szCs w:val="28"/>
          <w:lang w:eastAsia="uk-UA" w:bidi="uk-UA"/>
        </w:rPr>
        <w:t>ТЕОРЕТИКО-МЕТОДИ</w:t>
      </w:r>
      <w:r w:rsidR="006415EC">
        <w:rPr>
          <w:rFonts w:ascii="Times New Roman" w:eastAsia="Microsoft YaHei" w:hAnsi="Times New Roman" w:cs="Times New Roman"/>
          <w:b/>
          <w:color w:val="000000"/>
          <w:sz w:val="28"/>
          <w:szCs w:val="28"/>
          <w:lang w:eastAsia="uk-UA" w:bidi="uk-UA"/>
        </w:rPr>
        <w:t>ЧНІ ЗАСАДИ ПРИЙНЯТТЯ ТА РЕАЛІЗАЦІЇ УПРАВЛІНСЬКИХ РІШЕНЬ У СИСТЕМІ ОХОРОНИ ЗДОРОВ’Я</w:t>
      </w:r>
    </w:p>
    <w:p w14:paraId="2FE6B20C" w14:textId="77777777" w:rsidR="00471728" w:rsidRDefault="00471728">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p>
    <w:p w14:paraId="2FE6B20D" w14:textId="252D1483" w:rsidR="00471728" w:rsidRDefault="006415EC">
      <w:pPr>
        <w:widowControl w:val="0"/>
        <w:spacing w:after="0" w:line="360" w:lineRule="auto"/>
        <w:ind w:firstLine="709"/>
        <w:jc w:val="both"/>
        <w:rPr>
          <w:rFonts w:ascii="Times New Roman" w:eastAsia="Microsoft YaHei" w:hAnsi="Times New Roman" w:cs="Times New Roman"/>
          <w:b/>
          <w:color w:val="000000"/>
          <w:sz w:val="28"/>
          <w:szCs w:val="28"/>
          <w:lang w:eastAsia="uk-UA" w:bidi="uk-UA"/>
        </w:rPr>
      </w:pPr>
      <w:r>
        <w:rPr>
          <w:rFonts w:ascii="Times New Roman" w:eastAsia="Microsoft YaHei" w:hAnsi="Times New Roman" w:cs="Times New Roman"/>
          <w:b/>
          <w:color w:val="000000"/>
          <w:sz w:val="28"/>
          <w:szCs w:val="28"/>
          <w:lang w:eastAsia="uk-UA" w:bidi="uk-UA"/>
        </w:rPr>
        <w:t>1.1. Управлінське рішення як складова менеджменту у системі охорони здоров’я</w:t>
      </w:r>
    </w:p>
    <w:p w14:paraId="2FE6B20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Менеджмент - це мистецтво управляти наявними ресурсами (фінансовими, матеріальними, інтелектуальними та cировинними) з метою досягнення найбільш ефективного результату виробничої діяльності та отримання найвищих прибутків.</w:t>
      </w:r>
    </w:p>
    <w:p w14:paraId="2FE6B20F"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Управління виникає тоді, коли люди об’єднуються для cпільного виконання будь-якого виду діяльності. Найефективніше досягнення поставленої мети і є сутністю управління. </w:t>
      </w:r>
    </w:p>
    <w:p w14:paraId="2FE6B210"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Менеджмент у охороні здоров’я представляє собою науку управління, регламентації та контролю матеріальними, трудовими та фінансовими ресурсами медичної галузі.</w:t>
      </w:r>
    </w:p>
    <w:p w14:paraId="2FE6B211"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Головною метою менеджменту у сфері охороні здоров’я є досягнення зниження втрат всього суспільства від захворюваності населення, його інвалідності та смертності при наявних ресурсів </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1</w:t>
      </w:r>
      <w:r>
        <w:rPr>
          <w:rFonts w:ascii="Times New Roman" w:eastAsia="Microsoft YaHei" w:hAnsi="Times New Roman" w:cs="Times New Roman"/>
          <w:color w:val="000000"/>
          <w:sz w:val="28"/>
          <w:szCs w:val="28"/>
          <w:lang w:val="en-US" w:eastAsia="uk-UA" w:bidi="uk-UA"/>
        </w:rPr>
        <w:t>].</w:t>
      </w:r>
    </w:p>
    <w:p w14:paraId="2FE6B212"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Основні завдання управління охороною здоров’я полягають у найбільш ефективному досягнення головної мети через підвищення рівня якості лікування та проведення профілактичних заходів, а також шляхом раціонального використання наявних ресурсів охорони здоров’я</w:t>
      </w:r>
      <w:r>
        <w:t xml:space="preserve"> </w:t>
      </w:r>
      <w:r>
        <w:rPr>
          <w:rFonts w:ascii="Times New Roman" w:eastAsia="Microsoft YaHei" w:hAnsi="Times New Roman" w:cs="Times New Roman"/>
          <w:color w:val="000000"/>
          <w:sz w:val="28"/>
          <w:szCs w:val="28"/>
          <w:lang w:eastAsia="uk-UA" w:bidi="uk-UA"/>
        </w:rPr>
        <w:t>[2, с. 164].</w:t>
      </w:r>
    </w:p>
    <w:p w14:paraId="2FE6B213"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управлінської діяльності входять такі елементи:</w:t>
      </w:r>
    </w:p>
    <w:p w14:paraId="2FE6B214"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Суб’єкт управління - той, хто управляє, впливає; тобто система управління медичною установою (головний лікар, заступники головного лікаря, завідувачі відділень);</w:t>
      </w:r>
    </w:p>
    <w:p w14:paraId="2FE6B215"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Об’єкт управління - елемент, що представляє собою нерозривно пов’язані один з одним виробничі процеси та ресурси, що забезпечують </w:t>
      </w:r>
      <w:r>
        <w:rPr>
          <w:rFonts w:ascii="Times New Roman" w:eastAsia="Microsoft YaHei" w:hAnsi="Times New Roman" w:cs="Times New Roman"/>
          <w:color w:val="000000"/>
          <w:sz w:val="28"/>
          <w:szCs w:val="28"/>
          <w:lang w:eastAsia="uk-UA" w:bidi="uk-UA"/>
        </w:rPr>
        <w:lastRenderedPageBreak/>
        <w:t>належну діяльність закладів охорони здоров’я. Усі виробничі процеси зумовлюються медичними стандартами виконання лікувальних, діагностичних, профілактичних, реабілітаційних та інших послуг. Ресурси поділяються на фінансові, матеріальні, трудові та інформаційні.</w:t>
      </w:r>
    </w:p>
    <w:p w14:paraId="2FE6B216"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Технологія управління - способи впливу суб’єкта на об’єкт управління.</w:t>
      </w:r>
    </w:p>
    <w:p w14:paraId="2FE6B217"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У медичних закладах виділяють три рівні управління (рис. 1.1).</w:t>
      </w:r>
    </w:p>
    <w:p w14:paraId="2FE6B218"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19"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noProof/>
          <w:color w:val="000000"/>
          <w:sz w:val="28"/>
          <w:szCs w:val="28"/>
          <w:lang w:eastAsia="uk-UA"/>
        </w:rPr>
        <w:drawing>
          <wp:inline distT="0" distB="0" distL="0" distR="0" wp14:anchorId="2FE6B7EC" wp14:editId="502AAA57">
            <wp:extent cx="5486400" cy="2834640"/>
            <wp:effectExtent l="0" t="0" r="19050" b="2286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2FE6B21A" w14:textId="77777777" w:rsidR="00471728" w:rsidRDefault="006415EC">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r>
        <w:rPr>
          <w:rFonts w:ascii="Times New Roman" w:eastAsia="Microsoft YaHei" w:hAnsi="Times New Roman" w:cs="Times New Roman"/>
          <w:b/>
          <w:color w:val="000000"/>
          <w:sz w:val="28"/>
          <w:szCs w:val="28"/>
          <w:lang w:eastAsia="uk-UA" w:bidi="uk-UA"/>
        </w:rPr>
        <w:t>Рис. 1.1. Рівні управління у медичних закладах</w:t>
      </w:r>
    </w:p>
    <w:p w14:paraId="2FE6B21B" w14:textId="77777777" w:rsidR="00471728" w:rsidRDefault="006415EC">
      <w:pPr>
        <w:widowControl w:val="0"/>
        <w:spacing w:after="0" w:line="360" w:lineRule="auto"/>
        <w:ind w:firstLine="709"/>
        <w:jc w:val="both"/>
        <w:rPr>
          <w:rFonts w:ascii="Times New Roman" w:eastAsia="Microsoft YaHei" w:hAnsi="Times New Roman" w:cs="Times New Roman"/>
          <w:i/>
          <w:color w:val="000000"/>
          <w:sz w:val="24"/>
          <w:szCs w:val="24"/>
          <w:lang w:eastAsia="uk-UA" w:bidi="uk-UA"/>
        </w:rPr>
      </w:pPr>
      <w:r>
        <w:rPr>
          <w:rFonts w:ascii="Times New Roman" w:eastAsia="Microsoft YaHei" w:hAnsi="Times New Roman" w:cs="Times New Roman"/>
          <w:i/>
          <w:color w:val="000000"/>
          <w:sz w:val="24"/>
          <w:szCs w:val="24"/>
          <w:lang w:eastAsia="uk-UA" w:bidi="uk-UA"/>
        </w:rPr>
        <w:t>Джерело: побудовано автором</w:t>
      </w:r>
    </w:p>
    <w:p w14:paraId="2FE6B21C"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1D" w14:textId="77777777" w:rsidR="00471728" w:rsidRDefault="006415EC">
      <w:pPr>
        <w:widowControl w:val="0"/>
        <w:tabs>
          <w:tab w:val="left" w:pos="993"/>
        </w:tabs>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На стратегічному рівні лежить відповідальність за наслідки прийнятих рішень, що визначають успіх організації у майбутньому.</w:t>
      </w:r>
    </w:p>
    <w:p w14:paraId="2FE6B21E" w14:textId="77777777" w:rsidR="00471728" w:rsidRDefault="006415EC">
      <w:pPr>
        <w:widowControl w:val="0"/>
        <w:tabs>
          <w:tab w:val="left" w:pos="993"/>
        </w:tabs>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Завдання стратегічного рівня:</w:t>
      </w:r>
    </w:p>
    <w:p w14:paraId="2FE6B21F" w14:textId="77777777" w:rsidR="00471728" w:rsidRDefault="006415EC">
      <w:pPr>
        <w:widowControl w:val="0"/>
        <w:numPr>
          <w:ilvl w:val="0"/>
          <w:numId w:val="5"/>
        </w:numPr>
        <w:tabs>
          <w:tab w:val="left" w:pos="1069"/>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забезпечення досягнення заданої мети у запланованих обсягах та у зазначені терміни;</w:t>
      </w:r>
    </w:p>
    <w:p w14:paraId="2FE6B220" w14:textId="77777777" w:rsidR="00471728" w:rsidRDefault="006415EC">
      <w:pPr>
        <w:widowControl w:val="0"/>
        <w:numPr>
          <w:ilvl w:val="0"/>
          <w:numId w:val="5"/>
        </w:numPr>
        <w:tabs>
          <w:tab w:val="left" w:pos="1069"/>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вдосконалення роботи в організації;</w:t>
      </w:r>
    </w:p>
    <w:p w14:paraId="2FE6B221" w14:textId="77777777" w:rsidR="00471728" w:rsidRDefault="006415EC">
      <w:pPr>
        <w:widowControl w:val="0"/>
        <w:numPr>
          <w:ilvl w:val="0"/>
          <w:numId w:val="5"/>
        </w:numPr>
        <w:tabs>
          <w:tab w:val="left" w:pos="1069"/>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розробка нових технологій на основі прогнозу ситуації та можливостей медичного закладу.</w:t>
      </w:r>
    </w:p>
    <w:p w14:paraId="2FE6B222"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Тактичний рівень відповідальний за оптимальний розподіл наявних ресурсів згідно обраної стратегії, організацію та здійснення контролю за </w:t>
      </w:r>
      <w:r>
        <w:rPr>
          <w:rFonts w:ascii="Times New Roman" w:eastAsia="Microsoft YaHei" w:hAnsi="Times New Roman" w:cs="Times New Roman"/>
          <w:color w:val="000000"/>
          <w:sz w:val="28"/>
          <w:szCs w:val="28"/>
          <w:lang w:eastAsia="uk-UA" w:bidi="uk-UA"/>
        </w:rPr>
        <w:lastRenderedPageBreak/>
        <w:t>досягненням поточних результатів за окремими напрямками діяльності установи.</w:t>
      </w:r>
    </w:p>
    <w:p w14:paraId="2FE6B223"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Завданнями тактичного рівня є:</w:t>
      </w:r>
    </w:p>
    <w:p w14:paraId="2FE6B224"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надання висококваліфікованої медичної допомоги згідно прийнятих стандартів якості;</w:t>
      </w:r>
    </w:p>
    <w:p w14:paraId="2FE6B225"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зниження витрат на надання медичних послуг у межах певних бюджетних установ;</w:t>
      </w:r>
    </w:p>
    <w:p w14:paraId="2FE6B226"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підготовка та підвищення рівня кваліфікації кадрів.</w:t>
      </w:r>
    </w:p>
    <w:p w14:paraId="2FE6B227"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Оперативний рівень спрямований на забезпечення найбільш ефективного виконання усіх виробничих процесів в окремих підрозділах відповідно з технологією та оптимальним використанням ресурсів</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3</w:t>
      </w:r>
      <w:r>
        <w:rPr>
          <w:rFonts w:ascii="Times New Roman" w:eastAsia="Microsoft YaHei" w:hAnsi="Times New Roman" w:cs="Times New Roman"/>
          <w:color w:val="000000"/>
          <w:sz w:val="28"/>
          <w:szCs w:val="28"/>
          <w:lang w:val="en-US" w:eastAsia="uk-UA" w:bidi="uk-UA"/>
        </w:rPr>
        <w:t>].</w:t>
      </w:r>
    </w:p>
    <w:p w14:paraId="2FE6B228"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У менеджменті прийнято види управлінської діяльності називати функціями управління чи функціями менеджменту. Спільними називають ті функції, які притаманні будь-якій управлінської системи, незалежно від масштабу виробництва, форми власності, продукції, що надається, послуг та інших факторів. Загальні функції управління (рис. 1.2) притаманні суб’єктам управління будь-якого рівня.</w:t>
      </w:r>
    </w:p>
    <w:p w14:paraId="2FE6B229"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noProof/>
          <w:color w:val="000000"/>
          <w:sz w:val="28"/>
          <w:szCs w:val="28"/>
          <w:lang w:eastAsia="uk-UA"/>
        </w:rPr>
        <w:drawing>
          <wp:inline distT="0" distB="0" distL="0" distR="0" wp14:anchorId="2FE6B7EE" wp14:editId="2FE6B7EF">
            <wp:extent cx="5158740" cy="2773680"/>
            <wp:effectExtent l="0" t="0" r="0" b="2667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2FE6B22A" w14:textId="77777777" w:rsidR="00471728" w:rsidRDefault="00471728">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p>
    <w:p w14:paraId="2FE6B22B" w14:textId="77777777" w:rsidR="00471728" w:rsidRDefault="006415EC">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r>
        <w:rPr>
          <w:rFonts w:ascii="Times New Roman" w:eastAsia="Microsoft YaHei" w:hAnsi="Times New Roman" w:cs="Times New Roman"/>
          <w:b/>
          <w:color w:val="000000"/>
          <w:sz w:val="28"/>
          <w:szCs w:val="28"/>
          <w:lang w:eastAsia="uk-UA" w:bidi="uk-UA"/>
        </w:rPr>
        <w:t>Рис. 1.2. Функції управління</w:t>
      </w:r>
    </w:p>
    <w:p w14:paraId="2FE6B22C" w14:textId="77777777" w:rsidR="00471728" w:rsidRDefault="006415EC">
      <w:pPr>
        <w:widowControl w:val="0"/>
        <w:spacing w:after="0" w:line="360" w:lineRule="auto"/>
        <w:ind w:firstLine="709"/>
        <w:jc w:val="both"/>
        <w:rPr>
          <w:rFonts w:ascii="Times New Roman" w:eastAsia="Microsoft YaHei" w:hAnsi="Times New Roman" w:cs="Times New Roman"/>
          <w:i/>
          <w:color w:val="000000"/>
          <w:sz w:val="24"/>
          <w:szCs w:val="24"/>
          <w:lang w:eastAsia="uk-UA" w:bidi="uk-UA"/>
        </w:rPr>
      </w:pPr>
      <w:r>
        <w:rPr>
          <w:rFonts w:ascii="Times New Roman" w:eastAsia="Microsoft YaHei" w:hAnsi="Times New Roman" w:cs="Times New Roman"/>
          <w:i/>
          <w:color w:val="000000"/>
          <w:sz w:val="24"/>
          <w:szCs w:val="24"/>
          <w:lang w:eastAsia="uk-UA" w:bidi="uk-UA"/>
        </w:rPr>
        <w:t>Джерело: побудовано автором</w:t>
      </w:r>
    </w:p>
    <w:p w14:paraId="2FE6B22D" w14:textId="77777777" w:rsidR="00471728" w:rsidRDefault="00471728">
      <w:pPr>
        <w:widowControl w:val="0"/>
        <w:spacing w:after="0" w:line="360" w:lineRule="auto"/>
        <w:ind w:firstLine="709"/>
        <w:jc w:val="both"/>
        <w:rPr>
          <w:rFonts w:ascii="Times New Roman" w:eastAsia="Microsoft YaHei" w:hAnsi="Times New Roman" w:cs="Times New Roman"/>
          <w:i/>
          <w:color w:val="000000"/>
          <w:sz w:val="24"/>
          <w:szCs w:val="24"/>
          <w:lang w:eastAsia="uk-UA" w:bidi="uk-UA"/>
        </w:rPr>
      </w:pPr>
    </w:p>
    <w:p w14:paraId="2FE6B22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lastRenderedPageBreak/>
        <w:t>Логічна послідовність управлінських функцій, поряд з рішеннями та комунікаціями утворюють єдиний процес управління. Ухвалення рішень необхідне при здійсненні всіх управлінських функцій - планування, організації, мотивації, координації та контролі. Жодна з цих функцій не може бути реалізована без відповідного управлінського рішення, а також без комунікацій, без передачі від суб’єкта до об’єкта і навпаки</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4, с. 33</w:t>
      </w:r>
      <w:r>
        <w:rPr>
          <w:rFonts w:ascii="Times New Roman" w:eastAsia="Microsoft YaHei" w:hAnsi="Times New Roman" w:cs="Times New Roman"/>
          <w:color w:val="000000"/>
          <w:sz w:val="28"/>
          <w:szCs w:val="28"/>
          <w:lang w:val="en-US" w:eastAsia="uk-UA" w:bidi="uk-UA"/>
        </w:rPr>
        <w:t>].</w:t>
      </w:r>
    </w:p>
    <w:p w14:paraId="2FE6B22F"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Серед численних викликів сучасного менеджменту одне з головних місць належить формуванню, ухваленню та реалізації управлінських рішень, які є ключовим інструментом впливу керівника. Ця проблема має не лише теоретичний, а й глибоко практичний характер, адже її значення постійно зростає зі збільшенням складності економічних процесів і управлінських завдань. Про це свідчить і те, що навіть незначні помилки у прийнятті рішень можуть призводити до суттєвих втрат.</w:t>
      </w:r>
    </w:p>
    <w:p w14:paraId="2FE6B230"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Процеси ухвалення управлінських рішень посідають провідне місце у системі менеджменту, оскільки саме вони визначають зміст управлінської діяльності та безпосередньо впливають на її кінцеві результати. </w:t>
      </w:r>
    </w:p>
    <w:p w14:paraId="2FE6B231"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З огляду на важливість розробки управлінських рішень для ефективного управління теорія прийняття рішень виникла за виникненням та розвитком теорії управління.</w:t>
      </w:r>
    </w:p>
    <w:p w14:paraId="2FE6B232"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Управлінська діяльність неможлива без прийняття рішень, які необхідні для виконання широкого кола управлінських завдань. Підготовка та виконання управлінських рішень є необхідним етапом у реалізації функцій управління, незалежно від компетенції органу, що її здійснює. Фактично, вся сукупність видів діяльності будь-якого працівника управління, так чи інакше, пов’язана з прийняттям та реалізацією рішень </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5</w:t>
      </w:r>
      <w:r>
        <w:rPr>
          <w:rFonts w:ascii="Times New Roman" w:eastAsia="Microsoft YaHei" w:hAnsi="Times New Roman" w:cs="Times New Roman"/>
          <w:color w:val="000000"/>
          <w:sz w:val="28"/>
          <w:szCs w:val="28"/>
          <w:lang w:val="en-US" w:eastAsia="uk-UA" w:bidi="uk-UA"/>
        </w:rPr>
        <w:t>].</w:t>
      </w:r>
    </w:p>
    <w:p w14:paraId="2FE6B233"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Теорія управління передбачає два різних підходи до розуміння категорії рішення: </w:t>
      </w:r>
    </w:p>
    <w:p w14:paraId="2FE6B234" w14:textId="77777777" w:rsidR="00471728" w:rsidRDefault="006415EC">
      <w:pPr>
        <w:widowControl w:val="0"/>
        <w:numPr>
          <w:ilvl w:val="0"/>
          <w:numId w:val="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розширений підхід - коли під поняттям рішення розуміється загальний  управлінський цикл, спрямований на досягнення цілей закладу;</w:t>
      </w:r>
    </w:p>
    <w:p w14:paraId="2FE6B235" w14:textId="77777777" w:rsidR="00471728" w:rsidRDefault="006415EC">
      <w:pPr>
        <w:widowControl w:val="0"/>
        <w:numPr>
          <w:ilvl w:val="0"/>
          <w:numId w:val="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вузький підхід - розуміє під рішенням вибір альтернативи, тобто вибір </w:t>
      </w:r>
      <w:r>
        <w:rPr>
          <w:rFonts w:ascii="Times New Roman" w:eastAsia="Microsoft YaHei" w:hAnsi="Times New Roman" w:cs="Times New Roman"/>
          <w:color w:val="000000"/>
          <w:sz w:val="28"/>
          <w:szCs w:val="28"/>
          <w:lang w:eastAsia="uk-UA" w:bidi="uk-UA"/>
        </w:rPr>
        <w:lastRenderedPageBreak/>
        <w:t>найкращого з декількох можливих варіантів дій.</w:t>
      </w:r>
    </w:p>
    <w:p w14:paraId="2FE6B236"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Отже, прийняття рішень передбачає свідомий послідовний процес вибору або процес відбору однієї конкретної групи з можливих сценаріїв поведінки. Керівник закладу охорони здоров’я, для якого першочерговим пріоритетом є раціональність, буде обрати таку альтернативу, яка дозволить вирішити проблеми з максимально ефективними результатами, не перевищуючи виділені ресурси, або з мінімальними витратами. Це індикатор раціональності. Ґрунтуючись на цьому індикаторі, раціональні менеджери визнають вигіднішим ухвалити певне рішення лише тоді, коли буде доведено отримання максимальних очікуваних результатів без допущення перевитрат виділених коштів або мінімізація витрат на придбання ресурсів, що використовуються для прийняття рішення.</w:t>
      </w:r>
    </w:p>
    <w:p w14:paraId="2FE6B237"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Рішення представляє собою універсальну форму поведінки окремих індивідів та цілих соціальних груп</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6, с.97</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 xml:space="preserve"> Але управлінські рішення, які мають організаційний характер, суттєво відрізняються від щоденних рішень, прийняття яких практикується у приватному житті. Управлінські рішення відрізняються від приватних:</w:t>
      </w:r>
    </w:p>
    <w:p w14:paraId="2FE6B238"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1. За поставленими цілями. Суб’єкт управління завжди приймає рішення, спрямоване на вирішення проблем закладу, а не для задоволення своїх власних інтересів. </w:t>
      </w:r>
    </w:p>
    <w:p w14:paraId="2FE6B239"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2. За отриманими наслідками. Приватні рішення позначаються на житті індивідів, що прийняли такі рішення, та близьких їм людей. Управлінські рішення надають впливу на діяльність усього закладу та його співробітників. Рівень прийняття таких рішень безпосередньо визначає серйозність їх наслідків: для закладу, для цілих регіонів і навіть для всієї країни.</w:t>
      </w:r>
    </w:p>
    <w:p w14:paraId="2FE6B23A"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3. За розподілом праці. Виконання рішень у приватному житті полягає на того, хто його приймав. Виконання управлінських (організаційних) рішень реалізується на основі поділу праці: приймають рішення керівники, виконують рішення виконавці.</w:t>
      </w:r>
    </w:p>
    <w:p w14:paraId="2FE6B23B"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4. За рівнем професіоналізму. Прийняття приватних рішень відбувається </w:t>
      </w:r>
      <w:r>
        <w:rPr>
          <w:rFonts w:ascii="Times New Roman" w:eastAsia="Microsoft YaHei" w:hAnsi="Times New Roman" w:cs="Times New Roman"/>
          <w:color w:val="000000"/>
          <w:sz w:val="28"/>
          <w:szCs w:val="28"/>
          <w:lang w:eastAsia="uk-UA" w:bidi="uk-UA"/>
        </w:rPr>
        <w:lastRenderedPageBreak/>
        <w:t>людьми залежно від їхнього досвіду та рівня інтелекту. Управлінські рішення ґрунтуються на спеціальних знаннях, отриманих завдяки відповідній  підготовці, на професійних знаннях, що дозволяють управлінцю отримати повноваження для ухвалення самостійно прийнятих рішень.</w:t>
      </w:r>
    </w:p>
    <w:p w14:paraId="2FE6B23C"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Отже, управлінське рішення - це результат аналізу, прогнозування, оптимізації, економічного обґрунтування та вибору з безлічі варіантів альтернативних, найефективніших для досягнення заданої мети, який здійснений керівником закладу у межах його компетенції та службових повноважень.</w:t>
      </w:r>
    </w:p>
    <w:p w14:paraId="2FE6B23D"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Мета управлінського рішення - забезпечення досягнення поставлених перед закладом завдань. Під ефективним управлінським рішенням розуміється    альтернатива, що дозволяє досягти поставленої мети найбільш економічним способом</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7, с. 202</w:t>
      </w:r>
      <w:r>
        <w:rPr>
          <w:rFonts w:ascii="Times New Roman" w:eastAsia="Microsoft YaHei" w:hAnsi="Times New Roman" w:cs="Times New Roman"/>
          <w:color w:val="000000"/>
          <w:sz w:val="28"/>
          <w:szCs w:val="28"/>
          <w:lang w:val="en-US" w:eastAsia="uk-UA" w:bidi="uk-UA"/>
        </w:rPr>
        <w:t>].</w:t>
      </w:r>
    </w:p>
    <w:p w14:paraId="2FE6B23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59264" behindDoc="0" locked="0" layoutInCell="1" allowOverlap="1" wp14:anchorId="2FE6B7F0" wp14:editId="2FE6B7F1">
                <wp:simplePos x="0" y="0"/>
                <wp:positionH relativeFrom="column">
                  <wp:posOffset>2417445</wp:posOffset>
                </wp:positionH>
                <wp:positionV relativeFrom="paragraph">
                  <wp:posOffset>608331</wp:posOffset>
                </wp:positionV>
                <wp:extent cx="1775460" cy="868680"/>
                <wp:effectExtent l="0" t="19050" r="15240" b="26670"/>
                <wp:wrapNone/>
                <wp:docPr id="3" name="Горизонтальний сувій 7"/>
                <wp:cNvGraphicFramePr/>
                <a:graphic xmlns:a="http://schemas.openxmlformats.org/drawingml/2006/main">
                  <a:graphicData uri="http://schemas.microsoft.com/office/word/2010/wordprocessingShape">
                    <wps:wsp>
                      <wps:cNvSpPr/>
                      <wps:spPr bwMode="auto">
                        <a:xfrm>
                          <a:off x="0" y="0"/>
                          <a:ext cx="1775460" cy="868680"/>
                        </a:xfrm>
                        <a:prstGeom prst="horizontalScroll">
                          <a:avLst>
                            <a:gd name="adj" fmla="val 12500"/>
                          </a:avLst>
                        </a:prstGeom>
                        <a:solidFill>
                          <a:srgbClr val="99CB38"/>
                        </a:solidFill>
                        <a:ln w="12700" cap="flat" cmpd="sng" algn="ctr">
                          <a:solidFill>
                            <a:srgbClr val="99CB38">
                              <a:shade val="50000"/>
                            </a:srgbClr>
                          </a:solidFill>
                          <a:prstDash val="solid"/>
                          <a:miter lim="800000"/>
                        </a:ln>
                        <a:effectLst/>
                      </wps:spPr>
                      <wps:txbx>
                        <w:txbxContent>
                          <w:p w14:paraId="2FE6B810" w14:textId="77777777" w:rsidR="006C10F4" w:rsidRDefault="006C10F4">
                            <w:pPr>
                              <w:jc w:val="center"/>
                            </w:pPr>
                            <w:r>
                              <w:t>Економічний аспект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E6B7F0"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Горизонтальний сувій 7" o:spid="_x0000_s1026" type="#_x0000_t98" style="position:absolute;left:0;text-align:left;margin-left:190.35pt;margin-top:47.9pt;width:139.8pt;height:68.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" fillcolor="#99cb38" strokecolor="#6f9526" strokeweight="1pt">
                <v:stroke joinstyle="miter"/>
                <v:textbox>
                  <w:txbxContent>
                    <w:p w14:paraId="2FE6B810" w14:textId="77777777" w:rsidR="006C10F4" w:rsidRDefault="006C10F4">
                      <w:pPr>
                        <w:jc w:val="center"/>
                      </w:pPr>
                      <w:r>
                        <w:t>Економічний аспект</w:t>
                      </w:r>
                    </w:p>
                  </w:txbxContent>
                </v:textbox>
              </v:shape>
            </w:pict>
          </mc:Fallback>
        </mc:AlternateContent>
      </w:r>
      <w:r>
        <w:rPr>
          <w:rFonts w:ascii="Times New Roman" w:eastAsia="Microsoft YaHei" w:hAnsi="Times New Roman" w:cs="Times New Roman"/>
          <w:color w:val="000000"/>
          <w:sz w:val="28"/>
          <w:szCs w:val="28"/>
          <w:lang w:eastAsia="uk-UA" w:bidi="uk-UA"/>
        </w:rPr>
        <w:t>Комплексний характер управлінського рішення вимагає розуміння його сутності в контексті його основних аспектів (рис. 1.3).</w:t>
      </w:r>
    </w:p>
    <w:p w14:paraId="2FE6B23F"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40"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41"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60288" behindDoc="0" locked="0" layoutInCell="1" allowOverlap="1" wp14:anchorId="2FE6B7F2" wp14:editId="2FE6B7F3">
                <wp:simplePos x="0" y="0"/>
                <wp:positionH relativeFrom="column">
                  <wp:posOffset>672465</wp:posOffset>
                </wp:positionH>
                <wp:positionV relativeFrom="paragraph">
                  <wp:posOffset>267335</wp:posOffset>
                </wp:positionV>
                <wp:extent cx="1623060" cy="807720"/>
                <wp:effectExtent l="0" t="19050" r="15240" b="11430"/>
                <wp:wrapNone/>
                <wp:docPr id="4" name="Горизонтальний сувій 9"/>
                <wp:cNvGraphicFramePr/>
                <a:graphic xmlns:a="http://schemas.openxmlformats.org/drawingml/2006/main">
                  <a:graphicData uri="http://schemas.microsoft.com/office/word/2010/wordprocessingShape">
                    <wps:wsp>
                      <wps:cNvSpPr/>
                      <wps:spPr bwMode="auto">
                        <a:xfrm>
                          <a:off x="0" y="0"/>
                          <a:ext cx="1623060" cy="807720"/>
                        </a:xfrm>
                        <a:prstGeom prst="horizontalScroll">
                          <a:avLst>
                            <a:gd name="adj" fmla="val 12500"/>
                          </a:avLst>
                        </a:prstGeom>
                        <a:solidFill>
                          <a:srgbClr val="99CB38"/>
                        </a:solidFill>
                        <a:ln w="12700" cap="flat" cmpd="sng" algn="ctr">
                          <a:solidFill>
                            <a:srgbClr val="99CB38">
                              <a:shade val="50000"/>
                            </a:srgbClr>
                          </a:solidFill>
                          <a:prstDash val="solid"/>
                          <a:miter lim="800000"/>
                        </a:ln>
                        <a:effectLst/>
                      </wps:spPr>
                      <wps:txbx>
                        <w:txbxContent>
                          <w:p w14:paraId="2FE6B811" w14:textId="77777777" w:rsidR="006C10F4" w:rsidRDefault="006C10F4">
                            <w:pPr>
                              <w:jc w:val="center"/>
                            </w:pPr>
                            <w:r>
                              <w:t>Організаційний аспект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E6B7F2" id="Горизонтальний сувій 9" o:spid="_x0000_s1027" type="#_x0000_t98" style="position:absolute;left:0;text-align:left;margin-left:52.95pt;margin-top:21.05pt;width:127.8pt;height:6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" fillcolor="#99cb38" strokecolor="#6f9526" strokeweight="1pt">
                <v:stroke joinstyle="miter"/>
                <v:textbox>
                  <w:txbxContent>
                    <w:p w14:paraId="2FE6B811" w14:textId="77777777" w:rsidR="006C10F4" w:rsidRDefault="006C10F4">
                      <w:pPr>
                        <w:jc w:val="center"/>
                      </w:pPr>
                      <w:r>
                        <w:t>Організаційний аспект</w:t>
                      </w:r>
                    </w:p>
                  </w:txbxContent>
                </v:textbox>
              </v:shape>
            </w:pict>
          </mc:Fallback>
        </mc:AlternateContent>
      </w: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61312" behindDoc="0" locked="0" layoutInCell="1" allowOverlap="1" wp14:anchorId="2FE6B7F4" wp14:editId="2FE6B7F5">
                <wp:simplePos x="0" y="0"/>
                <wp:positionH relativeFrom="column">
                  <wp:posOffset>4269105</wp:posOffset>
                </wp:positionH>
                <wp:positionV relativeFrom="paragraph">
                  <wp:posOffset>175896</wp:posOffset>
                </wp:positionV>
                <wp:extent cx="1607820" cy="838200"/>
                <wp:effectExtent l="0" t="19050" r="11430" b="19050"/>
                <wp:wrapNone/>
                <wp:docPr id="5" name="Горизонтальний сувій 10"/>
                <wp:cNvGraphicFramePr/>
                <a:graphic xmlns:a="http://schemas.openxmlformats.org/drawingml/2006/main">
                  <a:graphicData uri="http://schemas.microsoft.com/office/word/2010/wordprocessingShape">
                    <wps:wsp>
                      <wps:cNvSpPr/>
                      <wps:spPr bwMode="auto">
                        <a:xfrm>
                          <a:off x="0" y="0"/>
                          <a:ext cx="1607820" cy="838200"/>
                        </a:xfrm>
                        <a:prstGeom prst="horizontalScroll">
                          <a:avLst>
                            <a:gd name="adj" fmla="val 12500"/>
                          </a:avLst>
                        </a:prstGeom>
                        <a:solidFill>
                          <a:srgbClr val="99CB38"/>
                        </a:solidFill>
                        <a:ln w="12700" cap="flat" cmpd="sng" algn="ctr">
                          <a:solidFill>
                            <a:srgbClr val="99CB38">
                              <a:shade val="50000"/>
                            </a:srgbClr>
                          </a:solidFill>
                          <a:prstDash val="solid"/>
                          <a:miter lim="800000"/>
                        </a:ln>
                        <a:effectLst/>
                      </wps:spPr>
                      <wps:txbx>
                        <w:txbxContent>
                          <w:p w14:paraId="2FE6B812" w14:textId="77777777" w:rsidR="006C10F4" w:rsidRDefault="006C10F4">
                            <w:pPr>
                              <w:jc w:val="center"/>
                            </w:pPr>
                            <w:r>
                              <w:t>Соціальний аспект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E6B7F4" id="Горизонтальний сувій 10" o:spid="_x0000_s1028" type="#_x0000_t98" style="position:absolute;left:0;text-align:left;margin-left:336.15pt;margin-top:13.85pt;width:126.6pt;height:6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" fillcolor="#99cb38" strokecolor="#6f9526" strokeweight="1pt">
                <v:stroke joinstyle="miter"/>
                <v:textbox>
                  <w:txbxContent>
                    <w:p w14:paraId="2FE6B812" w14:textId="77777777" w:rsidR="006C10F4" w:rsidRDefault="006C10F4">
                      <w:pPr>
                        <w:jc w:val="center"/>
                      </w:pPr>
                      <w:r>
                        <w:t>Соціальний аспект</w:t>
                      </w:r>
                    </w:p>
                  </w:txbxContent>
                </v:textbox>
              </v:shape>
            </w:pict>
          </mc:Fallback>
        </mc:AlternateContent>
      </w:r>
    </w:p>
    <w:p w14:paraId="2FE6B242"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43"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65408" behindDoc="0" locked="0" layoutInCell="1" allowOverlap="1" wp14:anchorId="2FE6B7F6" wp14:editId="2FE6B7F7">
                <wp:simplePos x="0" y="0"/>
                <wp:positionH relativeFrom="column">
                  <wp:posOffset>2303145</wp:posOffset>
                </wp:positionH>
                <wp:positionV relativeFrom="paragraph">
                  <wp:posOffset>42545</wp:posOffset>
                </wp:positionV>
                <wp:extent cx="1981200" cy="1013460"/>
                <wp:effectExtent l="19050" t="0" r="38100" b="186690"/>
                <wp:wrapNone/>
                <wp:docPr id="6" name="Виноска-хмарка 15"/>
                <wp:cNvGraphicFramePr/>
                <a:graphic xmlns:a="http://schemas.openxmlformats.org/drawingml/2006/main">
                  <a:graphicData uri="http://schemas.microsoft.com/office/word/2010/wordprocessingShape">
                    <wps:wsp>
                      <wps:cNvSpPr/>
                      <wps:spPr bwMode="auto">
                        <a:xfrm>
                          <a:off x="0" y="0"/>
                          <a:ext cx="1981200" cy="1013460"/>
                        </a:xfrm>
                        <a:prstGeom prst="cloudCallout">
                          <a:avLst>
                            <a:gd name="adj1" fmla="val -20833"/>
                            <a:gd name="adj2" fmla="val 62500"/>
                          </a:avLst>
                        </a:prstGeom>
                        <a:solidFill>
                          <a:srgbClr val="99CB38"/>
                        </a:solidFill>
                        <a:ln w="12700" cap="flat" cmpd="sng" algn="ctr">
                          <a:solidFill>
                            <a:srgbClr val="99CB38">
                              <a:shade val="50000"/>
                            </a:srgbClr>
                          </a:solidFill>
                          <a:prstDash val="solid"/>
                          <a:miter lim="800000"/>
                        </a:ln>
                        <a:effectLst/>
                      </wps:spPr>
                      <wps:txbx>
                        <w:txbxContent>
                          <w:p w14:paraId="2FE6B813" w14:textId="77777777" w:rsidR="006C10F4" w:rsidRDefault="006C10F4">
                            <w:pPr>
                              <w:jc w:val="center"/>
                              <w:rPr>
                                <w:b/>
                              </w:rPr>
                            </w:pPr>
                            <w:r>
                              <w:rPr>
                                <w:b/>
                              </w:rPr>
                              <w:t>Управлінське рішення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E6B7F6"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Виноска-хмарка 15" o:spid="_x0000_s1029" type="#_x0000_t106" style="position:absolute;left:0;text-align:left;margin-left:181.35pt;margin-top:3.35pt;width:156pt;height:79.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" adj="6300,24300" fillcolor="#99cb38" strokecolor="#6f9526" strokeweight="1pt">
                <v:stroke joinstyle="miter"/>
                <v:textbox>
                  <w:txbxContent>
                    <w:p w14:paraId="2FE6B813" w14:textId="77777777" w:rsidR="006C10F4" w:rsidRDefault="006C10F4">
                      <w:pPr>
                        <w:jc w:val="center"/>
                        <w:rPr>
                          <w:b/>
                        </w:rPr>
                      </w:pPr>
                      <w:r>
                        <w:rPr>
                          <w:b/>
                        </w:rPr>
                        <w:t>Управлінське рішення</w:t>
                      </w:r>
                    </w:p>
                  </w:txbxContent>
                </v:textbox>
              </v:shape>
            </w:pict>
          </mc:Fallback>
        </mc:AlternateContent>
      </w:r>
    </w:p>
    <w:p w14:paraId="2FE6B244"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62336" behindDoc="0" locked="0" layoutInCell="1" allowOverlap="1" wp14:anchorId="2FE6B7F8" wp14:editId="2FE6B7F9">
                <wp:simplePos x="0" y="0"/>
                <wp:positionH relativeFrom="column">
                  <wp:posOffset>733425</wp:posOffset>
                </wp:positionH>
                <wp:positionV relativeFrom="paragraph">
                  <wp:posOffset>246380</wp:posOffset>
                </wp:positionV>
                <wp:extent cx="1562100" cy="800100"/>
                <wp:effectExtent l="0" t="19050" r="19050" b="19050"/>
                <wp:wrapNone/>
                <wp:docPr id="7" name="Горизонтальний сувій 11"/>
                <wp:cNvGraphicFramePr/>
                <a:graphic xmlns:a="http://schemas.openxmlformats.org/drawingml/2006/main">
                  <a:graphicData uri="http://schemas.microsoft.com/office/word/2010/wordprocessingShape">
                    <wps:wsp>
                      <wps:cNvSpPr/>
                      <wps:spPr bwMode="auto">
                        <a:xfrm>
                          <a:off x="0" y="0"/>
                          <a:ext cx="1562100" cy="800100"/>
                        </a:xfrm>
                        <a:prstGeom prst="horizontalScroll">
                          <a:avLst>
                            <a:gd name="adj" fmla="val 12500"/>
                          </a:avLst>
                        </a:prstGeom>
                        <a:solidFill>
                          <a:srgbClr val="99CB38"/>
                        </a:solidFill>
                        <a:ln w="12700" cap="flat" cmpd="sng" algn="ctr">
                          <a:solidFill>
                            <a:srgbClr val="99CB38">
                              <a:shade val="50000"/>
                            </a:srgbClr>
                          </a:solidFill>
                          <a:prstDash val="solid"/>
                          <a:miter lim="800000"/>
                        </a:ln>
                        <a:effectLst/>
                      </wps:spPr>
                      <wps:txbx>
                        <w:txbxContent>
                          <w:p w14:paraId="2FE6B814" w14:textId="77777777" w:rsidR="006C10F4" w:rsidRDefault="006C10F4">
                            <w:pPr>
                              <w:jc w:val="center"/>
                            </w:pPr>
                            <w:r>
                              <w:t>Юридичний аспект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E6B7F8" id="Горизонтальний сувій 11" o:spid="_x0000_s1030" type="#_x0000_t98" style="position:absolute;left:0;text-align:left;margin-left:57.75pt;margin-top:19.4pt;width:123pt;height:6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" fillcolor="#99cb38" strokecolor="#6f9526" strokeweight="1pt">
                <v:stroke joinstyle="miter"/>
                <v:textbox>
                  <w:txbxContent>
                    <w:p w14:paraId="2FE6B814" w14:textId="77777777" w:rsidR="006C10F4" w:rsidRDefault="006C10F4">
                      <w:pPr>
                        <w:jc w:val="center"/>
                      </w:pPr>
                      <w:r>
                        <w:t>Юридичний аспект</w:t>
                      </w:r>
                    </w:p>
                  </w:txbxContent>
                </v:textbox>
              </v:shape>
            </w:pict>
          </mc:Fallback>
        </mc:AlternateContent>
      </w: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64384" behindDoc="0" locked="0" layoutInCell="1" allowOverlap="1" wp14:anchorId="2FE6B7FA" wp14:editId="2FE6B7FB">
                <wp:simplePos x="0" y="0"/>
                <wp:positionH relativeFrom="column">
                  <wp:posOffset>4314825</wp:posOffset>
                </wp:positionH>
                <wp:positionV relativeFrom="paragraph">
                  <wp:posOffset>109221</wp:posOffset>
                </wp:positionV>
                <wp:extent cx="1653540" cy="815340"/>
                <wp:effectExtent l="0" t="19050" r="22860" b="22860"/>
                <wp:wrapNone/>
                <wp:docPr id="8" name="Горизонтальний сувій 13"/>
                <wp:cNvGraphicFramePr/>
                <a:graphic xmlns:a="http://schemas.openxmlformats.org/drawingml/2006/main">
                  <a:graphicData uri="http://schemas.microsoft.com/office/word/2010/wordprocessingShape">
                    <wps:wsp>
                      <wps:cNvSpPr/>
                      <wps:spPr bwMode="auto">
                        <a:xfrm>
                          <a:off x="0" y="0"/>
                          <a:ext cx="1653540" cy="815340"/>
                        </a:xfrm>
                        <a:prstGeom prst="horizontalScroll">
                          <a:avLst>
                            <a:gd name="adj" fmla="val 12500"/>
                          </a:avLst>
                        </a:prstGeom>
                        <a:solidFill>
                          <a:srgbClr val="99CB38"/>
                        </a:solidFill>
                        <a:ln w="12700" cap="flat" cmpd="sng" algn="ctr">
                          <a:solidFill>
                            <a:srgbClr val="99CB38">
                              <a:shade val="50000"/>
                            </a:srgbClr>
                          </a:solidFill>
                          <a:prstDash val="solid"/>
                          <a:miter lim="800000"/>
                        </a:ln>
                        <a:effectLst/>
                      </wps:spPr>
                      <wps:txbx>
                        <w:txbxContent>
                          <w:p w14:paraId="2FE6B815" w14:textId="77777777" w:rsidR="006C10F4" w:rsidRDefault="006C10F4">
                            <w:pPr>
                              <w:jc w:val="center"/>
                            </w:pPr>
                            <w:r>
                              <w:t>Психологічний аспект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E6B7FA" id="Горизонтальний сувій 13" o:spid="_x0000_s1031" type="#_x0000_t98" style="position:absolute;left:0;text-align:left;margin-left:339.75pt;margin-top:8.6pt;width:130.2pt;height:6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" fillcolor="#99cb38" strokecolor="#6f9526" strokeweight="1pt">
                <v:stroke joinstyle="miter"/>
                <v:textbox>
                  <w:txbxContent>
                    <w:p w14:paraId="2FE6B815" w14:textId="77777777" w:rsidR="006C10F4" w:rsidRDefault="006C10F4">
                      <w:pPr>
                        <w:jc w:val="center"/>
                      </w:pPr>
                      <w:r>
                        <w:t>Психологічний аспект</w:t>
                      </w:r>
                    </w:p>
                  </w:txbxContent>
                </v:textbox>
              </v:shape>
            </w:pict>
          </mc:Fallback>
        </mc:AlternateContent>
      </w:r>
    </w:p>
    <w:p w14:paraId="2FE6B245"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46"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47"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63360" behindDoc="0" locked="0" layoutInCell="1" allowOverlap="1" wp14:anchorId="2FE6B7FC" wp14:editId="2FE6B7FD">
                <wp:simplePos x="0" y="0"/>
                <wp:positionH relativeFrom="column">
                  <wp:posOffset>2486025</wp:posOffset>
                </wp:positionH>
                <wp:positionV relativeFrom="paragraph">
                  <wp:posOffset>4445</wp:posOffset>
                </wp:positionV>
                <wp:extent cx="1706880" cy="815340"/>
                <wp:effectExtent l="0" t="19050" r="26670" b="22860"/>
                <wp:wrapNone/>
                <wp:docPr id="9" name="Горизонтальний сувій 12"/>
                <wp:cNvGraphicFramePr/>
                <a:graphic xmlns:a="http://schemas.openxmlformats.org/drawingml/2006/main">
                  <a:graphicData uri="http://schemas.microsoft.com/office/word/2010/wordprocessingShape">
                    <wps:wsp>
                      <wps:cNvSpPr/>
                      <wps:spPr bwMode="auto">
                        <a:xfrm>
                          <a:off x="0" y="0"/>
                          <a:ext cx="1706880" cy="815340"/>
                        </a:xfrm>
                        <a:prstGeom prst="horizontalScroll">
                          <a:avLst>
                            <a:gd name="adj" fmla="val 12500"/>
                          </a:avLst>
                        </a:prstGeom>
                        <a:solidFill>
                          <a:srgbClr val="99CB38"/>
                        </a:solidFill>
                        <a:ln w="12700" cap="flat" cmpd="sng" algn="ctr">
                          <a:solidFill>
                            <a:srgbClr val="99CB38">
                              <a:shade val="50000"/>
                            </a:srgbClr>
                          </a:solidFill>
                          <a:prstDash val="solid"/>
                          <a:miter lim="800000"/>
                        </a:ln>
                        <a:effectLst/>
                      </wps:spPr>
                      <wps:txbx>
                        <w:txbxContent>
                          <w:p w14:paraId="2FE6B816" w14:textId="77777777" w:rsidR="006C10F4" w:rsidRDefault="006C10F4">
                            <w:pPr>
                              <w:jc w:val="center"/>
                            </w:pPr>
                            <w:r>
                              <w:t>Інформаційний аспект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E6B7FC" id="Горизонтальний сувій 12" o:spid="_x0000_s1032" type="#_x0000_t98" style="position:absolute;left:0;text-align:left;margin-left:195.75pt;margin-top:.35pt;width:134.4pt;height:64.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" fillcolor="#99cb38" strokecolor="#6f9526" strokeweight="1pt">
                <v:stroke joinstyle="miter"/>
                <v:textbox>
                  <w:txbxContent>
                    <w:p w14:paraId="2FE6B816" w14:textId="77777777" w:rsidR="006C10F4" w:rsidRDefault="006C10F4">
                      <w:pPr>
                        <w:jc w:val="center"/>
                      </w:pPr>
                      <w:r>
                        <w:t>Інформаційний аспект</w:t>
                      </w:r>
                    </w:p>
                  </w:txbxContent>
                </v:textbox>
              </v:shape>
            </w:pict>
          </mc:Fallback>
        </mc:AlternateContent>
      </w:r>
    </w:p>
    <w:p w14:paraId="2FE6B248"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49"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4A"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4B" w14:textId="77777777" w:rsidR="00471728" w:rsidRDefault="006415EC">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r>
        <w:rPr>
          <w:rFonts w:ascii="Times New Roman" w:eastAsia="Microsoft YaHei" w:hAnsi="Times New Roman" w:cs="Times New Roman"/>
          <w:b/>
          <w:color w:val="000000"/>
          <w:sz w:val="28"/>
          <w:szCs w:val="28"/>
          <w:lang w:eastAsia="uk-UA" w:bidi="uk-UA"/>
        </w:rPr>
        <w:t>Рис. 1.3. Основні аспекти управлінського рішення</w:t>
      </w:r>
    </w:p>
    <w:p w14:paraId="2FE6B24C" w14:textId="77777777" w:rsidR="00471728" w:rsidRDefault="006415EC">
      <w:pPr>
        <w:widowControl w:val="0"/>
        <w:spacing w:after="0" w:line="360" w:lineRule="auto"/>
        <w:ind w:firstLine="709"/>
        <w:jc w:val="both"/>
        <w:rPr>
          <w:rFonts w:ascii="Times New Roman" w:eastAsia="Microsoft YaHei" w:hAnsi="Times New Roman" w:cs="Times New Roman"/>
          <w:i/>
          <w:color w:val="000000"/>
          <w:sz w:val="24"/>
          <w:szCs w:val="24"/>
          <w:lang w:eastAsia="uk-UA" w:bidi="uk-UA"/>
        </w:rPr>
      </w:pPr>
      <w:r>
        <w:rPr>
          <w:rFonts w:ascii="Times New Roman" w:eastAsia="Microsoft YaHei" w:hAnsi="Times New Roman" w:cs="Times New Roman"/>
          <w:i/>
          <w:color w:val="000000"/>
          <w:sz w:val="24"/>
          <w:szCs w:val="24"/>
          <w:lang w:eastAsia="uk-UA" w:bidi="uk-UA"/>
        </w:rPr>
        <w:t>Джерело: побудовано автором</w:t>
      </w:r>
    </w:p>
    <w:p w14:paraId="2FE6B24D" w14:textId="77777777" w:rsidR="00471728" w:rsidRDefault="00471728">
      <w:pPr>
        <w:widowControl w:val="0"/>
        <w:spacing w:after="0" w:line="360" w:lineRule="auto"/>
        <w:ind w:firstLine="709"/>
        <w:jc w:val="both"/>
        <w:rPr>
          <w:rFonts w:ascii="Times New Roman" w:eastAsia="Microsoft YaHei" w:hAnsi="Times New Roman" w:cs="Times New Roman"/>
          <w:i/>
          <w:color w:val="000000"/>
          <w:sz w:val="24"/>
          <w:szCs w:val="24"/>
          <w:lang w:eastAsia="uk-UA" w:bidi="uk-UA"/>
        </w:rPr>
      </w:pPr>
    </w:p>
    <w:p w14:paraId="2FE6B24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lastRenderedPageBreak/>
        <w:t>1. Економічний аспект передбачає спрямованість кожного управлінського рішення на підвищення ефективності діяльності закладу завдяки раціональному використанню наявних ресурсів, зростанню матеріальної зацікавленості персоналу закладу та максимізації очікуваного економічного ефекту. Через обмеження управлінських рішень наявністю відповідних ресурсів (фінанси, люди, матеріали тощо) та успішністю їх використання існує певна залежність результативності управлінського рішення від цих факторів. На результативність великою мірою впливає мотивація персоналу закладу, що приймає безпосередню  участь у реалізації прийнятих рішень.</w:t>
      </w:r>
    </w:p>
    <w:p w14:paraId="2FE6B24F"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2. Соціальний аспект обумовлений впливом на результативність управлінських рішень тих міжособистісних відносин та норм, що склалися в трудовому колективі. Наявність соціального аспекту ґрунтується на необхідності урегулювання конфліктних ситуацій, покращення якості трудової діяльності, залученістю персоналу до управління закладом.</w:t>
      </w:r>
    </w:p>
    <w:p w14:paraId="2FE6B250"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3. Психологічний аспект надає управлінському рішенню вигляд логіко-розумного акту, що здійснює суб’єкт управління для вирішення конкретної проблеми.</w:t>
      </w:r>
    </w:p>
    <w:p w14:paraId="2FE6B251"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4. Інформаційний аспект полягає в інформаційній природі управлінських рішень, оскільки їх прийняття вимагає збирання та обробки релевантної інформації та її трансформації в інформацію управлінського рішення, яке в свою чергу саме є інформацією, що зібрана та перероблена суб’єктом управління.</w:t>
      </w:r>
    </w:p>
    <w:p w14:paraId="2FE6B252"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5. Юридичний аспект полягає у визначенні повноважень та юридичних наслідків управлінського рішення, що оформлено та затверджено відповідним чином у вигляді організаційно-правового акту.</w:t>
      </w:r>
    </w:p>
    <w:p w14:paraId="2FE6B253"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6. Організаційний аспект передбачає трактування управлінського рішення як акту організаційних змін, що виражається у формі вольового дії керівника, зайнятого вибором мети та засобів її досягнення шляхом раціональної організації практичної діяльності людей.</w:t>
      </w:r>
    </w:p>
    <w:p w14:paraId="2FE6B254"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lastRenderedPageBreak/>
        <w:t>Обов’язковими елементами у прийнятті рішень є наявність альтернатив, мети та необхідність здійснення вольового акту суб’єкта, яка приймає управлінське рішення як результат порівняння різних думок та мотивів</w:t>
      </w:r>
      <w:r>
        <w:t xml:space="preserve"> </w:t>
      </w:r>
      <w:r>
        <w:rPr>
          <w:rFonts w:ascii="Times New Roman" w:eastAsia="Microsoft YaHei" w:hAnsi="Times New Roman" w:cs="Times New Roman"/>
          <w:color w:val="000000"/>
          <w:sz w:val="28"/>
          <w:szCs w:val="28"/>
          <w:lang w:eastAsia="uk-UA" w:bidi="uk-UA"/>
        </w:rPr>
        <w:t>[8].</w:t>
      </w:r>
    </w:p>
    <w:p w14:paraId="2FE6B255"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На прийняття управлінського рішення впливає низка чинників (рис. 1.4).</w:t>
      </w:r>
    </w:p>
    <w:p w14:paraId="2FE6B256"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67456" behindDoc="0" locked="0" layoutInCell="1" allowOverlap="1" wp14:anchorId="2FE6B7FE" wp14:editId="2FE6B7FF">
                <wp:simplePos x="0" y="0"/>
                <wp:positionH relativeFrom="column">
                  <wp:posOffset>2089785</wp:posOffset>
                </wp:positionH>
                <wp:positionV relativeFrom="paragraph">
                  <wp:posOffset>69850</wp:posOffset>
                </wp:positionV>
                <wp:extent cx="1973580" cy="716280"/>
                <wp:effectExtent l="0" t="0" r="26670" b="26670"/>
                <wp:wrapNone/>
                <wp:docPr id="10" name="Овал 17"/>
                <wp:cNvGraphicFramePr/>
                <a:graphic xmlns:a="http://schemas.openxmlformats.org/drawingml/2006/main">
                  <a:graphicData uri="http://schemas.microsoft.com/office/word/2010/wordprocessingShape">
                    <wps:wsp>
                      <wps:cNvSpPr/>
                      <wps:spPr bwMode="auto">
                        <a:xfrm>
                          <a:off x="0" y="0"/>
                          <a:ext cx="1973580" cy="716280"/>
                        </a:xfrm>
                        <a:prstGeom prst="ellipse">
                          <a:avLst/>
                        </a:prstGeom>
                        <a:solidFill>
                          <a:srgbClr val="99CB38"/>
                        </a:solidFill>
                        <a:ln w="12700" cap="flat" cmpd="sng" algn="ctr">
                          <a:solidFill>
                            <a:srgbClr val="99CB38">
                              <a:shade val="50000"/>
                            </a:srgbClr>
                          </a:solidFill>
                          <a:prstDash val="solid"/>
                          <a:miter lim="800000"/>
                        </a:ln>
                        <a:effectLst/>
                      </wps:spPr>
                      <wps:txbx>
                        <w:txbxContent>
                          <w:p w14:paraId="2FE6B817" w14:textId="77777777" w:rsidR="006C10F4" w:rsidRDefault="006C10F4">
                            <w:pPr>
                              <w:jc w:val="center"/>
                            </w:pPr>
                            <w:r>
                              <w:t>Стратегія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E6B7FE" id="Овал 17" o:spid="_x0000_s1033" style="position:absolute;left:0;text-align:left;margin-left:164.55pt;margin-top:5.5pt;width:155.4pt;height:56.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" fillcolor="#99cb38" strokecolor="#6f9526" strokeweight="1pt">
                <v:stroke joinstyle="miter"/>
                <v:textbox>
                  <w:txbxContent>
                    <w:p w14:paraId="2FE6B817" w14:textId="77777777" w:rsidR="006C10F4" w:rsidRDefault="006C10F4">
                      <w:pPr>
                        <w:jc w:val="center"/>
                      </w:pPr>
                      <w:r>
                        <w:t>Стратегія</w:t>
                      </w:r>
                    </w:p>
                  </w:txbxContent>
                </v:textbox>
              </v:oval>
            </w:pict>
          </mc:Fallback>
        </mc:AlternateContent>
      </w:r>
    </w:p>
    <w:p w14:paraId="2FE6B257"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58"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68480" behindDoc="0" locked="0" layoutInCell="1" allowOverlap="1" wp14:anchorId="2FE6B800" wp14:editId="2FE6B801">
                <wp:simplePos x="0" y="0"/>
                <wp:positionH relativeFrom="column">
                  <wp:posOffset>3949065</wp:posOffset>
                </wp:positionH>
                <wp:positionV relativeFrom="paragraph">
                  <wp:posOffset>15240</wp:posOffset>
                </wp:positionV>
                <wp:extent cx="1889760" cy="807720"/>
                <wp:effectExtent l="0" t="0" r="15240" b="11430"/>
                <wp:wrapNone/>
                <wp:docPr id="11" name="Овал 18"/>
                <wp:cNvGraphicFramePr/>
                <a:graphic xmlns:a="http://schemas.openxmlformats.org/drawingml/2006/main">
                  <a:graphicData uri="http://schemas.microsoft.com/office/word/2010/wordprocessingShape">
                    <wps:wsp>
                      <wps:cNvSpPr/>
                      <wps:spPr bwMode="auto">
                        <a:xfrm>
                          <a:off x="0" y="0"/>
                          <a:ext cx="1889760" cy="807720"/>
                        </a:xfrm>
                        <a:prstGeom prst="ellipse">
                          <a:avLst/>
                        </a:prstGeom>
                        <a:solidFill>
                          <a:srgbClr val="99CB38"/>
                        </a:solidFill>
                        <a:ln w="12700" cap="flat" cmpd="sng" algn="ctr">
                          <a:solidFill>
                            <a:srgbClr val="99CB38">
                              <a:shade val="50000"/>
                            </a:srgbClr>
                          </a:solidFill>
                          <a:prstDash val="solid"/>
                          <a:miter lim="800000"/>
                        </a:ln>
                        <a:effectLst/>
                      </wps:spPr>
                      <wps:txbx>
                        <w:txbxContent>
                          <w:p w14:paraId="2FE6B818" w14:textId="77777777" w:rsidR="006C10F4" w:rsidRDefault="006C10F4">
                            <w:pPr>
                              <w:jc w:val="center"/>
                            </w:pPr>
                            <w:r>
                              <w:t>Політика організації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E6B800" id="Овал 18" o:spid="_x0000_s1034" style="position:absolute;left:0;text-align:left;margin-left:310.95pt;margin-top:1.2pt;width:148.8pt;height:63.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" fillcolor="#99cb38" strokecolor="#6f9526" strokeweight="1pt">
                <v:stroke joinstyle="miter"/>
                <v:textbox>
                  <w:txbxContent>
                    <w:p w14:paraId="2FE6B818" w14:textId="77777777" w:rsidR="006C10F4" w:rsidRDefault="006C10F4">
                      <w:pPr>
                        <w:jc w:val="center"/>
                      </w:pPr>
                      <w:r>
                        <w:t>Політика організації</w:t>
                      </w:r>
                    </w:p>
                  </w:txbxContent>
                </v:textbox>
              </v:oval>
            </w:pict>
          </mc:Fallback>
        </mc:AlternateContent>
      </w: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71552" behindDoc="0" locked="0" layoutInCell="1" allowOverlap="1" wp14:anchorId="2FE6B802" wp14:editId="2FE6B803">
                <wp:simplePos x="0" y="0"/>
                <wp:positionH relativeFrom="column">
                  <wp:posOffset>413385</wp:posOffset>
                </wp:positionH>
                <wp:positionV relativeFrom="paragraph">
                  <wp:posOffset>15240</wp:posOffset>
                </wp:positionV>
                <wp:extent cx="1752600" cy="807720"/>
                <wp:effectExtent l="6350" t="6350" r="6350" b="6350"/>
                <wp:wrapNone/>
                <wp:docPr id="12" name="Овал 22"/>
                <wp:cNvGraphicFramePr/>
                <a:graphic xmlns:a="http://schemas.openxmlformats.org/drawingml/2006/main">
                  <a:graphicData uri="http://schemas.microsoft.com/office/word/2010/wordprocessingShape">
                    <wps:wsp>
                      <wps:cNvSpPr/>
                      <wps:spPr bwMode="auto">
                        <a:xfrm>
                          <a:off x="0" y="0"/>
                          <a:ext cx="1752599" cy="807719"/>
                        </a:xfrm>
                        <a:prstGeom prst="ellipse">
                          <a:avLst/>
                        </a:prstGeom>
                        <a:solidFill>
                          <a:srgbClr val="99CB38"/>
                        </a:solidFill>
                        <a:ln w="12700" cap="flat" cmpd="sng" algn="ctr">
                          <a:solidFill>
                            <a:srgbClr val="99CB38">
                              <a:shade val="50000"/>
                            </a:srgbClr>
                          </a:solidFill>
                          <a:prstDash val="solid"/>
                          <a:miter lim="800000"/>
                        </a:ln>
                        <a:effectLst/>
                      </wps:spPr>
                      <wps:txbx>
                        <w:txbxContent>
                          <w:p w14:paraId="2FE6B819" w14:textId="77777777" w:rsidR="006C10F4" w:rsidRDefault="006C10F4">
                            <w:pPr>
                              <w:jc w:val="center"/>
                            </w:pPr>
                            <w:r>
                              <w:t>Рівень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FE6B802" id="Овал 22" o:spid="_x0000_s1035" style="position:absolute;left:0;text-align:left;margin-left:32.55pt;margin-top:1.2pt;width:138pt;height:63.6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" fillcolor="#99cb38" strokecolor="#6f9526" strokeweight="1pt">
                <v:stroke joinstyle="miter"/>
                <v:textbox>
                  <w:txbxContent>
                    <w:p w14:paraId="2FE6B819" w14:textId="77777777" w:rsidR="006C10F4" w:rsidRDefault="006C10F4">
                      <w:pPr>
                        <w:jc w:val="center"/>
                      </w:pPr>
                      <w:r>
                        <w:t>Рівень управління</w:t>
                      </w:r>
                    </w:p>
                  </w:txbxContent>
                </v:textbox>
              </v:oval>
            </w:pict>
          </mc:Fallback>
        </mc:AlternateContent>
      </w:r>
    </w:p>
    <w:p w14:paraId="2FE6B259"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Microsoft YaHei" w:eastAsia="Microsoft YaHei" w:hAnsi="Microsoft YaHei" w:cs="Microsoft YaHei"/>
          <w:noProof/>
          <w:color w:val="000000"/>
          <w:sz w:val="24"/>
          <w:szCs w:val="24"/>
          <w:lang w:eastAsia="uk-UA"/>
        </w:rPr>
        <mc:AlternateContent>
          <mc:Choice Requires="wps">
            <w:drawing>
              <wp:anchor distT="0" distB="0" distL="114300" distR="114300" simplePos="0" relativeHeight="251666432" behindDoc="0" locked="0" layoutInCell="1" allowOverlap="1" wp14:anchorId="2FE6B804" wp14:editId="2FE6B805">
                <wp:simplePos x="0" y="0"/>
                <wp:positionH relativeFrom="column">
                  <wp:posOffset>2219325</wp:posOffset>
                </wp:positionH>
                <wp:positionV relativeFrom="paragraph">
                  <wp:posOffset>143132</wp:posOffset>
                </wp:positionV>
                <wp:extent cx="1615440" cy="746298"/>
                <wp:effectExtent l="6350" t="6350" r="6350" b="6350"/>
                <wp:wrapNone/>
                <wp:docPr id="13" name="Блок-схема: пам'ять із посл.доступом 16"/>
                <wp:cNvGraphicFramePr/>
                <a:graphic xmlns:a="http://schemas.openxmlformats.org/drawingml/2006/main">
                  <a:graphicData uri="http://schemas.microsoft.com/office/word/2010/wordprocessingShape">
                    <wps:wsp>
                      <wps:cNvSpPr/>
                      <wps:spPr bwMode="auto">
                        <a:xfrm>
                          <a:off x="0" y="0"/>
                          <a:ext cx="1615439" cy="746298"/>
                        </a:xfrm>
                        <a:prstGeom prst="flowChartMagneticTape">
                          <a:avLst/>
                        </a:prstGeom>
                        <a:solidFill>
                          <a:srgbClr val="99CB38"/>
                        </a:solidFill>
                        <a:ln w="12700" cap="flat" cmpd="sng" algn="ctr">
                          <a:solidFill>
                            <a:srgbClr val="99CB38">
                              <a:shade val="50000"/>
                            </a:srgbClr>
                          </a:solidFill>
                          <a:prstDash val="solid"/>
                          <a:miter lim="800000"/>
                        </a:ln>
                        <a:effectLst/>
                      </wps:spPr>
                      <wps:txbx>
                        <w:txbxContent>
                          <w:p w14:paraId="2FE6B81A" w14:textId="77777777" w:rsidR="006C10F4" w:rsidRDefault="006C10F4">
                            <w:pPr>
                              <w:jc w:val="center"/>
                              <w:rPr>
                                <w:b/>
                                <w:sz w:val="28"/>
                                <w:szCs w:val="28"/>
                              </w:rPr>
                            </w:pPr>
                            <w:r>
                              <w:rPr>
                                <w:b/>
                                <w:sz w:val="28"/>
                                <w:szCs w:val="28"/>
                              </w:rPr>
                              <w:t>Чинники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FE6B804" id="_x0000_t131" coordsize="21600,21600" o:spt="131" path="ar,,21600,21600,18685,18165,10677,21597l20990,21597r,-3432xe">
                <v:stroke joinstyle="miter"/>
                <v:path o:connecttype="rect" textboxrect="3163,3163,18437,18437"/>
              </v:shapetype>
              <v:shape id="Блок-схема: пам'ять із посл.доступом 16" o:spid="_x0000_s1036" type="#_x0000_t131" style="position:absolute;left:0;text-align:left;margin-left:174.75pt;margin-top:11.25pt;width:127.2pt;height:58.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" fillcolor="#99cb38" strokecolor="#6f9526" strokeweight="1pt">
                <v:textbox>
                  <w:txbxContent>
                    <w:p w14:paraId="2FE6B81A" w14:textId="77777777" w:rsidR="006C10F4" w:rsidRDefault="006C10F4">
                      <w:pPr>
                        <w:jc w:val="center"/>
                        <w:rPr>
                          <w:b/>
                          <w:sz w:val="28"/>
                          <w:szCs w:val="28"/>
                        </w:rPr>
                      </w:pPr>
                      <w:r>
                        <w:rPr>
                          <w:b/>
                          <w:sz w:val="28"/>
                          <w:szCs w:val="28"/>
                        </w:rPr>
                        <w:t>Чинники</w:t>
                      </w:r>
                    </w:p>
                  </w:txbxContent>
                </v:textbox>
              </v:shape>
            </w:pict>
          </mc:Fallback>
        </mc:AlternateContent>
      </w:r>
    </w:p>
    <w:p w14:paraId="2FE6B25A"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5B"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69504" behindDoc="0" locked="0" layoutInCell="1" allowOverlap="1" wp14:anchorId="2FE6B806" wp14:editId="2FE6B807">
                <wp:simplePos x="0" y="0"/>
                <wp:positionH relativeFrom="column">
                  <wp:posOffset>3415665</wp:posOffset>
                </wp:positionH>
                <wp:positionV relativeFrom="paragraph">
                  <wp:posOffset>146685</wp:posOffset>
                </wp:positionV>
                <wp:extent cx="1973580" cy="841626"/>
                <wp:effectExtent l="6350" t="6350" r="6350" b="6350"/>
                <wp:wrapNone/>
                <wp:docPr id="14" name="Овал 19"/>
                <wp:cNvGraphicFramePr/>
                <a:graphic xmlns:a="http://schemas.openxmlformats.org/drawingml/2006/main">
                  <a:graphicData uri="http://schemas.microsoft.com/office/word/2010/wordprocessingShape">
                    <wps:wsp>
                      <wps:cNvSpPr/>
                      <wps:spPr bwMode="auto">
                        <a:xfrm>
                          <a:off x="0" y="0"/>
                          <a:ext cx="1973579" cy="841626"/>
                        </a:xfrm>
                        <a:prstGeom prst="ellipse">
                          <a:avLst/>
                        </a:prstGeom>
                        <a:solidFill>
                          <a:srgbClr val="99CB38"/>
                        </a:solidFill>
                        <a:ln w="12700" cap="flat" cmpd="sng" algn="ctr">
                          <a:solidFill>
                            <a:srgbClr val="99CB38">
                              <a:shade val="50000"/>
                            </a:srgbClr>
                          </a:solidFill>
                          <a:prstDash val="solid"/>
                          <a:miter lim="800000"/>
                        </a:ln>
                        <a:effectLst/>
                      </wps:spPr>
                      <wps:txbx>
                        <w:txbxContent>
                          <w:p w14:paraId="2FE6B81B" w14:textId="77777777" w:rsidR="006C10F4" w:rsidRDefault="006C10F4">
                            <w:pPr>
                              <w:jc w:val="center"/>
                            </w:pPr>
                            <w:r>
                              <w:t>Фаза життєвого циклу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FE6B806" id="Овал 19" o:spid="_x0000_s1037" style="position:absolute;left:0;text-align:left;margin-left:268.95pt;margin-top:11.55pt;width:155.4pt;height:66.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" fillcolor="#99cb38" strokecolor="#6f9526" strokeweight="1pt">
                <v:stroke joinstyle="miter"/>
                <v:textbox>
                  <w:txbxContent>
                    <w:p w14:paraId="2FE6B81B" w14:textId="77777777" w:rsidR="006C10F4" w:rsidRDefault="006C10F4">
                      <w:pPr>
                        <w:jc w:val="center"/>
                      </w:pPr>
                      <w:r>
                        <w:t>Фаза життєвого циклу</w:t>
                      </w:r>
                    </w:p>
                  </w:txbxContent>
                </v:textbox>
              </v:oval>
            </w:pict>
          </mc:Fallback>
        </mc:AlternateContent>
      </w:r>
      <w:r>
        <w:rPr>
          <w:rFonts w:ascii="Times New Roman" w:eastAsia="Microsoft YaHei" w:hAnsi="Times New Roman" w:cs="Times New Roman"/>
          <w:noProof/>
          <w:color w:val="000000"/>
          <w:sz w:val="28"/>
          <w:szCs w:val="28"/>
          <w:lang w:eastAsia="uk-UA"/>
        </w:rPr>
        <mc:AlternateContent>
          <mc:Choice Requires="wps">
            <w:drawing>
              <wp:anchor distT="0" distB="0" distL="114300" distR="114300" simplePos="0" relativeHeight="251670528" behindDoc="0" locked="0" layoutInCell="1" allowOverlap="1" wp14:anchorId="2FE6B808" wp14:editId="2FE6B809">
                <wp:simplePos x="0" y="0"/>
                <wp:positionH relativeFrom="column">
                  <wp:posOffset>931545</wp:posOffset>
                </wp:positionH>
                <wp:positionV relativeFrom="paragraph">
                  <wp:posOffset>139065</wp:posOffset>
                </wp:positionV>
                <wp:extent cx="1912620" cy="849246"/>
                <wp:effectExtent l="6350" t="6350" r="6350" b="6350"/>
                <wp:wrapNone/>
                <wp:docPr id="15" name="Овал 20"/>
                <wp:cNvGraphicFramePr/>
                <a:graphic xmlns:a="http://schemas.openxmlformats.org/drawingml/2006/main">
                  <a:graphicData uri="http://schemas.microsoft.com/office/word/2010/wordprocessingShape">
                    <wps:wsp>
                      <wps:cNvSpPr/>
                      <wps:spPr bwMode="auto">
                        <a:xfrm>
                          <a:off x="0" y="0"/>
                          <a:ext cx="1912619" cy="849245"/>
                        </a:xfrm>
                        <a:prstGeom prst="ellipse">
                          <a:avLst/>
                        </a:prstGeom>
                        <a:solidFill>
                          <a:srgbClr val="99CB38"/>
                        </a:solidFill>
                        <a:ln w="12700" cap="flat" cmpd="sng" algn="ctr">
                          <a:solidFill>
                            <a:srgbClr val="99CB38">
                              <a:shade val="50000"/>
                            </a:srgbClr>
                          </a:solidFill>
                          <a:prstDash val="solid"/>
                          <a:miter lim="800000"/>
                        </a:ln>
                        <a:effectLst/>
                      </wps:spPr>
                      <wps:txbx>
                        <w:txbxContent>
                          <w:p w14:paraId="2FE6B81C" w14:textId="77777777" w:rsidR="006C10F4" w:rsidRDefault="006C10F4">
                            <w:pPr>
                              <w:jc w:val="center"/>
                            </w:pPr>
                            <w:r>
                              <w:t>Функціональна область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FE6B808" id="Овал 20" o:spid="_x0000_s1038" style="position:absolute;left:0;text-align:left;margin-left:73.35pt;margin-top:10.95pt;width:150.6pt;height:66.8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" fillcolor="#99cb38" strokecolor="#6f9526" strokeweight="1pt">
                <v:stroke joinstyle="miter"/>
                <v:textbox>
                  <w:txbxContent>
                    <w:p w14:paraId="2FE6B81C" w14:textId="77777777" w:rsidR="006C10F4" w:rsidRDefault="006C10F4">
                      <w:pPr>
                        <w:jc w:val="center"/>
                      </w:pPr>
                      <w:r>
                        <w:t>Функціональна область</w:t>
                      </w:r>
                    </w:p>
                  </w:txbxContent>
                </v:textbox>
              </v:oval>
            </w:pict>
          </mc:Fallback>
        </mc:AlternateContent>
      </w:r>
    </w:p>
    <w:p w14:paraId="2FE6B25C"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5D"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5E"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5F" w14:textId="77777777" w:rsidR="00471728" w:rsidRDefault="006415EC">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r>
        <w:rPr>
          <w:rFonts w:ascii="Times New Roman" w:eastAsia="Microsoft YaHei" w:hAnsi="Times New Roman" w:cs="Times New Roman"/>
          <w:b/>
          <w:color w:val="000000"/>
          <w:sz w:val="28"/>
          <w:szCs w:val="28"/>
          <w:lang w:eastAsia="uk-UA" w:bidi="uk-UA"/>
        </w:rPr>
        <w:t>Рис. 1.4. Основні чинники впливу на прийняття рішень</w:t>
      </w:r>
    </w:p>
    <w:p w14:paraId="2FE6B260" w14:textId="77777777" w:rsidR="00471728" w:rsidRDefault="006415EC">
      <w:pPr>
        <w:widowControl w:val="0"/>
        <w:spacing w:after="0" w:line="360" w:lineRule="auto"/>
        <w:ind w:firstLine="709"/>
        <w:jc w:val="both"/>
        <w:rPr>
          <w:rFonts w:ascii="Times New Roman" w:eastAsia="Microsoft YaHei" w:hAnsi="Times New Roman" w:cs="Times New Roman"/>
          <w:i/>
          <w:color w:val="000000"/>
          <w:sz w:val="24"/>
          <w:szCs w:val="24"/>
          <w:lang w:eastAsia="uk-UA" w:bidi="uk-UA"/>
        </w:rPr>
      </w:pPr>
      <w:r>
        <w:rPr>
          <w:rFonts w:ascii="Times New Roman" w:eastAsia="Microsoft YaHei" w:hAnsi="Times New Roman" w:cs="Times New Roman"/>
          <w:i/>
          <w:color w:val="000000"/>
          <w:sz w:val="24"/>
          <w:szCs w:val="24"/>
          <w:lang w:eastAsia="uk-UA" w:bidi="uk-UA"/>
        </w:rPr>
        <w:t>Джерело: побудовано автором</w:t>
      </w:r>
    </w:p>
    <w:p w14:paraId="2FE6B261" w14:textId="77777777" w:rsidR="00471728" w:rsidRDefault="00471728">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p>
    <w:p w14:paraId="2FE6B262"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Для управління в галузі охорони здоров’я характерні кілька різновидів типових рішень (таблиця 1.1).</w:t>
      </w:r>
    </w:p>
    <w:p w14:paraId="2FE6B263" w14:textId="77777777" w:rsidR="00471728" w:rsidRDefault="006415EC">
      <w:pPr>
        <w:widowControl w:val="0"/>
        <w:spacing w:after="0" w:line="360" w:lineRule="auto"/>
        <w:ind w:firstLine="709"/>
        <w:jc w:val="right"/>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Таблиця 1.1</w:t>
      </w:r>
    </w:p>
    <w:p w14:paraId="2FE6B264" w14:textId="77777777" w:rsidR="00471728" w:rsidRDefault="006415EC">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r>
        <w:rPr>
          <w:rFonts w:ascii="Times New Roman" w:eastAsia="Microsoft YaHei" w:hAnsi="Times New Roman" w:cs="Times New Roman"/>
          <w:b/>
          <w:color w:val="000000"/>
          <w:sz w:val="28"/>
          <w:szCs w:val="28"/>
          <w:lang w:eastAsia="uk-UA" w:bidi="uk-UA"/>
        </w:rPr>
        <w:t>Типові управлінські рішення в медичній галузі</w:t>
      </w:r>
    </w:p>
    <w:tbl>
      <w:tblPr>
        <w:tblStyle w:val="15"/>
        <w:tblW w:w="0" w:type="auto"/>
        <w:jc w:val="center"/>
        <w:tblLook w:val="04A0" w:firstRow="1" w:lastRow="0" w:firstColumn="1" w:lastColumn="0" w:noHBand="0" w:noVBand="1"/>
      </w:tblPr>
      <w:tblGrid>
        <w:gridCol w:w="2122"/>
        <w:gridCol w:w="6956"/>
      </w:tblGrid>
      <w:tr w:rsidR="00471728" w14:paraId="2FE6B267" w14:textId="77777777">
        <w:trPr>
          <w:jc w:val="center"/>
        </w:trPr>
        <w:tc>
          <w:tcPr>
            <w:tcW w:w="2122" w:type="dxa"/>
            <w:shd w:val="clear" w:color="auto" w:fill="96DBFB"/>
            <w:vAlign w:val="center"/>
          </w:tcPr>
          <w:p w14:paraId="2FE6B265" w14:textId="77777777" w:rsidR="00471728" w:rsidRDefault="006415EC">
            <w:pPr>
              <w:widowControl w:val="0"/>
              <w:jc w:val="center"/>
              <w:rPr>
                <w:rFonts w:eastAsia="Microsoft YaHei"/>
                <w:color w:val="000000"/>
                <w:sz w:val="24"/>
                <w:szCs w:val="24"/>
                <w:lang w:eastAsia="uk-UA" w:bidi="uk-UA"/>
              </w:rPr>
            </w:pPr>
            <w:r>
              <w:rPr>
                <w:rFonts w:eastAsia="Microsoft YaHei"/>
                <w:color w:val="000000"/>
                <w:sz w:val="24"/>
                <w:szCs w:val="24"/>
                <w:lang w:eastAsia="uk-UA" w:bidi="uk-UA"/>
              </w:rPr>
              <w:t>Процес</w:t>
            </w:r>
          </w:p>
        </w:tc>
        <w:tc>
          <w:tcPr>
            <w:tcW w:w="6956" w:type="dxa"/>
            <w:shd w:val="clear" w:color="auto" w:fill="96DBFB"/>
            <w:vAlign w:val="center"/>
          </w:tcPr>
          <w:p w14:paraId="2FE6B266" w14:textId="77777777" w:rsidR="00471728" w:rsidRDefault="006415EC">
            <w:pPr>
              <w:widowControl w:val="0"/>
              <w:jc w:val="center"/>
              <w:rPr>
                <w:rFonts w:eastAsia="Microsoft YaHei"/>
                <w:color w:val="000000"/>
                <w:sz w:val="24"/>
                <w:szCs w:val="24"/>
                <w:lang w:eastAsia="uk-UA" w:bidi="uk-UA"/>
              </w:rPr>
            </w:pPr>
            <w:r>
              <w:rPr>
                <w:rFonts w:eastAsia="Microsoft YaHei"/>
                <w:color w:val="000000"/>
                <w:sz w:val="24"/>
                <w:szCs w:val="24"/>
                <w:lang w:eastAsia="uk-UA" w:bidi="uk-UA"/>
              </w:rPr>
              <w:t>Рішення</w:t>
            </w:r>
          </w:p>
        </w:tc>
      </w:tr>
      <w:tr w:rsidR="00471728" w14:paraId="2FE6B26A" w14:textId="77777777">
        <w:trPr>
          <w:jc w:val="center"/>
        </w:trPr>
        <w:tc>
          <w:tcPr>
            <w:tcW w:w="2122" w:type="dxa"/>
            <w:vMerge w:val="restart"/>
            <w:shd w:val="clear" w:color="auto" w:fill="B4E6DA"/>
            <w:vAlign w:val="center"/>
          </w:tcPr>
          <w:p w14:paraId="2FE6B268" w14:textId="77777777" w:rsidR="00471728" w:rsidRDefault="006415EC">
            <w:pPr>
              <w:widowControl w:val="0"/>
              <w:ind w:left="318"/>
              <w:rPr>
                <w:rFonts w:eastAsia="Microsoft YaHei"/>
                <w:color w:val="000000"/>
                <w:sz w:val="24"/>
                <w:szCs w:val="24"/>
                <w:lang w:eastAsia="uk-UA" w:bidi="uk-UA"/>
              </w:rPr>
            </w:pPr>
            <w:r>
              <w:rPr>
                <w:rFonts w:eastAsia="Microsoft YaHei"/>
                <w:color w:val="000000"/>
                <w:sz w:val="24"/>
                <w:szCs w:val="24"/>
                <w:lang w:eastAsia="uk-UA" w:bidi="uk-UA"/>
              </w:rPr>
              <w:t>Планування</w:t>
            </w:r>
          </w:p>
        </w:tc>
        <w:tc>
          <w:tcPr>
            <w:tcW w:w="6956" w:type="dxa"/>
            <w:shd w:val="clear" w:color="auto" w:fill="B4E6DA"/>
            <w:vAlign w:val="center"/>
          </w:tcPr>
          <w:p w14:paraId="2FE6B269"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розробку системи заходів, спрямованих на організацію медичного обслуговування населення</w:t>
            </w:r>
          </w:p>
        </w:tc>
      </w:tr>
      <w:tr w:rsidR="00471728" w14:paraId="2FE6B26D" w14:textId="77777777">
        <w:trPr>
          <w:jc w:val="center"/>
        </w:trPr>
        <w:tc>
          <w:tcPr>
            <w:tcW w:w="2122" w:type="dxa"/>
            <w:vMerge/>
            <w:shd w:val="clear" w:color="auto" w:fill="B4E6DA"/>
            <w:vAlign w:val="center"/>
          </w:tcPr>
          <w:p w14:paraId="2FE6B26B" w14:textId="77777777" w:rsidR="00471728" w:rsidRDefault="00471728">
            <w:pPr>
              <w:widowControl w:val="0"/>
              <w:ind w:left="318"/>
              <w:rPr>
                <w:rFonts w:eastAsia="Microsoft YaHei"/>
                <w:color w:val="000000"/>
                <w:sz w:val="24"/>
                <w:szCs w:val="24"/>
                <w:lang w:eastAsia="uk-UA" w:bidi="uk-UA"/>
              </w:rPr>
            </w:pPr>
          </w:p>
        </w:tc>
        <w:tc>
          <w:tcPr>
            <w:tcW w:w="6956" w:type="dxa"/>
            <w:shd w:val="clear" w:color="auto" w:fill="B4E6DA"/>
            <w:vAlign w:val="center"/>
          </w:tcPr>
          <w:p w14:paraId="2FE6B26C"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взаємодію медичного закладу із зовнішнім оточенням</w:t>
            </w:r>
          </w:p>
        </w:tc>
      </w:tr>
      <w:tr w:rsidR="00471728" w14:paraId="2FE6B270" w14:textId="77777777">
        <w:trPr>
          <w:jc w:val="center"/>
        </w:trPr>
        <w:tc>
          <w:tcPr>
            <w:tcW w:w="2122" w:type="dxa"/>
            <w:vMerge/>
            <w:shd w:val="clear" w:color="auto" w:fill="B4E6DA"/>
            <w:vAlign w:val="center"/>
          </w:tcPr>
          <w:p w14:paraId="2FE6B26E" w14:textId="77777777" w:rsidR="00471728" w:rsidRDefault="00471728">
            <w:pPr>
              <w:widowControl w:val="0"/>
              <w:ind w:left="318"/>
              <w:rPr>
                <w:rFonts w:eastAsia="Microsoft YaHei"/>
                <w:color w:val="000000"/>
                <w:sz w:val="24"/>
                <w:szCs w:val="24"/>
                <w:lang w:eastAsia="uk-UA" w:bidi="uk-UA"/>
              </w:rPr>
            </w:pPr>
          </w:p>
        </w:tc>
        <w:tc>
          <w:tcPr>
            <w:tcW w:w="6956" w:type="dxa"/>
            <w:shd w:val="clear" w:color="auto" w:fill="B4E6DA"/>
            <w:vAlign w:val="center"/>
          </w:tcPr>
          <w:p w14:paraId="2FE6B26F"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стратегію та тактику медичного закладу щодо покращення якості лікування та ефективності медичної допомоги населенню, що спрямовані на досягнення поставленої мети</w:t>
            </w:r>
          </w:p>
        </w:tc>
      </w:tr>
      <w:tr w:rsidR="00471728" w14:paraId="2FE6B273" w14:textId="77777777">
        <w:trPr>
          <w:jc w:val="center"/>
        </w:trPr>
        <w:tc>
          <w:tcPr>
            <w:tcW w:w="2122" w:type="dxa"/>
            <w:vMerge w:val="restart"/>
            <w:shd w:val="clear" w:color="auto" w:fill="9FD37C"/>
            <w:vAlign w:val="center"/>
          </w:tcPr>
          <w:p w14:paraId="2FE6B271" w14:textId="77777777" w:rsidR="00471728" w:rsidRDefault="006415EC">
            <w:pPr>
              <w:widowControl w:val="0"/>
              <w:ind w:left="318"/>
              <w:rPr>
                <w:rFonts w:eastAsia="Microsoft YaHei"/>
                <w:color w:val="000000"/>
                <w:sz w:val="24"/>
                <w:szCs w:val="24"/>
                <w:lang w:eastAsia="uk-UA" w:bidi="uk-UA"/>
              </w:rPr>
            </w:pPr>
            <w:r>
              <w:rPr>
                <w:rFonts w:eastAsia="Microsoft YaHei"/>
                <w:color w:val="000000"/>
                <w:sz w:val="24"/>
                <w:szCs w:val="24"/>
                <w:lang w:eastAsia="uk-UA" w:bidi="uk-UA"/>
              </w:rPr>
              <w:t>Організація діяльності</w:t>
            </w:r>
          </w:p>
        </w:tc>
        <w:tc>
          <w:tcPr>
            <w:tcW w:w="6956" w:type="dxa"/>
            <w:shd w:val="clear" w:color="auto" w:fill="9FD37C"/>
            <w:vAlign w:val="center"/>
          </w:tcPr>
          <w:p w14:paraId="2FE6B272"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затвердження структури медичного закладу та забезпечення його діяльності</w:t>
            </w:r>
          </w:p>
        </w:tc>
      </w:tr>
      <w:tr w:rsidR="00471728" w14:paraId="2FE6B276" w14:textId="77777777">
        <w:trPr>
          <w:jc w:val="center"/>
        </w:trPr>
        <w:tc>
          <w:tcPr>
            <w:tcW w:w="2122" w:type="dxa"/>
            <w:vMerge/>
            <w:shd w:val="clear" w:color="auto" w:fill="9FD37C"/>
            <w:vAlign w:val="center"/>
          </w:tcPr>
          <w:p w14:paraId="2FE6B274" w14:textId="77777777" w:rsidR="00471728" w:rsidRDefault="00471728">
            <w:pPr>
              <w:widowControl w:val="0"/>
              <w:ind w:left="318"/>
              <w:rPr>
                <w:rFonts w:eastAsia="Microsoft YaHei"/>
                <w:color w:val="000000"/>
                <w:sz w:val="24"/>
                <w:szCs w:val="24"/>
                <w:lang w:eastAsia="uk-UA" w:bidi="uk-UA"/>
              </w:rPr>
            </w:pPr>
          </w:p>
        </w:tc>
        <w:tc>
          <w:tcPr>
            <w:tcW w:w="6956" w:type="dxa"/>
            <w:shd w:val="clear" w:color="auto" w:fill="9FD37C"/>
            <w:vAlign w:val="center"/>
          </w:tcPr>
          <w:p w14:paraId="2FE6B275"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взаємодію та координацію функціонування різних блоків</w:t>
            </w:r>
          </w:p>
        </w:tc>
      </w:tr>
      <w:tr w:rsidR="00471728" w14:paraId="2FE6B279" w14:textId="77777777">
        <w:trPr>
          <w:jc w:val="center"/>
        </w:trPr>
        <w:tc>
          <w:tcPr>
            <w:tcW w:w="2122" w:type="dxa"/>
            <w:vMerge/>
            <w:shd w:val="clear" w:color="auto" w:fill="9FD37C"/>
            <w:vAlign w:val="center"/>
          </w:tcPr>
          <w:p w14:paraId="2FE6B277" w14:textId="77777777" w:rsidR="00471728" w:rsidRDefault="00471728">
            <w:pPr>
              <w:widowControl w:val="0"/>
              <w:ind w:left="318"/>
              <w:rPr>
                <w:rFonts w:eastAsia="Microsoft YaHei"/>
                <w:color w:val="000000"/>
                <w:sz w:val="24"/>
                <w:szCs w:val="24"/>
                <w:lang w:eastAsia="uk-UA" w:bidi="uk-UA"/>
              </w:rPr>
            </w:pPr>
          </w:p>
        </w:tc>
        <w:tc>
          <w:tcPr>
            <w:tcW w:w="6956" w:type="dxa"/>
            <w:shd w:val="clear" w:color="auto" w:fill="9FD37C"/>
            <w:vAlign w:val="center"/>
          </w:tcPr>
          <w:p w14:paraId="2FE6B278"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розподіл посадових обов’язків та повноважень між керівниками структурних підрозділів</w:t>
            </w:r>
          </w:p>
        </w:tc>
      </w:tr>
      <w:tr w:rsidR="00471728" w14:paraId="2FE6B27C" w14:textId="77777777">
        <w:trPr>
          <w:jc w:val="center"/>
        </w:trPr>
        <w:tc>
          <w:tcPr>
            <w:tcW w:w="2122" w:type="dxa"/>
            <w:vMerge/>
            <w:shd w:val="clear" w:color="auto" w:fill="9FD37C"/>
            <w:vAlign w:val="center"/>
          </w:tcPr>
          <w:p w14:paraId="2FE6B27A" w14:textId="77777777" w:rsidR="00471728" w:rsidRDefault="00471728">
            <w:pPr>
              <w:widowControl w:val="0"/>
              <w:ind w:left="318"/>
              <w:rPr>
                <w:rFonts w:eastAsia="Microsoft YaHei"/>
                <w:color w:val="000000"/>
                <w:sz w:val="24"/>
                <w:szCs w:val="24"/>
                <w:lang w:eastAsia="uk-UA" w:bidi="uk-UA"/>
              </w:rPr>
            </w:pPr>
          </w:p>
        </w:tc>
        <w:tc>
          <w:tcPr>
            <w:tcW w:w="6956" w:type="dxa"/>
            <w:shd w:val="clear" w:color="auto" w:fill="9FD37C"/>
            <w:vAlign w:val="center"/>
          </w:tcPr>
          <w:p w14:paraId="2FE6B27B"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структуру медичного закладу при зміні зовнішнього ото</w:t>
            </w:r>
            <w:r>
              <w:rPr>
                <w:rFonts w:eastAsia="Microsoft YaHei"/>
                <w:color w:val="000000"/>
                <w:sz w:val="24"/>
                <w:szCs w:val="24"/>
                <w:shd w:val="clear" w:color="auto" w:fill="9FD37C"/>
                <w:lang w:eastAsia="uk-UA" w:bidi="uk-UA"/>
              </w:rPr>
              <w:t>чення</w:t>
            </w:r>
          </w:p>
        </w:tc>
      </w:tr>
      <w:tr w:rsidR="00471728" w14:paraId="2FE6B27F" w14:textId="77777777">
        <w:trPr>
          <w:trHeight w:val="263"/>
          <w:jc w:val="center"/>
        </w:trPr>
        <w:tc>
          <w:tcPr>
            <w:tcW w:w="2122" w:type="dxa"/>
            <w:shd w:val="clear" w:color="auto" w:fill="B4E6DA"/>
            <w:vAlign w:val="center"/>
          </w:tcPr>
          <w:p w14:paraId="2FE6B27D" w14:textId="77777777" w:rsidR="00471728" w:rsidRDefault="006415EC">
            <w:pPr>
              <w:widowControl w:val="0"/>
              <w:ind w:left="318"/>
              <w:rPr>
                <w:rFonts w:eastAsia="Microsoft YaHei"/>
                <w:color w:val="000000"/>
                <w:sz w:val="24"/>
                <w:szCs w:val="24"/>
                <w:lang w:eastAsia="uk-UA" w:bidi="uk-UA"/>
              </w:rPr>
            </w:pPr>
            <w:r>
              <w:rPr>
                <w:rFonts w:eastAsia="Microsoft YaHei"/>
                <w:color w:val="000000"/>
                <w:sz w:val="24"/>
                <w:szCs w:val="24"/>
                <w:lang w:eastAsia="uk-UA" w:bidi="uk-UA"/>
              </w:rPr>
              <w:t>Мотивація персоналу</w:t>
            </w:r>
          </w:p>
        </w:tc>
        <w:tc>
          <w:tcPr>
            <w:tcW w:w="6956" w:type="dxa"/>
            <w:shd w:val="clear" w:color="auto" w:fill="B4E6DA"/>
            <w:vAlign w:val="center"/>
          </w:tcPr>
          <w:p w14:paraId="2FE6B27E" w14:textId="77777777" w:rsidR="00471728" w:rsidRDefault="006415EC">
            <w:pPr>
              <w:widowControl w:val="0"/>
              <w:spacing w:line="360" w:lineRule="auto"/>
              <w:rPr>
                <w:rFonts w:eastAsia="Microsoft YaHei"/>
                <w:color w:val="000000"/>
                <w:sz w:val="24"/>
                <w:szCs w:val="24"/>
                <w:lang w:eastAsia="uk-UA" w:bidi="uk-UA"/>
              </w:rPr>
            </w:pPr>
            <w:r>
              <w:rPr>
                <w:rFonts w:eastAsia="Microsoft YaHei"/>
                <w:color w:val="000000"/>
                <w:sz w:val="24"/>
                <w:szCs w:val="24"/>
                <w:lang w:eastAsia="uk-UA" w:bidi="uk-UA"/>
              </w:rPr>
              <w:t xml:space="preserve">про потреби персоналу </w:t>
            </w:r>
          </w:p>
        </w:tc>
      </w:tr>
    </w:tbl>
    <w:p w14:paraId="2FE6B280" w14:textId="77777777" w:rsidR="00471728" w:rsidRDefault="00471728">
      <w:pPr>
        <w:spacing w:after="0"/>
        <w:jc w:val="right"/>
        <w:rPr>
          <w:rFonts w:ascii="Times New Roman" w:hAnsi="Times New Roman" w:cs="Times New Roman"/>
          <w:sz w:val="28"/>
          <w:szCs w:val="28"/>
        </w:rPr>
      </w:pPr>
    </w:p>
    <w:p w14:paraId="2FE6B281" w14:textId="77777777" w:rsidR="00471728" w:rsidRDefault="006415EC">
      <w:pPr>
        <w:spacing w:after="0"/>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таблиці 1.1</w:t>
      </w:r>
    </w:p>
    <w:tbl>
      <w:tblPr>
        <w:tblStyle w:val="15"/>
        <w:tblW w:w="0" w:type="auto"/>
        <w:jc w:val="center"/>
        <w:tblLook w:val="04A0" w:firstRow="1" w:lastRow="0" w:firstColumn="1" w:lastColumn="0" w:noHBand="0" w:noVBand="1"/>
      </w:tblPr>
      <w:tblGrid>
        <w:gridCol w:w="2122"/>
        <w:gridCol w:w="6956"/>
      </w:tblGrid>
      <w:tr w:rsidR="00471728" w14:paraId="2FE6B284" w14:textId="77777777">
        <w:trPr>
          <w:jc w:val="center"/>
        </w:trPr>
        <w:tc>
          <w:tcPr>
            <w:tcW w:w="2122" w:type="dxa"/>
            <w:vMerge w:val="restart"/>
            <w:shd w:val="clear" w:color="auto" w:fill="B4E6DA"/>
            <w:vAlign w:val="center"/>
          </w:tcPr>
          <w:p w14:paraId="2FE6B282" w14:textId="77777777" w:rsidR="00471728" w:rsidRDefault="00471728">
            <w:pPr>
              <w:widowControl w:val="0"/>
              <w:ind w:left="318"/>
              <w:rPr>
                <w:rFonts w:eastAsia="Microsoft YaHei"/>
                <w:color w:val="000000"/>
                <w:sz w:val="24"/>
                <w:szCs w:val="24"/>
                <w:lang w:eastAsia="uk-UA" w:bidi="uk-UA"/>
              </w:rPr>
            </w:pPr>
          </w:p>
        </w:tc>
        <w:tc>
          <w:tcPr>
            <w:tcW w:w="6956" w:type="dxa"/>
            <w:shd w:val="clear" w:color="auto" w:fill="B4E6DA"/>
            <w:vAlign w:val="center"/>
          </w:tcPr>
          <w:p w14:paraId="2FE6B283"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задоволення потреб персоналу</w:t>
            </w:r>
          </w:p>
        </w:tc>
      </w:tr>
      <w:tr w:rsidR="00471728" w14:paraId="2FE6B287" w14:textId="77777777">
        <w:trPr>
          <w:jc w:val="center"/>
        </w:trPr>
        <w:tc>
          <w:tcPr>
            <w:tcW w:w="2122" w:type="dxa"/>
            <w:vMerge/>
            <w:shd w:val="clear" w:color="auto" w:fill="B4E6DA"/>
            <w:vAlign w:val="center"/>
          </w:tcPr>
          <w:p w14:paraId="2FE6B285" w14:textId="77777777" w:rsidR="00471728" w:rsidRDefault="00471728">
            <w:pPr>
              <w:widowControl w:val="0"/>
              <w:ind w:left="318"/>
              <w:rPr>
                <w:rFonts w:eastAsia="Microsoft YaHei"/>
                <w:color w:val="000000"/>
                <w:sz w:val="24"/>
                <w:szCs w:val="24"/>
                <w:lang w:eastAsia="uk-UA" w:bidi="uk-UA"/>
              </w:rPr>
            </w:pPr>
          </w:p>
        </w:tc>
        <w:tc>
          <w:tcPr>
            <w:tcW w:w="6956" w:type="dxa"/>
            <w:shd w:val="clear" w:color="auto" w:fill="B4E6DA"/>
            <w:vAlign w:val="center"/>
          </w:tcPr>
          <w:p w14:paraId="2FE6B286" w14:textId="77777777" w:rsidR="00471728" w:rsidRDefault="006415EC">
            <w:pPr>
              <w:widowControl w:val="0"/>
              <w:jc w:val="both"/>
              <w:rPr>
                <w:rFonts w:eastAsia="Microsoft YaHei"/>
                <w:color w:val="000000"/>
                <w:sz w:val="24"/>
                <w:szCs w:val="24"/>
                <w:lang w:eastAsia="uk-UA" w:bidi="uk-UA"/>
              </w:rPr>
            </w:pPr>
            <w:r>
              <w:rPr>
                <w:rFonts w:eastAsia="Microsoft YaHei"/>
                <w:color w:val="000000"/>
                <w:sz w:val="24"/>
                <w:szCs w:val="24"/>
                <w:lang w:eastAsia="uk-UA" w:bidi="uk-UA"/>
              </w:rPr>
              <w:t>про ефективність роботи підлеглих та про задоволеність персоналу умовами роботи</w:t>
            </w:r>
          </w:p>
        </w:tc>
      </w:tr>
      <w:tr w:rsidR="00471728" w14:paraId="2FE6B28A" w14:textId="77777777">
        <w:trPr>
          <w:jc w:val="center"/>
        </w:trPr>
        <w:tc>
          <w:tcPr>
            <w:tcW w:w="2122" w:type="dxa"/>
            <w:vMerge w:val="restart"/>
            <w:shd w:val="clear" w:color="auto" w:fill="9FD37C"/>
            <w:vAlign w:val="center"/>
          </w:tcPr>
          <w:p w14:paraId="2FE6B288" w14:textId="77777777" w:rsidR="00471728" w:rsidRDefault="006415EC">
            <w:pPr>
              <w:widowControl w:val="0"/>
              <w:ind w:left="318"/>
              <w:rPr>
                <w:rFonts w:eastAsia="Microsoft YaHei"/>
                <w:color w:val="000000"/>
                <w:sz w:val="24"/>
                <w:szCs w:val="24"/>
                <w:lang w:eastAsia="uk-UA" w:bidi="uk-UA"/>
              </w:rPr>
            </w:pPr>
            <w:r>
              <w:rPr>
                <w:rFonts w:eastAsia="Microsoft YaHei"/>
                <w:color w:val="000000"/>
                <w:sz w:val="24"/>
                <w:szCs w:val="24"/>
                <w:lang w:eastAsia="uk-UA" w:bidi="uk-UA"/>
              </w:rPr>
              <w:t>Контроль</w:t>
            </w:r>
          </w:p>
        </w:tc>
        <w:tc>
          <w:tcPr>
            <w:tcW w:w="6956" w:type="dxa"/>
            <w:shd w:val="clear" w:color="auto" w:fill="9FD37C"/>
            <w:vAlign w:val="center"/>
          </w:tcPr>
          <w:p w14:paraId="2FE6B289"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затвердження показників виміру результатів діяльності</w:t>
            </w:r>
          </w:p>
        </w:tc>
      </w:tr>
      <w:tr w:rsidR="00471728" w14:paraId="2FE6B28D" w14:textId="77777777">
        <w:trPr>
          <w:jc w:val="center"/>
        </w:trPr>
        <w:tc>
          <w:tcPr>
            <w:tcW w:w="2122" w:type="dxa"/>
            <w:vMerge/>
            <w:shd w:val="clear" w:color="auto" w:fill="9FD37C"/>
            <w:vAlign w:val="center"/>
          </w:tcPr>
          <w:p w14:paraId="2FE6B28B" w14:textId="77777777" w:rsidR="00471728" w:rsidRDefault="00471728">
            <w:pPr>
              <w:widowControl w:val="0"/>
              <w:ind w:firstLine="709"/>
              <w:rPr>
                <w:rFonts w:eastAsia="Microsoft YaHei"/>
                <w:color w:val="000000"/>
                <w:sz w:val="24"/>
                <w:szCs w:val="24"/>
                <w:lang w:eastAsia="uk-UA" w:bidi="uk-UA"/>
              </w:rPr>
            </w:pPr>
          </w:p>
        </w:tc>
        <w:tc>
          <w:tcPr>
            <w:tcW w:w="6956" w:type="dxa"/>
            <w:shd w:val="clear" w:color="auto" w:fill="9FD37C"/>
            <w:vAlign w:val="center"/>
          </w:tcPr>
          <w:p w14:paraId="2FE6B28C"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оцінку результатів діяльності</w:t>
            </w:r>
          </w:p>
        </w:tc>
      </w:tr>
      <w:tr w:rsidR="00471728" w14:paraId="2FE6B290" w14:textId="77777777">
        <w:trPr>
          <w:jc w:val="center"/>
        </w:trPr>
        <w:tc>
          <w:tcPr>
            <w:tcW w:w="2122" w:type="dxa"/>
            <w:vMerge/>
            <w:shd w:val="clear" w:color="auto" w:fill="9FD37C"/>
            <w:vAlign w:val="center"/>
          </w:tcPr>
          <w:p w14:paraId="2FE6B28E" w14:textId="77777777" w:rsidR="00471728" w:rsidRDefault="00471728">
            <w:pPr>
              <w:widowControl w:val="0"/>
              <w:ind w:firstLine="709"/>
              <w:rPr>
                <w:rFonts w:eastAsia="Microsoft YaHei"/>
                <w:color w:val="000000"/>
                <w:sz w:val="24"/>
                <w:szCs w:val="24"/>
                <w:lang w:eastAsia="uk-UA" w:bidi="uk-UA"/>
              </w:rPr>
            </w:pPr>
          </w:p>
        </w:tc>
        <w:tc>
          <w:tcPr>
            <w:tcW w:w="6956" w:type="dxa"/>
            <w:shd w:val="clear" w:color="auto" w:fill="9FD37C"/>
            <w:vAlign w:val="center"/>
          </w:tcPr>
          <w:p w14:paraId="2FE6B28F"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рівень досягнення мети медичного закладу</w:t>
            </w:r>
          </w:p>
        </w:tc>
      </w:tr>
      <w:tr w:rsidR="00471728" w14:paraId="2FE6B293" w14:textId="77777777">
        <w:trPr>
          <w:jc w:val="center"/>
        </w:trPr>
        <w:tc>
          <w:tcPr>
            <w:tcW w:w="2122" w:type="dxa"/>
            <w:vMerge/>
            <w:shd w:val="clear" w:color="auto" w:fill="9FD37C"/>
            <w:vAlign w:val="center"/>
          </w:tcPr>
          <w:p w14:paraId="2FE6B291" w14:textId="77777777" w:rsidR="00471728" w:rsidRDefault="00471728">
            <w:pPr>
              <w:widowControl w:val="0"/>
              <w:ind w:firstLine="709"/>
              <w:rPr>
                <w:rFonts w:eastAsia="Microsoft YaHei"/>
                <w:color w:val="000000"/>
                <w:sz w:val="24"/>
                <w:szCs w:val="24"/>
                <w:lang w:eastAsia="uk-UA" w:bidi="uk-UA"/>
              </w:rPr>
            </w:pPr>
          </w:p>
        </w:tc>
        <w:tc>
          <w:tcPr>
            <w:tcW w:w="6956" w:type="dxa"/>
            <w:shd w:val="clear" w:color="auto" w:fill="9FD37C"/>
            <w:vAlign w:val="center"/>
          </w:tcPr>
          <w:p w14:paraId="2FE6B292"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про коригування цілей</w:t>
            </w:r>
            <w:r>
              <w:rPr>
                <w:rFonts w:ascii="Microsoft YaHei" w:eastAsia="Microsoft YaHei" w:hAnsi="Microsoft YaHei" w:cs="Microsoft YaHei"/>
                <w:color w:val="000000"/>
                <w:sz w:val="24"/>
                <w:szCs w:val="24"/>
                <w:lang w:eastAsia="uk-UA" w:bidi="uk-UA"/>
              </w:rPr>
              <w:t xml:space="preserve"> </w:t>
            </w:r>
            <w:r>
              <w:rPr>
                <w:rFonts w:eastAsia="Microsoft YaHei"/>
                <w:color w:val="000000"/>
                <w:sz w:val="24"/>
                <w:szCs w:val="24"/>
                <w:lang w:eastAsia="uk-UA" w:bidi="uk-UA"/>
              </w:rPr>
              <w:t>медичного закладу</w:t>
            </w:r>
          </w:p>
        </w:tc>
      </w:tr>
    </w:tbl>
    <w:p w14:paraId="2FE6B294" w14:textId="77777777" w:rsidR="00471728" w:rsidRDefault="006415EC">
      <w:pPr>
        <w:widowControl w:val="0"/>
        <w:spacing w:after="0" w:line="360" w:lineRule="auto"/>
        <w:ind w:firstLine="709"/>
        <w:jc w:val="both"/>
        <w:rPr>
          <w:rFonts w:ascii="Times New Roman" w:eastAsia="Microsoft YaHei" w:hAnsi="Times New Roman" w:cs="Times New Roman"/>
          <w:i/>
          <w:color w:val="000000"/>
          <w:sz w:val="24"/>
          <w:szCs w:val="24"/>
          <w:lang w:eastAsia="uk-UA" w:bidi="uk-UA"/>
        </w:rPr>
      </w:pPr>
      <w:r>
        <w:rPr>
          <w:rFonts w:ascii="Times New Roman" w:eastAsia="Microsoft YaHei" w:hAnsi="Times New Roman" w:cs="Times New Roman"/>
          <w:i/>
          <w:color w:val="000000"/>
          <w:sz w:val="24"/>
          <w:szCs w:val="24"/>
          <w:lang w:eastAsia="uk-UA" w:bidi="uk-UA"/>
        </w:rPr>
        <w:t>Джерело: побудовано автором</w:t>
      </w:r>
    </w:p>
    <w:p w14:paraId="2FE6B295"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96"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Процедура прийняття управлінських рішень передбачає дотримання певних вимог:</w:t>
      </w:r>
    </w:p>
    <w:p w14:paraId="2FE6B297" w14:textId="77777777" w:rsidR="00471728" w:rsidRDefault="006415EC">
      <w:pPr>
        <w:widowControl w:val="0"/>
        <w:numPr>
          <w:ilvl w:val="0"/>
          <w:numId w:val="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своєчасність - означає, що управлінське рішення прийняте та створює сприятливі умови для своєчасного досягнення мети;</w:t>
      </w:r>
    </w:p>
    <w:p w14:paraId="2FE6B298"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обґрунтованість - передбачає прийняття оптимального рішення шляхом порівняльного аналіз наявних альтернатив та вибір найкращою за сформульованим критерієм;</w:t>
      </w:r>
    </w:p>
    <w:p w14:paraId="2FE6B299"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директивність та адресність - визначає обов’язковість виконання управлінського рішення відповідальною за його реалізацію особою;</w:t>
      </w:r>
    </w:p>
    <w:p w14:paraId="2FE6B29A"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несуперечливість - означає узгодженість з раніше прийнятими рішеннями;</w:t>
      </w:r>
    </w:p>
    <w:p w14:paraId="2FE6B29B"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правомочність - означає прийняття рішень у рамках делегованих повноважень;</w:t>
      </w:r>
    </w:p>
    <w:p w14:paraId="2FE6B29C"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забезпеченість ресурсами - наявність достатніх матеріальних, людських та інформаційних ресурсів, необхідних для реалізації прийнятого рішення;</w:t>
      </w:r>
    </w:p>
    <w:p w14:paraId="2FE6B29D"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 ясність і лаконічність - вимагає неприпустимість неоднозначного трактування рішень </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9</w:t>
      </w:r>
      <w:r>
        <w:rPr>
          <w:rFonts w:ascii="Times New Roman" w:eastAsia="Microsoft YaHei" w:hAnsi="Times New Roman" w:cs="Times New Roman"/>
          <w:color w:val="000000"/>
          <w:sz w:val="28"/>
          <w:szCs w:val="28"/>
          <w:lang w:val="en-US" w:eastAsia="uk-UA" w:bidi="uk-UA"/>
        </w:rPr>
        <w:t>].</w:t>
      </w:r>
    </w:p>
    <w:p w14:paraId="2FE6B29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прийняття управлінських рішень застосовують три можливі підходи: системний, ситуаційний та ресурсний.</w:t>
      </w:r>
    </w:p>
    <w:p w14:paraId="2FE6B29F"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Системний підхід полягає у вирішенні певної проблеми в комплексі з вирішенням усіх інших проблем, що стоять перед закладом.</w:t>
      </w:r>
    </w:p>
    <w:p w14:paraId="2FE6B2A0"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Ситуаційний підхід передбачає обрання конкретного способу вирішення </w:t>
      </w:r>
      <w:r>
        <w:rPr>
          <w:rFonts w:ascii="Times New Roman" w:eastAsia="Microsoft YaHei" w:hAnsi="Times New Roman" w:cs="Times New Roman"/>
          <w:color w:val="000000"/>
          <w:sz w:val="28"/>
          <w:szCs w:val="28"/>
          <w:lang w:eastAsia="uk-UA" w:bidi="uk-UA"/>
        </w:rPr>
        <w:lastRenderedPageBreak/>
        <w:t xml:space="preserve">проблеми залежно від ситуації. </w:t>
      </w:r>
    </w:p>
    <w:p w14:paraId="2FE6B2A1"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Ресурсний підхід ґрунтується на вирішенні проблем шляхом раціонального розподілу наявних ресурсів медичного закладу.</w:t>
      </w:r>
    </w:p>
    <w:p w14:paraId="2FE6B2A2"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val="en-US" w:eastAsia="uk-UA" w:bidi="uk-UA"/>
        </w:rPr>
      </w:pPr>
    </w:p>
    <w:p w14:paraId="2FE6B2A3" w14:textId="77777777" w:rsidR="00471728" w:rsidRDefault="006415EC">
      <w:pPr>
        <w:widowControl w:val="0"/>
        <w:spacing w:after="0" w:line="360" w:lineRule="auto"/>
        <w:ind w:firstLine="709"/>
        <w:jc w:val="both"/>
        <w:rPr>
          <w:rFonts w:ascii="Times New Roman" w:eastAsia="Microsoft YaHei" w:hAnsi="Times New Roman" w:cs="Times New Roman"/>
          <w:b/>
          <w:color w:val="000000"/>
          <w:sz w:val="28"/>
          <w:szCs w:val="28"/>
          <w:lang w:val="en-US" w:eastAsia="uk-UA" w:bidi="uk-UA"/>
        </w:rPr>
      </w:pPr>
      <w:r>
        <w:rPr>
          <w:rFonts w:ascii="Times New Roman" w:eastAsia="Microsoft YaHei" w:hAnsi="Times New Roman" w:cs="Times New Roman"/>
          <w:b/>
          <w:color w:val="000000"/>
          <w:sz w:val="28"/>
          <w:szCs w:val="28"/>
          <w:lang w:eastAsia="uk-UA" w:bidi="uk-UA"/>
        </w:rPr>
        <w:t>1.2. Класифікація і типологія управлінських рішень</w:t>
      </w:r>
      <w:r>
        <w:rPr>
          <w:rFonts w:ascii="Times New Roman" w:eastAsia="Microsoft YaHei" w:hAnsi="Times New Roman" w:cs="Times New Roman"/>
          <w:b/>
          <w:color w:val="000000"/>
          <w:sz w:val="28"/>
          <w:szCs w:val="28"/>
          <w:lang w:val="ru-RU" w:eastAsia="uk-UA" w:bidi="uk-UA"/>
        </w:rPr>
        <w:t>, ф</w:t>
      </w:r>
      <w:r>
        <w:rPr>
          <w:rFonts w:ascii="Times New Roman" w:eastAsia="Microsoft YaHei" w:hAnsi="Times New Roman" w:cs="Times New Roman"/>
          <w:b/>
          <w:color w:val="000000"/>
          <w:sz w:val="28"/>
          <w:szCs w:val="28"/>
          <w:lang w:eastAsia="uk-UA" w:bidi="uk-UA"/>
        </w:rPr>
        <w:t xml:space="preserve">орми </w:t>
      </w:r>
      <w:r>
        <w:rPr>
          <w:rFonts w:ascii="Times New Roman" w:eastAsia="Microsoft YaHei" w:hAnsi="Times New Roman" w:cs="Times New Roman"/>
          <w:b/>
          <w:color w:val="000000"/>
          <w:sz w:val="28"/>
          <w:szCs w:val="28"/>
          <w:lang w:val="ru-RU" w:eastAsia="uk-UA" w:bidi="uk-UA"/>
        </w:rPr>
        <w:t xml:space="preserve">їх </w:t>
      </w:r>
      <w:r>
        <w:rPr>
          <w:rFonts w:ascii="Times New Roman" w:eastAsia="Microsoft YaHei" w:hAnsi="Times New Roman" w:cs="Times New Roman"/>
          <w:b/>
          <w:color w:val="000000"/>
          <w:sz w:val="28"/>
          <w:szCs w:val="28"/>
          <w:lang w:eastAsia="uk-UA" w:bidi="uk-UA"/>
        </w:rPr>
        <w:t>розробки і прийняття</w:t>
      </w:r>
    </w:p>
    <w:p w14:paraId="2FE6B2A4"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Прийняття рішення відображається на усіх аспектах управління, саме тому щоб окреслити загальні та особливі підходи до розроблення, впровадження й оцінювання рішень, необхідно здійснити їх класифікацію та типологізацію.</w:t>
      </w:r>
    </w:p>
    <w:p w14:paraId="2FE6B2A5"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Управлінські рішення з огляду на широку та багатогранну сферу застосування можуть бути класифіковані різними способами.</w:t>
      </w:r>
    </w:p>
    <w:p w14:paraId="2FE6B2A6"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1. За суб’єктами прийняття рішень розрізняють індивідуальні (одноосібні) та колективні (групові) рішення. Індивідуальні рішення приймаються однією особою (керівником, менеджером, спеціалістом, працівником тощо), і одна особа несе відповідальність за їх реалізацію.</w:t>
      </w:r>
    </w:p>
    <w:p w14:paraId="2FE6B2A7"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Індивідуальні рішення визначаються стилем керівника, наприклад:</w:t>
      </w:r>
    </w:p>
    <w:p w14:paraId="2FE6B2A8" w14:textId="77777777" w:rsidR="00471728" w:rsidRDefault="006415EC">
      <w:pPr>
        <w:widowControl w:val="0"/>
        <w:numPr>
          <w:ilvl w:val="0"/>
          <w:numId w:val="6"/>
        </w:numPr>
        <w:tabs>
          <w:tab w:val="left" w:pos="993"/>
        </w:tabs>
        <w:spacing w:after="0" w:line="360" w:lineRule="auto"/>
        <w:ind w:hanging="720"/>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врівноважені;</w:t>
      </w:r>
    </w:p>
    <w:p w14:paraId="2FE6B2A9" w14:textId="77777777" w:rsidR="00471728" w:rsidRDefault="006415EC">
      <w:pPr>
        <w:widowControl w:val="0"/>
        <w:numPr>
          <w:ilvl w:val="0"/>
          <w:numId w:val="6"/>
        </w:numPr>
        <w:tabs>
          <w:tab w:val="left" w:pos="993"/>
        </w:tabs>
        <w:spacing w:after="0" w:line="360" w:lineRule="auto"/>
        <w:ind w:hanging="720"/>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імпульсивні;</w:t>
      </w:r>
    </w:p>
    <w:p w14:paraId="2FE6B2AA" w14:textId="77777777" w:rsidR="00471728" w:rsidRDefault="006415EC">
      <w:pPr>
        <w:widowControl w:val="0"/>
        <w:numPr>
          <w:ilvl w:val="0"/>
          <w:numId w:val="6"/>
        </w:numPr>
        <w:tabs>
          <w:tab w:val="left" w:pos="993"/>
        </w:tabs>
        <w:spacing w:after="0" w:line="360" w:lineRule="auto"/>
        <w:ind w:hanging="720"/>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інертні;</w:t>
      </w:r>
    </w:p>
    <w:p w14:paraId="2FE6B2AB" w14:textId="77777777" w:rsidR="00471728" w:rsidRDefault="006415EC">
      <w:pPr>
        <w:widowControl w:val="0"/>
        <w:numPr>
          <w:ilvl w:val="0"/>
          <w:numId w:val="6"/>
        </w:numPr>
        <w:tabs>
          <w:tab w:val="left" w:pos="993"/>
        </w:tabs>
        <w:spacing w:after="0" w:line="360" w:lineRule="auto"/>
        <w:ind w:hanging="720"/>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ризиковані;</w:t>
      </w:r>
    </w:p>
    <w:p w14:paraId="2FE6B2AC" w14:textId="77777777" w:rsidR="00471728" w:rsidRDefault="006415EC">
      <w:pPr>
        <w:widowControl w:val="0"/>
        <w:numPr>
          <w:ilvl w:val="0"/>
          <w:numId w:val="6"/>
        </w:numPr>
        <w:tabs>
          <w:tab w:val="left" w:pos="993"/>
        </w:tabs>
        <w:spacing w:after="0" w:line="360" w:lineRule="auto"/>
        <w:ind w:hanging="720"/>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обережні;</w:t>
      </w:r>
    </w:p>
    <w:p w14:paraId="2FE6B2AD" w14:textId="77777777" w:rsidR="00471728" w:rsidRDefault="006415EC">
      <w:pPr>
        <w:widowControl w:val="0"/>
        <w:numPr>
          <w:ilvl w:val="0"/>
          <w:numId w:val="6"/>
        </w:numPr>
        <w:tabs>
          <w:tab w:val="left" w:pos="993"/>
        </w:tabs>
        <w:spacing w:after="0" w:line="360" w:lineRule="auto"/>
        <w:ind w:hanging="720"/>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раціональні.</w:t>
      </w:r>
    </w:p>
    <w:p w14:paraId="2FE6B2A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Колективні рішення розробляються з участю співробітників закладу, відповідальність їх реалізацію несе керівник.</w:t>
      </w:r>
    </w:p>
    <w:p w14:paraId="2FE6B2AF"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2. За функціональним змістом - ставлення рішення до загальних функцій управління, які включають планування, організацію, мотивацію і контроль.</w:t>
      </w:r>
    </w:p>
    <w:p w14:paraId="2FE6B2B0"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3. За характером цілей та (або) тривалості дії: оперативні, тактичні та стратегічні.</w:t>
      </w:r>
    </w:p>
    <w:p w14:paraId="2FE6B2B1"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4. З причин виникнення рішення: проблемно-орієнтовані (ситуаційні), </w:t>
      </w:r>
      <w:r>
        <w:rPr>
          <w:rFonts w:ascii="Times New Roman" w:eastAsia="Microsoft YaHei" w:hAnsi="Times New Roman" w:cs="Times New Roman"/>
          <w:color w:val="000000"/>
          <w:sz w:val="28"/>
          <w:szCs w:val="28"/>
          <w:lang w:eastAsia="uk-UA" w:bidi="uk-UA"/>
        </w:rPr>
        <w:lastRenderedPageBreak/>
        <w:t>програмно-цільові (програмні) та епізодичні.</w:t>
      </w:r>
    </w:p>
    <w:p w14:paraId="2FE6B2B2"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Проблемно-орієнтовані рішення приймаються при неструктурованих проблемах, що раптово виникли. Об’єкт управління не має тимчасових ресурсів для проведення структурного та системного аналізу ситуації, яка потребує термінового вирішення. У цьому випадку велике значення має творчий підхід та досвід менеджера, а також проводяться активні дії для мінімізації можливих загроз та втрат</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10</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 xml:space="preserve"> Програмно-цільові рішення пов’язані з реалізацією окремих програм, які включають комплекс заходів щодо вдосконалення діяльності організації, складених на основі експертно-аналітичних оцінок. За кожним заходом закріплюються необхідні ресурси, відповідальні особи, здійснюється ретельний контроль за їх виконанням.</w:t>
      </w:r>
    </w:p>
    <w:p w14:paraId="2FE6B2B3"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Епізодичні рішення ґрунтуються на періодичності виникнення відтворювальних процесів у системі управління.</w:t>
      </w:r>
    </w:p>
    <w:p w14:paraId="2FE6B2B4"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5. За характером розв’язуваних завдань: економічні, технологічні, інвестиційні, соціальні, екологічні, політичні, організаційні тощо.</w:t>
      </w:r>
    </w:p>
    <w:p w14:paraId="2FE6B2B5"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Організаційне рішення представляє собою вибір, який має зробити керівник для того, щоб виконати свої обов’язки, пов’язані із займаною посадою. Мета такого управлінського рішення полягає у забезпеченні напрямку до виконання завдань,  поставлених перед закладом. Найбільш ефективним буде вважатись таке організаційне рішення, яке забезпечить найкращі можливості закладу у досягненні кінцевої мети.</w:t>
      </w:r>
    </w:p>
    <w:p w14:paraId="2FE6B2B6"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Розрізняють запрограмовані та незапрограмовані організаційні рішення.</w:t>
      </w:r>
    </w:p>
    <w:p w14:paraId="2FE6B2B7"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Запрограмовані рішення представляють собою результат виконання визначеної послідовності дій або кроків, подібних до алгоритму розв’язання математичного рівняння. У таких випадках кількість можливих варіантів обмежена, а вибір здійснюється в межах напрямів, встановлених організацією.</w:t>
      </w:r>
    </w:p>
    <w:p w14:paraId="2FE6B2B8"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Незапрограмовані рішення приймаються у ситуаціях, що мають новий, слабо структурований або невизначений характер. Вони необхідні тоді, коли потрібно, наприклад, визначити стратегічні цілі організації, покращити якість продукції, оптимізувати управлінську структуру чи підвищити мотивацію </w:t>
      </w:r>
      <w:r>
        <w:rPr>
          <w:rFonts w:ascii="Times New Roman" w:eastAsia="Microsoft YaHei" w:hAnsi="Times New Roman" w:cs="Times New Roman"/>
          <w:color w:val="000000"/>
          <w:sz w:val="28"/>
          <w:szCs w:val="28"/>
          <w:lang w:eastAsia="uk-UA" w:bidi="uk-UA"/>
        </w:rPr>
        <w:lastRenderedPageBreak/>
        <w:t>персоналу.</w:t>
      </w:r>
    </w:p>
    <w:p w14:paraId="2FE6B2B9"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6. За організаційним оформленням рішення поділяються на:</w:t>
      </w:r>
    </w:p>
    <w:p w14:paraId="2FE6B2BA" w14:textId="77777777" w:rsidR="00471728" w:rsidRDefault="006415EC">
      <w:pPr>
        <w:widowControl w:val="0"/>
        <w:numPr>
          <w:ilvl w:val="0"/>
          <w:numId w:val="7"/>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тверді, тобто. що однозначно задають подальший шлях здійснення рішень;</w:t>
      </w:r>
    </w:p>
    <w:p w14:paraId="2FE6B2BB" w14:textId="77777777" w:rsidR="00471728" w:rsidRDefault="006415EC">
      <w:pPr>
        <w:widowControl w:val="0"/>
        <w:numPr>
          <w:ilvl w:val="0"/>
          <w:numId w:val="7"/>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орієнтуючі, що визначають основні напрямки розвитку системи керування;</w:t>
      </w:r>
    </w:p>
    <w:p w14:paraId="2FE6B2BC" w14:textId="77777777" w:rsidR="00471728" w:rsidRDefault="006415EC">
      <w:pPr>
        <w:widowControl w:val="0"/>
        <w:numPr>
          <w:ilvl w:val="0"/>
          <w:numId w:val="7"/>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гнучкі, що змінюються відповідно до умов розвитку організації;</w:t>
      </w:r>
    </w:p>
    <w:p w14:paraId="2FE6B2BD" w14:textId="77777777" w:rsidR="00471728" w:rsidRDefault="006415EC">
      <w:pPr>
        <w:widowControl w:val="0"/>
        <w:numPr>
          <w:ilvl w:val="0"/>
          <w:numId w:val="7"/>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нормативні параметри протікання процесів в організації.</w:t>
      </w:r>
    </w:p>
    <w:p w14:paraId="2FE6B2B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7. За підходами до ухвалення рішення виділяють рішення, що ґрунтуються на:</w:t>
      </w:r>
    </w:p>
    <w:p w14:paraId="2FE6B2BF" w14:textId="77777777" w:rsidR="00471728" w:rsidRDefault="006415EC">
      <w:pPr>
        <w:widowControl w:val="0"/>
        <w:numPr>
          <w:ilvl w:val="0"/>
          <w:numId w:val="8"/>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інтуїції;</w:t>
      </w:r>
    </w:p>
    <w:p w14:paraId="2FE6B2C0" w14:textId="77777777" w:rsidR="00471728" w:rsidRDefault="006415EC">
      <w:pPr>
        <w:widowControl w:val="0"/>
        <w:numPr>
          <w:ilvl w:val="0"/>
          <w:numId w:val="8"/>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судженнях;</w:t>
      </w:r>
    </w:p>
    <w:p w14:paraId="2FE6B2C1" w14:textId="77777777" w:rsidR="00471728" w:rsidRDefault="006415EC">
      <w:pPr>
        <w:widowControl w:val="0"/>
        <w:numPr>
          <w:ilvl w:val="0"/>
          <w:numId w:val="8"/>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аналіз (раціональні рішення).</w:t>
      </w:r>
    </w:p>
    <w:p w14:paraId="2FE6B2C2"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Часто інтуїтивні рішення приймаються лише на основі відчуттів того, що здійснено правильний вибір. Особа, що приймає рішення, у цьому разі не аналізує переваги й недоліки кожного варіанту та навіть не потребує глибокого розуміння ситуації — вибір відбувається інтуїтивно</w:t>
      </w:r>
      <w:r>
        <w:t xml:space="preserve"> </w:t>
      </w:r>
      <w:r>
        <w:rPr>
          <w:rFonts w:ascii="Times New Roman" w:eastAsia="Microsoft YaHei" w:hAnsi="Times New Roman" w:cs="Times New Roman"/>
          <w:color w:val="000000"/>
          <w:sz w:val="28"/>
          <w:szCs w:val="28"/>
          <w:lang w:eastAsia="uk-UA" w:bidi="uk-UA"/>
        </w:rPr>
        <w:t>[11].</w:t>
      </w:r>
    </w:p>
    <w:p w14:paraId="2FE6B2C3"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Хоча інтуїція з часом удосконалюється разом із досвідом, менеджер, який покладається виключно на неї, може опинитися у заручниках випадковості, бо з точки зору статистики ймовірність правильного вибору в такому разі невисока.</w:t>
      </w:r>
    </w:p>
    <w:p w14:paraId="2FE6B2C4"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Рішення, що ґрунтуються на судженнях, подібні до інтуїтивних, оскільки їхня логічна основа не завжди очевидна. Проте вони формуються на базі знань і практичного досвіду. Судження є цінною основою для ухвалення рішень, адже багато управлінських ситуацій мають повторюваний характер. Людина спирається на попередній досвід, аналізує, які дії раніше давали позитивний результат, і, керуючись здоровим глуздом, обирає альтернативу, що вже довела свою ефективність, проте ці рішення також не є надійними. Одного судження буває замало прийняття рішення, коли ситуація унікальна чи складна. Надмірне захоплення прийняттям таких рішень може призвести до </w:t>
      </w:r>
      <w:r>
        <w:rPr>
          <w:rFonts w:ascii="Times New Roman" w:eastAsia="Microsoft YaHei" w:hAnsi="Times New Roman" w:cs="Times New Roman"/>
          <w:color w:val="000000"/>
          <w:sz w:val="28"/>
          <w:szCs w:val="28"/>
          <w:lang w:eastAsia="uk-UA" w:bidi="uk-UA"/>
        </w:rPr>
        <w:lastRenderedPageBreak/>
        <w:t>свідомого чи несвідомого уникнення можливостей використання нових знань і сфер діяльності</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12</w:t>
      </w:r>
      <w:r>
        <w:rPr>
          <w:rFonts w:ascii="Times New Roman" w:eastAsia="Microsoft YaHei" w:hAnsi="Times New Roman" w:cs="Times New Roman"/>
          <w:color w:val="000000"/>
          <w:sz w:val="28"/>
          <w:szCs w:val="28"/>
          <w:lang w:val="en-US" w:eastAsia="uk-UA" w:bidi="uk-UA"/>
        </w:rPr>
        <w:t>].</w:t>
      </w:r>
    </w:p>
    <w:p w14:paraId="2FE6B2C5"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Раціональні рішення. Головна різниця між раціональними рішеннями і заснованими на судженні полягає в тому, що минулий досвід не впливає на раціональні рішення.</w:t>
      </w:r>
    </w:p>
    <w:p w14:paraId="2FE6B2C6"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Прийняття раціональних управлінських рішень </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 xml:space="preserve"> це складний, послідовний і систематизований процес, який охоплює низку етапів: від формулювання проблеми до здійснення конкретних дій, спрямованих на її вирішення.</w:t>
      </w:r>
    </w:p>
    <w:p w14:paraId="2FE6B2C7"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Раціональні управлінські рішення є обґрунтованими, приймаються на основі економічного аналізу та багатоваріантного розрахунку. В управлінні закладом прийняття рішень здійснюється менеджерами різних рівнів.</w:t>
      </w:r>
    </w:p>
    <w:p w14:paraId="2FE6B2C8"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Виділяються чотири форми прийняття рішень: індивідуальна, групова, організаційна та міжорганізаційна</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13</w:t>
      </w:r>
      <w:r>
        <w:rPr>
          <w:rFonts w:ascii="Times New Roman" w:eastAsia="Microsoft YaHei" w:hAnsi="Times New Roman" w:cs="Times New Roman"/>
          <w:color w:val="000000"/>
          <w:sz w:val="28"/>
          <w:szCs w:val="28"/>
          <w:lang w:val="en-US" w:eastAsia="uk-UA" w:bidi="uk-UA"/>
        </w:rPr>
        <w:t>].</w:t>
      </w:r>
    </w:p>
    <w:p w14:paraId="2FE6B2C9"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Індивідуальна (одноосібна) форма означає, що керівник особисто організує та проводить всі етапи розробки альтернативи від початку до кінця, самостійно приймає остаточне рішення. Фактично ж він здійснює цю роботу за доп</w:t>
      </w:r>
      <w:r>
        <w:rPr>
          <w:rFonts w:ascii="Times New Roman" w:eastAsia="Microsoft YaHei" w:hAnsi="Times New Roman" w:cs="Times New Roman"/>
          <w:color w:val="000000"/>
          <w:sz w:val="28"/>
          <w:szCs w:val="28"/>
          <w:lang w:val="ru-RU" w:eastAsia="uk-UA" w:bidi="uk-UA"/>
        </w:rPr>
        <w:t>о</w:t>
      </w:r>
      <w:r>
        <w:rPr>
          <w:rFonts w:ascii="Times New Roman" w:eastAsia="Microsoft YaHei" w:hAnsi="Times New Roman" w:cs="Times New Roman"/>
          <w:color w:val="000000"/>
          <w:sz w:val="28"/>
          <w:szCs w:val="28"/>
          <w:lang w:eastAsia="uk-UA" w:bidi="uk-UA"/>
        </w:rPr>
        <w:t>могою своїх заступників, фахівців та залучених експертів.</w:t>
      </w:r>
    </w:p>
    <w:p w14:paraId="2FE6B2CA"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У сучасних закладах, особливо великих, число індивідуальних рішень скорочується, хоча їхня частка в загальній кількості рішень залишається значною через швидкість їх прийняття.</w:t>
      </w:r>
    </w:p>
    <w:p w14:paraId="2FE6B2CB"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Групова форма прийняття рішень означає включення до цього процесу людей, наділених відповідними повноваженнями, та взаємодіючих між собою за організаційно встановленими та формалізованими (повністю або частково) процедурами, включаючи постановку та вивчення проблеми членами групи, вивчення інформації, форми висловлювання думок, внесення та аналізу пропозицій тощо</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14, с. 211</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 xml:space="preserve">  Спільна діяльність поєднує знання та досвід людей, які беруть участь у розробці та реалізації рішень. Прикладом може служити практика розробки офіційних державних документів, включаючи укази президента, закони, що представляють урядом у Державну Думу. Ці </w:t>
      </w:r>
      <w:r>
        <w:rPr>
          <w:rFonts w:ascii="Times New Roman" w:eastAsia="Microsoft YaHei" w:hAnsi="Times New Roman" w:cs="Times New Roman"/>
          <w:color w:val="000000"/>
          <w:sz w:val="28"/>
          <w:szCs w:val="28"/>
          <w:lang w:eastAsia="uk-UA" w:bidi="uk-UA"/>
        </w:rPr>
        <w:lastRenderedPageBreak/>
        <w:t>документи розробляються так:</w:t>
      </w:r>
    </w:p>
    <w:p w14:paraId="2FE6B2CC"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група фахівців та експертів об’єднується у дві або кілька груп;</w:t>
      </w:r>
    </w:p>
    <w:p w14:paraId="2FE6B2CD"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ці групи працюють окремо одна від одної;</w:t>
      </w:r>
    </w:p>
    <w:p w14:paraId="2FE6B2C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працюючим у них людям надається вся необхідна інформація;</w:t>
      </w:r>
    </w:p>
    <w:p w14:paraId="2FE6B2CF"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встановлюється певний термін для розробки варіантів рішень;</w:t>
      </w:r>
    </w:p>
    <w:p w14:paraId="2FE6B2D0"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прийнятий порядок роботи не повинен порушуватися протягом усього часу роботи над рішеннями (не можна відлучатися у особових справах, відвідувати сім’ю тощо);</w:t>
      </w:r>
    </w:p>
    <w:p w14:paraId="2FE6B2D1"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у разі участі у розробці рішень двох і більше груп їх варіанти порівнюються і вибирається їх кращий</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15</w:t>
      </w:r>
      <w:r>
        <w:rPr>
          <w:rFonts w:ascii="Times New Roman" w:eastAsia="Microsoft YaHei" w:hAnsi="Times New Roman" w:cs="Times New Roman"/>
          <w:color w:val="000000"/>
          <w:sz w:val="28"/>
          <w:szCs w:val="28"/>
          <w:lang w:val="en-US" w:eastAsia="uk-UA" w:bidi="uk-UA"/>
        </w:rPr>
        <w:t>].</w:t>
      </w:r>
    </w:p>
    <w:p w14:paraId="2FE6B2D2"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Незважаючи на ряд позитивних моментів групової розробки рішень (колективна розумова діяльність, спільний досвід) остаточний вибір робить все ж таки керівник індивідуально, так як він несе персональну відповідальність за прийняте ним рішення.</w:t>
      </w:r>
    </w:p>
    <w:p w14:paraId="2FE6B2D3"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Порівняно з груповою формою організаційна форма розробки управлінських рішень є набагато складнішою, оскільки у ній бере участь більше людей, як окремих осіб, так і груп, які мають різні інтереси, набагато складніша внутрішня структура організації, спостерігається великий рівень невизначеності та ризику результатів. Кінцеве рішення, прийняте керівником, є результуючим стосовно рішенням, прийнятим лише на рівні окремих осіб, груп і підрозділів організації</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16</w:t>
      </w:r>
      <w:r>
        <w:rPr>
          <w:rFonts w:ascii="Times New Roman" w:eastAsia="Microsoft YaHei" w:hAnsi="Times New Roman" w:cs="Times New Roman"/>
          <w:color w:val="000000"/>
          <w:sz w:val="28"/>
          <w:szCs w:val="28"/>
          <w:lang w:val="en-US" w:eastAsia="uk-UA" w:bidi="uk-UA"/>
        </w:rPr>
        <w:t>].</w:t>
      </w:r>
    </w:p>
    <w:p w14:paraId="2FE6B2D4"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Міжорганізаційна форма рішень передбачає скоординовані взаємодії різних організацій з урахуванням їх інтересів, наявності спільних цілей, здатності до компромісів у разі протиріч або розбіжності інтересів. Прикладом може бути процедура розробки державних законів, що регулюють функціонування медичної галузі, розгляд яких у парламенті проходить у декілька читань, і лише після цього підписуються президентом.</w:t>
      </w:r>
    </w:p>
    <w:p w14:paraId="2FE6B2D5"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D6"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D7" w14:textId="77777777" w:rsidR="00471728" w:rsidRDefault="00471728">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p>
    <w:p w14:paraId="2FE6B2D8" w14:textId="77777777" w:rsidR="00471728" w:rsidRDefault="006415EC">
      <w:pPr>
        <w:widowControl w:val="0"/>
        <w:spacing w:after="0" w:line="360" w:lineRule="auto"/>
        <w:ind w:firstLine="709"/>
        <w:jc w:val="both"/>
        <w:rPr>
          <w:rFonts w:ascii="Times New Roman" w:eastAsia="Microsoft YaHei" w:hAnsi="Times New Roman" w:cs="Times New Roman"/>
          <w:b/>
          <w:color w:val="000000"/>
          <w:sz w:val="28"/>
          <w:szCs w:val="28"/>
          <w:lang w:eastAsia="uk-UA" w:bidi="uk-UA"/>
        </w:rPr>
      </w:pPr>
      <w:r>
        <w:rPr>
          <w:rFonts w:ascii="Times New Roman" w:eastAsia="Microsoft YaHei" w:hAnsi="Times New Roman" w:cs="Times New Roman"/>
          <w:b/>
          <w:color w:val="000000"/>
          <w:sz w:val="28"/>
          <w:szCs w:val="28"/>
          <w:lang w:eastAsia="uk-UA" w:bidi="uk-UA"/>
        </w:rPr>
        <w:lastRenderedPageBreak/>
        <w:t>1.3. Особливості процесу прийняття та реалізації управлінських рішень в медичному закладі в сучасних умовах</w:t>
      </w:r>
    </w:p>
    <w:p w14:paraId="2FE6B2D9"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 умовах воєнного часу багаточисленні негативні тенденції відбиваються на ефективності та стабільності функціонування медичної галузі, що зумовило необхідність адаптації українського законодавства до цих умов. Об’єктом управлінських рішень у медичному закладі можуть виступати різноманітні процеси та явища, що виникають у ході його господарської діяльності, тому слід приділити увагу питанню нормативно-правового забезпечення галузі охорони здоров’я. В цьому контексті доцільно виокремити, по-перше, питання функціонування медичного закладу в цілому, по-друге, питання окремих напрямів функціональної діяльності, а саме: фінансування медичного закладу, питання прозорого та ефективного використання фінансових ресурсів, забезпечення соціального та правового захисту медичних працівників, впровадження уніфікованих протоколів лікування, а також організація ведення пацієнтської документації з одночасним використанням паперових і електронних форматів.</w:t>
      </w:r>
    </w:p>
    <w:p w14:paraId="2FE6B2DA"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Зважаючи на це насамперед слід підкреслити, що право усіх громадян на охорону здоров’я та безоплатне медичне обслуговування закріплено у статті 46 Конституції України </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17</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 xml:space="preserve"> Оскільки здоров’я населення є визначальним фактором розвитку держави, надання якісної та доступної для всіх верств населення медичної допомоги має спиратися на принципи справедливості, законності, гуманізму, доступності, рівності та науково обґрунтованого підходу</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18</w:t>
      </w:r>
      <w:r>
        <w:rPr>
          <w:rFonts w:ascii="Times New Roman" w:eastAsia="Microsoft YaHei" w:hAnsi="Times New Roman" w:cs="Times New Roman"/>
          <w:color w:val="000000"/>
          <w:sz w:val="28"/>
          <w:szCs w:val="28"/>
          <w:lang w:val="en-US" w:eastAsia="uk-UA" w:bidi="uk-UA"/>
        </w:rPr>
        <w:t>].</w:t>
      </w:r>
    </w:p>
    <w:p w14:paraId="2FE6B2DB"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Нині чинне законодавство визначає основні принципи функціонування медичної галузі, а також визначає коло питань, з яких уповноважені інституції ухвалюють управлінські рішення у цій сфері.</w:t>
      </w:r>
    </w:p>
    <w:p w14:paraId="2FE6B2DC"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Організація системи охорони здоров’я вимагає вирішення широкого спектру питань, з яких ухвалюють управлінські рішення конкретні інституції медичної галузі.</w:t>
      </w:r>
    </w:p>
    <w:p w14:paraId="2FE6B2DD"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Так, рішення у сфері державного управління охороною здоров’я </w:t>
      </w:r>
      <w:r>
        <w:rPr>
          <w:rFonts w:ascii="Times New Roman" w:eastAsia="Microsoft YaHei" w:hAnsi="Times New Roman" w:cs="Times New Roman"/>
          <w:color w:val="000000"/>
          <w:sz w:val="28"/>
          <w:szCs w:val="28"/>
          <w:lang w:eastAsia="uk-UA" w:bidi="uk-UA"/>
        </w:rPr>
        <w:lastRenderedPageBreak/>
        <w:t xml:space="preserve">приймає Міністерство охорони здоров’я України за погодженням з іншими державними установами, які визначають напрями та методи реалізації державної політики, спрямованої на збереження здоров’я населення та його зміцнення. </w:t>
      </w:r>
    </w:p>
    <w:p w14:paraId="2FE6B2D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Діяльність закладів, що функціонують у галузі охорони здоров’я, регулюється нормативно-правовими актами, що охоплюють різні аспекти функціонування державних, комунальних і приватних медичних установ, при цьому забезпечуючи рівність прав та обов’язків учасників системи охорони здоров’я</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19</w:t>
      </w:r>
      <w:r>
        <w:rPr>
          <w:rFonts w:ascii="Times New Roman" w:eastAsia="Microsoft YaHei" w:hAnsi="Times New Roman" w:cs="Times New Roman"/>
          <w:color w:val="000000"/>
          <w:sz w:val="28"/>
          <w:szCs w:val="28"/>
          <w:lang w:val="en-US" w:eastAsia="uk-UA" w:bidi="uk-UA"/>
        </w:rPr>
        <w:t>].</w:t>
      </w:r>
    </w:p>
    <w:p w14:paraId="2FE6B2DF"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Окремого ставлення потребують нормативно-правові акти, що призначені регулювати питання медичного страхування. Його впровадження може стати важливим чинником фінансової стабільності галузі. Національним законодавством затверджено регламентування порядку та умов надання медичних послуг, що надаються на  страховій основі, в тому числі за участю приватних медичних закладів, що сприятливим чином відбивається на підвищенні якості та доступності медичної допомоги.</w:t>
      </w:r>
    </w:p>
    <w:p w14:paraId="2FE6B2E0"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У межах розгляду цього питання слід зазначити, що базовим нормативним актом у галузі охорони здоров’я є «Основи законодавства України про охорону здоров’я»</w:t>
      </w:r>
      <w:r>
        <w:t xml:space="preserve"> </w:t>
      </w:r>
      <w:r>
        <w:rPr>
          <w:rFonts w:ascii="Times New Roman" w:eastAsia="Microsoft YaHei" w:hAnsi="Times New Roman" w:cs="Times New Roman"/>
          <w:color w:val="000000"/>
          <w:sz w:val="28"/>
          <w:szCs w:val="28"/>
          <w:lang w:eastAsia="uk-UA" w:bidi="uk-UA"/>
        </w:rPr>
        <w:t>[20], які закріплюють право громадян на</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гарантовану медичну допомогу, характеризують порядок діяльності ЗОЗ та передбачають заходи із забезпечення належного санітарно-епідеміологічного стану. Цей закон слугує основою для ухвалення управлінських рішень, що стосуються функціонування медичної галузі.</w:t>
      </w:r>
    </w:p>
    <w:p w14:paraId="2FE6B2E1"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Не менш важливим нормативно-правовим документом є Закон України «Про державні фінансові гарантії медичного обслуговування населення»</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21</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 який регламентує не лише принципи функціонування системи охорони здоров’я в цілому, а й гарантує пацієнтам право на отримання медичної допомоги високої якості. Цей закон упроваджує систему медичних гарантій, яка підлягає фінансуванню з державного бюджету, а також окреслює організаційні, правові та економічні засади її реалізації.</w:t>
      </w:r>
    </w:p>
    <w:p w14:paraId="2FE6B2E2"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lastRenderedPageBreak/>
        <w:t>Метою закону є забезпечення всіх громадян України однаковим доступом до необхідних медичних послуг. Державна програма медичних гарантій, розроблена у його межах, визначає вичерпний перелік тих медичних послуг та лікарських препаратів, що підлягають державному фінансуванню залежно від рівня наданої медичної допомоги.</w:t>
      </w:r>
    </w:p>
    <w:p w14:paraId="2FE6B2E3"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програми включені такі ключові напрями, як: первинна, вторинна (спеціалізована) та третинна (високоспеціалізована) медична допомога; медична реабілітація; екстрена та паліативна допомога; допомога у зв’язку з вагітністю та пологами, обслуговування дітей до 16 років</w:t>
      </w:r>
      <w:r>
        <w:t xml:space="preserve"> </w:t>
      </w:r>
      <w:r>
        <w:rPr>
          <w:rFonts w:ascii="Times New Roman" w:eastAsia="Microsoft YaHei" w:hAnsi="Times New Roman" w:cs="Times New Roman"/>
          <w:color w:val="000000"/>
          <w:sz w:val="28"/>
          <w:szCs w:val="28"/>
          <w:lang w:eastAsia="uk-UA" w:bidi="uk-UA"/>
        </w:rPr>
        <w:t>[22].</w:t>
      </w:r>
    </w:p>
    <w:p w14:paraId="2FE6B2E4"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Варто зазначити, що згаданий закон запроваджує такі сучасні фінансові механізми, що здатні забезпечувати високу якість і доступність медичних послуг для всіх верств громадян. Так, створено Національну службу здоров’я України та впроваджено сучасну модель фінансування за правилом «гроші йдуть за пацієнтом», що передбачає надання фінансування закладам охорони здоров’я відповідно до обсягів та якості наданих послуг.</w:t>
      </w:r>
    </w:p>
    <w:p w14:paraId="2FE6B2E5"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Ця система вимагає від медичних закладів ухвалення дієвих управлінських рішень, що сприяють покращенню якості наданих послуг, збільшенню їхнього охоплення та оптимізації діяльності для забезпечення фінансової стійкості. </w:t>
      </w:r>
    </w:p>
    <w:p w14:paraId="2FE6B2E6"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За умовами реформування охорони здоров’я на рівні первинної медичної допомоги усім пацієнтам надано право самостійно обирати сімейного або іншого лікаря. Крім того, впроваджено в дію електронну систему e-Health - зручний сучасний сервіс, призначений для лікарів, пацієнтів і органів управління охороною здоров’я, що забезпечує ефективне надання й отримання медичних послуг. Використання e-Health значно спрощує роботу медичного персоналу, дозволяючи швидко формувати медичні висновки, виписувати направлення та електронні рецепти, а також оперативно отримувати доступ до медичної інформаційної системи з історіями хвороб пацієнтів виключно без непотрібної паперової бюрократії</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23</w:t>
      </w:r>
      <w:r>
        <w:rPr>
          <w:rFonts w:ascii="Times New Roman" w:eastAsia="Microsoft YaHei" w:hAnsi="Times New Roman" w:cs="Times New Roman"/>
          <w:color w:val="000000"/>
          <w:sz w:val="28"/>
          <w:szCs w:val="28"/>
          <w:lang w:val="en-US" w:eastAsia="uk-UA" w:bidi="uk-UA"/>
        </w:rPr>
        <w:t>].</w:t>
      </w:r>
    </w:p>
    <w:p w14:paraId="2FE6B2E7"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Починаючи з 2020 року, у сфері спеціалізованої медичної допомоги було </w:t>
      </w:r>
      <w:r>
        <w:rPr>
          <w:rFonts w:ascii="Times New Roman" w:eastAsia="Microsoft YaHei" w:hAnsi="Times New Roman" w:cs="Times New Roman"/>
          <w:color w:val="000000"/>
          <w:sz w:val="28"/>
          <w:szCs w:val="28"/>
          <w:lang w:eastAsia="uk-UA" w:bidi="uk-UA"/>
        </w:rPr>
        <w:lastRenderedPageBreak/>
        <w:t xml:space="preserve">впроваджено нову модель фінансування вторинного та третинного рівнів медичної допомоги. Згідно з цією моделлю, оплата праці лікарів і діяльності медичних закладів здійснюється НСЗУ на підставі укладених контрактів, у яких враховується кількість пролікованих випадків і затверджені тарифні ставки. </w:t>
      </w:r>
    </w:p>
    <w:p w14:paraId="2FE6B2E8"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Запровадження механізмів співпраці з НСЗУ, виконання програми «Доступні ліки», впровадження e-Health, реформування систем первинної та спеціалізованої медичної допомоги створили сучасні інструменти, що дозволяють закладам охорони здоров’я ухвалювати обґрунтовані управлінські рішення щодо фінансування своєї діяльності та застосовувати аналітичні підходи для зростання результативності надання медичних послуг. </w:t>
      </w:r>
    </w:p>
    <w:p w14:paraId="2FE6B2E9"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Крім того, ці законодавчі ініціативи сприяють практичній реалізації принципів прозорості та підзвітності, надають можливість пацієнтам вибору лікаря, а також забезпечують для закладів охорони здоров’я отримання зворотного зв’язку щодо потреб населення у медичних послугах</w:t>
      </w:r>
      <w:r>
        <w:rPr>
          <w:rFonts w:ascii="Times New Roman" w:eastAsia="Microsoft YaHei" w:hAnsi="Times New Roman" w:cs="Times New Roman"/>
          <w:color w:val="000000"/>
          <w:sz w:val="28"/>
          <w:szCs w:val="28"/>
          <w:lang w:val="en-US" w:eastAsia="uk-UA" w:bidi="uk-UA"/>
        </w:rPr>
        <w:t xml:space="preserve"> [</w:t>
      </w:r>
      <w:r>
        <w:rPr>
          <w:rFonts w:ascii="Times New Roman" w:eastAsia="Microsoft YaHei" w:hAnsi="Times New Roman" w:cs="Times New Roman"/>
          <w:color w:val="000000"/>
          <w:sz w:val="28"/>
          <w:szCs w:val="28"/>
          <w:lang w:eastAsia="uk-UA" w:bidi="uk-UA"/>
        </w:rPr>
        <w:t>24</w:t>
      </w:r>
      <w:r>
        <w:rPr>
          <w:rFonts w:ascii="Times New Roman" w:eastAsia="Microsoft YaHei" w:hAnsi="Times New Roman" w:cs="Times New Roman"/>
          <w:color w:val="000000"/>
          <w:sz w:val="28"/>
          <w:szCs w:val="28"/>
          <w:lang w:val="en-US" w:eastAsia="uk-UA" w:bidi="uk-UA"/>
        </w:rPr>
        <w:t>].</w:t>
      </w:r>
    </w:p>
    <w:p w14:paraId="2FE6B2EA"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Правовий механізм ухвалення управлінських рішень у медичній галузі відображено в Додатку А.</w:t>
      </w:r>
    </w:p>
    <w:p w14:paraId="2FE6B2EB"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Прийняття та виконання управлінських рішень закладами охорони здоров’я в умовах воєнного часу вимагає врахування як законодавчих вимог, так і специфічних загроз і викликів воєнного стану. Аналіз нормативно-правових документів дозволяє виділити особливості управлінських рішень у надзвичайних умовах. Вони потребують високої гнучкості, оперативного реагування та спрямованості на досягнення максимальної ефективності при обмежених ресурсах (табл. 1.2). </w:t>
      </w:r>
    </w:p>
    <w:p w14:paraId="2FE6B2EC" w14:textId="77777777" w:rsidR="00471728" w:rsidRDefault="00471728">
      <w:pPr>
        <w:widowControl w:val="0"/>
        <w:spacing w:after="0" w:line="360" w:lineRule="auto"/>
        <w:ind w:firstLine="709"/>
        <w:jc w:val="right"/>
        <w:rPr>
          <w:rFonts w:ascii="Times New Roman" w:eastAsia="Microsoft YaHei" w:hAnsi="Times New Roman" w:cs="Times New Roman"/>
          <w:color w:val="000000"/>
          <w:sz w:val="28"/>
          <w:szCs w:val="28"/>
          <w:lang w:eastAsia="uk-UA" w:bidi="uk-UA"/>
        </w:rPr>
      </w:pPr>
    </w:p>
    <w:p w14:paraId="2FE6B2ED" w14:textId="77777777" w:rsidR="00471728" w:rsidRDefault="00471728">
      <w:pPr>
        <w:widowControl w:val="0"/>
        <w:spacing w:after="0" w:line="360" w:lineRule="auto"/>
        <w:ind w:firstLine="709"/>
        <w:jc w:val="right"/>
        <w:rPr>
          <w:rFonts w:ascii="Times New Roman" w:eastAsia="Microsoft YaHei" w:hAnsi="Times New Roman" w:cs="Times New Roman"/>
          <w:color w:val="000000"/>
          <w:sz w:val="28"/>
          <w:szCs w:val="28"/>
          <w:lang w:eastAsia="uk-UA" w:bidi="uk-UA"/>
        </w:rPr>
      </w:pPr>
    </w:p>
    <w:p w14:paraId="2FE6B2EE" w14:textId="77777777" w:rsidR="00471728" w:rsidRDefault="00471728">
      <w:pPr>
        <w:widowControl w:val="0"/>
        <w:spacing w:after="0" w:line="360" w:lineRule="auto"/>
        <w:ind w:firstLine="709"/>
        <w:jc w:val="right"/>
        <w:rPr>
          <w:rFonts w:ascii="Times New Roman" w:eastAsia="Microsoft YaHei" w:hAnsi="Times New Roman" w:cs="Times New Roman"/>
          <w:color w:val="000000"/>
          <w:sz w:val="28"/>
          <w:szCs w:val="28"/>
          <w:lang w:eastAsia="uk-UA" w:bidi="uk-UA"/>
        </w:rPr>
      </w:pPr>
    </w:p>
    <w:p w14:paraId="2FE6B2EF" w14:textId="77777777" w:rsidR="00471728" w:rsidRDefault="00471728">
      <w:pPr>
        <w:widowControl w:val="0"/>
        <w:spacing w:after="0" w:line="360" w:lineRule="auto"/>
        <w:ind w:firstLine="709"/>
        <w:jc w:val="right"/>
        <w:rPr>
          <w:rFonts w:ascii="Times New Roman" w:eastAsia="Microsoft YaHei" w:hAnsi="Times New Roman" w:cs="Times New Roman"/>
          <w:color w:val="000000"/>
          <w:sz w:val="28"/>
          <w:szCs w:val="28"/>
          <w:lang w:eastAsia="uk-UA" w:bidi="uk-UA"/>
        </w:rPr>
      </w:pPr>
    </w:p>
    <w:p w14:paraId="2FE6B2F0" w14:textId="77777777" w:rsidR="00471728" w:rsidRDefault="00471728">
      <w:pPr>
        <w:widowControl w:val="0"/>
        <w:spacing w:after="0" w:line="360" w:lineRule="auto"/>
        <w:ind w:firstLine="709"/>
        <w:jc w:val="right"/>
        <w:rPr>
          <w:rFonts w:ascii="Times New Roman" w:eastAsia="Microsoft YaHei" w:hAnsi="Times New Roman" w:cs="Times New Roman"/>
          <w:color w:val="000000"/>
          <w:sz w:val="28"/>
          <w:szCs w:val="28"/>
          <w:lang w:eastAsia="uk-UA" w:bidi="uk-UA"/>
        </w:rPr>
      </w:pPr>
    </w:p>
    <w:p w14:paraId="2FE6B2F1" w14:textId="77777777" w:rsidR="00471728" w:rsidRDefault="00471728">
      <w:pPr>
        <w:widowControl w:val="0"/>
        <w:spacing w:after="0" w:line="360" w:lineRule="auto"/>
        <w:ind w:firstLine="709"/>
        <w:jc w:val="right"/>
        <w:rPr>
          <w:rFonts w:ascii="Times New Roman" w:eastAsia="Microsoft YaHei" w:hAnsi="Times New Roman" w:cs="Times New Roman"/>
          <w:color w:val="000000"/>
          <w:sz w:val="28"/>
          <w:szCs w:val="28"/>
          <w:lang w:eastAsia="uk-UA" w:bidi="uk-UA"/>
        </w:rPr>
      </w:pPr>
    </w:p>
    <w:p w14:paraId="2FE6B2F2" w14:textId="77777777" w:rsidR="00471728" w:rsidRDefault="006415EC">
      <w:pPr>
        <w:widowControl w:val="0"/>
        <w:spacing w:after="0" w:line="360" w:lineRule="auto"/>
        <w:ind w:firstLine="709"/>
        <w:jc w:val="right"/>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lastRenderedPageBreak/>
        <w:t>Таблиця 1.2</w:t>
      </w:r>
    </w:p>
    <w:p w14:paraId="2FE6B2F3" w14:textId="77777777" w:rsidR="00471728" w:rsidRDefault="006415EC">
      <w:pPr>
        <w:widowControl w:val="0"/>
        <w:spacing w:after="0" w:line="360" w:lineRule="auto"/>
        <w:ind w:firstLine="709"/>
        <w:jc w:val="center"/>
        <w:rPr>
          <w:rFonts w:ascii="Times New Roman" w:eastAsia="Microsoft YaHei" w:hAnsi="Times New Roman" w:cs="Times New Roman"/>
          <w:b/>
          <w:color w:val="000000"/>
          <w:sz w:val="28"/>
          <w:szCs w:val="28"/>
          <w:lang w:eastAsia="uk-UA" w:bidi="uk-UA"/>
        </w:rPr>
      </w:pPr>
      <w:r>
        <w:rPr>
          <w:rFonts w:ascii="Times New Roman" w:eastAsia="Microsoft YaHei" w:hAnsi="Times New Roman" w:cs="Times New Roman"/>
          <w:b/>
          <w:color w:val="000000"/>
          <w:sz w:val="28"/>
          <w:szCs w:val="28"/>
          <w:lang w:eastAsia="uk-UA" w:bidi="uk-UA"/>
        </w:rPr>
        <w:t>Специфіка ухвалення управлінських рішень медичними закладами в умовах воєнного стану</w:t>
      </w:r>
    </w:p>
    <w:tbl>
      <w:tblPr>
        <w:tblStyle w:val="15"/>
        <w:tblW w:w="0" w:type="auto"/>
        <w:tblLook w:val="04A0" w:firstRow="1" w:lastRow="0" w:firstColumn="1" w:lastColumn="0" w:noHBand="0" w:noVBand="1"/>
      </w:tblPr>
      <w:tblGrid>
        <w:gridCol w:w="2830"/>
        <w:gridCol w:w="6514"/>
      </w:tblGrid>
      <w:tr w:rsidR="00471728" w14:paraId="2FE6B2F6" w14:textId="77777777">
        <w:tc>
          <w:tcPr>
            <w:tcW w:w="2830" w:type="dxa"/>
            <w:shd w:val="clear" w:color="auto" w:fill="A8E2C5"/>
            <w:vAlign w:val="center"/>
          </w:tcPr>
          <w:p w14:paraId="2FE6B2F4" w14:textId="77777777" w:rsidR="00471728" w:rsidRDefault="006415EC">
            <w:pPr>
              <w:widowControl w:val="0"/>
              <w:jc w:val="center"/>
              <w:rPr>
                <w:rFonts w:eastAsia="Microsoft YaHei"/>
                <w:color w:val="000000"/>
                <w:sz w:val="24"/>
                <w:szCs w:val="24"/>
                <w:lang w:eastAsia="uk-UA" w:bidi="uk-UA"/>
              </w:rPr>
            </w:pPr>
            <w:r>
              <w:rPr>
                <w:rFonts w:eastAsia="Microsoft YaHei"/>
                <w:color w:val="000000"/>
                <w:sz w:val="24"/>
                <w:szCs w:val="24"/>
                <w:lang w:eastAsia="uk-UA" w:bidi="uk-UA"/>
              </w:rPr>
              <w:t>Особливість</w:t>
            </w:r>
          </w:p>
        </w:tc>
        <w:tc>
          <w:tcPr>
            <w:tcW w:w="6514" w:type="dxa"/>
            <w:shd w:val="clear" w:color="auto" w:fill="A8E2C5"/>
            <w:vAlign w:val="center"/>
          </w:tcPr>
          <w:p w14:paraId="2FE6B2F5" w14:textId="77777777" w:rsidR="00471728" w:rsidRDefault="006415EC">
            <w:pPr>
              <w:widowControl w:val="0"/>
              <w:jc w:val="center"/>
              <w:rPr>
                <w:rFonts w:eastAsia="Microsoft YaHei"/>
                <w:color w:val="000000"/>
                <w:sz w:val="24"/>
                <w:szCs w:val="24"/>
                <w:lang w:eastAsia="uk-UA" w:bidi="uk-UA"/>
              </w:rPr>
            </w:pPr>
            <w:r>
              <w:rPr>
                <w:rFonts w:eastAsia="Microsoft YaHei"/>
                <w:color w:val="000000"/>
                <w:sz w:val="24"/>
                <w:szCs w:val="24"/>
                <w:lang w:eastAsia="uk-UA" w:bidi="uk-UA"/>
              </w:rPr>
              <w:t>Характеристика</w:t>
            </w:r>
          </w:p>
        </w:tc>
      </w:tr>
      <w:tr w:rsidR="00471728" w14:paraId="2FE6B2FA" w14:textId="77777777">
        <w:tc>
          <w:tcPr>
            <w:tcW w:w="2830" w:type="dxa"/>
            <w:shd w:val="clear" w:color="auto" w:fill="D6EAAF"/>
            <w:vAlign w:val="center"/>
          </w:tcPr>
          <w:p w14:paraId="2FE6B2F7"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Оперативність та адаптивність</w:t>
            </w:r>
          </w:p>
          <w:p w14:paraId="2FE6B2F8" w14:textId="77777777" w:rsidR="00471728" w:rsidRDefault="00471728">
            <w:pPr>
              <w:widowControl w:val="0"/>
              <w:rPr>
                <w:rFonts w:eastAsia="Microsoft YaHei"/>
                <w:b/>
                <w:color w:val="000000"/>
                <w:sz w:val="24"/>
                <w:szCs w:val="24"/>
                <w:lang w:eastAsia="uk-UA" w:bidi="uk-UA"/>
              </w:rPr>
            </w:pPr>
          </w:p>
        </w:tc>
        <w:tc>
          <w:tcPr>
            <w:tcW w:w="6514" w:type="dxa"/>
            <w:shd w:val="clear" w:color="auto" w:fill="D6EAAF"/>
            <w:vAlign w:val="center"/>
          </w:tcPr>
          <w:p w14:paraId="2FE6B2F9"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Керівники медичних закладів вимушені приймати управлінські рішення у стислі терміни, своєчасно реагуючи на зміну ситуації ( розгортання додаткових ліжок, зміна профілю медичного закладу, швидке реагування на масову госпіталізацію поранених.</w:t>
            </w:r>
          </w:p>
        </w:tc>
      </w:tr>
      <w:tr w:rsidR="00471728" w14:paraId="2FE6B2FE" w14:textId="77777777">
        <w:tc>
          <w:tcPr>
            <w:tcW w:w="2830" w:type="dxa"/>
            <w:shd w:val="clear" w:color="auto" w:fill="D6EAAF"/>
            <w:vAlign w:val="center"/>
          </w:tcPr>
          <w:p w14:paraId="2FE6B2FB"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Діяльність в умовах обмежених ресурсів</w:t>
            </w:r>
          </w:p>
          <w:p w14:paraId="2FE6B2FC" w14:textId="77777777" w:rsidR="00471728" w:rsidRDefault="00471728">
            <w:pPr>
              <w:widowControl w:val="0"/>
              <w:rPr>
                <w:rFonts w:eastAsia="Microsoft YaHei"/>
                <w:b/>
                <w:color w:val="000000"/>
                <w:sz w:val="24"/>
                <w:szCs w:val="24"/>
                <w:lang w:eastAsia="uk-UA" w:bidi="uk-UA"/>
              </w:rPr>
            </w:pPr>
          </w:p>
        </w:tc>
        <w:tc>
          <w:tcPr>
            <w:tcW w:w="6514" w:type="dxa"/>
            <w:shd w:val="clear" w:color="auto" w:fill="D6EAAF"/>
            <w:vAlign w:val="center"/>
          </w:tcPr>
          <w:p w14:paraId="2FE6B2FD"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Дефіцит ліків, медичного обладнання, нестача фінансування та персоналу потребує раціонального використання наявних ресурсів та прийняття рішень, спрямованих на досягнення максимально ефективного результату.</w:t>
            </w:r>
          </w:p>
        </w:tc>
      </w:tr>
      <w:tr w:rsidR="00471728" w14:paraId="2FE6B302" w14:textId="77777777">
        <w:tc>
          <w:tcPr>
            <w:tcW w:w="2830" w:type="dxa"/>
            <w:shd w:val="clear" w:color="auto" w:fill="D6EAAF"/>
            <w:vAlign w:val="center"/>
          </w:tcPr>
          <w:p w14:paraId="2FE6B2FF"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Взаємодія із зацікавленими сторонами</w:t>
            </w:r>
          </w:p>
          <w:p w14:paraId="2FE6B300" w14:textId="77777777" w:rsidR="00471728" w:rsidRDefault="00471728">
            <w:pPr>
              <w:widowControl w:val="0"/>
              <w:rPr>
                <w:rFonts w:eastAsia="Microsoft YaHei"/>
                <w:b/>
                <w:color w:val="000000"/>
                <w:sz w:val="24"/>
                <w:szCs w:val="24"/>
                <w:lang w:eastAsia="uk-UA" w:bidi="uk-UA"/>
              </w:rPr>
            </w:pPr>
          </w:p>
        </w:tc>
        <w:tc>
          <w:tcPr>
            <w:tcW w:w="6514" w:type="dxa"/>
            <w:shd w:val="clear" w:color="auto" w:fill="D6EAAF"/>
            <w:vAlign w:val="center"/>
          </w:tcPr>
          <w:p w14:paraId="2FE6B301"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Тісна координація з місцевими органами влади, військовими, міжнародними гуманітарними організаціями, волонтерами та іншими структурами.</w:t>
            </w:r>
          </w:p>
        </w:tc>
      </w:tr>
      <w:tr w:rsidR="00471728" w14:paraId="2FE6B306" w14:textId="77777777">
        <w:tc>
          <w:tcPr>
            <w:tcW w:w="2830" w:type="dxa"/>
            <w:shd w:val="clear" w:color="auto" w:fill="D6EAAF"/>
            <w:vAlign w:val="center"/>
          </w:tcPr>
          <w:p w14:paraId="2FE6B303"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Пріоритетність гуманітарної місії</w:t>
            </w:r>
          </w:p>
          <w:p w14:paraId="2FE6B304" w14:textId="77777777" w:rsidR="00471728" w:rsidRDefault="00471728">
            <w:pPr>
              <w:widowControl w:val="0"/>
              <w:rPr>
                <w:rFonts w:eastAsia="Microsoft YaHei"/>
                <w:b/>
                <w:color w:val="000000"/>
                <w:sz w:val="24"/>
                <w:szCs w:val="24"/>
                <w:lang w:eastAsia="uk-UA" w:bidi="uk-UA"/>
              </w:rPr>
            </w:pPr>
          </w:p>
        </w:tc>
        <w:tc>
          <w:tcPr>
            <w:tcW w:w="6514" w:type="dxa"/>
            <w:shd w:val="clear" w:color="auto" w:fill="D6EAAF"/>
            <w:vAlign w:val="center"/>
          </w:tcPr>
          <w:p w14:paraId="2FE6B305"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Основний фокус управлінських рішень спрямований на забезпечення доступності медичної допомоги, якої потребують всі постраждалі, а саме: військові, мирне населення, ВПО, інші вразливі верстви населення.</w:t>
            </w:r>
          </w:p>
        </w:tc>
      </w:tr>
      <w:tr w:rsidR="00471728" w14:paraId="2FE6B30A" w14:textId="77777777">
        <w:tc>
          <w:tcPr>
            <w:tcW w:w="2830" w:type="dxa"/>
            <w:shd w:val="clear" w:color="auto" w:fill="D6EAAF"/>
            <w:vAlign w:val="center"/>
          </w:tcPr>
          <w:p w14:paraId="2FE6B307"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Ризики та невизначеність</w:t>
            </w:r>
          </w:p>
          <w:p w14:paraId="2FE6B308" w14:textId="77777777" w:rsidR="00471728" w:rsidRDefault="00471728">
            <w:pPr>
              <w:widowControl w:val="0"/>
              <w:rPr>
                <w:rFonts w:eastAsia="Microsoft YaHei"/>
                <w:b/>
                <w:color w:val="000000"/>
                <w:sz w:val="24"/>
                <w:szCs w:val="24"/>
                <w:lang w:eastAsia="uk-UA" w:bidi="uk-UA"/>
              </w:rPr>
            </w:pPr>
          </w:p>
        </w:tc>
        <w:tc>
          <w:tcPr>
            <w:tcW w:w="6514" w:type="dxa"/>
            <w:shd w:val="clear" w:color="auto" w:fill="D6EAAF"/>
            <w:vAlign w:val="center"/>
          </w:tcPr>
          <w:p w14:paraId="2FE6B309"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Прийняття рішень відбувається у нестабільних умовах, умовах невизначеності, з ризиками ракетних обстрілів або атак БПЛА, ненадійної логістики, в умовах перебоїв у постачанні електроенергії та води.</w:t>
            </w:r>
          </w:p>
        </w:tc>
      </w:tr>
      <w:tr w:rsidR="00471728" w14:paraId="2FE6B30E" w14:textId="77777777">
        <w:tc>
          <w:tcPr>
            <w:tcW w:w="2830" w:type="dxa"/>
            <w:shd w:val="clear" w:color="auto" w:fill="D6EAAF"/>
            <w:vAlign w:val="center"/>
          </w:tcPr>
          <w:p w14:paraId="2FE6B30B"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Використання цифрових інструментів</w:t>
            </w:r>
          </w:p>
          <w:p w14:paraId="2FE6B30C" w14:textId="77777777" w:rsidR="00471728" w:rsidRDefault="00471728">
            <w:pPr>
              <w:widowControl w:val="0"/>
              <w:rPr>
                <w:rFonts w:eastAsia="Microsoft YaHei"/>
                <w:b/>
                <w:color w:val="000000"/>
                <w:sz w:val="24"/>
                <w:szCs w:val="24"/>
                <w:lang w:eastAsia="uk-UA" w:bidi="uk-UA"/>
              </w:rPr>
            </w:pPr>
          </w:p>
        </w:tc>
        <w:tc>
          <w:tcPr>
            <w:tcW w:w="6514" w:type="dxa"/>
            <w:shd w:val="clear" w:color="auto" w:fill="D6EAAF"/>
            <w:vAlign w:val="center"/>
          </w:tcPr>
          <w:p w14:paraId="2FE6B30D" w14:textId="77777777" w:rsidR="00471728" w:rsidRDefault="006415EC">
            <w:pPr>
              <w:widowControl w:val="0"/>
              <w:rPr>
                <w:rFonts w:eastAsia="Microsoft YaHei"/>
                <w:b/>
                <w:color w:val="000000"/>
                <w:sz w:val="24"/>
                <w:szCs w:val="24"/>
                <w:lang w:eastAsia="uk-UA" w:bidi="uk-UA"/>
              </w:rPr>
            </w:pPr>
            <w:r>
              <w:rPr>
                <w:rFonts w:eastAsia="Microsoft YaHei"/>
                <w:color w:val="000000"/>
                <w:sz w:val="24"/>
                <w:szCs w:val="24"/>
                <w:lang w:eastAsia="uk-UA" w:bidi="uk-UA"/>
              </w:rPr>
              <w:t>Особливо важливими інструментами для ухвалення управлінських рішень стають цифрові технології, штучний інтелект, телемедицина, електронні системи обліку пацієнтів та інші цифрові інструменти.</w:t>
            </w:r>
          </w:p>
        </w:tc>
      </w:tr>
      <w:tr w:rsidR="00471728" w14:paraId="2FE6B312" w14:textId="77777777">
        <w:tc>
          <w:tcPr>
            <w:tcW w:w="2830" w:type="dxa"/>
            <w:shd w:val="clear" w:color="auto" w:fill="D6EAAF"/>
            <w:vAlign w:val="center"/>
          </w:tcPr>
          <w:p w14:paraId="2FE6B30F"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Психоемоційне навантаження на персонал</w:t>
            </w:r>
          </w:p>
          <w:p w14:paraId="2FE6B310" w14:textId="77777777" w:rsidR="00471728" w:rsidRDefault="00471728">
            <w:pPr>
              <w:widowControl w:val="0"/>
              <w:rPr>
                <w:rFonts w:eastAsia="Microsoft YaHei"/>
                <w:b/>
                <w:color w:val="000000"/>
                <w:sz w:val="24"/>
                <w:szCs w:val="24"/>
                <w:lang w:eastAsia="uk-UA" w:bidi="uk-UA"/>
              </w:rPr>
            </w:pPr>
          </w:p>
        </w:tc>
        <w:tc>
          <w:tcPr>
            <w:tcW w:w="6514" w:type="dxa"/>
            <w:shd w:val="clear" w:color="auto" w:fill="D6EAAF"/>
            <w:vAlign w:val="center"/>
          </w:tcPr>
          <w:p w14:paraId="2FE6B311" w14:textId="77777777" w:rsidR="00471728" w:rsidRDefault="006415EC">
            <w:pPr>
              <w:widowControl w:val="0"/>
              <w:rPr>
                <w:rFonts w:eastAsia="Microsoft YaHei"/>
                <w:color w:val="000000"/>
                <w:sz w:val="24"/>
                <w:szCs w:val="24"/>
                <w:lang w:eastAsia="uk-UA" w:bidi="uk-UA"/>
              </w:rPr>
            </w:pPr>
            <w:r>
              <w:rPr>
                <w:rFonts w:eastAsia="Microsoft YaHei"/>
                <w:color w:val="000000"/>
                <w:sz w:val="24"/>
                <w:szCs w:val="24"/>
                <w:lang w:eastAsia="uk-UA" w:bidi="uk-UA"/>
              </w:rPr>
              <w:t>Управлінські рішення мають враховувати стан ментального здоров’я медичних працівників, які вимушені працювати в екстремальних умовах. Особливу увагу приділяють підтримці колективу, зниженню професійного вигоряння, забезпеченню базових умов праці.</w:t>
            </w:r>
          </w:p>
        </w:tc>
      </w:tr>
    </w:tbl>
    <w:p w14:paraId="2FE6B313" w14:textId="77777777" w:rsidR="00471728" w:rsidRDefault="006415EC">
      <w:pPr>
        <w:widowControl w:val="0"/>
        <w:spacing w:after="0" w:line="360" w:lineRule="auto"/>
        <w:ind w:firstLine="709"/>
        <w:jc w:val="both"/>
        <w:rPr>
          <w:rFonts w:ascii="Times New Roman" w:eastAsia="Microsoft YaHei" w:hAnsi="Times New Roman" w:cs="Times New Roman"/>
          <w:i/>
          <w:color w:val="000000"/>
          <w:sz w:val="24"/>
          <w:szCs w:val="24"/>
          <w:lang w:eastAsia="uk-UA" w:bidi="uk-UA"/>
        </w:rPr>
      </w:pPr>
      <w:r>
        <w:rPr>
          <w:rFonts w:ascii="Times New Roman" w:eastAsia="Microsoft YaHei" w:hAnsi="Times New Roman" w:cs="Times New Roman"/>
          <w:i/>
          <w:color w:val="000000"/>
          <w:sz w:val="24"/>
          <w:szCs w:val="24"/>
          <w:lang w:eastAsia="uk-UA" w:bidi="uk-UA"/>
        </w:rPr>
        <w:t>Джерело: побудовано автором</w:t>
      </w:r>
    </w:p>
    <w:p w14:paraId="2FE6B314" w14:textId="77777777" w:rsidR="00471728" w:rsidRDefault="00471728">
      <w:pPr>
        <w:widowControl w:val="0"/>
        <w:spacing w:after="0" w:line="360" w:lineRule="auto"/>
        <w:jc w:val="both"/>
        <w:rPr>
          <w:rFonts w:ascii="Times New Roman" w:eastAsia="Microsoft YaHei" w:hAnsi="Times New Roman" w:cs="Times New Roman"/>
          <w:color w:val="000000"/>
          <w:sz w:val="28"/>
          <w:szCs w:val="28"/>
          <w:lang w:eastAsia="uk-UA" w:bidi="uk-UA"/>
        </w:rPr>
      </w:pPr>
    </w:p>
    <w:p w14:paraId="2FE6B315"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Таким чином, ухвалення управлінських рішень у воєнний час перетворюється на процес, спрямований на оперативне реагування, досягнення максимальної ефективності та забезпечення захисту здоров’я населення в умовах постійної нестабільності. Нормативно-правове регулювання в галузі охорони здоров’я України є ключовою умовою формування сучасної, доступної та стійкої системи медичної допомоги, здатної адекватно реагувати на сучасні виклики.</w:t>
      </w:r>
    </w:p>
    <w:p w14:paraId="2FE6B316"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b/>
          <w:color w:val="000000"/>
          <w:sz w:val="28"/>
          <w:szCs w:val="24"/>
          <w:lang w:eastAsia="uk-UA" w:bidi="uk-UA"/>
        </w:rPr>
        <w:lastRenderedPageBreak/>
        <w:t>Висновок до розділу 1</w:t>
      </w:r>
    </w:p>
    <w:p w14:paraId="2FE6B317"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Управлінська діяльність представляє собою системний процес, який об’єднує дії, спрямовані на планування, організацію, мотивацію та контроль задля досягнення визначених цілей організації. Вона передбачає цілеспрямовану взаємодію між суб’єктом і об’єктом управління, де центральне місце посідає робота з людьми, організація їхньої професійної діяльності, ефективне використання ресурсів та узгодження спільних зусиль для досягнення результату.</w:t>
      </w:r>
    </w:p>
    <w:p w14:paraId="2FE6B318"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У медичних закладах виділяють три рівні управління: стратегічний, тактичний та оперативний.</w:t>
      </w:r>
      <w:r>
        <w:rPr>
          <w:rFonts w:ascii="Arial" w:eastAsia="Arial" w:hAnsi="Arial" w:cs="Arial"/>
          <w:color w:val="000000"/>
          <w:szCs w:val="24"/>
          <w:lang w:eastAsia="uk-UA" w:bidi="uk-UA"/>
        </w:rPr>
        <w:t xml:space="preserve"> </w:t>
      </w:r>
      <w:r>
        <w:rPr>
          <w:rFonts w:ascii="Times New Roman" w:eastAsia="Times New Roman" w:hAnsi="Times New Roman" w:cs="Times New Roman"/>
          <w:color w:val="000000"/>
          <w:sz w:val="28"/>
          <w:szCs w:val="24"/>
          <w:lang w:eastAsia="uk-UA" w:bidi="uk-UA"/>
        </w:rPr>
        <w:t>На стратегічному рівні лежить відповідальність за наслідки прийнятих рішень, що визначають успіх організації у майбутньому. Тактичний рівень відповідальний за оптимальний розподіл наявних ресурсів згідно обраної стратегії, організацію та здійснення контролю за досягненням поточних результатів за окремими напрямками діяльності установи. Оперативний рівень спрямований на забезпечення найбільш ефективного виконання усіх виробничих процесів в окремих підрозділах відповідно з технологією та оптимальним використанням ресурсів.</w:t>
      </w:r>
    </w:p>
    <w:p w14:paraId="2FE6B319"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У менеджменті прийнято види управлінської діяльності називати функціями управління чи функціями менеджменту. Загальні функції управління притаманні суб’єктам управління будь-якого рівня. До них відносяться: планування, організація, координація, мотивація та контроль. Логічна послідовність управлінських функцій, поряд з рішеннями та комунікаціями утворюють єдиний процес управління.</w:t>
      </w:r>
    </w:p>
    <w:p w14:paraId="2FE6B31A"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Одне з головних місць належить формуванню, ухваленню та реалізації управлінських рішень, які є ключовим інструментом впливу керівника.</w:t>
      </w:r>
      <w:r>
        <w:rPr>
          <w:rFonts w:ascii="Arial" w:eastAsia="Arial" w:hAnsi="Arial" w:cs="Arial"/>
          <w:color w:val="000000"/>
          <w:szCs w:val="24"/>
          <w:lang w:eastAsia="uk-UA" w:bidi="uk-UA"/>
        </w:rPr>
        <w:t xml:space="preserve"> </w:t>
      </w:r>
      <w:r>
        <w:rPr>
          <w:rFonts w:ascii="Times New Roman" w:eastAsia="Times New Roman" w:hAnsi="Times New Roman" w:cs="Times New Roman"/>
          <w:color w:val="000000"/>
          <w:sz w:val="28"/>
          <w:szCs w:val="24"/>
          <w:lang w:eastAsia="uk-UA" w:bidi="uk-UA"/>
        </w:rPr>
        <w:t xml:space="preserve">Процеси ухвалення управлінських рішень посідають провідне місце у системі менеджменту, оскільки саме вони визначають зміст управлінської діяльності та безпосередньо впливають на її кінцеві результати. </w:t>
      </w:r>
    </w:p>
    <w:p w14:paraId="2FE6B31B"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 xml:space="preserve">Управлінське рішення - це результат аналізу, прогнозування, оптимізації, економічного обґрунтування та вибору з безлічі варіантів </w:t>
      </w:r>
      <w:r>
        <w:rPr>
          <w:rFonts w:ascii="Times New Roman" w:eastAsia="Times New Roman" w:hAnsi="Times New Roman" w:cs="Times New Roman"/>
          <w:color w:val="000000"/>
          <w:sz w:val="28"/>
          <w:szCs w:val="24"/>
          <w:lang w:eastAsia="uk-UA" w:bidi="uk-UA"/>
        </w:rPr>
        <w:lastRenderedPageBreak/>
        <w:t>альтернативних, найефективніших для досягнення заданої мети, який здійснений керівником закладу у межах його компетенції та службових повноважень. Мета управлінського рішення - забезпечення досягнення поставлених перед закладом завдань. Під ефективним управлінським рішенням розуміється    альтернатива, що дозволяє досягти поставленої мети найбільш економічним способом.</w:t>
      </w:r>
    </w:p>
    <w:p w14:paraId="2FE6B31C" w14:textId="77777777" w:rsidR="00471728" w:rsidRDefault="006415EC">
      <w:pPr>
        <w:widowControl w:val="0"/>
        <w:pBdr>
          <w:top w:val="none" w:sz="4" w:space="0" w:color="000000"/>
          <w:left w:val="none" w:sz="4" w:space="0" w:color="000000"/>
          <w:bottom w:val="none" w:sz="4" w:space="0" w:color="000000"/>
          <w:right w:val="none" w:sz="4" w:space="0" w:color="000000"/>
        </w:pBdr>
        <w:tabs>
          <w:tab w:val="left" w:pos="993"/>
        </w:tabs>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Комплексний характер управлінського рішення вимагає розуміння його сутності в контексті його основних аспектів: економічного,  соціального, психологічного, інформаційного, юридичного та організаційного.</w:t>
      </w:r>
    </w:p>
    <w:p w14:paraId="2FE6B31D" w14:textId="77777777" w:rsidR="00471728" w:rsidRDefault="006415EC">
      <w:pPr>
        <w:widowControl w:val="0"/>
        <w:pBdr>
          <w:top w:val="none" w:sz="4" w:space="0" w:color="000000"/>
          <w:left w:val="none" w:sz="4" w:space="0" w:color="000000"/>
          <w:bottom w:val="none" w:sz="4" w:space="0" w:color="000000"/>
          <w:right w:val="none" w:sz="4" w:space="0" w:color="000000"/>
        </w:pBdr>
        <w:tabs>
          <w:tab w:val="left" w:pos="993"/>
        </w:tabs>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Управлінські рішення з огляду на широку та багатогранну сферу застосування можуть бути класифіковані різними способами залежно від класифікаційних ознак. Кожному виду управлінського рішення притаманні свої специфічні особливості.</w:t>
      </w:r>
    </w:p>
    <w:p w14:paraId="2FE6B31E"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Багаточисленні негативні тенденції воєнного часу відбиваються на ефективності та стабільності функціонування медичної галузі, тому об’єктом управлінських рішень у медичному закладі можуть виступати різноманітні процеси та явища, що виникають у ході його господарської діяльності. Особливу увагу слід приділити питанню нормативно-правового забезпечення галузі охорони здоров’я, причому доцільно виокремити, по-перше, питання функціонування медичного закладу в цілому, по-друге, питання окремих напрямів функціональної діяльності, а саме: фінансування медичного закладу, питання прозорого та ефективного використання фінансових ресурсів, забезпечення соціального та правового захисту медичних працівників, впровадження уніфікованих протоколів лікування, а також організація ведення пацієнтської документації з одночасним використанням паперових і електронних форматів.</w:t>
      </w:r>
    </w:p>
    <w:p w14:paraId="2FE6B31F"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 xml:space="preserve">Сучасними інструментами, що дозволяють закладам охорони здоров’я ухвалювати обґрунтовані управлінські рішення щодо фінансування своєї діяльності та застосовувати аналітичні підходи для зростання результативності надання медичних послуг, стали запровадження механізмів </w:t>
      </w:r>
      <w:r>
        <w:rPr>
          <w:rFonts w:ascii="Times New Roman" w:eastAsia="Times New Roman" w:hAnsi="Times New Roman" w:cs="Times New Roman"/>
          <w:color w:val="000000"/>
          <w:sz w:val="28"/>
          <w:szCs w:val="24"/>
          <w:lang w:eastAsia="uk-UA" w:bidi="uk-UA"/>
        </w:rPr>
        <w:lastRenderedPageBreak/>
        <w:t>співпраці з НСЗУ, виконання програми «Доступні ліки», впровадження e-Health, реформування систем первинної та спеціалізованої медичної допомоги.</w:t>
      </w:r>
    </w:p>
    <w:p w14:paraId="2FE6B320"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Таким чином, ухвалення управлінських рішень у воєнний час перетворюється на процес, спрямований на оперативне реагування, досягнення максимальної ефективності та забезпечення захисту здоров’я населення в умовах постійної нестабільності.</w:t>
      </w:r>
    </w:p>
    <w:p w14:paraId="2FE6B321"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2"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3"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4"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5"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6"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7"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8"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9"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A"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B"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C"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D"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E"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2F"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30"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31"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32"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33"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34"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35"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36"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37" w14:textId="77777777" w:rsidR="00471728" w:rsidRDefault="00471728">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p>
    <w:p w14:paraId="2FE6B338" w14:textId="77777777" w:rsidR="00471728" w:rsidRDefault="006415EC">
      <w:pPr>
        <w:widowControl w:val="0"/>
        <w:spacing w:after="0" w:line="360" w:lineRule="auto"/>
        <w:ind w:firstLine="709"/>
        <w:jc w:val="center"/>
        <w:rPr>
          <w:rFonts w:ascii="Times New Roman" w:eastAsia="Microsoft YaHei"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lastRenderedPageBreak/>
        <w:t>РОЗДІЛ 2</w:t>
      </w:r>
    </w:p>
    <w:p w14:paraId="2FE6B339" w14:textId="4185F947" w:rsidR="00471728" w:rsidRDefault="006415EC">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t xml:space="preserve">ВПЛИВ </w:t>
      </w:r>
      <w:r w:rsidR="00300158">
        <w:rPr>
          <w:rFonts w:ascii="Times New Roman" w:eastAsia="Times New Roman" w:hAnsi="Times New Roman" w:cs="Times New Roman"/>
          <w:b/>
          <w:bCs/>
          <w:color w:val="000000"/>
          <w:sz w:val="28"/>
          <w:szCs w:val="28"/>
          <w:lang w:eastAsia="uk-UA" w:bidi="uk-UA"/>
        </w:rPr>
        <w:t xml:space="preserve">СИСТЕМИ УПРАВАЛІННЯ </w:t>
      </w:r>
      <w:r>
        <w:rPr>
          <w:rFonts w:ascii="Times New Roman" w:eastAsia="Times New Roman" w:hAnsi="Times New Roman" w:cs="Times New Roman"/>
          <w:b/>
          <w:bCs/>
          <w:color w:val="000000"/>
          <w:sz w:val="28"/>
          <w:szCs w:val="28"/>
          <w:lang w:eastAsia="uk-UA" w:bidi="uk-UA"/>
        </w:rPr>
        <w:t xml:space="preserve">ТА </w:t>
      </w:r>
      <w:r w:rsidR="00300158">
        <w:rPr>
          <w:rFonts w:ascii="Times New Roman" w:eastAsia="Times New Roman" w:hAnsi="Times New Roman" w:cs="Times New Roman"/>
          <w:b/>
          <w:bCs/>
          <w:color w:val="000000"/>
          <w:sz w:val="28"/>
          <w:szCs w:val="28"/>
          <w:lang w:eastAsia="uk-UA" w:bidi="uk-UA"/>
        </w:rPr>
        <w:t>ЇЇ</w:t>
      </w:r>
      <w:r>
        <w:rPr>
          <w:rFonts w:ascii="Times New Roman" w:eastAsia="Times New Roman" w:hAnsi="Times New Roman" w:cs="Times New Roman"/>
          <w:b/>
          <w:bCs/>
          <w:color w:val="000000"/>
          <w:sz w:val="28"/>
          <w:szCs w:val="28"/>
          <w:lang w:eastAsia="uk-UA" w:bidi="uk-UA"/>
        </w:rPr>
        <w:t xml:space="preserve"> УПРАВЛІНСЬКИХ РІШЕНЬ НА РОЗВИТОК МЕДИЧНОГО ЗАКЛАДУ (НА ПРИКЛАДІ</w:t>
      </w:r>
    </w:p>
    <w:p w14:paraId="2FE6B33A" w14:textId="77777777" w:rsidR="00471728" w:rsidRDefault="006415EC">
      <w:pPr>
        <w:widowControl w:val="0"/>
        <w:spacing w:after="0" w:line="360" w:lineRule="auto"/>
        <w:ind w:firstLine="709"/>
        <w:jc w:val="center"/>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t xml:space="preserve"> КНП «МКЛ №10» ОМР)</w:t>
      </w:r>
    </w:p>
    <w:p w14:paraId="2FE6B36C" w14:textId="77777777" w:rsidR="00471728" w:rsidRDefault="00471728">
      <w:pPr>
        <w:widowControl w:val="0"/>
        <w:spacing w:after="0" w:line="360" w:lineRule="auto"/>
        <w:ind w:firstLine="709"/>
        <w:jc w:val="both"/>
        <w:rPr>
          <w:rFonts w:ascii="Times New Roman" w:eastAsia="Microsoft YaHei" w:hAnsi="Times New Roman" w:cs="Times New Roman"/>
          <w:b/>
          <w:bCs/>
          <w:color w:val="000000"/>
          <w:sz w:val="28"/>
          <w:szCs w:val="28"/>
          <w:lang w:eastAsia="uk-UA" w:bidi="uk-UA"/>
        </w:rPr>
      </w:pPr>
    </w:p>
    <w:p w14:paraId="2FE6B36D" w14:textId="737FBF78" w:rsidR="00471728" w:rsidRDefault="006415EC">
      <w:pPr>
        <w:widowControl w:val="0"/>
        <w:spacing w:after="0" w:line="360" w:lineRule="auto"/>
        <w:ind w:firstLine="709"/>
        <w:jc w:val="both"/>
        <w:rPr>
          <w:rFonts w:ascii="Times New Roman" w:eastAsia="Microsoft YaHei" w:hAnsi="Times New Roman" w:cs="Times New Roman"/>
          <w:b/>
          <w:bCs/>
          <w:color w:val="000000"/>
          <w:sz w:val="28"/>
          <w:szCs w:val="28"/>
          <w:lang w:eastAsia="uk-UA" w:bidi="uk-UA"/>
        </w:rPr>
      </w:pPr>
      <w:r>
        <w:rPr>
          <w:rFonts w:ascii="Times New Roman" w:eastAsia="Microsoft YaHei" w:hAnsi="Times New Roman" w:cs="Times New Roman"/>
          <w:b/>
          <w:color w:val="000000"/>
          <w:sz w:val="28"/>
          <w:szCs w:val="28"/>
          <w:lang w:eastAsia="uk-UA" w:bidi="uk-UA"/>
        </w:rPr>
        <w:t>2.</w:t>
      </w:r>
      <w:r w:rsidR="00300158">
        <w:rPr>
          <w:rFonts w:ascii="Times New Roman" w:eastAsia="Microsoft YaHei" w:hAnsi="Times New Roman" w:cs="Times New Roman"/>
          <w:b/>
          <w:color w:val="000000"/>
          <w:sz w:val="28"/>
          <w:szCs w:val="28"/>
          <w:lang w:eastAsia="uk-UA" w:bidi="uk-UA"/>
        </w:rPr>
        <w:t>1</w:t>
      </w:r>
      <w:r>
        <w:rPr>
          <w:rFonts w:ascii="Times New Roman" w:eastAsia="Microsoft YaHei" w:hAnsi="Times New Roman" w:cs="Times New Roman"/>
          <w:b/>
          <w:color w:val="000000"/>
          <w:sz w:val="28"/>
          <w:szCs w:val="28"/>
          <w:lang w:eastAsia="uk-UA" w:bidi="uk-UA"/>
        </w:rPr>
        <w:t>. Загальна характеристика Комунального некомерційного підприємства «Міська клінічна лікарня №10» Одеської міської ради</w:t>
      </w:r>
    </w:p>
    <w:p w14:paraId="2FE6B36E" w14:textId="6C762026"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Заклад охорони здоров’я, що набуває свій розвиток як кластерна опорна багатопрофільна лікарня інтенсивного лікування, керується у своєму стратегічному розвитку засадами, затвердженими Постановою Кабінету Міністрів України від 28 лютого 2023 р. №174 «Деякі питання організації спроможної мережі закладів охорони здоров’я» </w:t>
      </w:r>
      <w:r>
        <w:rPr>
          <w:rFonts w:ascii="Times New Roman" w:eastAsia="Microsoft YaHei" w:hAnsi="Times New Roman" w:cs="Times New Roman"/>
          <w:color w:val="000000"/>
          <w:sz w:val="28"/>
          <w:szCs w:val="28"/>
          <w:lang w:val="en-US" w:eastAsia="uk-UA" w:bidi="uk-UA"/>
        </w:rPr>
        <w:t>[</w:t>
      </w:r>
      <w:r w:rsidR="004D36C1">
        <w:rPr>
          <w:rFonts w:ascii="Times New Roman" w:eastAsia="Microsoft YaHei" w:hAnsi="Times New Roman" w:cs="Times New Roman"/>
          <w:color w:val="000000"/>
          <w:sz w:val="28"/>
          <w:szCs w:val="28"/>
          <w:lang w:eastAsia="uk-UA" w:bidi="uk-UA"/>
        </w:rPr>
        <w:t>25</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 що формуються на принципах організації спроможної мережі спеціалізованих медичних закладів, зокрема з організації медичної спеціалізованої та реабілітаційної допомоги, зокрема у надзвичайних станах та масовому надходженні пацієнтів, в тому числі постраждалих внаслідок військової агресії російської федерації проти України.</w:t>
      </w:r>
    </w:p>
    <w:p w14:paraId="2FE6B36F" w14:textId="4B04C494"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Враховуючі фінансову обмеженість створення власної перинатальної служби, а також необхідність оптимізації всієї моделі </w:t>
      </w:r>
      <w:r w:rsidRPr="00DD4C4A">
        <w:rPr>
          <w:rFonts w:ascii="Times New Roman" w:eastAsia="Microsoft YaHei" w:hAnsi="Times New Roman" w:cs="Times New Roman"/>
          <w:color w:val="000000"/>
          <w:sz w:val="28"/>
          <w:szCs w:val="28"/>
          <w:lang w:eastAsia="uk-UA" w:bidi="uk-UA"/>
        </w:rPr>
        <w:t>надання медичних послуг територіальної громади м. Одеса, найбільш перспективним розвитком є об’єднання закладу з перинатальними службами міських пологових  будинків - злиття одночасно з КНП «ПБ№5» OMP та КНП «ПБ№7» OMP</w:t>
      </w:r>
      <w:r w:rsidRPr="00DD4C4A">
        <w:t xml:space="preserve"> </w:t>
      </w:r>
      <w:r w:rsidRPr="00DD4C4A">
        <w:rPr>
          <w:rFonts w:ascii="Times New Roman" w:eastAsia="Microsoft YaHei" w:hAnsi="Times New Roman" w:cs="Times New Roman"/>
          <w:color w:val="000000"/>
          <w:sz w:val="28"/>
          <w:szCs w:val="28"/>
          <w:lang w:eastAsia="uk-UA" w:bidi="uk-UA"/>
        </w:rPr>
        <w:t>[</w:t>
      </w:r>
      <w:r w:rsidR="004D36C1">
        <w:rPr>
          <w:rFonts w:ascii="Times New Roman" w:eastAsia="Microsoft YaHei" w:hAnsi="Times New Roman" w:cs="Times New Roman"/>
          <w:color w:val="000000"/>
          <w:sz w:val="28"/>
          <w:szCs w:val="28"/>
          <w:lang w:eastAsia="uk-UA" w:bidi="uk-UA"/>
        </w:rPr>
        <w:t>2</w:t>
      </w:r>
      <w:r w:rsidRPr="00DD4C4A">
        <w:rPr>
          <w:rFonts w:ascii="Times New Roman" w:eastAsia="Microsoft YaHei" w:hAnsi="Times New Roman" w:cs="Times New Roman"/>
          <w:color w:val="000000"/>
          <w:sz w:val="28"/>
          <w:szCs w:val="28"/>
          <w:lang w:eastAsia="uk-UA" w:bidi="uk-UA"/>
        </w:rPr>
        <w:t>6],</w:t>
      </w:r>
    </w:p>
    <w:p w14:paraId="2FE6B370"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Загрози:</w:t>
      </w:r>
    </w:p>
    <w:p w14:paraId="2FE6B371"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 потреба у скороченні та перепрофілюванні великої кількості працівників через очікуване зниження народжуваності в України на найближчі 10 років на 20-40%;</w:t>
      </w:r>
    </w:p>
    <w:p w14:paraId="2FE6B372"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 внутрішній конфлікт інтересів двох ідентичних відокремлених структурних підрозділів в одному закладі;</w:t>
      </w:r>
    </w:p>
    <w:p w14:paraId="2FE6B373"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 ризик отримання статусу неспроможного госпітального кластеру через великий зарплатний бюджет;</w:t>
      </w:r>
    </w:p>
    <w:p w14:paraId="2FE6B374"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lastRenderedPageBreak/>
        <w:t>- втрата гранту ЄІББ на капітальний ремонт фасаду, палат та території КНП «ПБ №5» ОМР через злиття юридичних осіб (2023);</w:t>
      </w:r>
    </w:p>
    <w:p w14:paraId="2FE6B375"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 втрата гранту ЄІББ на капітальний ремонт фасаду, операційних блоків та території корпусу літ. «В» КНП «МКЛ №10» ОМР через злиття юридичних осіб (2024).</w:t>
      </w:r>
    </w:p>
    <w:p w14:paraId="2FE6B376" w14:textId="5F039B8C"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Десята кластерна лікарня - сучасний багатопрофільний медичний заклад з висококваліфікованим медперсоналом та сучасним обладнанням, що забезпечує широкий спектр медичних послуг для населення. Статус кластерної лікарня отримала у травні 2024 року. Таким чином, МКЛ №10 - це багатопрофільний медичний заклад</w:t>
      </w:r>
      <w:r w:rsidRPr="00DD4C4A">
        <w:rPr>
          <w:rFonts w:ascii="Times New Roman" w:eastAsia="Microsoft YaHei" w:hAnsi="Times New Roman" w:cs="Times New Roman"/>
          <w:color w:val="000000"/>
          <w:sz w:val="28"/>
          <w:szCs w:val="28"/>
          <w:lang w:val="ru-RU" w:eastAsia="uk-UA" w:bidi="uk-UA"/>
        </w:rPr>
        <w:t xml:space="preserve"> [</w:t>
      </w:r>
      <w:r w:rsidR="004D36C1">
        <w:rPr>
          <w:rFonts w:ascii="Times New Roman" w:eastAsia="Microsoft YaHei" w:hAnsi="Times New Roman" w:cs="Times New Roman"/>
          <w:color w:val="000000"/>
          <w:sz w:val="28"/>
          <w:szCs w:val="28"/>
          <w:lang w:val="ru-RU" w:eastAsia="uk-UA" w:bidi="uk-UA"/>
        </w:rPr>
        <w:t>2</w:t>
      </w:r>
      <w:r w:rsidRPr="00DD4C4A">
        <w:rPr>
          <w:rFonts w:ascii="Times New Roman" w:eastAsia="Microsoft YaHei" w:hAnsi="Times New Roman" w:cs="Times New Roman"/>
          <w:color w:val="000000"/>
          <w:sz w:val="28"/>
          <w:szCs w:val="28"/>
          <w:lang w:val="ru-RU" w:eastAsia="uk-UA" w:bidi="uk-UA"/>
        </w:rPr>
        <w:t>6].</w:t>
      </w:r>
    </w:p>
    <w:p w14:paraId="2FE6B377" w14:textId="7EB2DC74"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 xml:space="preserve">Сьогодні лікарня представляє собою заклад, спроможний надавати 15 сервісів, а це означає, що пацієнти мають можливість в одному медичному закладі проходити і діагностику, і лікування, і реабілітацію - як фізичну, так і психологічну; надання екстреної невідкладної допомоги, лікування різних видів захворювань - кардіологічних, урологічних, онкологічних, неврологічних і інших; обстеження і лікування різних видів захворювань </w:t>
      </w:r>
      <w:r w:rsidRPr="00DD4C4A">
        <w:rPr>
          <w:rFonts w:ascii="Times New Roman" w:eastAsia="Microsoft YaHei" w:hAnsi="Times New Roman" w:cs="Times New Roman"/>
          <w:color w:val="000000"/>
          <w:sz w:val="28"/>
          <w:szCs w:val="28"/>
          <w:lang w:val="en-US" w:eastAsia="uk-UA" w:bidi="uk-UA"/>
        </w:rPr>
        <w:t>[</w:t>
      </w:r>
      <w:r w:rsidR="004D36C1">
        <w:rPr>
          <w:rFonts w:ascii="Times New Roman" w:eastAsia="Microsoft YaHei" w:hAnsi="Times New Roman" w:cs="Times New Roman"/>
          <w:color w:val="000000"/>
          <w:sz w:val="28"/>
          <w:szCs w:val="28"/>
          <w:lang w:eastAsia="uk-UA" w:bidi="uk-UA"/>
        </w:rPr>
        <w:t>2</w:t>
      </w:r>
      <w:r w:rsidRPr="00DD4C4A">
        <w:rPr>
          <w:rFonts w:ascii="Times New Roman" w:eastAsia="Microsoft YaHei" w:hAnsi="Times New Roman" w:cs="Times New Roman"/>
          <w:color w:val="000000"/>
          <w:sz w:val="28"/>
          <w:szCs w:val="28"/>
          <w:lang w:eastAsia="uk-UA" w:bidi="uk-UA"/>
        </w:rPr>
        <w:t>7</w:t>
      </w:r>
      <w:r w:rsidRPr="00DD4C4A">
        <w:rPr>
          <w:rFonts w:ascii="Times New Roman" w:eastAsia="Microsoft YaHei" w:hAnsi="Times New Roman" w:cs="Times New Roman"/>
          <w:color w:val="000000"/>
          <w:sz w:val="28"/>
          <w:szCs w:val="28"/>
          <w:lang w:val="en-US" w:eastAsia="uk-UA" w:bidi="uk-UA"/>
        </w:rPr>
        <w:t>]</w:t>
      </w:r>
      <w:r w:rsidRPr="00DD4C4A">
        <w:rPr>
          <w:rFonts w:ascii="Times New Roman" w:eastAsia="Microsoft YaHei" w:hAnsi="Times New Roman" w:cs="Times New Roman"/>
          <w:color w:val="000000"/>
          <w:sz w:val="28"/>
          <w:szCs w:val="28"/>
          <w:lang w:eastAsia="uk-UA" w:bidi="uk-UA"/>
        </w:rPr>
        <w:t xml:space="preserve">,  </w:t>
      </w:r>
    </w:p>
    <w:p w14:paraId="2FE6B378"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Наявність ангіографа та спеціалістів, які постійно підвищують свій професійний рівень, дозволяє рятувати життя та повертати здоров’я людям з інсультами та інфарктами.</w:t>
      </w:r>
    </w:p>
    <w:p w14:paraId="2FE6B379"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Сервіс політравми – це можливість для пацієнтів за державні кошти отримати послугу ендопротезування.</w:t>
      </w:r>
    </w:p>
    <w:p w14:paraId="2FE6B37A"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Опікове відділення - єдине в Одеській області. Тут отримують допомогу пацієнти навіть з дуже тяжкими опіками. Сервіс інтенсивної терапії - це, в тому числі, і допомога при вкрай тяжких станах внаслідок опіків. Завдяки наявності унікального сучасного обладнання сьогодні лікарям вдається рятувати пацієнтів з опіками до 85% поверхні тіла.</w:t>
      </w:r>
    </w:p>
    <w:p w14:paraId="2FE6B37B"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Перинатальний медичній сервіс - це турбота про жінок, про новонароджених, це діагностика, ведення вагітності, пологова допомога, лікування.</w:t>
      </w:r>
    </w:p>
    <w:p w14:paraId="2FE6B37C"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 xml:space="preserve">Центр ментального здоров’я - це піклування про психологічний та </w:t>
      </w:r>
      <w:r w:rsidRPr="00DD4C4A">
        <w:rPr>
          <w:rFonts w:ascii="Times New Roman" w:eastAsia="Microsoft YaHei" w:hAnsi="Times New Roman" w:cs="Times New Roman"/>
          <w:color w:val="000000"/>
          <w:sz w:val="28"/>
          <w:szCs w:val="28"/>
          <w:lang w:eastAsia="uk-UA" w:bidi="uk-UA"/>
        </w:rPr>
        <w:lastRenderedPageBreak/>
        <w:t>психічний стан.</w:t>
      </w:r>
    </w:p>
    <w:p w14:paraId="2FE6B37D" w14:textId="68EACD0E"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МКЛ №10 – це опорна багатопрофільна лікарня інтенсивного лікування на 610 ліжок, крім того - 39 ліжок інтенсивної терапії та 54 амбулаторних ліжка [</w:t>
      </w:r>
      <w:r w:rsidR="004D36C1">
        <w:rPr>
          <w:rFonts w:ascii="Times New Roman" w:eastAsia="Microsoft YaHei" w:hAnsi="Times New Roman" w:cs="Times New Roman"/>
          <w:color w:val="000000"/>
          <w:sz w:val="28"/>
          <w:szCs w:val="28"/>
          <w:lang w:eastAsia="uk-UA" w:bidi="uk-UA"/>
        </w:rPr>
        <w:t>2</w:t>
      </w:r>
      <w:r w:rsidRPr="00DD4C4A">
        <w:rPr>
          <w:rFonts w:ascii="Times New Roman" w:eastAsia="Microsoft YaHei" w:hAnsi="Times New Roman" w:cs="Times New Roman"/>
          <w:color w:val="000000"/>
          <w:sz w:val="28"/>
          <w:szCs w:val="28"/>
          <w:lang w:eastAsia="uk-UA" w:bidi="uk-UA"/>
        </w:rPr>
        <w:t>8].</w:t>
      </w:r>
    </w:p>
    <w:p w14:paraId="2FE6B37E"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Клінічні маршрути медичного сортування (тріажу) сервісу екстреної та невідкладної медичної допомоги розроблені з врахуванням роботи мультидисциплінарних команд спецілаістів, спрямовані на надання своєчасної та висококваліфікованої медичної допомоги.</w:t>
      </w:r>
    </w:p>
    <w:p w14:paraId="2FE6B37F" w14:textId="77777777" w:rsidR="00471728" w:rsidRPr="00DD4C4A"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Основним принципом роботи лікарні є пацієнтоцентричність - орієнтація на потреби пацієнта та надання якісних всеосяжних видів медичної допомоги в одному місці.</w:t>
      </w:r>
    </w:p>
    <w:p w14:paraId="2FE6B380" w14:textId="77777777" w:rsidR="00471728" w:rsidRPr="00DD4C4A" w:rsidRDefault="006415EC">
      <w:pPr>
        <w:widowControl w:val="0"/>
        <w:tabs>
          <w:tab w:val="left" w:pos="993"/>
        </w:tabs>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Одеська міська лікарня №10 була заснована у 70-х роках минулого століття та з того часу пройшла значний шлях розвитку. Заклад постійно модернізується: оновлюються приміщення, закуповується новітнє обладнання, підвищується кваліфікація медичного персоналу, впроваджуються сучасні методи лікування та організації роботи.</w:t>
      </w:r>
    </w:p>
    <w:p w14:paraId="2FE6B381" w14:textId="77777777" w:rsidR="00471728" w:rsidRPr="00DD4C4A" w:rsidRDefault="006415EC">
      <w:pPr>
        <w:widowControl w:val="0"/>
        <w:tabs>
          <w:tab w:val="left" w:pos="993"/>
        </w:tabs>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Це перша лікарня Одеси, де було впроваджено УЗД діагностування та поставлено японське діагностичне обладнання: гастрофіброскопи та колоноскопи.</w:t>
      </w:r>
    </w:p>
    <w:p w14:paraId="2FE6B382" w14:textId="36366790" w:rsidR="00471728" w:rsidRPr="00DD4C4A" w:rsidRDefault="006415EC">
      <w:pPr>
        <w:widowControl w:val="0"/>
        <w:tabs>
          <w:tab w:val="left" w:pos="993"/>
        </w:tabs>
        <w:spacing w:after="0" w:line="360" w:lineRule="auto"/>
        <w:ind w:firstLine="709"/>
        <w:jc w:val="both"/>
        <w:rPr>
          <w:rFonts w:ascii="Times New Roman" w:eastAsia="Microsoft YaHei" w:hAnsi="Times New Roman" w:cs="Times New Roman"/>
          <w:color w:val="000000"/>
          <w:sz w:val="28"/>
          <w:szCs w:val="28"/>
          <w:lang w:val="ru-RU" w:eastAsia="uk-UA" w:bidi="uk-UA"/>
        </w:rPr>
      </w:pPr>
      <w:r w:rsidRPr="00DD4C4A">
        <w:rPr>
          <w:rFonts w:ascii="Times New Roman" w:eastAsia="Microsoft YaHei" w:hAnsi="Times New Roman" w:cs="Times New Roman"/>
          <w:color w:val="000000"/>
          <w:sz w:val="28"/>
          <w:szCs w:val="28"/>
          <w:lang w:eastAsia="uk-UA" w:bidi="uk-UA"/>
        </w:rPr>
        <w:t>У 10-й лікарні вперше в країні був створений денний стаціонар, що значно підвищило доступність медичних послуг</w:t>
      </w:r>
      <w:r w:rsidRPr="00DD4C4A">
        <w:rPr>
          <w:rFonts w:ascii="Times New Roman" w:eastAsia="Microsoft YaHei" w:hAnsi="Times New Roman" w:cs="Times New Roman"/>
          <w:color w:val="000000"/>
          <w:sz w:val="28"/>
          <w:szCs w:val="28"/>
          <w:lang w:val="en-US" w:eastAsia="uk-UA" w:bidi="uk-UA"/>
        </w:rPr>
        <w:t xml:space="preserve"> [</w:t>
      </w:r>
      <w:r w:rsidR="004D36C1">
        <w:rPr>
          <w:rFonts w:ascii="Times New Roman" w:eastAsia="Microsoft YaHei" w:hAnsi="Times New Roman" w:cs="Times New Roman"/>
          <w:color w:val="000000"/>
          <w:sz w:val="28"/>
          <w:szCs w:val="28"/>
          <w:lang w:eastAsia="uk-UA" w:bidi="uk-UA"/>
        </w:rPr>
        <w:t>2</w:t>
      </w:r>
      <w:r w:rsidRPr="00DD4C4A">
        <w:rPr>
          <w:rFonts w:ascii="Times New Roman" w:eastAsia="Microsoft YaHei" w:hAnsi="Times New Roman" w:cs="Times New Roman"/>
          <w:color w:val="000000"/>
          <w:sz w:val="28"/>
          <w:szCs w:val="28"/>
          <w:lang w:eastAsia="uk-UA" w:bidi="uk-UA"/>
        </w:rPr>
        <w:t>8</w:t>
      </w:r>
      <w:r w:rsidRPr="00DD4C4A">
        <w:rPr>
          <w:rFonts w:ascii="Times New Roman" w:eastAsia="Microsoft YaHei" w:hAnsi="Times New Roman" w:cs="Times New Roman"/>
          <w:color w:val="000000"/>
          <w:sz w:val="28"/>
          <w:szCs w:val="28"/>
          <w:lang w:val="en-US" w:eastAsia="uk-UA" w:bidi="uk-UA"/>
        </w:rPr>
        <w:t>]</w:t>
      </w:r>
      <w:r w:rsidRPr="00DD4C4A">
        <w:rPr>
          <w:rFonts w:ascii="Times New Roman" w:eastAsia="Microsoft YaHei" w:hAnsi="Times New Roman" w:cs="Times New Roman"/>
          <w:color w:val="000000"/>
          <w:sz w:val="28"/>
          <w:szCs w:val="28"/>
          <w:lang w:val="ru-RU" w:eastAsia="uk-UA" w:bidi="uk-UA"/>
        </w:rPr>
        <w:t>.</w:t>
      </w:r>
    </w:p>
    <w:p w14:paraId="2FE6B383" w14:textId="77777777" w:rsidR="00471728" w:rsidRPr="00DD4C4A" w:rsidRDefault="006415EC">
      <w:pPr>
        <w:widowControl w:val="0"/>
        <w:tabs>
          <w:tab w:val="left" w:pos="993"/>
        </w:tabs>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Спочатку лікарня спеціалізувалася на урологічній допомозі, але з часом розширила спектр своїх послуг.</w:t>
      </w:r>
    </w:p>
    <w:p w14:paraId="2FE6B384" w14:textId="77777777" w:rsidR="00471728" w:rsidRPr="00DD4C4A" w:rsidRDefault="006415EC">
      <w:pPr>
        <w:widowControl w:val="0"/>
        <w:tabs>
          <w:tab w:val="left" w:pos="993"/>
        </w:tabs>
        <w:spacing w:after="0" w:line="360" w:lineRule="auto"/>
        <w:ind w:firstLine="709"/>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Досягнення:</w:t>
      </w:r>
    </w:p>
    <w:p w14:paraId="2FE6B385" w14:textId="77777777" w:rsidR="00471728" w:rsidRPr="00DD4C4A" w:rsidRDefault="006415EC">
      <w:pPr>
        <w:widowControl w:val="0"/>
        <w:numPr>
          <w:ilvl w:val="0"/>
          <w:numId w:val="9"/>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Трансплантологія: у лікарні вперше в Одесі була проведена пересадка серця. Операцію здійснила медична бригада Інституту серця спільно з кардіологами 10-ї лікарні.</w:t>
      </w:r>
    </w:p>
    <w:p w14:paraId="2FE6B386" w14:textId="77777777" w:rsidR="00471728" w:rsidRDefault="006415EC">
      <w:pPr>
        <w:widowControl w:val="0"/>
        <w:numPr>
          <w:ilvl w:val="0"/>
          <w:numId w:val="9"/>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sidRPr="00DD4C4A">
        <w:rPr>
          <w:rFonts w:ascii="Times New Roman" w:eastAsia="Microsoft YaHei" w:hAnsi="Times New Roman" w:cs="Times New Roman"/>
          <w:color w:val="000000"/>
          <w:sz w:val="28"/>
          <w:szCs w:val="28"/>
          <w:lang w:eastAsia="uk-UA" w:bidi="uk-UA"/>
        </w:rPr>
        <w:t>Опікове відділення лікарні - єдине в Одеському регіоні.</w:t>
      </w:r>
      <w:r>
        <w:rPr>
          <w:rFonts w:ascii="Times New Roman" w:eastAsia="Microsoft YaHei" w:hAnsi="Times New Roman" w:cs="Times New Roman"/>
          <w:color w:val="000000"/>
          <w:sz w:val="28"/>
          <w:szCs w:val="28"/>
          <w:lang w:eastAsia="uk-UA" w:bidi="uk-UA"/>
        </w:rPr>
        <w:t xml:space="preserve"> Завдяки новітньому обладнанню тут виліковують пацієнтів навіть із 85% уражень шкіри.</w:t>
      </w:r>
    </w:p>
    <w:p w14:paraId="2FE6B387" w14:textId="77777777" w:rsidR="00471728" w:rsidRDefault="006415EC">
      <w:pPr>
        <w:widowControl w:val="0"/>
        <w:numPr>
          <w:ilvl w:val="0"/>
          <w:numId w:val="9"/>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lastRenderedPageBreak/>
        <w:t>Відділення гемодіалізу: лише за минулий рік 115 пацієнтів отримали послугу гемодіалізу, було проведено понад 15 000 процедур.</w:t>
      </w:r>
    </w:p>
    <w:p w14:paraId="2FE6B388" w14:textId="77777777" w:rsidR="00471728" w:rsidRDefault="006415EC">
      <w:pPr>
        <w:widowControl w:val="0"/>
        <w:numPr>
          <w:ilvl w:val="0"/>
          <w:numId w:val="9"/>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Сучасний ангіограф дозволяє допомагати пацієнтам з інфарктами, інсультами та іншими судинними патологіями. Постійно розширюється спектр оперативних втручань та медичної реабілітації після них.</w:t>
      </w:r>
    </w:p>
    <w:p w14:paraId="2FE6B389" w14:textId="77777777" w:rsidR="00471728" w:rsidRDefault="006415EC">
      <w:pPr>
        <w:widowControl w:val="0"/>
        <w:numPr>
          <w:ilvl w:val="0"/>
          <w:numId w:val="9"/>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Реабілітація: лікарня забезпечує повний цикл реабілітаційних послуг. Гостра реабілітація, (політравма, кардіологія, інсультне відділення).</w:t>
      </w:r>
    </w:p>
    <w:p w14:paraId="2FE6B38A" w14:textId="77777777" w:rsidR="00471728" w:rsidRDefault="006415EC">
      <w:pPr>
        <w:widowControl w:val="0"/>
        <w:numPr>
          <w:ilvl w:val="0"/>
          <w:numId w:val="9"/>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Стаціонарна реабілітація, де працюють лікарі фізичної та реабілітаційної медицини, ерготерапевти, фізіотерапевти та інші фахівці, паліативна і амбулаторна допомога. Центр Ментального здоров’я також входить у реабілітаційний цикл. Особливу увагу приділяють реабілітації військових. В стаціонарному відділенні створена спеціалізована Палата героя, де військовослужбовці можуть знаходитися разом з родиною.</w:t>
      </w:r>
    </w:p>
    <w:p w14:paraId="2FE6B38B" w14:textId="77777777" w:rsidR="00471728" w:rsidRDefault="006415EC">
      <w:pPr>
        <w:widowControl w:val="0"/>
        <w:numPr>
          <w:ilvl w:val="0"/>
          <w:numId w:val="9"/>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Перинатальна допомога: активно розвивається напрямок, що включає догляд за вагітними, пологи та післяпологову реабілітацію.</w:t>
      </w:r>
    </w:p>
    <w:p w14:paraId="2FE6B38C"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Пацієнтоцентрична модель також дозволяє прийняти участь в організації процесу надання якісної допомоги. Для цього можна скористатися QR-кодом, який розміщений у кожному відділенні.  Одеська міська лікарня №10 – це сучасний кластерний заклад, де забезпечується весь спектр медичних послуг з використання якісних та інноваційних методів медичної допомоги.</w:t>
      </w:r>
    </w:p>
    <w:p w14:paraId="2FE6B38D"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Комунальне некомерційне підприємство «Міська клінічна лікарня №10» Одеської міської ради уклало договір з Національною Службою Здоров’я України про медичне обслуговування населення за програмою державних гарантій. Протягом 2025 року у закладі надаються безкоштовні медичні послуги згідно умов, специфікації та вимог програми державних гарантій за наступними напрямками (Додаток Б).</w:t>
      </w:r>
    </w:p>
    <w:p w14:paraId="2FE6B38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Неврологічний медичний сервіс (неврологія, психіатрія, медична психологія, психофізіологія) забезпечує комплексну допомогу пацієнтам із захворюваннями нервової системи, психічними розладами та потребами у психологічній підтримці. Основна увага приділяється діагностиці, лікуванню, </w:t>
      </w:r>
      <w:r>
        <w:rPr>
          <w:rFonts w:ascii="Times New Roman" w:eastAsia="Microsoft YaHei" w:hAnsi="Times New Roman" w:cs="Times New Roman"/>
          <w:color w:val="000000"/>
          <w:sz w:val="28"/>
          <w:szCs w:val="28"/>
          <w:lang w:eastAsia="uk-UA" w:bidi="uk-UA"/>
        </w:rPr>
        <w:lastRenderedPageBreak/>
        <w:t>реабілітації та відновленню після інсультів і тяжких неврологічних станів.</w:t>
      </w:r>
    </w:p>
    <w:p w14:paraId="2FE6B38F"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У структурі працюють:</w:t>
      </w:r>
    </w:p>
    <w:p w14:paraId="2FE6B390" w14:textId="77777777" w:rsidR="00471728" w:rsidRDefault="006415EC">
      <w:pPr>
        <w:widowControl w:val="0"/>
        <w:numPr>
          <w:ilvl w:val="0"/>
          <w:numId w:val="10"/>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неврології та психіатрії;</w:t>
      </w:r>
    </w:p>
    <w:p w14:paraId="2FE6B391" w14:textId="77777777" w:rsidR="00471728" w:rsidRDefault="006415EC">
      <w:pPr>
        <w:widowControl w:val="0"/>
        <w:numPr>
          <w:ilvl w:val="0"/>
          <w:numId w:val="10"/>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інсультне відділення;</w:t>
      </w:r>
    </w:p>
    <w:p w14:paraId="2FE6B392" w14:textId="77777777" w:rsidR="00471728" w:rsidRDefault="006415EC">
      <w:pPr>
        <w:widowControl w:val="0"/>
        <w:numPr>
          <w:ilvl w:val="0"/>
          <w:numId w:val="10"/>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денний стаціонар;</w:t>
      </w:r>
    </w:p>
    <w:p w14:paraId="2FE6B393" w14:textId="77777777" w:rsidR="00471728" w:rsidRDefault="006415EC">
      <w:pPr>
        <w:widowControl w:val="0"/>
        <w:numPr>
          <w:ilvl w:val="0"/>
          <w:numId w:val="10"/>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блок інтенсивної терапії неврологічного профілю відділення АІТ модульного типу;</w:t>
      </w:r>
    </w:p>
    <w:p w14:paraId="2FE6B394" w14:textId="77777777" w:rsidR="00471728" w:rsidRDefault="006415EC">
      <w:pPr>
        <w:widowControl w:val="0"/>
        <w:numPr>
          <w:ilvl w:val="0"/>
          <w:numId w:val="10"/>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Центр ментального здоров’я;</w:t>
      </w:r>
    </w:p>
    <w:p w14:paraId="2FE6B395" w14:textId="77777777" w:rsidR="00471728" w:rsidRDefault="006415EC">
      <w:pPr>
        <w:widowControl w:val="0"/>
        <w:numPr>
          <w:ilvl w:val="0"/>
          <w:numId w:val="10"/>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кабінети лікаря-невролога ДКЦ №1 та ДКЦ №3.</w:t>
      </w:r>
    </w:p>
    <w:p w14:paraId="2FE6B396"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Сервіс поєднує неврологічну, психіатричну та психологічну допомогу, забезпечуючи пацієнтам мультидисциплінарний підхід і безперервність лікування.</w:t>
      </w:r>
    </w:p>
    <w:p w14:paraId="2FE6B397"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Кардіологічний медичний сервіс (кардіологія, інтервенційна кардіологія, інвазивна електрофізіологія, ендоваскулярна хірургія) спеціалізується на діагностиці, лікуванні та профілактиці захворювань серцево-судинної системи. </w:t>
      </w:r>
    </w:p>
    <w:p w14:paraId="2FE6B398"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99" w14:textId="77777777" w:rsidR="00471728" w:rsidRDefault="006415EC">
      <w:pPr>
        <w:widowControl w:val="0"/>
        <w:numPr>
          <w:ilvl w:val="0"/>
          <w:numId w:val="11"/>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інтервенційної кардіології та реперфузійної терапії;</w:t>
      </w:r>
    </w:p>
    <w:p w14:paraId="2FE6B39A" w14:textId="77777777" w:rsidR="00471728" w:rsidRDefault="006415EC">
      <w:pPr>
        <w:widowControl w:val="0"/>
        <w:numPr>
          <w:ilvl w:val="0"/>
          <w:numId w:val="11"/>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блок інтенсивної терапії кардіологічного профілю;</w:t>
      </w:r>
    </w:p>
    <w:p w14:paraId="2FE6B39B" w14:textId="77777777" w:rsidR="00471728" w:rsidRDefault="006415EC">
      <w:pPr>
        <w:widowControl w:val="0"/>
        <w:numPr>
          <w:ilvl w:val="0"/>
          <w:numId w:val="11"/>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рентгеноваскулярний операційний блок;</w:t>
      </w:r>
    </w:p>
    <w:p w14:paraId="2FE6B39C" w14:textId="77777777" w:rsidR="00471728" w:rsidRDefault="006415EC">
      <w:pPr>
        <w:widowControl w:val="0"/>
        <w:numPr>
          <w:ilvl w:val="0"/>
          <w:numId w:val="11"/>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кабінети лікаря-кардіолога ДКЦ №1 та ДКЦ №3.</w:t>
      </w:r>
    </w:p>
    <w:p w14:paraId="2FE6B39D"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Кардіологічний сервіс забезпечує безперервний цикл допомоги - від ранньої діагностики до високотехнологічного втручання та подальшої реабілітації пацієнтів.</w:t>
      </w:r>
    </w:p>
    <w:p w14:paraId="2FE6B39E"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Хірургічний медичний сервіс (хірургія, судинна хірургія, проктологія, гінекологія) забезпечує надання високоспеціалізованої хірургічної допомоги, включно з малоінвазивними втручаннями, судинною хірургією, проктологією та гінекологією. Робота спрямована на своєчасну діагностику, оперативне лікування та відновлення пацієнтів.</w:t>
      </w:r>
    </w:p>
    <w:p w14:paraId="2FE6B39F"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A0" w14:textId="77777777" w:rsidR="00471728" w:rsidRDefault="006415EC">
      <w:pPr>
        <w:widowControl w:val="0"/>
        <w:numPr>
          <w:ilvl w:val="0"/>
          <w:numId w:val="12"/>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lastRenderedPageBreak/>
        <w:t>відділення загальної та малоінвазивної хірургії, інтервенційної ендоскопії та онкології;</w:t>
      </w:r>
    </w:p>
    <w:p w14:paraId="2FE6B3A1" w14:textId="77777777" w:rsidR="00471728" w:rsidRDefault="006415EC">
      <w:pPr>
        <w:widowControl w:val="0"/>
        <w:numPr>
          <w:ilvl w:val="0"/>
          <w:numId w:val="12"/>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проктології та гінекології;</w:t>
      </w:r>
    </w:p>
    <w:p w14:paraId="2FE6B3A2" w14:textId="77777777" w:rsidR="00471728" w:rsidRDefault="006415EC">
      <w:pPr>
        <w:widowControl w:val="0"/>
        <w:numPr>
          <w:ilvl w:val="0"/>
          <w:numId w:val="12"/>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гнійної та септичної хірургії;</w:t>
      </w:r>
    </w:p>
    <w:p w14:paraId="2FE6B3A3" w14:textId="77777777" w:rsidR="00471728" w:rsidRDefault="006415EC">
      <w:pPr>
        <w:widowControl w:val="0"/>
        <w:numPr>
          <w:ilvl w:val="0"/>
          <w:numId w:val="12"/>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трансфузіології (лікарняний банк крові);</w:t>
      </w:r>
    </w:p>
    <w:p w14:paraId="2FE6B3A4" w14:textId="77777777" w:rsidR="00471728" w:rsidRDefault="006415EC">
      <w:pPr>
        <w:widowControl w:val="0"/>
        <w:numPr>
          <w:ilvl w:val="0"/>
          <w:numId w:val="12"/>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операційний блок №1 (хірургічний, ендоскопічний, онкологічний, мала ургентна операційна, операційна хірургії одного дня);</w:t>
      </w:r>
    </w:p>
    <w:p w14:paraId="2FE6B3A5" w14:textId="77777777" w:rsidR="00471728" w:rsidRDefault="006415EC">
      <w:pPr>
        <w:widowControl w:val="0"/>
        <w:numPr>
          <w:ilvl w:val="0"/>
          <w:numId w:val="12"/>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кабінети лікаря-хірурга ДКЦ №1 та ДКЦ №3;</w:t>
      </w:r>
    </w:p>
    <w:p w14:paraId="2FE6B3A6" w14:textId="77777777" w:rsidR="00471728" w:rsidRDefault="006415EC">
      <w:pPr>
        <w:widowControl w:val="0"/>
        <w:numPr>
          <w:ilvl w:val="0"/>
          <w:numId w:val="12"/>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 лікаря-проктолога ДКЦ №1;</w:t>
      </w:r>
    </w:p>
    <w:p w14:paraId="2FE6B3A7" w14:textId="77777777" w:rsidR="00471728" w:rsidRDefault="006415EC">
      <w:pPr>
        <w:widowControl w:val="0"/>
        <w:numPr>
          <w:ilvl w:val="0"/>
          <w:numId w:val="12"/>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 лікаря-гінеколога ДКЦ №1;</w:t>
      </w:r>
    </w:p>
    <w:p w14:paraId="2FE6B3A8"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кабінети лікаря-акушера-гінеколога ДКЦ №2 та ДКЦ №3.</w:t>
      </w:r>
    </w:p>
    <w:p w14:paraId="2FE6B3A9"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Хірургічний медичний сервіс поєднує сучасні методики, можливості малоінвазивної хірургії та мультидисциплінарний підхід, забезпечуючи пацієнтам якісне лікування у планових і невідкладних ситуаціях.</w:t>
      </w:r>
    </w:p>
    <w:p w14:paraId="2FE6B3AA"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Онкологічний медичний сервіс (онкологія, радіологія, патологічна анатомія) об’єднує напрямки онкології, радіології та патологічної анатомії, забезпечуючи комплексний підхід до діагностики, лікування та спостереження пацієнтів із онкологічними захворюваннями.</w:t>
      </w:r>
    </w:p>
    <w:p w14:paraId="2FE6B3AB"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AC"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загальної та малоінвазивної хірургії, інтервенційної ендоскопії та онкології;</w:t>
      </w:r>
    </w:p>
    <w:p w14:paraId="2FE6B3AD"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денний стаціонар з кабінетом хіміотерапії;</w:t>
      </w:r>
    </w:p>
    <w:p w14:paraId="2FE6B3AE"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 лікаря-онколога ДКЦ №1;</w:t>
      </w:r>
    </w:p>
    <w:p w14:paraId="2FE6B3AF"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 онкоскринінгу ДКЦ №3.</w:t>
      </w:r>
    </w:p>
    <w:p w14:paraId="2FE6B3B0"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Онкологічний медичний сервіс поєднує можливості хірургічного, хіміотерапевтичного та діагностичного лікування, що дозволяє забезпечувати пацієнтам сучасну багатопрофільну допомогу на всіх етапах діагностики та терапії.</w:t>
      </w:r>
    </w:p>
    <w:p w14:paraId="2FE6B3B1"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Урологічний медичний сервіс (урологія, нефрологія, трансплантологія) об’єднує напрямки урології, нефрології та трансплантології, забезпечуючи </w:t>
      </w:r>
      <w:r>
        <w:rPr>
          <w:rFonts w:ascii="Times New Roman" w:eastAsia="Microsoft YaHei" w:hAnsi="Times New Roman" w:cs="Times New Roman"/>
          <w:color w:val="000000"/>
          <w:sz w:val="28"/>
          <w:szCs w:val="28"/>
          <w:lang w:eastAsia="uk-UA" w:bidi="uk-UA"/>
        </w:rPr>
        <w:lastRenderedPageBreak/>
        <w:t>діагностику, лікування та реабілітацію пацієнтів із захворюваннями сечостатевої системи та нирок, а також проведення сучасних хірургічних втручань і трансплантацій.</w:t>
      </w:r>
    </w:p>
    <w:p w14:paraId="2FE6B3B2"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B3"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урології;</w:t>
      </w:r>
    </w:p>
    <w:p w14:paraId="2FE6B3B4"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урології та трансплантології;</w:t>
      </w:r>
    </w:p>
    <w:p w14:paraId="2FE6B3B5"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терапії;</w:t>
      </w:r>
    </w:p>
    <w:p w14:paraId="2FE6B3B6"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операційний блок №2 (урологічний);</w:t>
      </w:r>
    </w:p>
    <w:p w14:paraId="2FE6B3B7"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амбулаторного гемодіалізу;</w:t>
      </w:r>
    </w:p>
    <w:p w14:paraId="2FE6B3B8"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репродуктивного здоров’я;</w:t>
      </w:r>
    </w:p>
    <w:p w14:paraId="2FE6B3B9"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 лікаря-нефролога ДКЦ №1;</w:t>
      </w:r>
    </w:p>
    <w:p w14:paraId="2FE6B3BA" w14:textId="77777777" w:rsidR="00471728" w:rsidRDefault="006415EC">
      <w:pPr>
        <w:widowControl w:val="0"/>
        <w:numPr>
          <w:ilvl w:val="0"/>
          <w:numId w:val="13"/>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кабінети лікаря-уролога ДКЦ №1, ДКЦ №2, ДКЦ №3.</w:t>
      </w:r>
    </w:p>
    <w:p w14:paraId="2FE6B3BB"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Урологічний медичний сервіс поєднує можливості сучасної урології, нефрології та трансплантології, включаючи спеціалізовану стаціонарну та амбулаторну допомогу, малоінвазивні методики й високотехнологічні втручання.</w:t>
      </w:r>
    </w:p>
    <w:p w14:paraId="2FE6B3BC"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Медичний сервіс політравми (травматологія, нейрохірургія, офтальмологія, оториноларингологія, щелепно-лицьова хірургія, стоматологія) спеціалізується на комплексному наданні медичної допомоги пацієнтам із травмами, а також із захворюваннями, що потребують втручань у галузях травматології, нейрохірургії, офтальмології, оториноларингології, щелепно-лицьової хірургії та стоматології.</w:t>
      </w:r>
    </w:p>
    <w:p w14:paraId="2FE6B3BD"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BE" w14:textId="77777777" w:rsidR="00471728" w:rsidRDefault="006415EC">
      <w:pPr>
        <w:widowControl w:val="0"/>
        <w:numPr>
          <w:ilvl w:val="0"/>
          <w:numId w:val="14"/>
        </w:numPr>
        <w:tabs>
          <w:tab w:val="left" w:pos="851"/>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політравми;</w:t>
      </w:r>
    </w:p>
    <w:p w14:paraId="2FE6B3BF" w14:textId="77777777" w:rsidR="00471728" w:rsidRDefault="006415EC">
      <w:pPr>
        <w:widowControl w:val="0"/>
        <w:numPr>
          <w:ilvl w:val="0"/>
          <w:numId w:val="14"/>
        </w:numPr>
        <w:tabs>
          <w:tab w:val="left" w:pos="851"/>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нейрохірургії;</w:t>
      </w:r>
    </w:p>
    <w:p w14:paraId="2FE6B3C0" w14:textId="77777777" w:rsidR="00471728" w:rsidRDefault="006415EC">
      <w:pPr>
        <w:widowControl w:val="0"/>
        <w:numPr>
          <w:ilvl w:val="0"/>
          <w:numId w:val="14"/>
        </w:numPr>
        <w:tabs>
          <w:tab w:val="left" w:pos="851"/>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операційний блок №4 (травматологічний, нейрохірургічний, офтальмологічний, ЛОР, щелепно-лицьова хірургія);</w:t>
      </w:r>
    </w:p>
    <w:p w14:paraId="2FE6B3C1" w14:textId="77777777" w:rsidR="00471728" w:rsidRDefault="006415EC">
      <w:pPr>
        <w:widowControl w:val="0"/>
        <w:numPr>
          <w:ilvl w:val="0"/>
          <w:numId w:val="14"/>
        </w:numPr>
        <w:tabs>
          <w:tab w:val="left" w:pos="851"/>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кабінети лікарів у ДКЦ №1: травматолога, офтальмолога, отоларинголога, стоматолога;</w:t>
      </w:r>
    </w:p>
    <w:p w14:paraId="2FE6B3C2" w14:textId="77777777" w:rsidR="00471728" w:rsidRDefault="006415EC">
      <w:pPr>
        <w:widowControl w:val="0"/>
        <w:numPr>
          <w:ilvl w:val="0"/>
          <w:numId w:val="14"/>
        </w:numPr>
        <w:tabs>
          <w:tab w:val="left" w:pos="851"/>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кабінети лікарів у ДКЦ №3: травматолога, офтальмолога, </w:t>
      </w:r>
      <w:r>
        <w:rPr>
          <w:rFonts w:ascii="Times New Roman" w:eastAsia="Microsoft YaHei" w:hAnsi="Times New Roman" w:cs="Times New Roman"/>
          <w:color w:val="000000"/>
          <w:sz w:val="28"/>
          <w:szCs w:val="28"/>
          <w:lang w:eastAsia="uk-UA" w:bidi="uk-UA"/>
        </w:rPr>
        <w:lastRenderedPageBreak/>
        <w:t>отоларинголога, стоматолога.</w:t>
      </w:r>
    </w:p>
    <w:p w14:paraId="2FE6B3C3"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Сервіс забезпечує мультидисциплінарний підхід до лікування травм та їхніх ускладнень, поєднуючи можливості стаціонарної й амбулаторної допомоги та сучасні хірургічні методики.</w:t>
      </w:r>
    </w:p>
    <w:p w14:paraId="2FE6B3C4"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Терапевтичний медичний сервіс (терапія,  ревматологія, пульмонологія, ендокринологія, клінічна імунологія, гематологія, алергологія, дерматологія) надає комплексну діагностичну та лікувальну допомогу пацієнтам із широким спектром внутрішніх захворювань. Напрями роботи охоплюють терапію, ревматологію, пульмонологію, ендокринологію, клінічну імунологію, гематологію, алергологію та дерматологію.</w:t>
      </w:r>
    </w:p>
    <w:p w14:paraId="2FE6B3C5" w14:textId="77777777" w:rsidR="00471728" w:rsidRDefault="006415EC">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C6"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терапії;</w:t>
      </w:r>
    </w:p>
    <w:p w14:paraId="2FE6B3C7"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денний стаціонар;</w:t>
      </w:r>
    </w:p>
    <w:p w14:paraId="2FE6B3C8"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кабінети лікарів ДКЦ №1: терапевта, ендокринолога, пульмонолога, ревматолога, дерматолога, алерголога, гематолога, клінічного імунолога;</w:t>
      </w:r>
    </w:p>
    <w:p w14:paraId="2FE6B3C9"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кабінети лікарів-терапевтів ДКЦ №2 та №3;</w:t>
      </w:r>
    </w:p>
    <w:p w14:paraId="2FE6B3CA"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 лікаря-пульмонолога ДКЦ №3.</w:t>
      </w:r>
    </w:p>
    <w:p w14:paraId="2FE6B3CB"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Гастроентерологічний медичний сервіс (гастроентерологія) спеціалізується на діагностиці, лікуванні та профілактиці захворювань органів травної системи, а також на наданні комплексної допомоги пацієнтам із супутніми патологіями.</w:t>
      </w:r>
    </w:p>
    <w:p w14:paraId="2FE6B3CC"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CD"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терапії;</w:t>
      </w:r>
    </w:p>
    <w:p w14:paraId="2FE6B3CE"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загальної та малоінвазивної хірургії, інтервенційної ендоскопії та онкології;</w:t>
      </w:r>
    </w:p>
    <w:p w14:paraId="2FE6B3CF"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денний стаціонар гастроентерологічного профілю;</w:t>
      </w:r>
    </w:p>
    <w:p w14:paraId="2FE6B3D0"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 лікаря-гастроентеролога ДКЦ №1;</w:t>
      </w:r>
    </w:p>
    <w:p w14:paraId="2FE6B3D1"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 лікаря-гастроентеролога ДКЦ №3.</w:t>
      </w:r>
    </w:p>
    <w:p w14:paraId="2FE6B3D2"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Сервіс об’єднує можливості терапевтичного та хірургічного лікування, сучасні методи ендоскопічної та малоінвазивної діагностики, що забезпечує </w:t>
      </w:r>
      <w:r>
        <w:rPr>
          <w:rFonts w:ascii="Times New Roman" w:eastAsia="Microsoft YaHei" w:hAnsi="Times New Roman" w:cs="Times New Roman"/>
          <w:color w:val="000000"/>
          <w:sz w:val="28"/>
          <w:szCs w:val="28"/>
          <w:lang w:eastAsia="uk-UA" w:bidi="uk-UA"/>
        </w:rPr>
        <w:lastRenderedPageBreak/>
        <w:t>пацієнтам всебічний підхід до лікування захворювань шлунково-кишкового тракту.</w:t>
      </w:r>
    </w:p>
    <w:p w14:paraId="2FE6B3D3"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Опіковий медичний сервіс  (комбустіологія) спеціалізується на наданні медичної допомоги пацієнтам із термічними, хімічними та електричними опіками, а також їхніми ускладненнями. Основна мета — своєчасне проведення лікувальних і відновних заходів, спрямованих на збереження життя, мінімізацію наслідків травми та відновлення функцій організму.</w:t>
      </w:r>
    </w:p>
    <w:p w14:paraId="2FE6B3D4"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D5"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опіків;</w:t>
      </w:r>
    </w:p>
    <w:p w14:paraId="2FE6B3D6" w14:textId="77777777" w:rsidR="00471728" w:rsidRDefault="006415EC">
      <w:pPr>
        <w:widowControl w:val="0"/>
        <w:numPr>
          <w:ilvl w:val="0"/>
          <w:numId w:val="14"/>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блок інтенсивної терапії опікового профілю.</w:t>
      </w:r>
    </w:p>
    <w:p w14:paraId="2FE6B3D7"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Робота сервісу поєднує сучасні технології, високоточні методики лікування та мультидисциплінарний підхід, що дозволяє надавати допомогу пацієнтам різного віку з опіковими ураженнями різного ступеня тяжкості.</w:t>
      </w:r>
    </w:p>
    <w:p w14:paraId="2FE6B3D8"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Сервіс екстреної та невідкладної медичної допомоги (медицина невідкладних станів, медицина катастроф) забезпечує цілодобове надання допомоги пацієнтам у невідкладних та критичних станах. Основна мета — швидка діагностика, стабілізація стану та своєчасне надання необхідної медичної допомоги.</w:t>
      </w:r>
    </w:p>
    <w:p w14:paraId="2FE6B3D9"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DA" w14:textId="77777777" w:rsidR="00471728" w:rsidRDefault="006415EC">
      <w:pPr>
        <w:widowControl w:val="0"/>
        <w:numPr>
          <w:ilvl w:val="0"/>
          <w:numId w:val="1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екстреної та невідкладної медичної допомоги;</w:t>
      </w:r>
    </w:p>
    <w:p w14:paraId="2FE6B3DB" w14:textId="77777777" w:rsidR="00471728" w:rsidRDefault="006415EC">
      <w:pPr>
        <w:widowControl w:val="0"/>
        <w:numPr>
          <w:ilvl w:val="0"/>
          <w:numId w:val="1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 інфекційного контролю;</w:t>
      </w:r>
    </w:p>
    <w:p w14:paraId="2FE6B3DC" w14:textId="77777777" w:rsidR="00471728" w:rsidRDefault="006415EC">
      <w:pPr>
        <w:widowControl w:val="0"/>
        <w:numPr>
          <w:ilvl w:val="0"/>
          <w:numId w:val="1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фахівець з цивільного захисту;</w:t>
      </w:r>
    </w:p>
    <w:p w14:paraId="2FE6B3DD" w14:textId="77777777" w:rsidR="00471728" w:rsidRDefault="006415EC">
      <w:pPr>
        <w:widowControl w:val="0"/>
        <w:numPr>
          <w:ilvl w:val="0"/>
          <w:numId w:val="1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фахівець з техногенної та екологічної безпеки;</w:t>
      </w:r>
    </w:p>
    <w:p w14:paraId="2FE6B3DE" w14:textId="77777777" w:rsidR="00471728" w:rsidRDefault="006415EC">
      <w:pPr>
        <w:widowControl w:val="0"/>
        <w:numPr>
          <w:ilvl w:val="0"/>
          <w:numId w:val="1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цілодобовий травматологічний пункт з ургентною травматологічною службою та травмпунктом ока;</w:t>
      </w:r>
    </w:p>
    <w:p w14:paraId="2FE6B3DF" w14:textId="77777777" w:rsidR="00471728" w:rsidRDefault="006415EC">
      <w:pPr>
        <w:widowControl w:val="0"/>
        <w:numPr>
          <w:ilvl w:val="0"/>
          <w:numId w:val="1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цілодобовий опіковий травмпункт з ургентною комбустіологічною службою;</w:t>
      </w:r>
    </w:p>
    <w:p w14:paraId="2FE6B3E0" w14:textId="77777777" w:rsidR="00471728" w:rsidRDefault="006415EC">
      <w:pPr>
        <w:widowControl w:val="0"/>
        <w:numPr>
          <w:ilvl w:val="0"/>
          <w:numId w:val="1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цілодобовий травмпункт ока з ургентною офтальмологічною службою.</w:t>
      </w:r>
    </w:p>
    <w:p w14:paraId="2FE6B3E1"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Сервіс об’єднує медичні та організаційні ресурси для швидкого </w:t>
      </w:r>
      <w:r>
        <w:rPr>
          <w:rFonts w:ascii="Times New Roman" w:eastAsia="Microsoft YaHei" w:hAnsi="Times New Roman" w:cs="Times New Roman"/>
          <w:color w:val="000000"/>
          <w:sz w:val="28"/>
          <w:szCs w:val="28"/>
          <w:lang w:eastAsia="uk-UA" w:bidi="uk-UA"/>
        </w:rPr>
        <w:lastRenderedPageBreak/>
        <w:t>реагування на невідкладні ситуації та надання спеціалізованої допомоги пацієнтам у будь-який час доби.</w:t>
      </w:r>
    </w:p>
    <w:p w14:paraId="2FE6B3E2"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Медичний сервіс анестезіології, інтенсивної терапії та реанімації забезпечує проведення анестезіологічного супроводу, інтенсивної терапії та реанімаційних заходів для пацієнтів у критичних станах. Діяльність спрямована на відновлення життєво важливих функцій організму, стабілізацію стану та створення умов для подальшого лікування.</w:t>
      </w:r>
    </w:p>
    <w:p w14:paraId="2FE6B3E3"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E4" w14:textId="77777777" w:rsidR="00471728" w:rsidRDefault="006415EC">
      <w:pPr>
        <w:widowControl w:val="0"/>
        <w:numPr>
          <w:ilvl w:val="0"/>
          <w:numId w:val="1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анестезіології та інтенсивної терапії модульного типу;</w:t>
      </w:r>
    </w:p>
    <w:p w14:paraId="2FE6B3E5" w14:textId="77777777" w:rsidR="00471728" w:rsidRDefault="006415EC">
      <w:pPr>
        <w:widowControl w:val="0"/>
        <w:numPr>
          <w:ilvl w:val="0"/>
          <w:numId w:val="15"/>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блок інтенсивної терапії відділення екстреної невідкладної медичної допомоги.</w:t>
      </w:r>
    </w:p>
    <w:p w14:paraId="2FE6B3E6"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Робота сервісу базується на сучасних протоколах інтенсивної терапії та використанні новітніх технологій, що дозволяє надавати допомогу пацієнтам із найтяжчими захворюваннями та травмами.</w:t>
      </w:r>
    </w:p>
    <w:p w14:paraId="2FE6B3E7"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Діагностичний медичний сервіс (рентгенологія, ультразвукова діагностика, функціональна діагностика, лабораторна діагностика) забезпечує повний спектр сучасних методів діагностики, необхідних для своєчасного встановлення діагнозу, контролю ефективності лікування та моніторингу стану пацієнтів.</w:t>
      </w:r>
    </w:p>
    <w:p w14:paraId="2FE6B3E8"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E9"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рентгенології з цілодобовою рентгенологічною службою;</w:t>
      </w:r>
    </w:p>
    <w:p w14:paraId="2FE6B3EA"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об’єднане діагностичне відділення з цілодобовою УЗД-службою;</w:t>
      </w:r>
    </w:p>
    <w:p w14:paraId="2FE6B3EB"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об’єднана клініко-діагностична лабораторія модульного типу;</w:t>
      </w:r>
    </w:p>
    <w:p w14:paraId="2FE6B3EC"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патологоанатомічне відділення.</w:t>
      </w:r>
    </w:p>
    <w:p w14:paraId="2FE6B3ED"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Діяльність сервісу поєднує високоточне обладнання, сучасні технології та професійний досвід, що дозволяє забезпечувати якісну й достовірну діагностику для подальшого ефективного лікування.</w:t>
      </w:r>
    </w:p>
    <w:p w14:paraId="2FE6B3EE"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Перинатальний медичний сервіс (акушерство та гінекологія, неонатологія, фізична та реабілітаційна медицина) об’єднує напрямки акушерства, гінекології, неонатології та реабілітаційної медицини, </w:t>
      </w:r>
      <w:r>
        <w:rPr>
          <w:rFonts w:ascii="Times New Roman" w:eastAsia="Microsoft YaHei" w:hAnsi="Times New Roman" w:cs="Times New Roman"/>
          <w:color w:val="000000"/>
          <w:sz w:val="28"/>
          <w:szCs w:val="28"/>
          <w:lang w:eastAsia="uk-UA" w:bidi="uk-UA"/>
        </w:rPr>
        <w:lastRenderedPageBreak/>
        <w:t>забезпечуючи повний цикл медичної допомоги жінкам під час вагітності, пологів та у післяпологовий період, а також новонародженим.</w:t>
      </w:r>
    </w:p>
    <w:p w14:paraId="2FE6B3EF"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3F0"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акушерське відділення №1;</w:t>
      </w:r>
    </w:p>
    <w:p w14:paraId="2FE6B3F1"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акушерське відділення №2;</w:t>
      </w:r>
    </w:p>
    <w:p w14:paraId="2FE6B3F2"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патології вагітності та екстрагенітальної патології ;</w:t>
      </w:r>
    </w:p>
    <w:p w14:paraId="2FE6B3F3"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гінекологічне відділення;</w:t>
      </w:r>
    </w:p>
    <w:p w14:paraId="2FE6B3F4"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анестезіології та інтенсивної терапії для жінок;</w:t>
      </w:r>
    </w:p>
    <w:p w14:paraId="2FE6B3F5"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інтенсивної терапії новонароджених;</w:t>
      </w:r>
    </w:p>
    <w:p w14:paraId="2FE6B3F6"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постнатальної реабілітації та ІІ етапу виходжування новонароджених;</w:t>
      </w:r>
    </w:p>
    <w:p w14:paraId="2FE6B3F7"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операційний блок Центру перинатальної діагностики;</w:t>
      </w:r>
    </w:p>
    <w:p w14:paraId="2FE6B3F8"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консультативно-діагностичне відділення Центру перинатальної діагностики.</w:t>
      </w:r>
    </w:p>
    <w:p w14:paraId="2FE6B3F9" w14:textId="2803F81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Перинатальний медичний сервіс поєднує сучасні технології, досвідчену команду та мультидисциплінарний підхід, забезпечуючи безперервність допомоги матері та дитині </w:t>
      </w:r>
      <w:r w:rsidR="004D36C1">
        <w:rPr>
          <w:rFonts w:ascii="Times New Roman" w:eastAsia="Microsoft YaHei" w:hAnsi="Times New Roman" w:cs="Times New Roman"/>
          <w:color w:val="000000"/>
          <w:sz w:val="28"/>
          <w:szCs w:val="28"/>
          <w:lang w:eastAsia="uk-UA" w:bidi="uk-UA"/>
        </w:rPr>
        <w:t>-</w:t>
      </w:r>
      <w:r>
        <w:rPr>
          <w:rFonts w:ascii="Times New Roman" w:eastAsia="Microsoft YaHei" w:hAnsi="Times New Roman" w:cs="Times New Roman"/>
          <w:color w:val="000000"/>
          <w:sz w:val="28"/>
          <w:szCs w:val="28"/>
          <w:lang w:eastAsia="uk-UA" w:bidi="uk-UA"/>
        </w:rPr>
        <w:t xml:space="preserve"> від періоду вагітності до повного відновлення після пологів.</w:t>
      </w:r>
    </w:p>
    <w:p w14:paraId="2FE6B3FA"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Медичний сервіс реабілітації та паліативної медицини (фізична та реабілітаційна медицина, паліативна медицина) забезпечує надання допомоги у сфері фізичної та реабілітаційної медицини, а також паліативної допомоги пацієнтам із тяжкими або хронічними захворюваннями. Основна мета — відновлення функціональних можливостей, покращення якості життя та підтримка пацієнтів і їхніх родин.</w:t>
      </w:r>
    </w:p>
    <w:p w14:paraId="2FE6B3FB"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сервісу входять:</w:t>
      </w:r>
    </w:p>
    <w:p w14:paraId="2FE6B3FC"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стаціонарної післягострої та довготривалої реабілітації;</w:t>
      </w:r>
    </w:p>
    <w:p w14:paraId="2FE6B3FD"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відділення амбулаторної реабілітації;</w:t>
      </w:r>
    </w:p>
    <w:p w14:paraId="2FE6B3FE"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кабінет реабілітації новонароджених та дітей до 3 років життя Центру перинатальної діагностики;</w:t>
      </w:r>
    </w:p>
    <w:p w14:paraId="2FE6B3FF" w14:textId="77777777" w:rsidR="00471728" w:rsidRDefault="006415EC">
      <w:pPr>
        <w:widowControl w:val="0"/>
        <w:numPr>
          <w:ilvl w:val="0"/>
          <w:numId w:val="16"/>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кабінет амбулаторної реабілітації діагностично-консультативного </w:t>
      </w:r>
      <w:r>
        <w:rPr>
          <w:rFonts w:ascii="Times New Roman" w:eastAsia="Microsoft YaHei" w:hAnsi="Times New Roman" w:cs="Times New Roman"/>
          <w:color w:val="000000"/>
          <w:sz w:val="28"/>
          <w:szCs w:val="28"/>
          <w:lang w:eastAsia="uk-UA" w:bidi="uk-UA"/>
        </w:rPr>
        <w:lastRenderedPageBreak/>
        <w:t>центру №3.</w:t>
      </w:r>
    </w:p>
    <w:p w14:paraId="2FE6B400"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Робота сервісу поєднує сучасні підходи до реабілітації та мультидисциплінарну підтримку пацієнтів, спрямовану на їхнє відновлення й покращення якості життя.</w:t>
      </w:r>
    </w:p>
    <w:p w14:paraId="2FE6B401"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Медичний сервіс експертних команд та лікарських комісій об’єднує структурні підрозділи, що здійснюють експертну оцінку стану здоров’я, визначають рівень функціонування пацієнтів та проводять медичні огляди для різних категорій осіб.</w:t>
      </w:r>
    </w:p>
    <w:p w14:paraId="2FE6B402"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 складу входять:</w:t>
      </w:r>
    </w:p>
    <w:p w14:paraId="2FE6B403" w14:textId="77777777" w:rsidR="00471728" w:rsidRDefault="006415EC">
      <w:pPr>
        <w:widowControl w:val="0"/>
        <w:numPr>
          <w:ilvl w:val="0"/>
          <w:numId w:val="17"/>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експертні команди оцінки повсякденного функціонування особи;</w:t>
      </w:r>
    </w:p>
    <w:p w14:paraId="2FE6B404" w14:textId="77777777" w:rsidR="00471728" w:rsidRDefault="006415EC">
      <w:pPr>
        <w:widowControl w:val="0"/>
        <w:numPr>
          <w:ilvl w:val="0"/>
          <w:numId w:val="17"/>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військово-лікарська комісія (ВЛК) при Хаджибейському РТЦК та СП;</w:t>
      </w:r>
    </w:p>
    <w:p w14:paraId="2FE6B405" w14:textId="77777777" w:rsidR="00471728" w:rsidRDefault="006415EC">
      <w:pPr>
        <w:widowControl w:val="0"/>
        <w:numPr>
          <w:ilvl w:val="0"/>
          <w:numId w:val="17"/>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госпітальна ВЛК;</w:t>
      </w:r>
    </w:p>
    <w:p w14:paraId="2FE6B406" w14:textId="77777777" w:rsidR="00471728" w:rsidRDefault="006415EC">
      <w:pPr>
        <w:widowControl w:val="0"/>
        <w:numPr>
          <w:ilvl w:val="0"/>
          <w:numId w:val="17"/>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гарнізонна ВЛК ВМКЦ при КНП «МКЛ №10» ОМР;</w:t>
      </w:r>
    </w:p>
    <w:p w14:paraId="2FE6B407" w14:textId="77777777" w:rsidR="00471728" w:rsidRDefault="006415EC">
      <w:pPr>
        <w:widowControl w:val="0"/>
        <w:numPr>
          <w:ilvl w:val="0"/>
          <w:numId w:val="17"/>
        </w:numPr>
        <w:tabs>
          <w:tab w:val="left" w:pos="993"/>
        </w:tabs>
        <w:spacing w:after="0" w:line="360" w:lineRule="auto"/>
        <w:ind w:left="0"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комісія професійних медичних оглядів при діагностично-консультативному центрі №1.</w:t>
      </w:r>
    </w:p>
    <w:p w14:paraId="2FE6B408"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Діяльність сервісу спрямована на забезпечення якісної медичної експертизи та прийняття рішень відповідно до чинних медичних стандартів.</w:t>
      </w:r>
    </w:p>
    <w:p w14:paraId="2FE6B409" w14:textId="75BBF7C7" w:rsidR="00471728" w:rsidRDefault="00471728">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p>
    <w:p w14:paraId="471D91FE" w14:textId="639D7D6A" w:rsidR="006D2299" w:rsidRPr="006D2299" w:rsidRDefault="006D2299">
      <w:pPr>
        <w:widowControl w:val="0"/>
        <w:tabs>
          <w:tab w:val="left" w:pos="993"/>
        </w:tabs>
        <w:spacing w:after="0" w:line="360" w:lineRule="auto"/>
        <w:ind w:firstLine="709"/>
        <w:contextualSpacing/>
        <w:jc w:val="both"/>
        <w:rPr>
          <w:rFonts w:ascii="Times New Roman" w:eastAsia="Microsoft YaHei" w:hAnsi="Times New Roman" w:cs="Times New Roman"/>
          <w:b/>
          <w:color w:val="000000"/>
          <w:sz w:val="28"/>
          <w:szCs w:val="28"/>
          <w:lang w:eastAsia="uk-UA" w:bidi="uk-UA"/>
        </w:rPr>
      </w:pPr>
      <w:r w:rsidRPr="006D2299">
        <w:rPr>
          <w:rFonts w:ascii="Times New Roman" w:eastAsia="Microsoft YaHei" w:hAnsi="Times New Roman" w:cs="Times New Roman"/>
          <w:b/>
          <w:color w:val="000000"/>
          <w:sz w:val="28"/>
          <w:szCs w:val="28"/>
          <w:lang w:eastAsia="uk-UA" w:bidi="uk-UA"/>
        </w:rPr>
        <w:t xml:space="preserve">2.2. </w:t>
      </w:r>
      <w:r>
        <w:rPr>
          <w:rFonts w:ascii="Times New Roman" w:eastAsia="Microsoft YaHei" w:hAnsi="Times New Roman" w:cs="Times New Roman"/>
          <w:b/>
          <w:color w:val="000000"/>
          <w:sz w:val="28"/>
          <w:szCs w:val="28"/>
          <w:lang w:eastAsia="uk-UA" w:bidi="uk-UA"/>
        </w:rPr>
        <w:t>Аналіз системи управління у КНП «МКЛ № 10» ОМР</w:t>
      </w:r>
      <w:r w:rsidRPr="006D2299">
        <w:rPr>
          <w:rFonts w:ascii="Times New Roman" w:eastAsia="Times New Roman" w:hAnsi="Times New Roman" w:cs="Times New Roman"/>
          <w:b/>
          <w:bCs/>
          <w:color w:val="000000"/>
          <w:sz w:val="28"/>
          <w:szCs w:val="28"/>
          <w:lang w:eastAsia="uk-UA" w:bidi="uk-UA"/>
        </w:rPr>
        <w:t xml:space="preserve"> </w:t>
      </w:r>
      <w:r>
        <w:rPr>
          <w:rFonts w:ascii="Times New Roman" w:eastAsia="Times New Roman" w:hAnsi="Times New Roman" w:cs="Times New Roman"/>
          <w:b/>
          <w:bCs/>
          <w:color w:val="000000"/>
          <w:sz w:val="28"/>
          <w:szCs w:val="28"/>
          <w:lang w:eastAsia="uk-UA" w:bidi="uk-UA"/>
        </w:rPr>
        <w:t>та забезпечення його роботи в період воєнного стану</w:t>
      </w:r>
    </w:p>
    <w:p w14:paraId="121863EF"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Організація управління закладом реалізована через визначення певної місії, цілі та завдань КНП </w:t>
      </w:r>
      <w:r>
        <w:rPr>
          <w:rFonts w:ascii="Times New Roman" w:eastAsia="Times New Roman" w:hAnsi="Times New Roman" w:cs="Times New Roman"/>
          <w:color w:val="000000"/>
          <w:sz w:val="28"/>
          <w:szCs w:val="28"/>
          <w:lang w:val="ru-RU" w:eastAsia="uk-UA" w:bidi="uk-UA"/>
        </w:rPr>
        <w:t>«</w:t>
      </w:r>
      <w:r>
        <w:rPr>
          <w:rFonts w:ascii="Times New Roman" w:eastAsia="Times New Roman" w:hAnsi="Times New Roman" w:cs="Times New Roman"/>
          <w:color w:val="000000"/>
          <w:sz w:val="28"/>
          <w:szCs w:val="28"/>
          <w:lang w:eastAsia="uk-UA" w:bidi="uk-UA"/>
        </w:rPr>
        <w:t>МКЛ №10 ОМР.</w:t>
      </w:r>
    </w:p>
    <w:p w14:paraId="4CBE70CF" w14:textId="3B4765BB"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Місія КНП «МКЛ №10» ОМР</w:t>
      </w:r>
      <w:r>
        <w:rPr>
          <w:rFonts w:ascii="Times New Roman" w:eastAsia="Times New Roman" w:hAnsi="Times New Roman" w:cs="Times New Roman"/>
          <w:b/>
          <w:bCs/>
          <w:color w:val="000000"/>
          <w:sz w:val="28"/>
          <w:szCs w:val="28"/>
          <w:lang w:eastAsia="uk-UA" w:bidi="uk-UA"/>
        </w:rPr>
        <w:t xml:space="preserve"> - </w:t>
      </w:r>
      <w:r>
        <w:rPr>
          <w:rFonts w:ascii="Times New Roman" w:eastAsia="Times New Roman" w:hAnsi="Times New Roman" w:cs="Times New Roman"/>
          <w:color w:val="000000"/>
          <w:sz w:val="28"/>
          <w:szCs w:val="28"/>
          <w:lang w:eastAsia="uk-UA" w:bidi="uk-UA"/>
        </w:rPr>
        <w:t>покращення здоров’я населення через надання багатопрофільної спеціалізованої медичної допомоги за рахунок поєднання потенціалу і професіоналізму персоналу, застосування сучасних медичних технологій з максимальним забезпеченням потреби пацієнтів медичними послугами високої якості</w:t>
      </w:r>
      <w:r>
        <w:rPr>
          <w:rFonts w:ascii="Times New Roman" w:eastAsia="Microsoft YaHei" w:hAnsi="Times New Roman" w:cs="Times New Roman"/>
          <w:color w:val="000000"/>
          <w:sz w:val="28"/>
          <w:szCs w:val="28"/>
          <w:lang w:val="en-US" w:eastAsia="uk-UA" w:bidi="uk-UA"/>
        </w:rPr>
        <w:t xml:space="preserve"> [</w:t>
      </w:r>
      <w:r w:rsidR="004D36C1">
        <w:rPr>
          <w:rFonts w:ascii="Times New Roman" w:eastAsia="Microsoft YaHei" w:hAnsi="Times New Roman" w:cs="Times New Roman"/>
          <w:color w:val="000000"/>
          <w:sz w:val="28"/>
          <w:szCs w:val="28"/>
          <w:lang w:eastAsia="uk-UA" w:bidi="uk-UA"/>
        </w:rPr>
        <w:t>29</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40FA9CC0" w14:textId="77777777" w:rsidR="006D2299" w:rsidRDefault="006D2299" w:rsidP="006D2299">
      <w:pPr>
        <w:keepNext/>
        <w:keepLines/>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outlineLvl w:val="2"/>
        <w:rPr>
          <w:rFonts w:ascii="Times New Roman" w:eastAsia="Times New Roman" w:hAnsi="Times New Roman" w:cs="Times New Roman"/>
          <w:color w:val="000000"/>
          <w:sz w:val="28"/>
          <w:szCs w:val="28"/>
          <w:lang w:eastAsia="uk-UA" w:bidi="uk-UA"/>
        </w:rPr>
      </w:pPr>
      <w:bookmarkStart w:id="1" w:name="bookmark16"/>
      <w:bookmarkStart w:id="2" w:name="bookmark17"/>
      <w:r>
        <w:rPr>
          <w:rFonts w:ascii="Times New Roman" w:eastAsia="Times New Roman" w:hAnsi="Times New Roman" w:cs="Times New Roman"/>
          <w:color w:val="000000"/>
          <w:sz w:val="28"/>
          <w:szCs w:val="28"/>
          <w:lang w:eastAsia="uk-UA" w:bidi="uk-UA"/>
        </w:rPr>
        <w:t>Цілі та завдання КНП «МКЛ №10» ОМР:</w:t>
      </w:r>
      <w:bookmarkEnd w:id="1"/>
      <w:bookmarkEnd w:id="2"/>
    </w:p>
    <w:p w14:paraId="695C4CA3"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Ціль 1.Надання професійної та високоякісної медичної допомоги населенню.</w:t>
      </w:r>
    </w:p>
    <w:p w14:paraId="14F4EFB8"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lastRenderedPageBreak/>
        <w:t>Завдання 1.1.Створення системи безперервного контролю якості медичних послуг, забезпечення пацієнт-орієнтованості у наданні медичних послуг.</w:t>
      </w:r>
    </w:p>
    <w:p w14:paraId="139D2BE8" w14:textId="77777777" w:rsidR="006D2299" w:rsidRDefault="006D2299" w:rsidP="006D2299">
      <w:pPr>
        <w:widowControl w:val="0"/>
        <w:numPr>
          <w:ilvl w:val="0"/>
          <w:numId w:val="37"/>
        </w:numPr>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Контроль за дотриманням медико-технологічних стандартів при наданні медичної допомоги у закладі.</w:t>
      </w:r>
    </w:p>
    <w:p w14:paraId="0FAA1064" w14:textId="77777777" w:rsidR="006D2299" w:rsidRDefault="006D2299" w:rsidP="006D2299">
      <w:pPr>
        <w:widowControl w:val="0"/>
        <w:numPr>
          <w:ilvl w:val="0"/>
          <w:numId w:val="37"/>
        </w:numPr>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Забезпечення безпеки та захисту пацієнтів, відвідувачів та працівників закладу.</w:t>
      </w:r>
    </w:p>
    <w:p w14:paraId="0A438D25" w14:textId="77777777" w:rsidR="006D2299" w:rsidRDefault="006D2299" w:rsidP="006D2299">
      <w:pPr>
        <w:widowControl w:val="0"/>
        <w:numPr>
          <w:ilvl w:val="0"/>
          <w:numId w:val="37"/>
        </w:numPr>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Розвиток нових методів діагностики, лікування та реабілітації різних захворювань та травм.</w:t>
      </w:r>
    </w:p>
    <w:p w14:paraId="5C8A7C7D" w14:textId="77777777" w:rsidR="006D2299" w:rsidRDefault="006D2299" w:rsidP="006D2299">
      <w:pPr>
        <w:widowControl w:val="0"/>
        <w:numPr>
          <w:ilvl w:val="0"/>
          <w:numId w:val="37"/>
        </w:numPr>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Формування і розвиток висококваліфікованих кадрів, навчання майбутніх медичних фахівців, підготовка інтернів та інших спеціалістів.</w:t>
      </w:r>
    </w:p>
    <w:p w14:paraId="47D69C27"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Ціль 2. Забезпечення розвитку КНП «МКЛ №10» ОМР як </w:t>
      </w:r>
      <w:r>
        <w:rPr>
          <w:rFonts w:ascii="Times New Roman" w:eastAsia="Times New Roman" w:hAnsi="Times New Roman" w:cs="Times New Roman"/>
          <w:color w:val="000000"/>
          <w:sz w:val="28"/>
          <w:szCs w:val="28"/>
          <w:lang w:val="ru-RU" w:eastAsia="ru-RU" w:bidi="ru-RU"/>
        </w:rPr>
        <w:t xml:space="preserve">кластерного </w:t>
      </w:r>
      <w:r>
        <w:rPr>
          <w:rFonts w:ascii="Times New Roman" w:eastAsia="Times New Roman" w:hAnsi="Times New Roman" w:cs="Times New Roman"/>
          <w:color w:val="000000"/>
          <w:sz w:val="28"/>
          <w:szCs w:val="28"/>
          <w:lang w:eastAsia="uk-UA" w:bidi="uk-UA"/>
        </w:rPr>
        <w:t>закладу охорони здоров’я, багатопрофільної лікарні інтенсивного лікування, на базі принципів формування спроможної мережі спеціалізованих медичних закладів</w:t>
      </w:r>
    </w:p>
    <w:p w14:paraId="0F316EB8"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Завдання 2.1. Створення моделі ефективного менеджменту закладу.</w:t>
      </w:r>
    </w:p>
    <w:p w14:paraId="7671478E"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2.2 Забезпечення спроможності та фінансової стабільності закладу, збільшення інвестицій та фінансових надходжень</w:t>
      </w:r>
    </w:p>
    <w:p w14:paraId="72D3140F" w14:textId="77777777" w:rsidR="006D2299" w:rsidRDefault="006D2299" w:rsidP="006D2299">
      <w:pPr>
        <w:widowControl w:val="0"/>
        <w:numPr>
          <w:ilvl w:val="0"/>
          <w:numId w:val="38"/>
        </w:numPr>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Встановлення відповідності до рамкових вимог </w:t>
      </w:r>
      <w:r>
        <w:rPr>
          <w:rFonts w:ascii="Times New Roman" w:eastAsia="Times New Roman" w:hAnsi="Times New Roman" w:cs="Times New Roman"/>
          <w:color w:val="000000"/>
          <w:sz w:val="28"/>
          <w:szCs w:val="28"/>
          <w:lang w:val="ru-RU" w:eastAsia="ru-RU" w:bidi="ru-RU"/>
        </w:rPr>
        <w:t xml:space="preserve">Кластерного </w:t>
      </w:r>
      <w:r>
        <w:rPr>
          <w:rFonts w:ascii="Times New Roman" w:eastAsia="Times New Roman" w:hAnsi="Times New Roman" w:cs="Times New Roman"/>
          <w:color w:val="000000"/>
          <w:sz w:val="28"/>
          <w:szCs w:val="28"/>
          <w:lang w:eastAsia="uk-UA" w:bidi="uk-UA"/>
        </w:rPr>
        <w:t xml:space="preserve">закладу спроможної </w:t>
      </w:r>
      <w:r>
        <w:rPr>
          <w:rFonts w:ascii="Times New Roman" w:eastAsia="Times New Roman" w:hAnsi="Times New Roman" w:cs="Times New Roman"/>
          <w:color w:val="000000"/>
          <w:sz w:val="28"/>
          <w:szCs w:val="28"/>
          <w:lang w:val="ru-RU" w:eastAsia="ru-RU" w:bidi="ru-RU"/>
        </w:rPr>
        <w:t xml:space="preserve">мережи </w:t>
      </w:r>
      <w:r>
        <w:rPr>
          <w:rFonts w:ascii="Times New Roman" w:eastAsia="Times New Roman" w:hAnsi="Times New Roman" w:cs="Times New Roman"/>
          <w:color w:val="000000"/>
          <w:sz w:val="28"/>
          <w:szCs w:val="28"/>
          <w:lang w:eastAsia="uk-UA" w:bidi="uk-UA"/>
        </w:rPr>
        <w:t>Одеського госпітального округу в рамках Національної стратегії кластеризації системи охорони здоров’я, зокрема до програми медичних гарантій медичного обслуговування населення договору з Національною службою здоров’я України.</w:t>
      </w:r>
    </w:p>
    <w:p w14:paraId="26B57EDC" w14:textId="77777777" w:rsidR="006D2299" w:rsidRDefault="006D2299" w:rsidP="006D2299">
      <w:pPr>
        <w:widowControl w:val="0"/>
        <w:numPr>
          <w:ilvl w:val="0"/>
          <w:numId w:val="38"/>
        </w:numPr>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Менеджмент стратегічного та інноваційного розвитку закладу.</w:t>
      </w:r>
    </w:p>
    <w:p w14:paraId="1BD077B2" w14:textId="77777777" w:rsidR="006D2299" w:rsidRDefault="006D2299" w:rsidP="006D2299">
      <w:pPr>
        <w:widowControl w:val="0"/>
        <w:numPr>
          <w:ilvl w:val="0"/>
          <w:numId w:val="38"/>
        </w:numPr>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Посилення матеріально-технічної бази закладу.</w:t>
      </w:r>
    </w:p>
    <w:p w14:paraId="278C9CDD" w14:textId="77777777" w:rsidR="006D2299" w:rsidRDefault="006D2299" w:rsidP="006D2299">
      <w:pPr>
        <w:widowControl w:val="0"/>
        <w:numPr>
          <w:ilvl w:val="0"/>
          <w:numId w:val="38"/>
        </w:numPr>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Забезпечення розвитку комунікаційної стратегії закладу</w:t>
      </w:r>
    </w:p>
    <w:p w14:paraId="586AA2C6"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Ціль 3. Забезпечення готовності закладу до роботи в умовах надзвичайних станів, зокрема режиму воєнного стану внаслідок військової агресії Російської Федерації проти України Організація роботи закладу у випадку масового надходження населення, зокрема постраждалих внаслідок </w:t>
      </w:r>
      <w:r>
        <w:rPr>
          <w:rFonts w:ascii="Times New Roman" w:eastAsia="Times New Roman" w:hAnsi="Times New Roman" w:cs="Times New Roman"/>
          <w:color w:val="000000"/>
          <w:sz w:val="28"/>
          <w:szCs w:val="28"/>
          <w:lang w:eastAsia="uk-UA" w:bidi="uk-UA"/>
        </w:rPr>
        <w:lastRenderedPageBreak/>
        <w:t>військової агресії Російської Федерації проти України.</w:t>
      </w:r>
    </w:p>
    <w:p w14:paraId="0DF373A1"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Завдання 3.1. Спроможність закладу з надання медичної допомоги при хімічному, біологічному та радіаційному ураженні.</w:t>
      </w:r>
    </w:p>
    <w:p w14:paraId="4FA797F7" w14:textId="77777777" w:rsidR="006D2299" w:rsidRDefault="006D2299" w:rsidP="006D2299">
      <w:pPr>
        <w:widowControl w:val="0"/>
        <w:numPr>
          <w:ilvl w:val="0"/>
          <w:numId w:val="39"/>
        </w:numPr>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Організація стабільності роботи закладу у разі надзвичайних станів, зокрема довготривалого відключення електроенергії, повітряної тривоги, бойових дій тощо.</w:t>
      </w:r>
    </w:p>
    <w:p w14:paraId="6B7DCC93"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Ціль 4. Соціальна відповідальність та участь у вирішенні соціальних проблем, пов’язаних із здоров’ям та медичним обслуговуванням населення Вивчення показників здоров’я населення та участь у заходах з їх покращення.</w:t>
      </w:r>
    </w:p>
    <w:p w14:paraId="541E082E"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Завдання 4.1. Участь у заходах з підвищення просвітницького рівня та медичної інформативності населення, мас-медіа та благодійних заходах.</w:t>
      </w:r>
    </w:p>
    <w:p w14:paraId="1F2CB264" w14:textId="77777777" w:rsidR="006D2299" w:rsidRDefault="006D2299" w:rsidP="006D2299">
      <w:pPr>
        <w:widowControl w:val="0"/>
        <w:numPr>
          <w:ilvl w:val="0"/>
          <w:numId w:val="40"/>
        </w:numPr>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Науково-дослідницька діяльність, участь у міжнародних клінічних дослідженнях, науково-практичних конференціях.</w:t>
      </w:r>
    </w:p>
    <w:p w14:paraId="10C46C77" w14:textId="004E7431"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4.3 Зовнішня співпраця з іншими закладами охорони здоров’я, університетами, протезними заводами, санаторіями, благодійними фондами, громадськими організаціями тощо</w:t>
      </w:r>
      <w:r>
        <w:rPr>
          <w:rFonts w:ascii="Times New Roman" w:eastAsia="Microsoft YaHei" w:hAnsi="Times New Roman" w:cs="Times New Roman"/>
          <w:color w:val="000000"/>
          <w:sz w:val="28"/>
          <w:szCs w:val="28"/>
          <w:lang w:val="en-US" w:eastAsia="uk-UA" w:bidi="uk-UA"/>
        </w:rPr>
        <w:t xml:space="preserve"> [</w:t>
      </w:r>
      <w:r w:rsidR="004D36C1">
        <w:rPr>
          <w:rFonts w:ascii="Times New Roman" w:eastAsia="Microsoft YaHei" w:hAnsi="Times New Roman" w:cs="Times New Roman"/>
          <w:color w:val="000000"/>
          <w:sz w:val="28"/>
          <w:szCs w:val="28"/>
          <w:lang w:eastAsia="uk-UA" w:bidi="uk-UA"/>
        </w:rPr>
        <w:t>30</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5A81C54E"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Стратегічне управління закладом реалізується через створення стратегічного плану закладу (плану розвитку) на 3 роки, що складається щорічно та подається на затвердження керівнику Одеського госпітального округу і є особистою відповідальністю керівника КНП «МКЛ №10» ОМР. Відтак план розвитку КНП «МКЛ №10» ОМР було створено та затверджено представниками Одеського госпітального округу. Зауважень та нарікань стосовно подання та змісту стратегічного плану не було.</w:t>
      </w:r>
    </w:p>
    <w:p w14:paraId="3F7B2464"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6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Виходячи з місії та цінностей КНП «МКЛ №10» ОМР, основними стратегічними напрямками діяльності є:</w:t>
      </w:r>
    </w:p>
    <w:p w14:paraId="722FEF1C"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«Фінанси»: забезпечення фінансової стабільності та стійкості закладу;</w:t>
      </w:r>
    </w:p>
    <w:p w14:paraId="33F4FCC2"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 «Пацієнти (Клієнти)»: забезпечення доступності та якості медичних послуг; </w:t>
      </w:r>
    </w:p>
    <w:p w14:paraId="5891746B"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«Кадри»: формування та розвиток команди висококваліфікованих кадрів;</w:t>
      </w:r>
    </w:p>
    <w:p w14:paraId="5F2C13D2" w14:textId="3851FA28"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lastRenderedPageBreak/>
        <w:t>- «Внутрішні процеси»: забезпечення ефективного менеджменту, зокрема контролю якості надання медичних послуг</w:t>
      </w:r>
      <w:r>
        <w:rPr>
          <w:rFonts w:ascii="Times New Roman" w:eastAsia="Microsoft YaHei" w:hAnsi="Times New Roman" w:cs="Times New Roman"/>
          <w:color w:val="000000"/>
          <w:sz w:val="28"/>
          <w:szCs w:val="28"/>
          <w:lang w:val="en-US" w:eastAsia="uk-UA" w:bidi="uk-UA"/>
        </w:rPr>
        <w:t xml:space="preserve"> [</w:t>
      </w:r>
      <w:r w:rsidR="004D36C1">
        <w:rPr>
          <w:rFonts w:ascii="Times New Roman" w:eastAsia="Microsoft YaHei" w:hAnsi="Times New Roman" w:cs="Times New Roman"/>
          <w:color w:val="000000"/>
          <w:sz w:val="28"/>
          <w:szCs w:val="28"/>
          <w:lang w:eastAsia="uk-UA" w:bidi="uk-UA"/>
        </w:rPr>
        <w:t>31</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39014F28"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val="ru-RU" w:eastAsia="ru-RU" w:bidi="ru-RU"/>
        </w:rPr>
        <w:t xml:space="preserve">Приоритетами </w:t>
      </w:r>
      <w:r>
        <w:rPr>
          <w:rFonts w:ascii="Times New Roman" w:eastAsia="Times New Roman" w:hAnsi="Times New Roman" w:cs="Times New Roman"/>
          <w:color w:val="000000"/>
          <w:sz w:val="28"/>
          <w:szCs w:val="28"/>
          <w:lang w:eastAsia="uk-UA" w:bidi="uk-UA"/>
        </w:rPr>
        <w:t>розвитку КНП «МКЛ №10» ОМР є:</w:t>
      </w:r>
    </w:p>
    <w:p w14:paraId="024692A4"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Реструктуризація КНП «МКЛ№10» ОМР шляхом реорганізації, перепрофілювання та створення структурних підрозділів у відповідності до рамкових вимог МОЗ України до кластерних багатопрофільних лікарень з визначенням напрямів та обсягу медичної допомоги, який надаватиметься (виконання програми організаційно-управлінських змін).</w:t>
      </w:r>
    </w:p>
    <w:p w14:paraId="687460A3"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6"/>
          <w:tab w:val="left" w:pos="850"/>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Підвищення якості медичної допомоги шляхом створення системи контролю якості як за національними </w:t>
      </w:r>
      <w:r>
        <w:rPr>
          <w:rFonts w:ascii="Times New Roman" w:eastAsia="Times New Roman" w:hAnsi="Times New Roman" w:cs="Times New Roman"/>
          <w:color w:val="000000"/>
          <w:sz w:val="28"/>
          <w:szCs w:val="28"/>
          <w:lang w:val="en-US" w:bidi="en-US"/>
        </w:rPr>
        <w:t xml:space="preserve">(ISO, </w:t>
      </w:r>
      <w:r>
        <w:rPr>
          <w:rFonts w:ascii="Times New Roman" w:eastAsia="Times New Roman" w:hAnsi="Times New Roman" w:cs="Times New Roman"/>
          <w:color w:val="000000"/>
          <w:sz w:val="28"/>
          <w:szCs w:val="28"/>
          <w:lang w:eastAsia="uk-UA" w:bidi="uk-UA"/>
        </w:rPr>
        <w:t xml:space="preserve">акредитація МОЗ), так і міжнародними стандартами </w:t>
      </w:r>
      <w:r>
        <w:rPr>
          <w:rFonts w:ascii="Times New Roman" w:eastAsia="Times New Roman" w:hAnsi="Times New Roman" w:cs="Times New Roman"/>
          <w:color w:val="000000"/>
          <w:sz w:val="28"/>
          <w:szCs w:val="28"/>
          <w:lang w:val="en-US" w:bidi="en-US"/>
        </w:rPr>
        <w:t>(JCI)</w:t>
      </w:r>
      <w:r>
        <w:rPr>
          <w:rFonts w:ascii="Times New Roman" w:eastAsia="Times New Roman" w:hAnsi="Times New Roman" w:cs="Times New Roman"/>
          <w:color w:val="000000"/>
          <w:sz w:val="28"/>
          <w:szCs w:val="28"/>
          <w:lang w:eastAsia="uk-UA" w:bidi="uk-UA"/>
        </w:rPr>
        <w:t>.</w:t>
      </w:r>
    </w:p>
    <w:p w14:paraId="53AC3CDC"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33"/>
          <w:tab w:val="left" w:pos="850"/>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Укладання договору з Національною службою здоров’я України в рамках вимог ПМГ 2020-2065, розробка внутрішньої системи контролю виконання договору з боку закладу, зокрема якості внесення медичних записів у МІС.</w:t>
      </w:r>
    </w:p>
    <w:p w14:paraId="11A7A721"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33"/>
          <w:tab w:val="left" w:pos="850"/>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Виконання цільових програм з надання медичних послуг органів місцевого бюджету, участь у грантах, програмах державного бюджету, благодійного фінансування тощо.</w:t>
      </w:r>
    </w:p>
    <w:p w14:paraId="67C36358"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33"/>
          <w:tab w:val="left" w:pos="850"/>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Розробка та імплементація стратегії надання платних послуг.</w:t>
      </w:r>
    </w:p>
    <w:p w14:paraId="4DC71650"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33"/>
          <w:tab w:val="left" w:pos="850"/>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Впровадження нових сучасних методів діагностики та лікування, навчання та тренінг персоналу на впровадження, безперервний контроль якості надання медичної допомоги, оптимізація програм та строків лікування.</w:t>
      </w:r>
    </w:p>
    <w:p w14:paraId="69AFD1C1"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33"/>
          <w:tab w:val="left" w:pos="850"/>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Впровадження сервісності медичних послуг, забезпечення комунікаційної стратегії, направленої на безпеку пацієнта під час лікування (виконання програм інфекційного контролю, загальної безпеки життя пацієнта).</w:t>
      </w:r>
    </w:p>
    <w:p w14:paraId="190EB906"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233"/>
          <w:tab w:val="left" w:pos="850"/>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Розвиток маркетингової активності, оптимального ціноутворення та госпрозрахункових відносин з населенням, мешканцями м. Одеса, активне впровадження моделі надання платних послуг.</w:t>
      </w:r>
    </w:p>
    <w:p w14:paraId="64DCE1D6"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33"/>
          <w:tab w:val="left" w:pos="850"/>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Сприяння заходам та проведення програми антикорупційних дій.</w:t>
      </w:r>
    </w:p>
    <w:p w14:paraId="08D0B399"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33"/>
          <w:tab w:val="left" w:pos="850"/>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lastRenderedPageBreak/>
        <w:t>Тісна співпраця з Одеським національним медичним університетом та іншими надавачами медичних послуг, центрами соціальних служб для сім’ї, дітей та молоді, службами у справах дітей, територіальним центрами обслуговування населення, неурядовими та благодійними організаціями, правоохоронними органами, підприємствами, установами та організаціями тощо.</w:t>
      </w:r>
    </w:p>
    <w:p w14:paraId="4986BACA"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850"/>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Розвиток приватно-державного партнерства.</w:t>
      </w:r>
    </w:p>
    <w:p w14:paraId="50B8B8CA" w14:textId="77777777" w:rsidR="006D2299" w:rsidRDefault="006D2299" w:rsidP="006D2299">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eastAsia="Arial" w:hAnsi="Times New Roman" w:cs="Times New Roman"/>
          <w:sz w:val="28"/>
          <w:szCs w:val="28"/>
        </w:rPr>
      </w:pPr>
      <w:r>
        <w:rPr>
          <w:rFonts w:ascii="Times New Roman" w:eastAsia="Times New Roman" w:hAnsi="Times New Roman" w:cs="Times New Roman"/>
          <w:sz w:val="28"/>
          <w:szCs w:val="28"/>
        </w:rPr>
        <w:t>Як і в будь-якій іншій галузі, комунікації в системі охорони здоров’я виступають стратегічною управлінською функцією, яка охоплює всі етапи процесу прийняття рішень - від виявлення проблеми до пошуку оптимального способу її вирішення та подальшої оцінки результатів.</w:t>
      </w:r>
    </w:p>
    <w:p w14:paraId="5995FC51" w14:textId="77777777" w:rsidR="006D2299" w:rsidRDefault="006D2299" w:rsidP="006D2299">
      <w:pPr>
        <w:pBdr>
          <w:top w:val="none" w:sz="4" w:space="0" w:color="000000"/>
          <w:left w:val="none" w:sz="4" w:space="0" w:color="000000"/>
          <w:bottom w:val="none" w:sz="4" w:space="0" w:color="000000"/>
          <w:right w:val="none" w:sz="4" w:space="0" w:color="000000"/>
        </w:pBdr>
        <w:tabs>
          <w:tab w:val="left" w:pos="992"/>
        </w:tabs>
        <w:spacing w:after="0" w:line="360" w:lineRule="auto"/>
        <w:ind w:firstLine="709"/>
        <w:jc w:val="both"/>
        <w:rPr>
          <w:rFonts w:ascii="Times New Roman" w:eastAsia="Arial" w:hAnsi="Times New Roman" w:cs="Times New Roman"/>
          <w:sz w:val="28"/>
          <w:szCs w:val="28"/>
        </w:rPr>
      </w:pPr>
      <w:r>
        <w:rPr>
          <w:rFonts w:ascii="Times New Roman" w:eastAsia="Times New Roman" w:hAnsi="Times New Roman" w:cs="Times New Roman"/>
          <w:sz w:val="28"/>
          <w:szCs w:val="28"/>
        </w:rPr>
        <w:t>Водночас саме у сфері охорони здоров’я комунікації мають виняткове значення, оскільки ефективне використання комунікаційних інструментів сприяє досягненню низки ключових цілей, серед яких:</w:t>
      </w:r>
    </w:p>
    <w:p w14:paraId="69FD8E95" w14:textId="77777777" w:rsidR="006D2299" w:rsidRDefault="006D2299" w:rsidP="006D2299">
      <w:pPr>
        <w:numPr>
          <w:ilvl w:val="0"/>
          <w:numId w:val="45"/>
        </w:numPr>
        <w:pBdr>
          <w:top w:val="none" w:sz="4" w:space="0" w:color="000000"/>
          <w:left w:val="none" w:sz="4" w:space="0" w:color="000000"/>
          <w:bottom w:val="none" w:sz="4" w:space="0" w:color="000000"/>
          <w:right w:val="none" w:sz="4" w:space="0" w:color="000000"/>
        </w:pBdr>
        <w:tabs>
          <w:tab w:val="left" w:pos="992"/>
        </w:tabs>
        <w:spacing w:after="0" w:line="360" w:lineRule="auto"/>
        <w:ind w:left="0" w:firstLine="709"/>
        <w:contextualSpacing/>
        <w:jc w:val="both"/>
        <w:rPr>
          <w:rFonts w:ascii="Times New Roman" w:eastAsia="Arial" w:hAnsi="Times New Roman" w:cs="Times New Roman"/>
          <w:sz w:val="28"/>
          <w:szCs w:val="28"/>
        </w:rPr>
      </w:pPr>
      <w:r>
        <w:rPr>
          <w:rFonts w:ascii="Times New Roman" w:eastAsia="Times New Roman" w:hAnsi="Times New Roman" w:cs="Times New Roman"/>
          <w:sz w:val="28"/>
          <w:szCs w:val="28"/>
        </w:rPr>
        <w:t xml:space="preserve">підвищення рівня обізнаності населення щодо питань здоров’я </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від профілактики хвороб до можливостей отримання медичної допомоги;</w:t>
      </w:r>
    </w:p>
    <w:p w14:paraId="3F53DE31" w14:textId="77777777" w:rsidR="006D2299" w:rsidRDefault="006D2299" w:rsidP="006D2299">
      <w:pPr>
        <w:numPr>
          <w:ilvl w:val="0"/>
          <w:numId w:val="45"/>
        </w:numPr>
        <w:pBdr>
          <w:top w:val="none" w:sz="4" w:space="0" w:color="000000"/>
          <w:left w:val="none" w:sz="4" w:space="0" w:color="000000"/>
          <w:bottom w:val="none" w:sz="4" w:space="0" w:color="000000"/>
          <w:right w:val="none" w:sz="4" w:space="0" w:color="000000"/>
        </w:pBdr>
        <w:tabs>
          <w:tab w:val="left" w:pos="992"/>
        </w:tabs>
        <w:spacing w:after="0" w:line="360" w:lineRule="auto"/>
        <w:ind w:left="0" w:firstLine="709"/>
        <w:contextualSpacing/>
        <w:jc w:val="both"/>
        <w:rPr>
          <w:rFonts w:ascii="Times New Roman" w:eastAsia="Arial" w:hAnsi="Times New Roman" w:cs="Times New Roman"/>
          <w:sz w:val="28"/>
          <w:szCs w:val="28"/>
        </w:rPr>
      </w:pPr>
      <w:r>
        <w:rPr>
          <w:rFonts w:ascii="Times New Roman" w:eastAsia="Times New Roman" w:hAnsi="Times New Roman" w:cs="Times New Roman"/>
          <w:sz w:val="28"/>
          <w:szCs w:val="28"/>
        </w:rPr>
        <w:t>формування позитивного ставлення до питань здоров’я серед населення, медичних працівників, органів влади та місцевого самоврядування, які беруть участь у формуванні політики в галузі охорони здоров’я;</w:t>
      </w:r>
    </w:p>
    <w:p w14:paraId="0F7FE581" w14:textId="441A7716"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sz w:val="28"/>
          <w:szCs w:val="28"/>
        </w:rPr>
        <w:t>стимулювання змін у поведінці громадян, що сприяють турботі про власне фізичне та психічне благополуччя, дотриманню здорового способу життя, профілактиці захворювань і травм, а також усвідомленому ставленню до власного здоров’я</w:t>
      </w:r>
      <w:r>
        <w:rPr>
          <w:rFonts w:ascii="Times New Roman" w:eastAsia="Microsoft YaHei" w:hAnsi="Times New Roman" w:cs="Times New Roman"/>
          <w:color w:val="000000"/>
          <w:sz w:val="28"/>
          <w:szCs w:val="28"/>
          <w:lang w:val="en-US" w:eastAsia="uk-UA" w:bidi="uk-UA"/>
        </w:rPr>
        <w:t xml:space="preserve"> [</w:t>
      </w:r>
      <w:r w:rsidR="004D36C1">
        <w:rPr>
          <w:rFonts w:ascii="Times New Roman" w:eastAsia="Microsoft YaHei" w:hAnsi="Times New Roman" w:cs="Times New Roman"/>
          <w:color w:val="000000"/>
          <w:sz w:val="28"/>
          <w:szCs w:val="28"/>
          <w:lang w:eastAsia="uk-UA" w:bidi="uk-UA"/>
        </w:rPr>
        <w:t>32</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38944853"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99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 метою створення належної комунікаційної стратегії КНП «МКЛ №10» ОМР та впровадження ефективних заходів у закладі з 01.12.2022р. створено відділ безпеки, безпеки інформації та комунікацій, який підпорядкований заступнику генерального директора з розвитку та загальних питань.</w:t>
      </w:r>
    </w:p>
    <w:p w14:paraId="2BA7766A"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Відтак, у КНП «МКЛ №10» ОМР затверджено програму комунікаційної стратегії закладу, що включає в себе наступні розділи:</w:t>
      </w:r>
    </w:p>
    <w:p w14:paraId="52768750"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заходи з формування обізнаності послуг, доступних у КНП «МКЛ </w:t>
      </w:r>
      <w:r>
        <w:rPr>
          <w:rFonts w:ascii="Times New Roman" w:eastAsia="Times New Roman" w:hAnsi="Times New Roman" w:cs="Times New Roman"/>
          <w:color w:val="000000"/>
          <w:sz w:val="28"/>
          <w:szCs w:val="28"/>
          <w:lang w:eastAsia="uk-UA" w:bidi="uk-UA"/>
        </w:rPr>
        <w:lastRenderedPageBreak/>
        <w:t>№10» ОМР;</w:t>
      </w:r>
    </w:p>
    <w:p w14:paraId="2831FADB"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заходи з формування обізнаності про основи здоров’я, здорового способу життя, профілактики захворювань тощо;</w:t>
      </w:r>
    </w:p>
    <w:p w14:paraId="20716187"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40"/>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ментальне здоров’я;</w:t>
      </w:r>
    </w:p>
    <w:p w14:paraId="38B733D6"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заходи із забезпечення прозорості у витрачанні грошей платників податків у КНП «МКЛ №10» ОМР;</w:t>
      </w:r>
    </w:p>
    <w:p w14:paraId="674C70A2"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комунікації у кризових ситуаціях;</w:t>
      </w:r>
    </w:p>
    <w:p w14:paraId="7A89D329"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канали зовнішньої комунікації;</w:t>
      </w:r>
    </w:p>
    <w:p w14:paraId="1476C3B5"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канали внутрішньої комунікації;</w:t>
      </w:r>
    </w:p>
    <w:p w14:paraId="2B3EBB51"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роль медичної інформаційної системи у комунікаціях КНП «МКЛ №10» ОМР;</w:t>
      </w:r>
    </w:p>
    <w:p w14:paraId="20A4CD9F"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візуальна ідентичність КНП «МКЛ №10» ОМР.</w:t>
      </w:r>
    </w:p>
    <w:p w14:paraId="6D711344"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09"/>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Також у КНП «МКЛ №10» ОМР затверджено:</w:t>
      </w:r>
    </w:p>
    <w:p w14:paraId="25FD14FC"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Програму активностей у друкованій та онлайн-медіа спеціалістів КНП «МКЛ №10» ОМР (для громадськості (здоровий спосіб життя, важливість профілактики, запобігання травмам, загальна інформація про заклад, для пацієнтів (медичні послуги, спеціалісти, перша допомога, випадки успішного лікування, ментальне здоров’я), для фахівців / медпрацівників (нові технології, особливі та ускладнені випадки), Перелік роздаткового матеріалу з макетами (Просвітницький, НСЗУ, Послуги / технології, Наочні («Експіренза»).</w:t>
      </w:r>
    </w:p>
    <w:p w14:paraId="791AD5FE"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Програму забезпечення прозорості витрат на КНП «МКЛ №10» ОМР (відомості про розпорядження коштами бюджету, комунальним майном, Перелік наявної звітної документації у відкритому доступі, Перелік джерел відкритого доступу звітної документації (фінансовий план, фінансовий звіт, стратегічний план тощо), Перелік публічних презентацій планів та звітів діяльності КНП «МКЛ№10» ОМР).</w:t>
      </w:r>
    </w:p>
    <w:p w14:paraId="1590784C"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План тренінгів персоналу </w:t>
      </w:r>
      <w:r>
        <w:rPr>
          <w:rFonts w:ascii="Times New Roman" w:eastAsia="Times New Roman" w:hAnsi="Times New Roman" w:cs="Times New Roman"/>
          <w:color w:val="000000"/>
          <w:sz w:val="28"/>
          <w:szCs w:val="28"/>
          <w:lang w:val="en-US" w:bidi="en-US"/>
        </w:rPr>
        <w:t>(Ton</w:t>
      </w:r>
      <w:r>
        <w:rPr>
          <w:rFonts w:ascii="Times New Roman" w:eastAsia="Times New Roman" w:hAnsi="Times New Roman" w:cs="Times New Roman"/>
          <w:color w:val="000000"/>
          <w:sz w:val="28"/>
          <w:szCs w:val="28"/>
          <w:lang w:val="ru-RU" w:eastAsia="ru-RU" w:bidi="ru-RU"/>
        </w:rPr>
        <w:t xml:space="preserve">-менеджмент </w:t>
      </w:r>
      <w:r>
        <w:rPr>
          <w:rFonts w:ascii="Times New Roman" w:eastAsia="Times New Roman" w:hAnsi="Times New Roman" w:cs="Times New Roman"/>
          <w:color w:val="000000"/>
          <w:sz w:val="28"/>
          <w:szCs w:val="28"/>
          <w:lang w:eastAsia="uk-UA" w:bidi="uk-UA"/>
        </w:rPr>
        <w:t xml:space="preserve">(лідерство - цінності- команда), Керівники (профілактика вигорання, внутрішня комунікативна середа), Візуальна ідентичність КНП «МКЛ №10» ОМР (впізнаваність, </w:t>
      </w:r>
      <w:r>
        <w:rPr>
          <w:rFonts w:ascii="Times New Roman" w:eastAsia="Times New Roman" w:hAnsi="Times New Roman" w:cs="Times New Roman"/>
          <w:color w:val="000000"/>
          <w:sz w:val="28"/>
          <w:szCs w:val="28"/>
          <w:lang w:eastAsia="uk-UA" w:bidi="uk-UA"/>
        </w:rPr>
        <w:lastRenderedPageBreak/>
        <w:t>брендбук, ключові повідомлення), Реєстратори/зовнішні комуніканти (тренінг телефонного дзвінка, тренінг спілкування, сценарій обробки скарги, програма лояльності, тренінг оповіщення поганих новин).</w:t>
      </w:r>
    </w:p>
    <w:p w14:paraId="6263BB5F" w14:textId="77777777" w:rsidR="006D2299" w:rsidRDefault="006D2299" w:rsidP="006D2299">
      <w:pPr>
        <w:widowControl w:val="0"/>
        <w:numPr>
          <w:ilvl w:val="0"/>
          <w:numId w:val="36"/>
        </w:numPr>
        <w:pBdr>
          <w:top w:val="none" w:sz="4" w:space="0" w:color="000000"/>
          <w:left w:val="none" w:sz="4" w:space="0" w:color="000000"/>
          <w:bottom w:val="none" w:sz="4" w:space="0" w:color="000000"/>
          <w:right w:val="none" w:sz="4" w:space="0" w:color="000000"/>
          <w:between w:val="none" w:sz="4" w:space="0" w:color="000000"/>
        </w:pBdr>
        <w:tabs>
          <w:tab w:val="left" w:pos="221"/>
          <w:tab w:val="left" w:pos="99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План зовнішніх комунікацій закладу (Контент-план сайту, План розвитку сторінок та </w:t>
      </w:r>
      <w:r>
        <w:rPr>
          <w:rFonts w:ascii="Times New Roman" w:eastAsia="Times New Roman" w:hAnsi="Times New Roman" w:cs="Times New Roman"/>
          <w:color w:val="000000"/>
          <w:sz w:val="28"/>
          <w:szCs w:val="28"/>
          <w:lang w:val="ru-RU" w:eastAsia="ru-RU" w:bidi="ru-RU"/>
        </w:rPr>
        <w:t xml:space="preserve">контенту </w:t>
      </w:r>
      <w:r>
        <w:rPr>
          <w:rFonts w:ascii="Times New Roman" w:eastAsia="Times New Roman" w:hAnsi="Times New Roman" w:cs="Times New Roman"/>
          <w:color w:val="000000"/>
          <w:sz w:val="28"/>
          <w:szCs w:val="28"/>
          <w:lang w:eastAsia="uk-UA" w:bidi="uk-UA"/>
        </w:rPr>
        <w:t>у соцмережах, Перелік розсилань електронною поштою, Перелік вайбер-комунікацій у групових чатах, Перелік інформаційних стендів та наочної комунікації, План створення телепанельних та проектних кутків у закладі, Перелік наукових конференцій, Перелік заходів (днів відкритих дверей та інше), Робота системи скарг «Експіренза» ) тощо.</w:t>
      </w:r>
    </w:p>
    <w:p w14:paraId="27181B75" w14:textId="32094A1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План внутрішніх комунікацій закладу (Перелік електронних поштових скриньок працівників, План зустрічей та корпоративних вечорів, Перелік гугл-форм та електронних таблиць збору інформації)</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31</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62E21937"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 всіма заходами комунікації у КНП «МКЛ №10» ОМР щорічно формується звіт з комунікаційних заходів.</w:t>
      </w:r>
    </w:p>
    <w:p w14:paraId="16EE3849"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У закладі впроваджено цілісну систему управління та контролю якості й безпеки медичної діяльності, побудовану відповідно до вимог чинного законодавства. Її функціонування ґрунтується на безперервному моніторингу індикаторів і критеріїв, що відображають доступність, якість та безпечність медичної допомоги за відповідними напрямами. Такий підхід забезпечує ефективне управління процесами у КНП «МКЛ №10» ОМР і гарантує пацієнтам отримання медичної допомоги належного обсягу та високої якості.</w:t>
      </w:r>
    </w:p>
    <w:p w14:paraId="4BF2122C"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6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Відтак, у КНП «МКЛ №10» ОМР з 01.01.2022р. затверджено Програму управління якістю медичної допомоги, встановлено багаторівневий контроль аналізу якості. Визначені індикатори якості щоденні, щомісячні та щорічні.</w:t>
      </w:r>
    </w:p>
    <w:p w14:paraId="20B01108"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6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Окремо аналізуються індикатори якості на кожну нозологічну одиницю, що затверджені локальними протоколами КНП «МКЛ №10» ОМР. Відтак, розроблені окремі індикатори якості при наданні медичної допомоги при гострому мозковому інсульті та гострому інфаркті міокарда тощо.</w:t>
      </w:r>
    </w:p>
    <w:p w14:paraId="1D8A1ABA"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6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У КНП «МКЛ №10» ОМР розроблено чек-листи перевірки готовності стурктурних підрозділів до надання медичної допомоги, регулярно </w:t>
      </w:r>
      <w:r>
        <w:rPr>
          <w:rFonts w:ascii="Times New Roman" w:eastAsia="Times New Roman" w:hAnsi="Times New Roman" w:cs="Times New Roman"/>
          <w:color w:val="000000"/>
          <w:sz w:val="28"/>
          <w:szCs w:val="28"/>
          <w:lang w:eastAsia="uk-UA" w:bidi="uk-UA"/>
        </w:rPr>
        <w:lastRenderedPageBreak/>
        <w:t>проводиться перевірка відділень та визначається рейтинговий показник структурних підрозділів у якості надання медичної допомоги.</w:t>
      </w:r>
    </w:p>
    <w:p w14:paraId="56301B99"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Результати аналізу якості медичної допомоги виносяться на рішення медичної ради КНП «МКЛ №10» ОМР з наступними управлінськими рішеннями щодо усунення недоліків. Таким чином, у закладі проводиться систематичний та </w:t>
      </w:r>
      <w:r>
        <w:rPr>
          <w:rFonts w:ascii="Times New Roman" w:eastAsia="Times New Roman" w:hAnsi="Times New Roman" w:cs="Times New Roman"/>
          <w:color w:val="000000"/>
          <w:sz w:val="28"/>
          <w:szCs w:val="28"/>
          <w:lang w:val="ru-RU" w:eastAsia="ru-RU" w:bidi="ru-RU"/>
        </w:rPr>
        <w:t xml:space="preserve">глубокий </w:t>
      </w:r>
      <w:r>
        <w:rPr>
          <w:rFonts w:ascii="Times New Roman" w:eastAsia="Times New Roman" w:hAnsi="Times New Roman" w:cs="Times New Roman"/>
          <w:color w:val="000000"/>
          <w:sz w:val="28"/>
          <w:szCs w:val="28"/>
          <w:lang w:eastAsia="uk-UA" w:bidi="uk-UA"/>
        </w:rPr>
        <w:t>контроль управлінням якості медичної допомоги у структурних підрозділах.</w:t>
      </w:r>
    </w:p>
    <w:p w14:paraId="0E9FA81C" w14:textId="244505A9"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КНП «МКЛ №10» ОМР надає медичну допомогу постраждалим внаслідок військової агресії Російської Федерації проти України. На виконання наказу департаменту охорони здоров’я Одеської обласної військової адміністрації №845-ОД від 25.08.2022р. «Про збільшення ліжкового фонду хірургічного та терапевтичного профілю закладів охорони здоров’я на 50% для забезпечення надання медичної допомоги військовослужбовцям», в КНП «МКЛ №10» ОМР встановлено ліжковий фонд з надання медичної допомоги військовослужбовцям у структурі наявного ліжкового фонду закладу з 61 до 92 ліжок, зокрема 42 хірургічного профілю та 50 терапевтичного профілю</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31</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1E00E063"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Станом на теперішній час у КНП «МКЛ №10» ОМР проліковано більше 3000 пацієнтів - військовослужбовців ЗСУ. Для оперативного реагування при надзвичайних станах у КНП «МКЛ №10» розроблено план реагування на надзвичайні стани, яким регламентовано рішення щодо організації функціонування / ініціація, матеріально-технічне забезпечення, організація управління, зв’язку, оповіщення та взаємодії, алгоритми реагування на можливі надзвичайні ситуації, а також опис ключових позицій та ролей</w:t>
      </w:r>
      <w:r>
        <w:rPr>
          <w:rFonts w:ascii="Times New Roman" w:eastAsia="Times New Roman" w:hAnsi="Times New Roman" w:cs="Times New Roman"/>
          <w:color w:val="000000"/>
          <w:sz w:val="28"/>
          <w:szCs w:val="28"/>
          <w:lang w:val="en-US" w:bidi="en-US"/>
        </w:rPr>
        <w:t>.</w:t>
      </w:r>
      <w:r>
        <w:rPr>
          <w:rFonts w:ascii="Times New Roman" w:eastAsia="Times New Roman" w:hAnsi="Times New Roman" w:cs="Times New Roman"/>
          <w:color w:val="000000"/>
          <w:sz w:val="28"/>
          <w:szCs w:val="28"/>
          <w:lang w:eastAsia="uk-UA" w:bidi="uk-UA"/>
        </w:rPr>
        <w:t xml:space="preserve"> </w:t>
      </w:r>
    </w:p>
    <w:p w14:paraId="22AD01DF"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У КНП «МКЛ №10» ОМР проведені тренінги з навчання персоналу при масовому надходженні, а саме: з організації надання медичної допомоги при масовому надходженні контамінованих хворих з хімічним ураженням, тренінг з тріажу та медичного сортування хворих при масовому надходженні тощо та інші.</w:t>
      </w:r>
    </w:p>
    <w:p w14:paraId="622D7B90"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val="ru-RU" w:eastAsia="ru-RU" w:bidi="ru-RU"/>
        </w:rPr>
        <w:t xml:space="preserve">У </w:t>
      </w:r>
      <w:r>
        <w:rPr>
          <w:rFonts w:ascii="Times New Roman" w:eastAsia="Times New Roman" w:hAnsi="Times New Roman" w:cs="Times New Roman"/>
          <w:color w:val="000000"/>
          <w:sz w:val="28"/>
          <w:szCs w:val="28"/>
          <w:lang w:eastAsia="uk-UA" w:bidi="uk-UA"/>
        </w:rPr>
        <w:t>лікарні</w:t>
      </w:r>
      <w:r>
        <w:rPr>
          <w:rFonts w:ascii="Times New Roman" w:eastAsia="Times New Roman" w:hAnsi="Times New Roman" w:cs="Times New Roman"/>
          <w:color w:val="000000"/>
          <w:sz w:val="28"/>
          <w:szCs w:val="28"/>
          <w:lang w:val="ru-RU" w:eastAsia="ru-RU" w:bidi="ru-RU"/>
        </w:rPr>
        <w:t xml:space="preserve"> </w:t>
      </w:r>
      <w:r>
        <w:rPr>
          <w:rFonts w:ascii="Times New Roman" w:eastAsia="Times New Roman" w:hAnsi="Times New Roman" w:cs="Times New Roman"/>
          <w:color w:val="000000"/>
          <w:sz w:val="28"/>
          <w:szCs w:val="28"/>
          <w:lang w:eastAsia="uk-UA" w:bidi="uk-UA"/>
        </w:rPr>
        <w:t xml:space="preserve">розроблено </w:t>
      </w:r>
      <w:r>
        <w:rPr>
          <w:rFonts w:ascii="Times New Roman" w:eastAsia="Times New Roman" w:hAnsi="Times New Roman" w:cs="Times New Roman"/>
          <w:color w:val="000000"/>
          <w:sz w:val="28"/>
          <w:szCs w:val="28"/>
          <w:lang w:val="ru-RU" w:eastAsia="ru-RU" w:bidi="ru-RU"/>
        </w:rPr>
        <w:t xml:space="preserve">правила </w:t>
      </w:r>
      <w:r>
        <w:rPr>
          <w:rFonts w:ascii="Times New Roman" w:eastAsia="Times New Roman" w:hAnsi="Times New Roman" w:cs="Times New Roman"/>
          <w:color w:val="000000"/>
          <w:sz w:val="28"/>
          <w:szCs w:val="28"/>
          <w:lang w:eastAsia="uk-UA" w:bidi="uk-UA"/>
        </w:rPr>
        <w:t xml:space="preserve">поводження </w:t>
      </w:r>
      <w:r>
        <w:rPr>
          <w:rFonts w:ascii="Times New Roman" w:eastAsia="Times New Roman" w:hAnsi="Times New Roman" w:cs="Times New Roman"/>
          <w:color w:val="000000"/>
          <w:sz w:val="28"/>
          <w:szCs w:val="28"/>
          <w:lang w:val="ru-RU" w:eastAsia="ru-RU" w:bidi="ru-RU"/>
        </w:rPr>
        <w:t xml:space="preserve">персоналу у </w:t>
      </w:r>
      <w:r>
        <w:rPr>
          <w:rFonts w:ascii="Times New Roman" w:eastAsia="Times New Roman" w:hAnsi="Times New Roman" w:cs="Times New Roman"/>
          <w:color w:val="000000"/>
          <w:sz w:val="28"/>
          <w:szCs w:val="28"/>
          <w:lang w:eastAsia="uk-UA" w:bidi="uk-UA"/>
        </w:rPr>
        <w:t xml:space="preserve">разі об’явлення </w:t>
      </w:r>
      <w:r>
        <w:rPr>
          <w:rFonts w:ascii="Times New Roman" w:eastAsia="Times New Roman" w:hAnsi="Times New Roman" w:cs="Times New Roman"/>
          <w:color w:val="000000"/>
          <w:sz w:val="28"/>
          <w:szCs w:val="28"/>
          <w:lang w:val="ru-RU" w:eastAsia="ru-RU" w:bidi="ru-RU"/>
        </w:rPr>
        <w:lastRenderedPageBreak/>
        <w:t xml:space="preserve">сигналу </w:t>
      </w:r>
      <w:r>
        <w:rPr>
          <w:rFonts w:ascii="Times New Roman" w:eastAsia="Times New Roman" w:hAnsi="Times New Roman" w:cs="Times New Roman"/>
          <w:color w:val="000000"/>
          <w:sz w:val="28"/>
          <w:szCs w:val="28"/>
          <w:lang w:eastAsia="uk-UA" w:bidi="uk-UA"/>
        </w:rPr>
        <w:t>«Повітряна тривога», які затверджені до</w:t>
      </w:r>
      <w:r>
        <w:rPr>
          <w:rFonts w:ascii="Times New Roman" w:eastAsia="Times New Roman" w:hAnsi="Times New Roman" w:cs="Times New Roman"/>
          <w:color w:val="000000"/>
          <w:sz w:val="28"/>
          <w:szCs w:val="28"/>
          <w:lang w:val="ru-RU" w:eastAsia="ru-RU" w:bidi="ru-RU"/>
        </w:rPr>
        <w:t xml:space="preserve"> </w:t>
      </w:r>
      <w:r>
        <w:rPr>
          <w:rFonts w:ascii="Times New Roman" w:eastAsia="Times New Roman" w:hAnsi="Times New Roman" w:cs="Times New Roman"/>
          <w:color w:val="000000"/>
          <w:sz w:val="28"/>
          <w:szCs w:val="28"/>
          <w:lang w:eastAsia="uk-UA" w:bidi="uk-UA"/>
        </w:rPr>
        <w:t xml:space="preserve">Правил внутрішнього розпорядку та Колективного договору підприємства. Також затверджено інформовану згоду пацієнта під час оголошення сигналу «Повітряна тривога», затверджено </w:t>
      </w:r>
      <w:r>
        <w:rPr>
          <w:rFonts w:ascii="Times New Roman" w:eastAsia="Times New Roman" w:hAnsi="Times New Roman" w:cs="Times New Roman"/>
          <w:color w:val="000000"/>
          <w:sz w:val="28"/>
          <w:szCs w:val="28"/>
          <w:lang w:val="ru-RU" w:eastAsia="ru-RU" w:bidi="ru-RU"/>
        </w:rPr>
        <w:t xml:space="preserve">скрипт </w:t>
      </w:r>
      <w:r>
        <w:rPr>
          <w:rFonts w:ascii="Times New Roman" w:eastAsia="Times New Roman" w:hAnsi="Times New Roman" w:cs="Times New Roman"/>
          <w:color w:val="000000"/>
          <w:sz w:val="28"/>
          <w:szCs w:val="28"/>
          <w:lang w:eastAsia="uk-UA" w:bidi="uk-UA"/>
        </w:rPr>
        <w:t>промови лікуючого лікаря про наявність та розташування укриттів. Інформована згода надається на підпис кожному пацієнту, що надходить на госпіталізацію у КНП «МКЛ №10» ОМР.</w:t>
      </w:r>
    </w:p>
    <w:p w14:paraId="05EA1BF5"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Заклад підготовлено до функціонування в умовах режиму воєнного стану, зокрема з урахуванням обмежень, затверджених Розпорядженням Голови Одеської обласної військової адміністрації «Про додаткові заходи правового режиму воєнного стану» №119/А-2022 від 23.03.2022 р.</w:t>
      </w:r>
    </w:p>
    <w:p w14:paraId="013F34EA"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Створені найпростіші укриття в підвальних приміщеннях корпусу літ. «П» та «Е» та «Д» задля забезпечення належних умов перебування пацієнтів та персоналу під час сигналів повітряної тривоги.</w:t>
      </w:r>
    </w:p>
    <w:p w14:paraId="70DD9D3E"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6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Створені умови у разі необхідності проведення оперативної діяльності та лікувально-діагностичних заходів під час перебування в укриттях.</w:t>
      </w:r>
    </w:p>
    <w:p w14:paraId="00E6421F" w14:textId="0D415470"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У КНП «МКЛ №10» ОМР проведено категоризацію об’єкту критичної інфраструктури згідно методики та визначено рівень негативного впливу з віднесенням об’єкту до IV категорії об’єктів критичної інфраструктури</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31</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1C83622D"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6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В рамках забезпечення автономізації закладів охорони здоров’я у разі довготривалого відключення від енергоресурсу та блекаутів на території лікарень Одеської територіальної громади проведено роботи з влаштування джерел артезіанського водопостачання. Бювети відкриті та отримані дозволи на водокористування. В рамках сумісного проекту з </w:t>
      </w:r>
      <w:r>
        <w:rPr>
          <w:rFonts w:ascii="Times New Roman" w:eastAsia="Times New Roman" w:hAnsi="Times New Roman" w:cs="Times New Roman"/>
          <w:color w:val="000000"/>
          <w:sz w:val="28"/>
          <w:szCs w:val="28"/>
          <w:lang w:val="en-US" w:bidi="en-US"/>
        </w:rPr>
        <w:t xml:space="preserve">UNICEF </w:t>
      </w:r>
      <w:r>
        <w:rPr>
          <w:rFonts w:ascii="Times New Roman" w:eastAsia="Times New Roman" w:hAnsi="Times New Roman" w:cs="Times New Roman"/>
          <w:color w:val="000000"/>
          <w:sz w:val="28"/>
          <w:szCs w:val="28"/>
          <w:lang w:eastAsia="uk-UA" w:bidi="uk-UA"/>
        </w:rPr>
        <w:t>на території Одеської міської клінічної лікарні №10 проведено роботи з буріння свердловини та встановлення бювету артезіанської води. Опіковий корпус лікарні також паралельно підключений до водопостачання зі свердловини та має повне автономне водопостачання. Обсяг технічної та питної води зі свердловини достатній для повного забезпечення лікарні у разі відключення від центрального водопостачання. Вартість проекту - 4 001,90 тис.</w:t>
      </w:r>
      <w:r>
        <w:rPr>
          <w:rFonts w:ascii="Times New Roman" w:eastAsia="Times New Roman" w:hAnsi="Times New Roman" w:cs="Times New Roman"/>
          <w:color w:val="000000"/>
          <w:sz w:val="28"/>
          <w:szCs w:val="28"/>
          <w:lang w:val="en-US" w:eastAsia="uk-UA" w:bidi="uk-UA"/>
        </w:rPr>
        <w:t xml:space="preserve"> </w:t>
      </w:r>
      <w:r>
        <w:rPr>
          <w:rFonts w:ascii="Times New Roman" w:eastAsia="Times New Roman" w:hAnsi="Times New Roman" w:cs="Times New Roman"/>
          <w:color w:val="000000"/>
          <w:sz w:val="28"/>
          <w:szCs w:val="28"/>
          <w:lang w:eastAsia="uk-UA" w:bidi="uk-UA"/>
        </w:rPr>
        <w:t xml:space="preserve">грн., у тому числі за кошти </w:t>
      </w:r>
      <w:r>
        <w:rPr>
          <w:rFonts w:ascii="Times New Roman" w:eastAsia="Times New Roman" w:hAnsi="Times New Roman" w:cs="Times New Roman"/>
          <w:color w:val="000000"/>
          <w:sz w:val="28"/>
          <w:szCs w:val="28"/>
          <w:lang w:val="en-US" w:bidi="en-US"/>
        </w:rPr>
        <w:t xml:space="preserve">UNICEF </w:t>
      </w:r>
      <w:r>
        <w:rPr>
          <w:rFonts w:ascii="Times New Roman" w:eastAsia="Times New Roman" w:hAnsi="Times New Roman" w:cs="Times New Roman"/>
          <w:color w:val="000000"/>
          <w:sz w:val="28"/>
          <w:szCs w:val="28"/>
          <w:lang w:eastAsia="uk-UA" w:bidi="uk-UA"/>
        </w:rPr>
        <w:t>- 3 334, 92 тис.</w:t>
      </w:r>
      <w:r>
        <w:rPr>
          <w:rFonts w:ascii="Times New Roman" w:eastAsia="Times New Roman" w:hAnsi="Times New Roman" w:cs="Times New Roman"/>
          <w:color w:val="000000"/>
          <w:sz w:val="28"/>
          <w:szCs w:val="28"/>
          <w:lang w:val="en-US" w:eastAsia="uk-UA" w:bidi="uk-UA"/>
        </w:rPr>
        <w:t xml:space="preserve"> </w:t>
      </w:r>
      <w:r>
        <w:rPr>
          <w:rFonts w:ascii="Times New Roman" w:eastAsia="Times New Roman" w:hAnsi="Times New Roman" w:cs="Times New Roman"/>
          <w:color w:val="000000"/>
          <w:sz w:val="28"/>
          <w:szCs w:val="28"/>
          <w:lang w:eastAsia="uk-UA" w:bidi="uk-UA"/>
        </w:rPr>
        <w:t>грн. та 666,98 тис.</w:t>
      </w:r>
      <w:r>
        <w:rPr>
          <w:rFonts w:ascii="Times New Roman" w:eastAsia="Times New Roman" w:hAnsi="Times New Roman" w:cs="Times New Roman"/>
          <w:color w:val="000000"/>
          <w:sz w:val="28"/>
          <w:szCs w:val="28"/>
          <w:lang w:val="en-US" w:eastAsia="uk-UA" w:bidi="uk-UA"/>
        </w:rPr>
        <w:t xml:space="preserve"> </w:t>
      </w:r>
      <w:r>
        <w:rPr>
          <w:rFonts w:ascii="Times New Roman" w:eastAsia="Times New Roman" w:hAnsi="Times New Roman" w:cs="Times New Roman"/>
          <w:color w:val="000000"/>
          <w:sz w:val="28"/>
          <w:szCs w:val="28"/>
          <w:lang w:eastAsia="uk-UA" w:bidi="uk-UA"/>
        </w:rPr>
        <w:t xml:space="preserve">грн. - за кошти </w:t>
      </w:r>
      <w:r>
        <w:rPr>
          <w:rFonts w:ascii="Times New Roman" w:eastAsia="Times New Roman" w:hAnsi="Times New Roman" w:cs="Times New Roman"/>
          <w:color w:val="000000"/>
          <w:sz w:val="28"/>
          <w:szCs w:val="28"/>
          <w:lang w:eastAsia="uk-UA" w:bidi="uk-UA"/>
        </w:rPr>
        <w:lastRenderedPageBreak/>
        <w:t>лікарні.</w:t>
      </w:r>
    </w:p>
    <w:p w14:paraId="775A13B0"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6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У перспективах заходів з організації захисних споруд є проведення капітального ремонту підвальних приміщень лікувального корпусу літ. «В» з організацією найпростішого укриття, встановлення сонячних панелей для забезпечення автономізації електропостачання, встановлення гібридного пілетно-паливного котла для забезпечення автономної системи теплозабезпечення.</w:t>
      </w:r>
    </w:p>
    <w:p w14:paraId="0F1DE6AB" w14:textId="544FBB82" w:rsidR="006D2299" w:rsidRPr="006D2299" w:rsidRDefault="006D2299" w:rsidP="006D2299">
      <w:pPr>
        <w:spacing w:after="0" w:line="360" w:lineRule="auto"/>
        <w:ind w:firstLine="709"/>
        <w:jc w:val="both"/>
        <w:rPr>
          <w:rFonts w:ascii="Times New Roman" w:eastAsia="Times New Roman" w:hAnsi="Times New Roman" w:cs="Times New Roman"/>
          <w:bCs/>
          <w:color w:val="000000"/>
          <w:sz w:val="28"/>
          <w:szCs w:val="28"/>
        </w:rPr>
      </w:pPr>
      <w:r w:rsidRPr="006D2299">
        <w:rPr>
          <w:rFonts w:ascii="Times New Roman" w:eastAsia="Times New Roman" w:hAnsi="Times New Roman" w:cs="Times New Roman"/>
          <w:bCs/>
          <w:color w:val="000000"/>
          <w:sz w:val="28"/>
          <w:szCs w:val="28"/>
          <w:lang w:eastAsia="uk-UA" w:bidi="uk-UA"/>
        </w:rPr>
        <w:t>Оцінити діяльніст</w:t>
      </w:r>
      <w:r>
        <w:rPr>
          <w:rFonts w:ascii="Times New Roman" w:eastAsia="Times New Roman" w:hAnsi="Times New Roman" w:cs="Times New Roman"/>
          <w:bCs/>
          <w:color w:val="000000"/>
          <w:sz w:val="28"/>
          <w:szCs w:val="28"/>
          <w:lang w:eastAsia="uk-UA" w:bidi="uk-UA"/>
        </w:rPr>
        <w:t>ь</w:t>
      </w:r>
      <w:r w:rsidRPr="006D2299">
        <w:rPr>
          <w:rFonts w:ascii="Times New Roman" w:eastAsia="Times New Roman" w:hAnsi="Times New Roman" w:cs="Times New Roman"/>
          <w:bCs/>
          <w:color w:val="000000"/>
          <w:sz w:val="28"/>
          <w:szCs w:val="28"/>
          <w:lang w:eastAsia="uk-UA" w:bidi="uk-UA"/>
        </w:rPr>
        <w:t xml:space="preserve"> КНП «МКЛ №10» ОМР</w:t>
      </w:r>
      <w:r w:rsidRPr="006D2299">
        <w:rPr>
          <w:rFonts w:ascii="Times New Roman" w:eastAsia="Times New Roman" w:hAnsi="Times New Roman" w:cs="Times New Roman"/>
          <w:bCs/>
          <w:color w:val="000000"/>
          <w:sz w:val="28"/>
          <w:szCs w:val="28"/>
        </w:rPr>
        <w:t xml:space="preserve"> та визначити напрями його подальшого розвитку доцільно здійснити за допомогою SWOT-аналізу.</w:t>
      </w:r>
    </w:p>
    <w:p w14:paraId="59786C9A" w14:textId="77777777" w:rsidR="006D2299" w:rsidRDefault="006D2299" w:rsidP="006D2299">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SWOT-аналіз у сфері охорони здоров’я - це практичний інструмент стратегічного оцінювання, який дозволяє визначити сильні та слабкі сторони закладу, а також наявні можливості й потенційні загрози. Такий аналіз допомагає медичним установам глибше зрозуміти внутрішні та зовнішні чинники, що впливають на ефективність надання медичних послуг, реалізацію маркетингових стратегій і загальну організацію діяльності. Проведення SWOT-аналізу є необхідною умовою для забезпечення стабільного та результативного функціонування медичного закладу. Крім того, цей інструмент сприяє адаптації до динамічних змін на ринку медичних послуг і дає змогу виявляти напрями для вдосконалення якості обслуговування та підвищення конкурентоспроможності закладу.</w:t>
      </w:r>
      <w:r>
        <w:rPr>
          <w:rFonts w:ascii="Times New Roman" w:eastAsia="Times New Roman" w:hAnsi="Times New Roman" w:cs="Times New Roman"/>
          <w:color w:val="000000"/>
          <w:sz w:val="28"/>
          <w:szCs w:val="28"/>
        </w:rPr>
        <w:t xml:space="preserve"> Медичні заклади можуть знати, що робити для покращення діяльності, дізнавшись про різні фактори, які можуть вплинути на організацію. </w:t>
      </w:r>
    </w:p>
    <w:p w14:paraId="753BE1F4" w14:textId="40F01DDE" w:rsidR="006D2299" w:rsidRDefault="006D2299" w:rsidP="008326E2">
      <w:pP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Представлений в таблиці </w:t>
      </w:r>
      <w:r w:rsidR="008326E2">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 xml:space="preserve">.1 </w:t>
      </w:r>
      <w:r>
        <w:rPr>
          <w:rFonts w:ascii="Times New Roman" w:eastAsia="Times New Roman" w:hAnsi="Times New Roman" w:cs="Times New Roman"/>
          <w:color w:val="000000"/>
          <w:sz w:val="28"/>
          <w:szCs w:val="28"/>
          <w:lang w:val="en-US" w:bidi="en-US"/>
        </w:rPr>
        <w:t>SWOT</w:t>
      </w:r>
      <w:r>
        <w:rPr>
          <w:rFonts w:ascii="Times New Roman" w:eastAsia="Times New Roman" w:hAnsi="Times New Roman" w:cs="Times New Roman"/>
          <w:color w:val="000000"/>
          <w:sz w:val="28"/>
          <w:szCs w:val="28"/>
          <w:lang w:eastAsia="uk-UA" w:bidi="uk-UA"/>
        </w:rPr>
        <w:t xml:space="preserve">-аналіз </w:t>
      </w:r>
      <w:r>
        <w:rPr>
          <w:rFonts w:ascii="Times New Roman" w:eastAsia="Times New Roman" w:hAnsi="Times New Roman" w:cs="Times New Roman"/>
          <w:color w:val="000000"/>
          <w:sz w:val="28"/>
          <w:szCs w:val="28"/>
          <w:lang w:val="ru-RU" w:eastAsia="ru-RU" w:bidi="ru-RU"/>
        </w:rPr>
        <w:t>КНП «МКЛ №10» ОМР</w:t>
      </w:r>
      <w:r>
        <w:rPr>
          <w:rFonts w:ascii="Times New Roman" w:eastAsia="Times New Roman" w:hAnsi="Times New Roman" w:cs="Times New Roman"/>
          <w:color w:val="000000"/>
          <w:sz w:val="28"/>
          <w:szCs w:val="28"/>
        </w:rPr>
        <w:t xml:space="preserve"> є гарною стратегією усунення конкретних слабких місць або загроз. </w:t>
      </w:r>
    </w:p>
    <w:p w14:paraId="56B6A551" w14:textId="77777777" w:rsidR="008326E2" w:rsidRDefault="008326E2" w:rsidP="008326E2">
      <w:pPr>
        <w:spacing w:after="0" w:line="360" w:lineRule="auto"/>
        <w:ind w:firstLine="709"/>
        <w:jc w:val="both"/>
        <w:rPr>
          <w:rFonts w:ascii="Times New Roman" w:eastAsia="Times New Roman" w:hAnsi="Times New Roman" w:cs="Times New Roman"/>
          <w:color w:val="000000"/>
          <w:sz w:val="28"/>
          <w:szCs w:val="28"/>
        </w:rPr>
      </w:pPr>
    </w:p>
    <w:p w14:paraId="62AA698F" w14:textId="77777777" w:rsidR="006D2299" w:rsidRDefault="006D2299" w:rsidP="006D2299">
      <w:pPr>
        <w:spacing w:after="0" w:line="360" w:lineRule="auto"/>
        <w:ind w:firstLine="709"/>
        <w:jc w:val="right"/>
        <w:rPr>
          <w:rFonts w:ascii="Times New Roman" w:eastAsia="Times New Roman" w:hAnsi="Times New Roman" w:cs="Times New Roman"/>
          <w:color w:val="000000"/>
          <w:sz w:val="28"/>
          <w:szCs w:val="28"/>
        </w:rPr>
      </w:pPr>
    </w:p>
    <w:p w14:paraId="71DBF2D4" w14:textId="77777777" w:rsidR="006D2299" w:rsidRDefault="006D2299" w:rsidP="006D2299">
      <w:pPr>
        <w:spacing w:after="0" w:line="360" w:lineRule="auto"/>
        <w:ind w:firstLine="709"/>
        <w:jc w:val="right"/>
        <w:rPr>
          <w:rFonts w:ascii="Times New Roman" w:eastAsia="Times New Roman" w:hAnsi="Times New Roman" w:cs="Times New Roman"/>
          <w:color w:val="000000"/>
          <w:sz w:val="28"/>
          <w:szCs w:val="28"/>
        </w:rPr>
      </w:pPr>
    </w:p>
    <w:p w14:paraId="77598B60" w14:textId="77777777" w:rsidR="006D2299" w:rsidRDefault="006D2299" w:rsidP="006D2299">
      <w:pPr>
        <w:spacing w:after="0" w:line="360" w:lineRule="auto"/>
        <w:ind w:firstLine="709"/>
        <w:jc w:val="right"/>
        <w:rPr>
          <w:rFonts w:ascii="Times New Roman" w:eastAsia="Times New Roman" w:hAnsi="Times New Roman" w:cs="Times New Roman"/>
          <w:color w:val="000000"/>
          <w:sz w:val="28"/>
          <w:szCs w:val="28"/>
        </w:rPr>
      </w:pPr>
    </w:p>
    <w:p w14:paraId="35359349" w14:textId="77777777" w:rsidR="006D2299" w:rsidRDefault="006D2299" w:rsidP="006D2299">
      <w:pPr>
        <w:spacing w:after="0" w:line="360" w:lineRule="auto"/>
        <w:ind w:firstLine="709"/>
        <w:jc w:val="right"/>
        <w:rPr>
          <w:rFonts w:ascii="Times New Roman" w:eastAsia="Times New Roman" w:hAnsi="Times New Roman" w:cs="Times New Roman"/>
          <w:color w:val="000000"/>
          <w:sz w:val="28"/>
          <w:szCs w:val="28"/>
        </w:rPr>
      </w:pPr>
    </w:p>
    <w:p w14:paraId="2239CBC5" w14:textId="77777777" w:rsidR="006D2299" w:rsidRDefault="006D2299" w:rsidP="006D2299">
      <w:pPr>
        <w:spacing w:after="0" w:line="360" w:lineRule="auto"/>
        <w:ind w:firstLine="709"/>
        <w:jc w:val="right"/>
        <w:rPr>
          <w:rFonts w:ascii="Times New Roman" w:eastAsia="Times New Roman" w:hAnsi="Times New Roman" w:cs="Times New Roman"/>
          <w:color w:val="000000"/>
          <w:sz w:val="28"/>
          <w:szCs w:val="28"/>
        </w:rPr>
      </w:pPr>
    </w:p>
    <w:p w14:paraId="349DD143" w14:textId="43580161" w:rsidR="006D2299" w:rsidRDefault="006D2299" w:rsidP="006D2299">
      <w:pPr>
        <w:spacing w:after="0"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Таблиця 2.1</w:t>
      </w:r>
    </w:p>
    <w:p w14:paraId="2571CBB6" w14:textId="77777777" w:rsidR="006D2299" w:rsidRDefault="006D2299" w:rsidP="006D2299">
      <w:pPr>
        <w:spacing w:after="0"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lang w:val="en-US" w:bidi="en-US"/>
        </w:rPr>
        <w:t>SWOT</w:t>
      </w:r>
      <w:r>
        <w:rPr>
          <w:rFonts w:ascii="Times New Roman" w:eastAsia="Times New Roman" w:hAnsi="Times New Roman" w:cs="Times New Roman"/>
          <w:b/>
          <w:bCs/>
          <w:color w:val="000000"/>
          <w:sz w:val="28"/>
          <w:szCs w:val="28"/>
          <w:lang w:eastAsia="uk-UA" w:bidi="uk-UA"/>
        </w:rPr>
        <w:t xml:space="preserve">-аналіз </w:t>
      </w:r>
      <w:r>
        <w:rPr>
          <w:rFonts w:ascii="Times New Roman" w:eastAsia="Times New Roman" w:hAnsi="Times New Roman" w:cs="Times New Roman"/>
          <w:b/>
          <w:bCs/>
          <w:color w:val="000000"/>
          <w:sz w:val="28"/>
          <w:szCs w:val="28"/>
          <w:lang w:val="ru-RU" w:eastAsia="ru-RU" w:bidi="ru-RU"/>
        </w:rPr>
        <w:t>КНП «МКЛ №10» ОМР</w:t>
      </w:r>
    </w:p>
    <w:tbl>
      <w:tblPr>
        <w:tblStyle w:val="a3"/>
        <w:tblW w:w="0" w:type="auto"/>
        <w:tblLook w:val="04A0" w:firstRow="1" w:lastRow="0" w:firstColumn="1" w:lastColumn="0" w:noHBand="0" w:noVBand="1"/>
      </w:tblPr>
      <w:tblGrid>
        <w:gridCol w:w="4957"/>
        <w:gridCol w:w="4387"/>
      </w:tblGrid>
      <w:tr w:rsidR="006D2299" w14:paraId="1CF962B3" w14:textId="77777777" w:rsidTr="006D2299">
        <w:tc>
          <w:tcPr>
            <w:tcW w:w="4957" w:type="dxa"/>
            <w:shd w:val="clear" w:color="auto" w:fill="auto"/>
          </w:tcPr>
          <w:p w14:paraId="19A0CCD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b/>
                <w:bCs/>
                <w:color w:val="000000"/>
                <w:sz w:val="24"/>
                <w:szCs w:val="24"/>
                <w:lang w:eastAsia="uk-UA" w:bidi="uk-UA"/>
              </w:rPr>
              <w:t>Сильні сторони</w:t>
            </w:r>
          </w:p>
        </w:tc>
        <w:tc>
          <w:tcPr>
            <w:tcW w:w="4387" w:type="dxa"/>
            <w:shd w:val="clear" w:color="auto" w:fill="auto"/>
          </w:tcPr>
          <w:p w14:paraId="48DE8DF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b/>
                <w:bCs/>
                <w:color w:val="000000"/>
                <w:sz w:val="24"/>
                <w:szCs w:val="24"/>
                <w:lang w:eastAsia="uk-UA" w:bidi="uk-UA"/>
              </w:rPr>
              <w:t>Слабкі сторони</w:t>
            </w:r>
          </w:p>
        </w:tc>
      </w:tr>
      <w:tr w:rsidR="006D2299" w14:paraId="1F353A53" w14:textId="77777777" w:rsidTr="006D2299">
        <w:trPr>
          <w:trHeight w:val="9018"/>
        </w:trPr>
        <w:tc>
          <w:tcPr>
            <w:tcW w:w="4957" w:type="dxa"/>
            <w:shd w:val="clear" w:color="auto" w:fill="auto"/>
          </w:tcPr>
          <w:p w14:paraId="264C2D51" w14:textId="77777777" w:rsidR="006D2299" w:rsidRDefault="006D2299" w:rsidP="00C75FCD">
            <w:pPr>
              <w:widowControl w:val="0"/>
              <w:numPr>
                <w:ilvl w:val="0"/>
                <w:numId w:val="18"/>
              </w:numPr>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val="ru-RU" w:eastAsia="ru-RU" w:bidi="ru-RU"/>
              </w:rPr>
              <w:t xml:space="preserve">Одна </w:t>
            </w:r>
            <w:r>
              <w:rPr>
                <w:rFonts w:ascii="Times New Roman" w:eastAsia="Times New Roman" w:hAnsi="Times New Roman" w:cs="Times New Roman"/>
                <w:color w:val="000000"/>
                <w:sz w:val="24"/>
                <w:szCs w:val="24"/>
                <w:lang w:eastAsia="uk-UA" w:bidi="uk-UA"/>
              </w:rPr>
              <w:t xml:space="preserve">з </w:t>
            </w:r>
            <w:r>
              <w:rPr>
                <w:rFonts w:ascii="Times New Roman" w:eastAsia="Times New Roman" w:hAnsi="Times New Roman" w:cs="Times New Roman"/>
                <w:color w:val="000000"/>
                <w:sz w:val="24"/>
                <w:szCs w:val="24"/>
                <w:lang w:val="ru-RU" w:eastAsia="ru-RU" w:bidi="ru-RU"/>
              </w:rPr>
              <w:t>най</w:t>
            </w:r>
            <w:r>
              <w:rPr>
                <w:rFonts w:ascii="Times New Roman" w:eastAsia="Times New Roman" w:hAnsi="Times New Roman" w:cs="Times New Roman"/>
                <w:color w:val="000000"/>
                <w:sz w:val="24"/>
                <w:szCs w:val="24"/>
                <w:lang w:eastAsia="uk-UA" w:bidi="uk-UA"/>
              </w:rPr>
              <w:t>більш</w:t>
            </w:r>
            <w:r>
              <w:rPr>
                <w:rFonts w:ascii="Times New Roman" w:eastAsia="Times New Roman" w:hAnsi="Times New Roman" w:cs="Times New Roman"/>
                <w:color w:val="000000"/>
                <w:sz w:val="24"/>
                <w:szCs w:val="24"/>
                <w:lang w:val="ru-RU" w:eastAsia="ru-RU" w:bidi="ru-RU"/>
              </w:rPr>
              <w:t xml:space="preserve">их кластерних </w:t>
            </w:r>
            <w:r>
              <w:rPr>
                <w:rFonts w:ascii="Times New Roman" w:eastAsia="Times New Roman" w:hAnsi="Times New Roman" w:cs="Times New Roman"/>
                <w:color w:val="000000"/>
                <w:sz w:val="24"/>
                <w:szCs w:val="24"/>
                <w:lang w:eastAsia="uk-UA" w:bidi="uk-UA"/>
              </w:rPr>
              <w:t>лікарень Одеської територіальної громади</w:t>
            </w:r>
          </w:p>
          <w:p w14:paraId="5373506B" w14:textId="77777777" w:rsidR="006D2299" w:rsidRDefault="006D2299" w:rsidP="00C75FCD">
            <w:pPr>
              <w:widowControl w:val="0"/>
              <w:numPr>
                <w:ilvl w:val="0"/>
                <w:numId w:val="18"/>
              </w:numPr>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Наявність служб, які представлені в місті Одеса в однині (гемодіаліз, опікове, відділення інтервенційної кардіології та реперфузійної терапії, відділення політравми)</w:t>
            </w:r>
          </w:p>
          <w:p w14:paraId="09E10A77" w14:textId="77777777" w:rsidR="006D2299" w:rsidRDefault="006D2299" w:rsidP="00C75FCD">
            <w:pPr>
              <w:widowControl w:val="0"/>
              <w:numPr>
                <w:ilvl w:val="0"/>
                <w:numId w:val="18"/>
              </w:numPr>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Наявність високотехнологічного обладнання (ангіограф С-арка гольмієвий лазер, реабілітаційне обладнання)</w:t>
            </w:r>
          </w:p>
          <w:p w14:paraId="195B38CC" w14:textId="77777777" w:rsidR="006D2299" w:rsidRDefault="006D2299" w:rsidP="00C75FCD">
            <w:pPr>
              <w:widowControl w:val="0"/>
              <w:numPr>
                <w:ilvl w:val="0"/>
                <w:numId w:val="18"/>
              </w:numPr>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Відповідність вимог</w:t>
            </w:r>
            <w:r>
              <w:rPr>
                <w:rFonts w:ascii="Times New Roman" w:eastAsia="Times New Roman" w:hAnsi="Times New Roman" w:cs="Times New Roman"/>
                <w:color w:val="000000"/>
                <w:sz w:val="24"/>
                <w:szCs w:val="24"/>
                <w:lang w:val="ru-RU" w:eastAsia="uk-UA" w:bidi="uk-UA"/>
              </w:rPr>
              <w:t>ам</w:t>
            </w:r>
            <w:r>
              <w:rPr>
                <w:rFonts w:ascii="Times New Roman" w:eastAsia="Times New Roman" w:hAnsi="Times New Roman" w:cs="Times New Roman"/>
                <w:color w:val="000000"/>
                <w:sz w:val="24"/>
                <w:szCs w:val="24"/>
                <w:lang w:eastAsia="uk-UA" w:bidi="uk-UA"/>
              </w:rPr>
              <w:t xml:space="preserve"> Національної служби здоров’я України (реєстрація у ЕСОЗ, наявність МІС</w:t>
            </w:r>
            <w:r>
              <w:rPr>
                <w:rFonts w:ascii="Times New Roman" w:eastAsia="Times New Roman" w:hAnsi="Times New Roman" w:cs="Times New Roman"/>
                <w:color w:val="000000"/>
                <w:sz w:val="24"/>
                <w:szCs w:val="24"/>
                <w:lang w:val="ru-RU" w:eastAsia="uk-UA" w:bidi="uk-UA"/>
              </w:rPr>
              <w:t>,</w:t>
            </w:r>
            <w:r>
              <w:rPr>
                <w:rFonts w:ascii="Times New Roman" w:eastAsia="Times New Roman" w:hAnsi="Times New Roman" w:cs="Times New Roman"/>
                <w:color w:val="000000"/>
                <w:sz w:val="24"/>
                <w:szCs w:val="24"/>
                <w:lang w:eastAsia="uk-UA" w:bidi="uk-UA"/>
              </w:rPr>
              <w:t xml:space="preserve"> вимог</w:t>
            </w:r>
            <w:r>
              <w:rPr>
                <w:rFonts w:ascii="Times New Roman" w:eastAsia="Times New Roman" w:hAnsi="Times New Roman" w:cs="Times New Roman"/>
                <w:color w:val="000000"/>
                <w:sz w:val="24"/>
                <w:szCs w:val="24"/>
                <w:lang w:val="ru-RU" w:eastAsia="uk-UA" w:bidi="uk-UA"/>
              </w:rPr>
              <w:t>ам</w:t>
            </w:r>
            <w:r>
              <w:rPr>
                <w:rFonts w:ascii="Times New Roman" w:eastAsia="Times New Roman" w:hAnsi="Times New Roman" w:cs="Times New Roman"/>
                <w:color w:val="000000"/>
                <w:sz w:val="24"/>
                <w:szCs w:val="24"/>
                <w:lang w:eastAsia="uk-UA" w:bidi="uk-UA"/>
              </w:rPr>
              <w:t xml:space="preserve"> багатьох пакетів медичної допомоги)</w:t>
            </w:r>
          </w:p>
          <w:p w14:paraId="20962C00" w14:textId="77777777" w:rsidR="006D2299" w:rsidRDefault="006D2299" w:rsidP="00C75FCD">
            <w:pPr>
              <w:widowControl w:val="0"/>
              <w:numPr>
                <w:ilvl w:val="0"/>
                <w:numId w:val="18"/>
              </w:numPr>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Наявність відділення екстреної та невідкладної допомоги, можливість одночасного надання екстреної медичної допомоги при масовому ураженні</w:t>
            </w:r>
          </w:p>
          <w:p w14:paraId="3C22CB93" w14:textId="77777777" w:rsidR="006D2299" w:rsidRDefault="006D2299" w:rsidP="00C75FCD">
            <w:pPr>
              <w:widowControl w:val="0"/>
              <w:numPr>
                <w:ilvl w:val="0"/>
                <w:numId w:val="18"/>
              </w:numPr>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Зручне розташування лікарні (фасадний під’їзд центральної вулиці, знаходження у спальному густонаселеному районі міста)</w:t>
            </w:r>
          </w:p>
          <w:p w14:paraId="1DE8A800" w14:textId="77777777" w:rsidR="006D2299" w:rsidRDefault="006D2299" w:rsidP="00C75FCD">
            <w:pPr>
              <w:widowControl w:val="0"/>
              <w:numPr>
                <w:ilvl w:val="0"/>
                <w:numId w:val="18"/>
              </w:numPr>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Високий рівень кваліфікації лікарів (представлені всі основні напрямки спеціалізованої допомоги)</w:t>
            </w:r>
          </w:p>
          <w:p w14:paraId="0181BEDA" w14:textId="77777777" w:rsidR="006D2299" w:rsidRDefault="006D2299" w:rsidP="00C75FCD">
            <w:pPr>
              <w:widowControl w:val="0"/>
              <w:numPr>
                <w:ilvl w:val="0"/>
                <w:numId w:val="18"/>
              </w:numPr>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Можливості державно-приватного партнерства</w:t>
            </w:r>
          </w:p>
          <w:p w14:paraId="6983632C" w14:textId="77777777" w:rsidR="006D2299" w:rsidRDefault="006D2299" w:rsidP="00C75FCD">
            <w:pPr>
              <w:widowControl w:val="0"/>
              <w:numPr>
                <w:ilvl w:val="0"/>
                <w:numId w:val="18"/>
              </w:numPr>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Можлива співпраця з вишами Одеси</w:t>
            </w:r>
            <w:r>
              <w:rPr>
                <w:rFonts w:ascii="Times New Roman" w:eastAsia="Times New Roman" w:hAnsi="Times New Roman" w:cs="Times New Roman"/>
                <w:color w:val="000000"/>
                <w:sz w:val="24"/>
                <w:szCs w:val="24"/>
                <w:lang w:val="ru-RU" w:eastAsia="uk-UA" w:bidi="uk-UA"/>
              </w:rPr>
              <w:t xml:space="preserve"> та</w:t>
            </w:r>
            <w:r>
              <w:rPr>
                <w:rFonts w:ascii="Times New Roman" w:eastAsia="Times New Roman" w:hAnsi="Times New Roman" w:cs="Times New Roman"/>
                <w:color w:val="000000"/>
                <w:sz w:val="24"/>
                <w:szCs w:val="24"/>
                <w:lang w:eastAsia="uk-UA" w:bidi="uk-UA"/>
              </w:rPr>
              <w:t xml:space="preserve"> з клінічно досвідченими спеціалістами</w:t>
            </w:r>
          </w:p>
          <w:p w14:paraId="70806EBE" w14:textId="77777777" w:rsidR="006D2299" w:rsidRDefault="006D2299" w:rsidP="00C75FCD">
            <w:pPr>
              <w:widowControl w:val="0"/>
              <w:numPr>
                <w:ilvl w:val="0"/>
                <w:numId w:val="18"/>
              </w:numPr>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Співпраця з іншими надавачами медичних послуг, провідними лікарнями, центрами та науково- дослідницькими організаціями, лабораторіями біоніки та протезування</w:t>
            </w:r>
          </w:p>
          <w:p w14:paraId="5B9E9B1C" w14:textId="0A255993"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tabs>
                <w:tab w:val="left" w:pos="142"/>
                <w:tab w:val="left" w:pos="28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Потужні аутсорсингові можливості</w:t>
            </w:r>
          </w:p>
        </w:tc>
        <w:tc>
          <w:tcPr>
            <w:tcW w:w="4387" w:type="dxa"/>
            <w:shd w:val="clear" w:color="auto" w:fill="auto"/>
          </w:tcPr>
          <w:p w14:paraId="6EB1796E" w14:textId="77777777" w:rsidR="006D2299" w:rsidRDefault="006D2299" w:rsidP="00C75FCD">
            <w:pPr>
              <w:widowControl w:val="0"/>
              <w:numPr>
                <w:ilvl w:val="0"/>
                <w:numId w:val="19"/>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Потреба в дотриманні оновлених медико- технологічних стандартів згідно сучасних вимог реформування охорони здоров’я</w:t>
            </w:r>
          </w:p>
          <w:p w14:paraId="298C5F42" w14:textId="77777777" w:rsidR="006D2299" w:rsidRDefault="006D2299" w:rsidP="00C75FCD">
            <w:pPr>
              <w:widowControl w:val="0"/>
              <w:numPr>
                <w:ilvl w:val="0"/>
                <w:numId w:val="19"/>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Накопичення досвіду з впровадження електронних медичних записів</w:t>
            </w:r>
          </w:p>
          <w:p w14:paraId="092F28D8" w14:textId="77777777" w:rsidR="006D2299" w:rsidRDefault="006D2299" w:rsidP="00C75FCD">
            <w:pPr>
              <w:widowControl w:val="0"/>
              <w:numPr>
                <w:ilvl w:val="0"/>
                <w:numId w:val="19"/>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Матеріально-технічна база, що потребує оновлення</w:t>
            </w:r>
          </w:p>
          <w:p w14:paraId="713E8CFB" w14:textId="77777777" w:rsidR="006D2299" w:rsidRDefault="006D2299" w:rsidP="00C75FCD">
            <w:pPr>
              <w:widowControl w:val="0"/>
              <w:numPr>
                <w:ilvl w:val="0"/>
                <w:numId w:val="19"/>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Обмеження з впровадження заходів з діджиталізації та інформатизації закладу</w:t>
            </w:r>
          </w:p>
          <w:p w14:paraId="07B360F7" w14:textId="77777777" w:rsidR="006D2299" w:rsidRDefault="006D2299" w:rsidP="00C75FCD">
            <w:pPr>
              <w:widowControl w:val="0"/>
              <w:numPr>
                <w:ilvl w:val="0"/>
                <w:numId w:val="19"/>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Недостатній рівень фінансування</w:t>
            </w:r>
          </w:p>
          <w:p w14:paraId="079B86E0" w14:textId="77777777" w:rsidR="006D2299" w:rsidRDefault="006D2299" w:rsidP="00C75FCD">
            <w:pPr>
              <w:widowControl w:val="0"/>
              <w:numPr>
                <w:ilvl w:val="0"/>
                <w:numId w:val="19"/>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Становлення корпоративній стратегії та формуванні бренд-стилю, первісності послуг</w:t>
            </w:r>
          </w:p>
          <w:p w14:paraId="28D61CF0" w14:textId="77777777" w:rsidR="006D2299" w:rsidRDefault="006D2299" w:rsidP="00C75FCD">
            <w:pPr>
              <w:widowControl w:val="0"/>
              <w:numPr>
                <w:ilvl w:val="0"/>
                <w:numId w:val="19"/>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Низький рівень резерву фінансового стимулювання персоналу</w:t>
            </w:r>
          </w:p>
          <w:p w14:paraId="3920FDB4" w14:textId="77777777" w:rsidR="006D2299" w:rsidRDefault="006D2299" w:rsidP="00C75FCD">
            <w:pPr>
              <w:widowControl w:val="0"/>
              <w:numPr>
                <w:ilvl w:val="0"/>
                <w:numId w:val="19"/>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Постійний контроль та впровадження антикорупційних заходів</w:t>
            </w:r>
          </w:p>
          <w:p w14:paraId="7491FA1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p>
        </w:tc>
      </w:tr>
      <w:tr w:rsidR="006D2299" w14:paraId="6762E792" w14:textId="77777777" w:rsidTr="006D2299">
        <w:tc>
          <w:tcPr>
            <w:tcW w:w="4957" w:type="dxa"/>
            <w:shd w:val="clear" w:color="auto" w:fill="auto"/>
          </w:tcPr>
          <w:p w14:paraId="424DA2A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b/>
                <w:bCs/>
                <w:color w:val="000000"/>
                <w:sz w:val="24"/>
                <w:szCs w:val="24"/>
                <w:lang w:eastAsia="uk-UA" w:bidi="uk-UA"/>
              </w:rPr>
              <w:t>Можливості</w:t>
            </w:r>
          </w:p>
        </w:tc>
        <w:tc>
          <w:tcPr>
            <w:tcW w:w="4387" w:type="dxa"/>
            <w:shd w:val="clear" w:color="auto" w:fill="auto"/>
          </w:tcPr>
          <w:p w14:paraId="3766374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b/>
                <w:bCs/>
                <w:color w:val="000000"/>
                <w:sz w:val="24"/>
                <w:szCs w:val="24"/>
                <w:lang w:eastAsia="uk-UA" w:bidi="uk-UA"/>
              </w:rPr>
              <w:t>Загрози</w:t>
            </w:r>
          </w:p>
        </w:tc>
      </w:tr>
      <w:tr w:rsidR="006D2299" w14:paraId="2F57B3D8" w14:textId="77777777" w:rsidTr="006D2299">
        <w:tc>
          <w:tcPr>
            <w:tcW w:w="4957" w:type="dxa"/>
            <w:shd w:val="clear" w:color="auto" w:fill="auto"/>
          </w:tcPr>
          <w:p w14:paraId="3E2C842B" w14:textId="77777777" w:rsidR="006D2299" w:rsidRDefault="006D2299" w:rsidP="006D2299">
            <w:pPr>
              <w:widowControl w:val="0"/>
              <w:numPr>
                <w:ilvl w:val="0"/>
                <w:numId w:val="20"/>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Можливість відповідати кластерній багатопрофільній лікарні інтенсивного лікування за інфраструктурною реформою системи 03 шляхом розвитку власних служб або об’єднання з іншими лікарнями</w:t>
            </w:r>
          </w:p>
          <w:p w14:paraId="4CD73AF7" w14:textId="77777777" w:rsidR="006D2299" w:rsidRDefault="006D2299" w:rsidP="006D2299">
            <w:pPr>
              <w:widowControl w:val="0"/>
              <w:numPr>
                <w:ilvl w:val="0"/>
                <w:numId w:val="20"/>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Впровадження нових технологій, високотехнологічних втручань, трансплантацій органів, реабілітації тощо</w:t>
            </w:r>
          </w:p>
          <w:p w14:paraId="77FDEB4C" w14:textId="77777777" w:rsidR="006D2299" w:rsidRDefault="006D2299" w:rsidP="006D2299">
            <w:pPr>
              <w:widowControl w:val="0"/>
              <w:numPr>
                <w:ilvl w:val="0"/>
                <w:numId w:val="20"/>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Впровадження регіональних клінічних маршрутів за основними напрямами діяльності</w:t>
            </w:r>
          </w:p>
          <w:p w14:paraId="6EB779A3" w14:textId="4FEA86BB" w:rsidR="006D2299" w:rsidRPr="008326E2" w:rsidRDefault="008326E2" w:rsidP="008326E2">
            <w:pPr>
              <w:widowControl w:val="0"/>
              <w:numPr>
                <w:ilvl w:val="0"/>
                <w:numId w:val="20"/>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Впровадження нових моделей організаційно-управлінських рішень</w:t>
            </w:r>
          </w:p>
        </w:tc>
        <w:tc>
          <w:tcPr>
            <w:tcW w:w="4387" w:type="dxa"/>
            <w:shd w:val="clear" w:color="auto" w:fill="auto"/>
          </w:tcPr>
          <w:p w14:paraId="3DF9C60A" w14:textId="2481DA25" w:rsidR="006D2299" w:rsidRPr="006D2299" w:rsidRDefault="006D2299" w:rsidP="006D2299">
            <w:pPr>
              <w:tabs>
                <w:tab w:val="left" w:pos="174"/>
              </w:tabs>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lang w:eastAsia="uk-UA" w:bidi="uk-UA"/>
              </w:rPr>
              <w:t xml:space="preserve">- </w:t>
            </w:r>
            <w:r w:rsidRPr="006D2299">
              <w:rPr>
                <w:rFonts w:ascii="Times New Roman" w:eastAsia="Times New Roman" w:hAnsi="Times New Roman" w:cs="Times New Roman"/>
                <w:sz w:val="24"/>
                <w:szCs w:val="24"/>
              </w:rPr>
              <w:t>Постійні зміни у рамкових вимогах до кластерної лікарні, вимогах договорів з НСЗУ</w:t>
            </w:r>
          </w:p>
          <w:p w14:paraId="322F4034" w14:textId="77777777" w:rsidR="006D2299" w:rsidRPr="006D2299" w:rsidRDefault="006D2299" w:rsidP="006D2299">
            <w:pPr>
              <w:tabs>
                <w:tab w:val="left" w:pos="174"/>
              </w:tabs>
              <w:rPr>
                <w:rFonts w:ascii="Times New Roman" w:eastAsia="Times New Roman" w:hAnsi="Times New Roman" w:cs="Times New Roman"/>
                <w:sz w:val="24"/>
                <w:szCs w:val="24"/>
              </w:rPr>
            </w:pPr>
            <w:r w:rsidRPr="006D2299">
              <w:rPr>
                <w:rFonts w:ascii="Times New Roman" w:eastAsia="Times New Roman" w:hAnsi="Times New Roman" w:cs="Times New Roman"/>
                <w:sz w:val="24"/>
                <w:szCs w:val="24"/>
              </w:rPr>
              <w:t>-</w:t>
            </w:r>
            <w:r w:rsidRPr="006D2299">
              <w:rPr>
                <w:rFonts w:ascii="Times New Roman" w:eastAsia="Times New Roman" w:hAnsi="Times New Roman" w:cs="Times New Roman"/>
                <w:sz w:val="24"/>
                <w:szCs w:val="24"/>
              </w:rPr>
              <w:tab/>
              <w:t>Потреба у розвитку деяких служб за вимогами до кластерних лікарень (акушерство)</w:t>
            </w:r>
          </w:p>
          <w:p w14:paraId="59BEEB2C" w14:textId="77777777" w:rsidR="006D2299" w:rsidRPr="006D2299" w:rsidRDefault="006D2299" w:rsidP="006D2299">
            <w:pPr>
              <w:tabs>
                <w:tab w:val="left" w:pos="174"/>
              </w:tabs>
              <w:rPr>
                <w:rFonts w:ascii="Times New Roman" w:eastAsia="Times New Roman" w:hAnsi="Times New Roman" w:cs="Times New Roman"/>
                <w:sz w:val="24"/>
                <w:szCs w:val="24"/>
              </w:rPr>
            </w:pPr>
            <w:r w:rsidRPr="006D2299">
              <w:rPr>
                <w:rFonts w:ascii="Times New Roman" w:eastAsia="Times New Roman" w:hAnsi="Times New Roman" w:cs="Times New Roman"/>
                <w:sz w:val="24"/>
                <w:szCs w:val="24"/>
              </w:rPr>
              <w:t>-</w:t>
            </w:r>
            <w:r w:rsidRPr="006D2299">
              <w:rPr>
                <w:rFonts w:ascii="Times New Roman" w:eastAsia="Times New Roman" w:hAnsi="Times New Roman" w:cs="Times New Roman"/>
                <w:sz w:val="24"/>
                <w:szCs w:val="24"/>
              </w:rPr>
              <w:tab/>
              <w:t>Непрозорість подальшого реформування системи 03</w:t>
            </w:r>
          </w:p>
          <w:p w14:paraId="0C50E07D" w14:textId="77777777" w:rsidR="006D2299" w:rsidRPr="006D2299" w:rsidRDefault="006D2299" w:rsidP="006D2299">
            <w:pPr>
              <w:tabs>
                <w:tab w:val="left" w:pos="174"/>
              </w:tabs>
              <w:rPr>
                <w:rFonts w:ascii="Times New Roman" w:eastAsia="Times New Roman" w:hAnsi="Times New Roman" w:cs="Times New Roman"/>
                <w:sz w:val="24"/>
                <w:szCs w:val="24"/>
              </w:rPr>
            </w:pPr>
            <w:r w:rsidRPr="006D2299">
              <w:rPr>
                <w:rFonts w:ascii="Times New Roman" w:eastAsia="Times New Roman" w:hAnsi="Times New Roman" w:cs="Times New Roman"/>
                <w:sz w:val="24"/>
                <w:szCs w:val="24"/>
              </w:rPr>
              <w:t>-</w:t>
            </w:r>
            <w:r w:rsidRPr="006D2299">
              <w:rPr>
                <w:rFonts w:ascii="Times New Roman" w:eastAsia="Times New Roman" w:hAnsi="Times New Roman" w:cs="Times New Roman"/>
                <w:sz w:val="24"/>
                <w:szCs w:val="24"/>
              </w:rPr>
              <w:tab/>
              <w:t>Недосконалість нормативної бази з медико-технологічного та медико-правового регулювання</w:t>
            </w:r>
          </w:p>
          <w:p w14:paraId="15C0C54C" w14:textId="77777777" w:rsidR="006D2299" w:rsidRPr="006D2299" w:rsidRDefault="006D2299" w:rsidP="006D2299">
            <w:pPr>
              <w:tabs>
                <w:tab w:val="left" w:pos="174"/>
              </w:tabs>
              <w:rPr>
                <w:rFonts w:ascii="Times New Roman" w:eastAsia="Times New Roman" w:hAnsi="Times New Roman" w:cs="Times New Roman"/>
                <w:sz w:val="24"/>
                <w:szCs w:val="24"/>
              </w:rPr>
            </w:pPr>
            <w:r w:rsidRPr="006D2299">
              <w:rPr>
                <w:rFonts w:ascii="Times New Roman" w:eastAsia="Times New Roman" w:hAnsi="Times New Roman" w:cs="Times New Roman"/>
                <w:sz w:val="24"/>
                <w:szCs w:val="24"/>
              </w:rPr>
              <w:t>-</w:t>
            </w:r>
            <w:r w:rsidRPr="006D2299">
              <w:rPr>
                <w:rFonts w:ascii="Times New Roman" w:eastAsia="Times New Roman" w:hAnsi="Times New Roman" w:cs="Times New Roman"/>
                <w:sz w:val="24"/>
                <w:szCs w:val="24"/>
              </w:rPr>
              <w:tab/>
              <w:t>Зміни на ринку праці</w:t>
            </w:r>
          </w:p>
          <w:p w14:paraId="0FC262DF" w14:textId="5D6B2129" w:rsidR="006D2299" w:rsidRPr="008326E2" w:rsidRDefault="006D2299" w:rsidP="008326E2">
            <w:pPr>
              <w:tabs>
                <w:tab w:val="left" w:pos="174"/>
              </w:tabs>
              <w:rPr>
                <w:rFonts w:ascii="Times New Roman" w:eastAsia="Times New Roman" w:hAnsi="Times New Roman" w:cs="Times New Roman"/>
                <w:sz w:val="24"/>
                <w:szCs w:val="24"/>
              </w:rPr>
            </w:pPr>
            <w:r w:rsidRPr="006D2299">
              <w:rPr>
                <w:rFonts w:ascii="Times New Roman" w:eastAsia="Times New Roman" w:hAnsi="Times New Roman" w:cs="Times New Roman"/>
                <w:sz w:val="24"/>
                <w:szCs w:val="24"/>
              </w:rPr>
              <w:t>-</w:t>
            </w:r>
            <w:r w:rsidRPr="006D2299">
              <w:rPr>
                <w:rFonts w:ascii="Times New Roman" w:eastAsia="Times New Roman" w:hAnsi="Times New Roman" w:cs="Times New Roman"/>
                <w:sz w:val="24"/>
                <w:szCs w:val="24"/>
              </w:rPr>
              <w:tab/>
              <w:t>Обмежена за пропозиц</w:t>
            </w:r>
            <w:r w:rsidR="008326E2">
              <w:rPr>
                <w:rFonts w:ascii="Times New Roman" w:eastAsia="Times New Roman" w:hAnsi="Times New Roman" w:cs="Times New Roman"/>
                <w:sz w:val="24"/>
                <w:szCs w:val="24"/>
              </w:rPr>
              <w:t>іями фандрейзингової діяльності</w:t>
            </w:r>
          </w:p>
        </w:tc>
      </w:tr>
    </w:tbl>
    <w:p w14:paraId="6699C0F4" w14:textId="65CBBB5F" w:rsidR="008326E2" w:rsidRPr="008326E2" w:rsidRDefault="008326E2" w:rsidP="008326E2">
      <w:pPr>
        <w:spacing w:after="0"/>
        <w:jc w:val="right"/>
        <w:rPr>
          <w:rFonts w:ascii="Times New Roman" w:hAnsi="Times New Roman" w:cs="Times New Roman"/>
          <w:sz w:val="28"/>
          <w:szCs w:val="28"/>
        </w:rPr>
      </w:pPr>
      <w:r w:rsidRPr="008326E2">
        <w:rPr>
          <w:rFonts w:ascii="Times New Roman" w:hAnsi="Times New Roman" w:cs="Times New Roman"/>
          <w:sz w:val="28"/>
          <w:szCs w:val="28"/>
        </w:rPr>
        <w:lastRenderedPageBreak/>
        <w:t>Продовження таблиці 2.1</w:t>
      </w:r>
    </w:p>
    <w:tbl>
      <w:tblPr>
        <w:tblStyle w:val="a3"/>
        <w:tblW w:w="0" w:type="auto"/>
        <w:tblLook w:val="04A0" w:firstRow="1" w:lastRow="0" w:firstColumn="1" w:lastColumn="0" w:noHBand="0" w:noVBand="1"/>
      </w:tblPr>
      <w:tblGrid>
        <w:gridCol w:w="4957"/>
        <w:gridCol w:w="4387"/>
      </w:tblGrid>
      <w:tr w:rsidR="006D2299" w14:paraId="5F5BDDB1" w14:textId="77777777" w:rsidTr="008326E2">
        <w:trPr>
          <w:trHeight w:val="5495"/>
        </w:trPr>
        <w:tc>
          <w:tcPr>
            <w:tcW w:w="4957" w:type="dxa"/>
            <w:shd w:val="clear" w:color="auto" w:fill="auto"/>
          </w:tcPr>
          <w:p w14:paraId="3BCBA01D" w14:textId="77777777" w:rsidR="006D2299" w:rsidRDefault="006D2299" w:rsidP="00C75FCD">
            <w:pPr>
              <w:widowControl w:val="0"/>
              <w:numPr>
                <w:ilvl w:val="0"/>
                <w:numId w:val="20"/>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Покращення матеріально-технічної бази</w:t>
            </w:r>
          </w:p>
          <w:p w14:paraId="0DCA450B" w14:textId="77777777" w:rsidR="006D2299" w:rsidRDefault="006D2299" w:rsidP="00C75FCD">
            <w:pPr>
              <w:widowControl w:val="0"/>
              <w:numPr>
                <w:ilvl w:val="0"/>
                <w:numId w:val="20"/>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Підвищення рівня кваліфікацій персоналу</w:t>
            </w:r>
          </w:p>
          <w:p w14:paraId="23C76C92" w14:textId="77777777" w:rsidR="006D2299" w:rsidRDefault="006D2299" w:rsidP="00C75FCD">
            <w:pPr>
              <w:widowControl w:val="0"/>
              <w:numPr>
                <w:ilvl w:val="0"/>
                <w:numId w:val="20"/>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Маркетингові заходи з метою впізнаваності лікарні та підвищення іміджу </w:t>
            </w:r>
            <w:r>
              <w:rPr>
                <w:rFonts w:ascii="Times New Roman" w:eastAsia="Times New Roman" w:hAnsi="Times New Roman" w:cs="Times New Roman"/>
                <w:color w:val="000000"/>
                <w:sz w:val="24"/>
                <w:szCs w:val="24"/>
                <w:lang w:val="ru-RU" w:eastAsia="uk-UA" w:bidi="uk-UA"/>
              </w:rPr>
              <w:t>на</w:t>
            </w:r>
            <w:r>
              <w:rPr>
                <w:rFonts w:ascii="Times New Roman" w:eastAsia="Times New Roman" w:hAnsi="Times New Roman" w:cs="Times New Roman"/>
                <w:color w:val="000000"/>
                <w:sz w:val="24"/>
                <w:szCs w:val="24"/>
                <w:lang w:eastAsia="uk-UA" w:bidi="uk-UA"/>
              </w:rPr>
              <w:t xml:space="preserve"> ринку медичних послуг</w:t>
            </w:r>
          </w:p>
          <w:p w14:paraId="349CF202" w14:textId="77777777" w:rsidR="006D2299" w:rsidRDefault="006D2299" w:rsidP="00C75FCD">
            <w:pPr>
              <w:widowControl w:val="0"/>
              <w:numPr>
                <w:ilvl w:val="0"/>
                <w:numId w:val="20"/>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Впровадження платних послуг</w:t>
            </w:r>
          </w:p>
          <w:p w14:paraId="03FD0FD2" w14:textId="77777777" w:rsidR="006D2299" w:rsidRDefault="006D2299" w:rsidP="00C75FCD">
            <w:pPr>
              <w:pBdr>
                <w:top w:val="none" w:sz="4" w:space="0" w:color="000000"/>
                <w:left w:val="none" w:sz="4" w:space="0" w:color="000000"/>
                <w:bottom w:val="none" w:sz="4" w:space="0" w:color="000000"/>
                <w:right w:val="none" w:sz="4" w:space="0" w:color="000000"/>
              </w:pBdr>
              <w:tabs>
                <w:tab w:val="left" w:pos="142"/>
              </w:tabs>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lang w:val="ru-RU"/>
              </w:rPr>
              <w:t xml:space="preserve">- </w:t>
            </w:r>
            <w:r>
              <w:rPr>
                <w:rFonts w:ascii="Times New Roman" w:eastAsia="Times New Roman" w:hAnsi="Times New Roman" w:cs="Times New Roman"/>
                <w:color w:val="000000"/>
                <w:sz w:val="24"/>
                <w:szCs w:val="24"/>
              </w:rPr>
              <w:t>Співпраця з іншими закладами охорони здоров’я, центрами соціальних служб для сім’ї, дітей та молоді, службами у справах дітей, територіальними центрами соціального обслуговування, а також із неурядовими та благодійними організаціями, правоохоронними структурами, підприємствами, установами, органами місцевого самоврядування та засобами масової інформації.</w:t>
            </w:r>
          </w:p>
          <w:p w14:paraId="1E549DA5" w14:textId="77777777" w:rsidR="006D2299" w:rsidRDefault="006D2299" w:rsidP="00C75FCD">
            <w:pPr>
              <w:widowControl w:val="0"/>
              <w:numPr>
                <w:ilvl w:val="0"/>
                <w:numId w:val="20"/>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Впровадження програми антикорупційних заходів</w:t>
            </w:r>
          </w:p>
          <w:p w14:paraId="69A4C00B" w14:textId="77777777" w:rsidR="006D2299" w:rsidRDefault="006D2299" w:rsidP="00C75FCD">
            <w:pPr>
              <w:widowControl w:val="0"/>
              <w:numPr>
                <w:ilvl w:val="0"/>
                <w:numId w:val="20"/>
              </w:numPr>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Розвиток медичного туризму</w:t>
            </w:r>
          </w:p>
          <w:p w14:paraId="2F3078D1" w14:textId="2A1102CA" w:rsidR="008326E2" w:rsidRDefault="008326E2" w:rsidP="008326E2">
            <w:pPr>
              <w:widowControl w:val="0"/>
              <w:pBdr>
                <w:top w:val="none" w:sz="4" w:space="0" w:color="000000"/>
                <w:left w:val="none" w:sz="4" w:space="0" w:color="000000"/>
                <w:bottom w:val="none" w:sz="4" w:space="0" w:color="000000"/>
                <w:right w:val="none" w:sz="4" w:space="0" w:color="000000"/>
                <w:between w:val="none" w:sz="4" w:space="0" w:color="000000"/>
              </w:pBdr>
              <w:tabs>
                <w:tab w:val="left" w:pos="142"/>
              </w:tabs>
              <w:rPr>
                <w:rFonts w:ascii="Times New Roman" w:eastAsia="Times New Roman" w:hAnsi="Times New Roman" w:cs="Times New Roman"/>
                <w:color w:val="000000"/>
                <w:sz w:val="24"/>
                <w:szCs w:val="24"/>
                <w:lang w:eastAsia="uk-UA" w:bidi="uk-UA"/>
              </w:rPr>
            </w:pPr>
          </w:p>
        </w:tc>
        <w:tc>
          <w:tcPr>
            <w:tcW w:w="4387" w:type="dxa"/>
            <w:shd w:val="clear" w:color="auto" w:fill="auto"/>
          </w:tcPr>
          <w:p w14:paraId="15775A87" w14:textId="17F21CD5" w:rsidR="008326E2" w:rsidRPr="006D2299" w:rsidRDefault="008326E2" w:rsidP="008326E2">
            <w:pPr>
              <w:tabs>
                <w:tab w:val="left" w:pos="174"/>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6D2299">
              <w:rPr>
                <w:rFonts w:ascii="Times New Roman" w:eastAsia="Times New Roman" w:hAnsi="Times New Roman" w:cs="Times New Roman"/>
                <w:sz w:val="24"/>
                <w:szCs w:val="24"/>
              </w:rPr>
              <w:t>Зростання вартості комунальних послуг, лікарських засобів, витратних матеріалів тощо</w:t>
            </w:r>
          </w:p>
          <w:p w14:paraId="32C8F427" w14:textId="1ED8AE15" w:rsidR="006D2299" w:rsidRPr="006D2299" w:rsidRDefault="008326E2" w:rsidP="008326E2">
            <w:pPr>
              <w:tabs>
                <w:tab w:val="left" w:pos="174"/>
              </w:tabs>
              <w:rPr>
                <w:rFonts w:ascii="Times New Roman" w:eastAsia="Times New Roman" w:hAnsi="Times New Roman" w:cs="Times New Roman"/>
                <w:sz w:val="24"/>
                <w:szCs w:val="24"/>
              </w:rPr>
            </w:pPr>
            <w:r w:rsidRPr="006D2299">
              <w:rPr>
                <w:rFonts w:ascii="Times New Roman" w:eastAsia="Times New Roman" w:hAnsi="Times New Roman" w:cs="Times New Roman"/>
                <w:sz w:val="24"/>
                <w:szCs w:val="24"/>
              </w:rPr>
              <w:t>-</w:t>
            </w:r>
            <w:r w:rsidRPr="006D2299">
              <w:rPr>
                <w:rFonts w:ascii="Times New Roman" w:eastAsia="Times New Roman" w:hAnsi="Times New Roman" w:cs="Times New Roman"/>
                <w:sz w:val="24"/>
                <w:szCs w:val="24"/>
              </w:rPr>
              <w:tab/>
              <w:t>Форс-мажорні обста</w:t>
            </w:r>
            <w:r>
              <w:rPr>
                <w:rFonts w:ascii="Times New Roman" w:eastAsia="Times New Roman" w:hAnsi="Times New Roman" w:cs="Times New Roman"/>
                <w:sz w:val="24"/>
                <w:szCs w:val="24"/>
              </w:rPr>
              <w:t>вини (воєнний стан, бойові дії)</w:t>
            </w:r>
          </w:p>
          <w:p w14:paraId="624B51BC" w14:textId="77777777" w:rsidR="006D2299" w:rsidRPr="006D2299" w:rsidRDefault="006D2299" w:rsidP="006D2299">
            <w:pPr>
              <w:rPr>
                <w:rFonts w:ascii="Times New Roman" w:eastAsia="Times New Roman" w:hAnsi="Times New Roman" w:cs="Times New Roman"/>
                <w:sz w:val="24"/>
                <w:szCs w:val="24"/>
              </w:rPr>
            </w:pPr>
          </w:p>
          <w:p w14:paraId="6402ED70" w14:textId="6826D413" w:rsidR="006D2299" w:rsidRDefault="006D2299" w:rsidP="00C75FCD">
            <w:pPr>
              <w:rPr>
                <w:rFonts w:ascii="Times New Roman" w:eastAsia="Times New Roman" w:hAnsi="Times New Roman" w:cs="Times New Roman"/>
                <w:sz w:val="24"/>
                <w:szCs w:val="24"/>
              </w:rPr>
            </w:pPr>
          </w:p>
        </w:tc>
      </w:tr>
    </w:tbl>
    <w:p w14:paraId="68731303" w14:textId="04FF53B6" w:rsidR="006D2299" w:rsidRDefault="006D2299" w:rsidP="008326E2">
      <w:pPr>
        <w:widowControl w:val="0"/>
        <w:pBdr>
          <w:top w:val="none" w:sz="4" w:space="31" w:color="000000"/>
          <w:left w:val="none" w:sz="4" w:space="0" w:color="000000"/>
          <w:bottom w:val="none" w:sz="4" w:space="0" w:color="000000"/>
          <w:right w:val="none" w:sz="4" w:space="0" w:color="000000"/>
          <w:between w:val="none" w:sz="4" w:space="0" w:color="000000"/>
        </w:pBdr>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В лікарні проводиться систематична робота з аналізу основних виробничих показників. Відтак, виділені щоденні (рутинні), щомісячні та щорічні критерії та індикатори якості виконання показників.</w:t>
      </w:r>
    </w:p>
    <w:p w14:paraId="21AD39B3" w14:textId="2C0A8AEB" w:rsidR="006D2299" w:rsidRDefault="006D2299" w:rsidP="008326E2">
      <w:pPr>
        <w:widowControl w:val="0"/>
        <w:pBdr>
          <w:top w:val="none" w:sz="4" w:space="31" w:color="000000"/>
          <w:left w:val="none" w:sz="4" w:space="0" w:color="000000"/>
          <w:bottom w:val="none" w:sz="4" w:space="0" w:color="000000"/>
          <w:right w:val="none" w:sz="4" w:space="0" w:color="000000"/>
          <w:between w:val="none" w:sz="4" w:space="0" w:color="000000"/>
        </w:pBdr>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Закладом проводиться звітування та щоквартально подаються відповідні статистичні звіти. Аналіз основних виробничих показників закладу представлений в таблиці </w:t>
      </w:r>
      <w:r w:rsidR="008326E2">
        <w:rPr>
          <w:rFonts w:ascii="Times New Roman" w:eastAsia="Times New Roman" w:hAnsi="Times New Roman" w:cs="Times New Roman"/>
          <w:color w:val="000000"/>
          <w:sz w:val="28"/>
          <w:szCs w:val="28"/>
          <w:lang w:eastAsia="uk-UA" w:bidi="uk-UA"/>
        </w:rPr>
        <w:t>2</w:t>
      </w:r>
      <w:r>
        <w:rPr>
          <w:rFonts w:ascii="Times New Roman" w:eastAsia="Times New Roman" w:hAnsi="Times New Roman" w:cs="Times New Roman"/>
          <w:color w:val="000000"/>
          <w:sz w:val="28"/>
          <w:szCs w:val="28"/>
          <w:lang w:eastAsia="uk-UA" w:bidi="uk-UA"/>
        </w:rPr>
        <w:t>.2.</w:t>
      </w:r>
    </w:p>
    <w:p w14:paraId="0D8B592E" w14:textId="270BAAC9" w:rsidR="006D2299" w:rsidRDefault="006D2299" w:rsidP="008326E2">
      <w:pPr>
        <w:widowControl w:val="0"/>
        <w:pBdr>
          <w:top w:val="none" w:sz="4" w:space="31" w:color="000000"/>
          <w:left w:val="none" w:sz="4" w:space="0" w:color="000000"/>
          <w:bottom w:val="none" w:sz="4" w:space="0" w:color="000000"/>
          <w:right w:val="none" w:sz="4" w:space="0" w:color="000000"/>
          <w:between w:val="none" w:sz="4" w:space="0" w:color="000000"/>
        </w:pBdr>
        <w:spacing w:after="0" w:line="360" w:lineRule="auto"/>
        <w:ind w:firstLine="709"/>
        <w:jc w:val="right"/>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Таблиця </w:t>
      </w:r>
      <w:r w:rsidR="008326E2">
        <w:rPr>
          <w:rFonts w:ascii="Times New Roman" w:eastAsia="Times New Roman" w:hAnsi="Times New Roman" w:cs="Times New Roman"/>
          <w:color w:val="000000"/>
          <w:sz w:val="28"/>
          <w:szCs w:val="28"/>
          <w:lang w:eastAsia="uk-UA" w:bidi="uk-UA"/>
        </w:rPr>
        <w:t>2</w:t>
      </w:r>
      <w:r>
        <w:rPr>
          <w:rFonts w:ascii="Times New Roman" w:eastAsia="Times New Roman" w:hAnsi="Times New Roman" w:cs="Times New Roman"/>
          <w:color w:val="000000"/>
          <w:sz w:val="28"/>
          <w:szCs w:val="28"/>
          <w:lang w:eastAsia="uk-UA" w:bidi="uk-UA"/>
        </w:rPr>
        <w:t>.2</w:t>
      </w:r>
    </w:p>
    <w:p w14:paraId="35E8E253" w14:textId="77777777" w:rsidR="006D2299" w:rsidRDefault="006D2299" w:rsidP="008326E2">
      <w:pPr>
        <w:widowControl w:val="0"/>
        <w:pBdr>
          <w:top w:val="none" w:sz="4" w:space="31" w:color="000000"/>
          <w:left w:val="none" w:sz="4" w:space="0" w:color="000000"/>
          <w:bottom w:val="none" w:sz="4" w:space="0" w:color="000000"/>
          <w:right w:val="none" w:sz="4" w:space="0" w:color="000000"/>
          <w:between w:val="none" w:sz="4" w:space="0" w:color="000000"/>
        </w:pBdr>
        <w:spacing w:after="0" w:line="360" w:lineRule="auto"/>
        <w:jc w:val="center"/>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t xml:space="preserve">Динаміка основних виробничих показників КНП «МКЛ №10» ОМР </w:t>
      </w:r>
    </w:p>
    <w:tbl>
      <w:tblPr>
        <w:tblStyle w:val="a3"/>
        <w:tblW w:w="0" w:type="auto"/>
        <w:tblLook w:val="04A0" w:firstRow="1" w:lastRow="0" w:firstColumn="1" w:lastColumn="0" w:noHBand="0" w:noVBand="1"/>
      </w:tblPr>
      <w:tblGrid>
        <w:gridCol w:w="2321"/>
        <w:gridCol w:w="1385"/>
        <w:gridCol w:w="1384"/>
        <w:gridCol w:w="1414"/>
        <w:gridCol w:w="1414"/>
        <w:gridCol w:w="1426"/>
      </w:tblGrid>
      <w:tr w:rsidR="006D2299" w14:paraId="56BA4700" w14:textId="77777777" w:rsidTr="008326E2">
        <w:trPr>
          <w:trHeight w:val="414"/>
        </w:trPr>
        <w:tc>
          <w:tcPr>
            <w:tcW w:w="2321" w:type="dxa"/>
            <w:vMerge w:val="restart"/>
            <w:shd w:val="clear" w:color="auto" w:fill="auto"/>
            <w:vAlign w:val="center"/>
          </w:tcPr>
          <w:p w14:paraId="423F4ED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360" w:lineRule="auto"/>
              <w:ind w:firstLine="20"/>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val="ru-RU" w:eastAsia="uk-UA" w:bidi="uk-UA"/>
              </w:rPr>
              <w:t>Показник</w:t>
            </w:r>
          </w:p>
        </w:tc>
        <w:tc>
          <w:tcPr>
            <w:tcW w:w="1385" w:type="dxa"/>
            <w:vMerge w:val="restart"/>
            <w:shd w:val="clear" w:color="auto" w:fill="auto"/>
            <w:vAlign w:val="center"/>
          </w:tcPr>
          <w:p w14:paraId="11C13D6B"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360" w:lineRule="auto"/>
              <w:ind w:firstLine="20"/>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val="ru-RU" w:eastAsia="uk-UA" w:bidi="uk-UA"/>
              </w:rPr>
              <w:t>2020</w:t>
            </w:r>
          </w:p>
        </w:tc>
        <w:tc>
          <w:tcPr>
            <w:tcW w:w="1384" w:type="dxa"/>
            <w:vMerge w:val="restart"/>
            <w:shd w:val="clear" w:color="auto" w:fill="auto"/>
            <w:vAlign w:val="center"/>
          </w:tcPr>
          <w:p w14:paraId="3D5DF02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360" w:lineRule="auto"/>
              <w:ind w:firstLine="20"/>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val="ru-RU" w:eastAsia="uk-UA" w:bidi="uk-UA"/>
              </w:rPr>
              <w:t>2021</w:t>
            </w:r>
          </w:p>
        </w:tc>
        <w:tc>
          <w:tcPr>
            <w:tcW w:w="1414" w:type="dxa"/>
            <w:vMerge w:val="restart"/>
            <w:shd w:val="clear" w:color="auto" w:fill="auto"/>
            <w:vAlign w:val="center"/>
          </w:tcPr>
          <w:p w14:paraId="57D2466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360" w:lineRule="auto"/>
              <w:ind w:firstLine="20"/>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val="ru-RU" w:eastAsia="uk-UA" w:bidi="uk-UA"/>
              </w:rPr>
              <w:t>2022</w:t>
            </w:r>
          </w:p>
        </w:tc>
        <w:tc>
          <w:tcPr>
            <w:tcW w:w="1414" w:type="dxa"/>
            <w:vMerge w:val="restart"/>
            <w:shd w:val="clear" w:color="auto" w:fill="auto"/>
            <w:vAlign w:val="center"/>
          </w:tcPr>
          <w:p w14:paraId="38E2E50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360" w:lineRule="auto"/>
              <w:ind w:firstLine="20"/>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val="ru-RU" w:eastAsia="uk-UA" w:bidi="uk-UA"/>
              </w:rPr>
              <w:t>2023</w:t>
            </w:r>
          </w:p>
        </w:tc>
        <w:tc>
          <w:tcPr>
            <w:tcW w:w="1426" w:type="dxa"/>
            <w:vMerge w:val="restart"/>
            <w:shd w:val="clear" w:color="auto" w:fill="auto"/>
            <w:vAlign w:val="center"/>
          </w:tcPr>
          <w:p w14:paraId="73785B8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2024</w:t>
            </w:r>
          </w:p>
          <w:p w14:paraId="6B5C807E" w14:textId="392DB6AC" w:rsidR="006D2299" w:rsidRDefault="008326E2" w:rsidP="008326E2">
            <w:pPr>
              <w:widowControl w:val="0"/>
              <w:pBdr>
                <w:top w:val="none" w:sz="4" w:space="0" w:color="000000"/>
                <w:left w:val="none" w:sz="4" w:space="0" w:color="000000"/>
                <w:bottom w:val="none" w:sz="4" w:space="0" w:color="000000"/>
                <w:right w:val="none" w:sz="4" w:space="0" w:color="000000"/>
                <w:between w:val="none" w:sz="4" w:space="0" w:color="000000"/>
              </w:pBdr>
              <w:ind w:firstLine="260"/>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  </w:t>
            </w:r>
            <w:r w:rsidR="006D2299">
              <w:rPr>
                <w:rFonts w:ascii="Times New Roman" w:eastAsia="Times New Roman" w:hAnsi="Times New Roman" w:cs="Times New Roman"/>
                <w:color w:val="000000"/>
                <w:sz w:val="24"/>
                <w:szCs w:val="24"/>
                <w:lang w:eastAsia="uk-UA" w:bidi="uk-UA"/>
              </w:rPr>
              <w:t>6 міс.</w:t>
            </w:r>
          </w:p>
        </w:tc>
      </w:tr>
      <w:tr w:rsidR="006D2299" w14:paraId="71050364" w14:textId="77777777" w:rsidTr="008326E2">
        <w:trPr>
          <w:trHeight w:val="56"/>
        </w:trPr>
        <w:tc>
          <w:tcPr>
            <w:tcW w:w="9344" w:type="dxa"/>
            <w:gridSpan w:val="6"/>
            <w:shd w:val="clear" w:color="auto" w:fill="auto"/>
          </w:tcPr>
          <w:p w14:paraId="4342B420" w14:textId="77777777" w:rsidR="006D2299" w:rsidRDefault="006D2299" w:rsidP="00C75FCD">
            <w:pPr>
              <w:jc w:val="center"/>
              <w:rPr>
                <w:rFonts w:ascii="Times New Roman" w:eastAsia="Arial" w:hAnsi="Times New Roman" w:cs="Times New Roman"/>
                <w:sz w:val="24"/>
                <w:szCs w:val="24"/>
              </w:rPr>
            </w:pPr>
            <w:r>
              <w:rPr>
                <w:rFonts w:ascii="Times New Roman" w:eastAsia="Times New Roman" w:hAnsi="Times New Roman" w:cs="Times New Roman"/>
                <w:color w:val="000000"/>
                <w:sz w:val="24"/>
                <w:szCs w:val="24"/>
                <w:lang w:eastAsia="uk-UA" w:bidi="uk-UA"/>
              </w:rPr>
              <w:t>Лікувальна робота</w:t>
            </w:r>
          </w:p>
        </w:tc>
      </w:tr>
      <w:tr w:rsidR="006D2299" w14:paraId="00363962" w14:textId="77777777" w:rsidTr="008326E2">
        <w:trPr>
          <w:trHeight w:val="276"/>
        </w:trPr>
        <w:tc>
          <w:tcPr>
            <w:tcW w:w="2321" w:type="dxa"/>
            <w:vMerge w:val="restart"/>
            <w:shd w:val="clear" w:color="auto" w:fill="auto"/>
          </w:tcPr>
          <w:p w14:paraId="6860166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Кількість ліжок, од.</w:t>
            </w:r>
          </w:p>
        </w:tc>
        <w:tc>
          <w:tcPr>
            <w:tcW w:w="1385" w:type="dxa"/>
            <w:vMerge w:val="restart"/>
            <w:shd w:val="clear" w:color="auto" w:fill="auto"/>
            <w:vAlign w:val="center"/>
          </w:tcPr>
          <w:p w14:paraId="4947553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425+21</w:t>
            </w:r>
          </w:p>
        </w:tc>
        <w:tc>
          <w:tcPr>
            <w:tcW w:w="1384" w:type="dxa"/>
            <w:vMerge w:val="restart"/>
            <w:shd w:val="clear" w:color="auto" w:fill="auto"/>
            <w:vAlign w:val="center"/>
          </w:tcPr>
          <w:p w14:paraId="509DE25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425+21</w:t>
            </w:r>
          </w:p>
        </w:tc>
        <w:tc>
          <w:tcPr>
            <w:tcW w:w="1414" w:type="dxa"/>
            <w:vMerge w:val="restart"/>
            <w:shd w:val="clear" w:color="auto" w:fill="auto"/>
            <w:vAlign w:val="center"/>
          </w:tcPr>
          <w:p w14:paraId="54022ED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490+27</w:t>
            </w:r>
          </w:p>
        </w:tc>
        <w:tc>
          <w:tcPr>
            <w:tcW w:w="1414" w:type="dxa"/>
            <w:vMerge w:val="restart"/>
            <w:shd w:val="clear" w:color="auto" w:fill="auto"/>
            <w:vAlign w:val="center"/>
          </w:tcPr>
          <w:p w14:paraId="72CC40F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490+27</w:t>
            </w:r>
          </w:p>
        </w:tc>
        <w:tc>
          <w:tcPr>
            <w:tcW w:w="1426" w:type="dxa"/>
            <w:vMerge w:val="restart"/>
            <w:shd w:val="clear" w:color="auto" w:fill="auto"/>
            <w:vAlign w:val="center"/>
          </w:tcPr>
          <w:p w14:paraId="20E4AFB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610+39</w:t>
            </w:r>
          </w:p>
        </w:tc>
      </w:tr>
      <w:tr w:rsidR="006D2299" w14:paraId="248CCD66" w14:textId="77777777" w:rsidTr="008326E2">
        <w:trPr>
          <w:trHeight w:val="276"/>
        </w:trPr>
        <w:tc>
          <w:tcPr>
            <w:tcW w:w="2321" w:type="dxa"/>
            <w:vMerge w:val="restart"/>
            <w:shd w:val="clear" w:color="auto" w:fill="auto"/>
          </w:tcPr>
          <w:p w14:paraId="3B440AA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Завантаженість ліжок, %</w:t>
            </w:r>
          </w:p>
        </w:tc>
        <w:tc>
          <w:tcPr>
            <w:tcW w:w="1385" w:type="dxa"/>
            <w:vMerge w:val="restart"/>
            <w:shd w:val="clear" w:color="auto" w:fill="auto"/>
            <w:vAlign w:val="center"/>
          </w:tcPr>
          <w:p w14:paraId="3C5A001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96,2</w:t>
            </w:r>
          </w:p>
        </w:tc>
        <w:tc>
          <w:tcPr>
            <w:tcW w:w="1384" w:type="dxa"/>
            <w:vMerge w:val="restart"/>
            <w:shd w:val="clear" w:color="auto" w:fill="auto"/>
            <w:vAlign w:val="center"/>
          </w:tcPr>
          <w:p w14:paraId="63C23C88"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81,0</w:t>
            </w:r>
          </w:p>
        </w:tc>
        <w:tc>
          <w:tcPr>
            <w:tcW w:w="1414" w:type="dxa"/>
            <w:vMerge w:val="restart"/>
            <w:shd w:val="clear" w:color="auto" w:fill="auto"/>
            <w:vAlign w:val="center"/>
          </w:tcPr>
          <w:p w14:paraId="2D9926D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91,6</w:t>
            </w:r>
          </w:p>
        </w:tc>
        <w:tc>
          <w:tcPr>
            <w:tcW w:w="1414" w:type="dxa"/>
            <w:vMerge w:val="restart"/>
            <w:shd w:val="clear" w:color="auto" w:fill="auto"/>
            <w:vAlign w:val="center"/>
          </w:tcPr>
          <w:p w14:paraId="6774D6FB"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90,4</w:t>
            </w:r>
          </w:p>
        </w:tc>
        <w:tc>
          <w:tcPr>
            <w:tcW w:w="1426" w:type="dxa"/>
            <w:vMerge w:val="restart"/>
            <w:shd w:val="clear" w:color="auto" w:fill="auto"/>
            <w:vAlign w:val="center"/>
          </w:tcPr>
          <w:p w14:paraId="08684E3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2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89,6</w:t>
            </w:r>
          </w:p>
        </w:tc>
      </w:tr>
      <w:tr w:rsidR="006D2299" w14:paraId="4754C945" w14:textId="77777777" w:rsidTr="008326E2">
        <w:tc>
          <w:tcPr>
            <w:tcW w:w="2321" w:type="dxa"/>
            <w:shd w:val="clear" w:color="auto" w:fill="auto"/>
          </w:tcPr>
          <w:p w14:paraId="48B097D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Середній л/день</w:t>
            </w:r>
          </w:p>
        </w:tc>
        <w:tc>
          <w:tcPr>
            <w:tcW w:w="1385" w:type="dxa"/>
            <w:shd w:val="clear" w:color="auto" w:fill="auto"/>
            <w:vAlign w:val="center"/>
          </w:tcPr>
          <w:p w14:paraId="39BE38D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10,0</w:t>
            </w:r>
          </w:p>
        </w:tc>
        <w:tc>
          <w:tcPr>
            <w:tcW w:w="1384" w:type="dxa"/>
            <w:shd w:val="clear" w:color="auto" w:fill="auto"/>
            <w:vAlign w:val="center"/>
          </w:tcPr>
          <w:p w14:paraId="5197AE9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9,8</w:t>
            </w:r>
          </w:p>
        </w:tc>
        <w:tc>
          <w:tcPr>
            <w:tcW w:w="1414" w:type="dxa"/>
            <w:shd w:val="clear" w:color="auto" w:fill="auto"/>
            <w:vAlign w:val="center"/>
          </w:tcPr>
          <w:p w14:paraId="4311442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9,25</w:t>
            </w:r>
          </w:p>
        </w:tc>
        <w:tc>
          <w:tcPr>
            <w:tcW w:w="1414" w:type="dxa"/>
            <w:shd w:val="clear" w:color="auto" w:fill="auto"/>
            <w:vAlign w:val="center"/>
          </w:tcPr>
          <w:p w14:paraId="086F49BC"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26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9,1</w:t>
            </w:r>
          </w:p>
        </w:tc>
        <w:tc>
          <w:tcPr>
            <w:tcW w:w="1426" w:type="dxa"/>
            <w:shd w:val="clear" w:color="auto" w:fill="auto"/>
            <w:vAlign w:val="center"/>
          </w:tcPr>
          <w:p w14:paraId="306C571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2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9,14</w:t>
            </w:r>
          </w:p>
        </w:tc>
      </w:tr>
      <w:tr w:rsidR="006D2299" w14:paraId="5100A766" w14:textId="77777777" w:rsidTr="008326E2">
        <w:tc>
          <w:tcPr>
            <w:tcW w:w="2321" w:type="dxa"/>
            <w:shd w:val="clear" w:color="auto" w:fill="auto"/>
          </w:tcPr>
          <w:p w14:paraId="1ABA285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Кількість госпіталізованих осіб,</w:t>
            </w:r>
          </w:p>
        </w:tc>
        <w:tc>
          <w:tcPr>
            <w:tcW w:w="1385" w:type="dxa"/>
            <w:shd w:val="clear" w:color="auto" w:fill="auto"/>
            <w:vAlign w:val="center"/>
          </w:tcPr>
          <w:p w14:paraId="72AA8E5C"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p>
          <w:p w14:paraId="142449D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10562</w:t>
            </w:r>
          </w:p>
        </w:tc>
        <w:tc>
          <w:tcPr>
            <w:tcW w:w="1384" w:type="dxa"/>
            <w:shd w:val="clear" w:color="auto" w:fill="auto"/>
            <w:vAlign w:val="center"/>
          </w:tcPr>
          <w:p w14:paraId="4F30D46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p>
          <w:p w14:paraId="1F52635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11399</w:t>
            </w:r>
          </w:p>
        </w:tc>
        <w:tc>
          <w:tcPr>
            <w:tcW w:w="1414" w:type="dxa"/>
            <w:shd w:val="clear" w:color="auto" w:fill="auto"/>
            <w:vAlign w:val="center"/>
          </w:tcPr>
          <w:p w14:paraId="36B8EEB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p>
          <w:p w14:paraId="6FAAEFF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13907</w:t>
            </w:r>
          </w:p>
        </w:tc>
        <w:tc>
          <w:tcPr>
            <w:tcW w:w="1414" w:type="dxa"/>
            <w:shd w:val="clear" w:color="auto" w:fill="auto"/>
            <w:vAlign w:val="center"/>
          </w:tcPr>
          <w:p w14:paraId="0BC3EE5C"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p>
          <w:p w14:paraId="769BF1F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16376</w:t>
            </w:r>
          </w:p>
        </w:tc>
        <w:tc>
          <w:tcPr>
            <w:tcW w:w="1426" w:type="dxa"/>
            <w:shd w:val="clear" w:color="auto" w:fill="auto"/>
            <w:vAlign w:val="center"/>
          </w:tcPr>
          <w:p w14:paraId="579FB4C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p>
          <w:p w14:paraId="24E71AEC"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10707</w:t>
            </w:r>
          </w:p>
        </w:tc>
      </w:tr>
      <w:tr w:rsidR="006D2299" w14:paraId="6D1E69BC" w14:textId="77777777" w:rsidTr="008326E2">
        <w:tc>
          <w:tcPr>
            <w:tcW w:w="2321" w:type="dxa"/>
            <w:shd w:val="clear" w:color="auto" w:fill="auto"/>
          </w:tcPr>
          <w:p w14:paraId="2122E1D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зокрема</w:t>
            </w:r>
          </w:p>
          <w:p w14:paraId="523E397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мешканці м.Одеса</w:t>
            </w:r>
          </w:p>
        </w:tc>
        <w:tc>
          <w:tcPr>
            <w:tcW w:w="1385" w:type="dxa"/>
            <w:shd w:val="clear" w:color="auto" w:fill="auto"/>
            <w:vAlign w:val="center"/>
          </w:tcPr>
          <w:p w14:paraId="382F4D98" w14:textId="77777777" w:rsidR="006D2299" w:rsidRDefault="006D2299" w:rsidP="00C75FCD">
            <w:pPr>
              <w:widowControl w:val="0"/>
              <w:jc w:val="right"/>
              <w:rPr>
                <w:rFonts w:ascii="Arial" w:eastAsia="Arial" w:hAnsi="Arial" w:cs="Times New Roman"/>
                <w:sz w:val="24"/>
                <w:szCs w:val="24"/>
              </w:rPr>
            </w:pPr>
          </w:p>
        </w:tc>
        <w:tc>
          <w:tcPr>
            <w:tcW w:w="1384" w:type="dxa"/>
            <w:shd w:val="clear" w:color="auto" w:fill="auto"/>
            <w:vAlign w:val="center"/>
          </w:tcPr>
          <w:p w14:paraId="09C07F0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16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9656</w:t>
            </w:r>
          </w:p>
        </w:tc>
        <w:tc>
          <w:tcPr>
            <w:tcW w:w="1414" w:type="dxa"/>
            <w:shd w:val="clear" w:color="auto" w:fill="auto"/>
            <w:vAlign w:val="center"/>
          </w:tcPr>
          <w:p w14:paraId="38D551C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10259</w:t>
            </w:r>
          </w:p>
        </w:tc>
        <w:tc>
          <w:tcPr>
            <w:tcW w:w="1414" w:type="dxa"/>
            <w:shd w:val="clear" w:color="auto" w:fill="auto"/>
            <w:vAlign w:val="center"/>
          </w:tcPr>
          <w:p w14:paraId="6AB0431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8634</w:t>
            </w:r>
          </w:p>
        </w:tc>
        <w:tc>
          <w:tcPr>
            <w:tcW w:w="1426" w:type="dxa"/>
            <w:shd w:val="clear" w:color="auto" w:fill="auto"/>
            <w:vAlign w:val="center"/>
          </w:tcPr>
          <w:p w14:paraId="070BDCB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6144</w:t>
            </w:r>
          </w:p>
        </w:tc>
      </w:tr>
    </w:tbl>
    <w:p w14:paraId="25059A75" w14:textId="30062B7B" w:rsidR="008326E2" w:rsidRDefault="008326E2"/>
    <w:p w14:paraId="77BEE918" w14:textId="24F3DB8B" w:rsidR="008326E2" w:rsidRPr="008326E2" w:rsidRDefault="008326E2" w:rsidP="008326E2">
      <w:pPr>
        <w:spacing w:after="0"/>
        <w:jc w:val="right"/>
        <w:rPr>
          <w:rFonts w:ascii="Times New Roman" w:hAnsi="Times New Roman" w:cs="Times New Roman"/>
          <w:sz w:val="28"/>
          <w:szCs w:val="28"/>
        </w:rPr>
      </w:pPr>
      <w:r w:rsidRPr="008326E2">
        <w:rPr>
          <w:rFonts w:ascii="Times New Roman" w:hAnsi="Times New Roman" w:cs="Times New Roman"/>
          <w:sz w:val="28"/>
          <w:szCs w:val="28"/>
        </w:rPr>
        <w:lastRenderedPageBreak/>
        <w:t>Продовження таблиці 2.2</w:t>
      </w:r>
    </w:p>
    <w:tbl>
      <w:tblPr>
        <w:tblStyle w:val="a3"/>
        <w:tblW w:w="0" w:type="auto"/>
        <w:tblLook w:val="04A0" w:firstRow="1" w:lastRow="0" w:firstColumn="1" w:lastColumn="0" w:noHBand="0" w:noVBand="1"/>
      </w:tblPr>
      <w:tblGrid>
        <w:gridCol w:w="2321"/>
        <w:gridCol w:w="1385"/>
        <w:gridCol w:w="1384"/>
        <w:gridCol w:w="1414"/>
        <w:gridCol w:w="1414"/>
        <w:gridCol w:w="1426"/>
      </w:tblGrid>
      <w:tr w:rsidR="006D2299" w14:paraId="16819BE5" w14:textId="77777777" w:rsidTr="008326E2">
        <w:tc>
          <w:tcPr>
            <w:tcW w:w="2321" w:type="dxa"/>
            <w:shd w:val="clear" w:color="auto" w:fill="auto"/>
          </w:tcPr>
          <w:p w14:paraId="42CB3FAB"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мешканці Одеської області</w:t>
            </w:r>
          </w:p>
        </w:tc>
        <w:tc>
          <w:tcPr>
            <w:tcW w:w="1385" w:type="dxa"/>
            <w:shd w:val="clear" w:color="auto" w:fill="auto"/>
            <w:vAlign w:val="center"/>
          </w:tcPr>
          <w:p w14:paraId="0A564C08" w14:textId="77777777" w:rsidR="006D2299" w:rsidRDefault="006D2299" w:rsidP="008326E2">
            <w:pPr>
              <w:widowControl w:val="0"/>
              <w:jc w:val="right"/>
              <w:rPr>
                <w:rFonts w:ascii="Arial" w:eastAsia="Arial" w:hAnsi="Arial" w:cs="Times New Roman"/>
                <w:sz w:val="24"/>
                <w:szCs w:val="24"/>
              </w:rPr>
            </w:pPr>
          </w:p>
        </w:tc>
        <w:tc>
          <w:tcPr>
            <w:tcW w:w="1384" w:type="dxa"/>
            <w:shd w:val="clear" w:color="auto" w:fill="auto"/>
            <w:vAlign w:val="center"/>
          </w:tcPr>
          <w:p w14:paraId="2BAF784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1522</w:t>
            </w:r>
          </w:p>
        </w:tc>
        <w:tc>
          <w:tcPr>
            <w:tcW w:w="1414" w:type="dxa"/>
            <w:shd w:val="clear" w:color="auto" w:fill="auto"/>
            <w:vAlign w:val="center"/>
          </w:tcPr>
          <w:p w14:paraId="05A5ACBC"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2443</w:t>
            </w:r>
          </w:p>
        </w:tc>
        <w:tc>
          <w:tcPr>
            <w:tcW w:w="1414" w:type="dxa"/>
            <w:shd w:val="clear" w:color="auto" w:fill="auto"/>
            <w:vAlign w:val="center"/>
          </w:tcPr>
          <w:p w14:paraId="3FE06E94"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3117</w:t>
            </w:r>
          </w:p>
        </w:tc>
        <w:tc>
          <w:tcPr>
            <w:tcW w:w="1426" w:type="dxa"/>
            <w:shd w:val="clear" w:color="auto" w:fill="auto"/>
            <w:vAlign w:val="center"/>
          </w:tcPr>
          <w:p w14:paraId="1FFF0C2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1918</w:t>
            </w:r>
          </w:p>
        </w:tc>
      </w:tr>
      <w:tr w:rsidR="006D2299" w14:paraId="1CF87FE4" w14:textId="77777777" w:rsidTr="008326E2">
        <w:tc>
          <w:tcPr>
            <w:tcW w:w="2321" w:type="dxa"/>
            <w:shd w:val="clear" w:color="auto" w:fill="auto"/>
          </w:tcPr>
          <w:p w14:paraId="0546595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сільські мешканці</w:t>
            </w:r>
          </w:p>
        </w:tc>
        <w:tc>
          <w:tcPr>
            <w:tcW w:w="1385" w:type="dxa"/>
            <w:shd w:val="clear" w:color="auto" w:fill="auto"/>
            <w:vAlign w:val="center"/>
          </w:tcPr>
          <w:p w14:paraId="76DF0EF6" w14:textId="77777777" w:rsidR="006D2299" w:rsidRDefault="006D2299" w:rsidP="008326E2">
            <w:pPr>
              <w:widowControl w:val="0"/>
              <w:jc w:val="right"/>
              <w:rPr>
                <w:rFonts w:ascii="Arial" w:eastAsia="Arial" w:hAnsi="Arial" w:cs="Times New Roman"/>
                <w:sz w:val="24"/>
                <w:szCs w:val="24"/>
              </w:rPr>
            </w:pPr>
          </w:p>
        </w:tc>
        <w:tc>
          <w:tcPr>
            <w:tcW w:w="1384" w:type="dxa"/>
            <w:shd w:val="clear" w:color="auto" w:fill="auto"/>
            <w:vAlign w:val="center"/>
          </w:tcPr>
          <w:p w14:paraId="664DECD3"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954</w:t>
            </w:r>
          </w:p>
        </w:tc>
        <w:tc>
          <w:tcPr>
            <w:tcW w:w="1414" w:type="dxa"/>
            <w:shd w:val="clear" w:color="auto" w:fill="auto"/>
            <w:vAlign w:val="center"/>
          </w:tcPr>
          <w:p w14:paraId="5683456D"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1727</w:t>
            </w:r>
          </w:p>
        </w:tc>
        <w:tc>
          <w:tcPr>
            <w:tcW w:w="1414" w:type="dxa"/>
            <w:shd w:val="clear" w:color="auto" w:fill="auto"/>
            <w:vAlign w:val="center"/>
          </w:tcPr>
          <w:p w14:paraId="050B3A39"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2303</w:t>
            </w:r>
          </w:p>
        </w:tc>
        <w:tc>
          <w:tcPr>
            <w:tcW w:w="1426" w:type="dxa"/>
            <w:shd w:val="clear" w:color="auto" w:fill="auto"/>
            <w:vAlign w:val="center"/>
          </w:tcPr>
          <w:p w14:paraId="1AC54519" w14:textId="77777777" w:rsidR="006D2299" w:rsidRDefault="006D2299" w:rsidP="008326E2">
            <w:pPr>
              <w:widowControl w:val="0"/>
              <w:jc w:val="right"/>
              <w:rPr>
                <w:rFonts w:ascii="Arial" w:eastAsia="Arial" w:hAnsi="Arial" w:cs="Times New Roman"/>
                <w:sz w:val="24"/>
                <w:szCs w:val="24"/>
              </w:rPr>
            </w:pPr>
          </w:p>
        </w:tc>
      </w:tr>
      <w:tr w:rsidR="006D2299" w14:paraId="3B6BFFE8" w14:textId="77777777" w:rsidTr="008326E2">
        <w:tc>
          <w:tcPr>
            <w:tcW w:w="2321" w:type="dxa"/>
            <w:shd w:val="clear" w:color="auto" w:fill="auto"/>
          </w:tcPr>
          <w:p w14:paraId="044EFCF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жителі інших регіонів</w:t>
            </w:r>
          </w:p>
        </w:tc>
        <w:tc>
          <w:tcPr>
            <w:tcW w:w="1385" w:type="dxa"/>
            <w:shd w:val="clear" w:color="auto" w:fill="auto"/>
            <w:vAlign w:val="center"/>
          </w:tcPr>
          <w:p w14:paraId="654B2682" w14:textId="77777777" w:rsidR="006D2299" w:rsidRDefault="006D2299" w:rsidP="008326E2">
            <w:pPr>
              <w:widowControl w:val="0"/>
              <w:jc w:val="right"/>
              <w:rPr>
                <w:rFonts w:ascii="Arial" w:eastAsia="Arial" w:hAnsi="Arial" w:cs="Times New Roman"/>
                <w:sz w:val="24"/>
                <w:szCs w:val="24"/>
              </w:rPr>
            </w:pPr>
          </w:p>
        </w:tc>
        <w:tc>
          <w:tcPr>
            <w:tcW w:w="1384" w:type="dxa"/>
            <w:shd w:val="clear" w:color="auto" w:fill="auto"/>
            <w:vAlign w:val="center"/>
          </w:tcPr>
          <w:p w14:paraId="0F112B76"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221</w:t>
            </w:r>
          </w:p>
        </w:tc>
        <w:tc>
          <w:tcPr>
            <w:tcW w:w="1414" w:type="dxa"/>
            <w:shd w:val="clear" w:color="auto" w:fill="auto"/>
            <w:vAlign w:val="center"/>
          </w:tcPr>
          <w:p w14:paraId="20BD065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1205</w:t>
            </w:r>
          </w:p>
        </w:tc>
        <w:tc>
          <w:tcPr>
            <w:tcW w:w="1414" w:type="dxa"/>
            <w:shd w:val="clear" w:color="auto" w:fill="auto"/>
            <w:vAlign w:val="center"/>
          </w:tcPr>
          <w:p w14:paraId="0EA9F5FB"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4625</w:t>
            </w:r>
          </w:p>
        </w:tc>
        <w:tc>
          <w:tcPr>
            <w:tcW w:w="1426" w:type="dxa"/>
            <w:shd w:val="clear" w:color="auto" w:fill="auto"/>
            <w:vAlign w:val="center"/>
          </w:tcPr>
          <w:p w14:paraId="294E49A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2645</w:t>
            </w:r>
          </w:p>
        </w:tc>
      </w:tr>
      <w:tr w:rsidR="006D2299" w14:paraId="17661563" w14:textId="77777777" w:rsidTr="008326E2">
        <w:tc>
          <w:tcPr>
            <w:tcW w:w="2321" w:type="dxa"/>
            <w:shd w:val="clear" w:color="auto" w:fill="auto"/>
          </w:tcPr>
          <w:p w14:paraId="39452D4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 них ТПО</w:t>
            </w:r>
          </w:p>
        </w:tc>
        <w:tc>
          <w:tcPr>
            <w:tcW w:w="1385" w:type="dxa"/>
            <w:shd w:val="clear" w:color="auto" w:fill="auto"/>
            <w:vAlign w:val="center"/>
          </w:tcPr>
          <w:p w14:paraId="2DE6563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w:t>
            </w:r>
          </w:p>
        </w:tc>
        <w:tc>
          <w:tcPr>
            <w:tcW w:w="1384" w:type="dxa"/>
            <w:shd w:val="clear" w:color="auto" w:fill="auto"/>
            <w:vAlign w:val="center"/>
          </w:tcPr>
          <w:p w14:paraId="7885F42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35</w:t>
            </w:r>
          </w:p>
        </w:tc>
        <w:tc>
          <w:tcPr>
            <w:tcW w:w="1414" w:type="dxa"/>
            <w:shd w:val="clear" w:color="auto" w:fill="auto"/>
            <w:vAlign w:val="center"/>
          </w:tcPr>
          <w:p w14:paraId="45F5B379"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464</w:t>
            </w:r>
          </w:p>
        </w:tc>
        <w:tc>
          <w:tcPr>
            <w:tcW w:w="1414" w:type="dxa"/>
            <w:shd w:val="clear" w:color="auto" w:fill="auto"/>
            <w:vAlign w:val="center"/>
          </w:tcPr>
          <w:p w14:paraId="7DF3014B"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6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667</w:t>
            </w:r>
          </w:p>
        </w:tc>
        <w:tc>
          <w:tcPr>
            <w:tcW w:w="1426" w:type="dxa"/>
            <w:shd w:val="clear" w:color="auto" w:fill="auto"/>
            <w:vAlign w:val="center"/>
          </w:tcPr>
          <w:p w14:paraId="6E85A05D"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345</w:t>
            </w:r>
          </w:p>
        </w:tc>
      </w:tr>
      <w:tr w:rsidR="006D2299" w14:paraId="3AC6E4AC" w14:textId="77777777" w:rsidTr="008326E2">
        <w:trPr>
          <w:trHeight w:val="276"/>
        </w:trPr>
        <w:tc>
          <w:tcPr>
            <w:tcW w:w="2321" w:type="dxa"/>
            <w:vMerge w:val="restart"/>
            <w:shd w:val="clear" w:color="auto" w:fill="auto"/>
          </w:tcPr>
          <w:p w14:paraId="424F2558"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tabs>
                <w:tab w:val="left" w:pos="2398"/>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Кількість пролікованих</w:t>
            </w:r>
          </w:p>
          <w:p w14:paraId="71588B8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пацієнтів при НС:</w:t>
            </w:r>
          </w:p>
          <w:p w14:paraId="6CED2C0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val="en-US" w:bidi="en-US"/>
              </w:rPr>
              <w:t>-COVID19</w:t>
            </w:r>
          </w:p>
        </w:tc>
        <w:tc>
          <w:tcPr>
            <w:tcW w:w="1385" w:type="dxa"/>
            <w:vMerge w:val="restart"/>
            <w:shd w:val="clear" w:color="auto" w:fill="auto"/>
            <w:vAlign w:val="center"/>
          </w:tcPr>
          <w:p w14:paraId="61BF0A1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p>
          <w:p w14:paraId="78F316CD"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275</w:t>
            </w:r>
          </w:p>
        </w:tc>
        <w:tc>
          <w:tcPr>
            <w:tcW w:w="1384" w:type="dxa"/>
            <w:vMerge w:val="restart"/>
            <w:shd w:val="clear" w:color="auto" w:fill="auto"/>
            <w:vAlign w:val="center"/>
          </w:tcPr>
          <w:p w14:paraId="20BEBFB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p>
          <w:p w14:paraId="50CEACD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677</w:t>
            </w:r>
          </w:p>
        </w:tc>
        <w:tc>
          <w:tcPr>
            <w:tcW w:w="1414" w:type="dxa"/>
            <w:vMerge w:val="restart"/>
            <w:shd w:val="clear" w:color="auto" w:fill="auto"/>
            <w:vAlign w:val="center"/>
          </w:tcPr>
          <w:p w14:paraId="23CAC07A"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20"/>
              <w:jc w:val="right"/>
              <w:rPr>
                <w:rFonts w:ascii="Times New Roman" w:eastAsia="Times New Roman" w:hAnsi="Times New Roman" w:cs="Times New Roman"/>
                <w:color w:val="000000"/>
                <w:sz w:val="24"/>
                <w:szCs w:val="24"/>
                <w:lang w:eastAsia="uk-UA" w:bidi="uk-UA"/>
              </w:rPr>
            </w:pPr>
          </w:p>
          <w:p w14:paraId="3446DD84"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171</w:t>
            </w:r>
          </w:p>
        </w:tc>
        <w:tc>
          <w:tcPr>
            <w:tcW w:w="1414" w:type="dxa"/>
            <w:vMerge w:val="restart"/>
            <w:shd w:val="clear" w:color="auto" w:fill="auto"/>
            <w:vAlign w:val="center"/>
          </w:tcPr>
          <w:p w14:paraId="1DACD896" w14:textId="77777777" w:rsidR="006D2299" w:rsidRDefault="006D2299" w:rsidP="008326E2">
            <w:pPr>
              <w:widowControl w:val="0"/>
              <w:jc w:val="right"/>
              <w:rPr>
                <w:rFonts w:ascii="Arial" w:eastAsia="Arial" w:hAnsi="Arial" w:cs="Times New Roman"/>
                <w:sz w:val="24"/>
                <w:szCs w:val="24"/>
              </w:rPr>
            </w:pPr>
          </w:p>
          <w:p w14:paraId="0AFDBED9" w14:textId="77777777" w:rsidR="006D2299" w:rsidRDefault="006D2299" w:rsidP="008326E2">
            <w:pPr>
              <w:widowControl w:val="0"/>
              <w:jc w:val="right"/>
              <w:rPr>
                <w:rFonts w:ascii="Arial" w:eastAsia="Arial" w:hAnsi="Arial" w:cs="Times New Roman"/>
                <w:sz w:val="24"/>
                <w:szCs w:val="24"/>
              </w:rPr>
            </w:pPr>
          </w:p>
          <w:p w14:paraId="438F41D4" w14:textId="77777777" w:rsidR="006D2299" w:rsidRDefault="006D2299" w:rsidP="008326E2">
            <w:pPr>
              <w:widowControl w:val="0"/>
              <w:jc w:val="right"/>
              <w:rPr>
                <w:rFonts w:ascii="Arial" w:eastAsia="Arial" w:hAnsi="Arial" w:cs="Times New Roman"/>
                <w:sz w:val="24"/>
                <w:szCs w:val="24"/>
              </w:rPr>
            </w:pPr>
          </w:p>
          <w:p w14:paraId="69DD484A" w14:textId="77777777" w:rsidR="006D2299" w:rsidRDefault="006D2299" w:rsidP="008326E2">
            <w:pPr>
              <w:widowControl w:val="0"/>
              <w:jc w:val="right"/>
              <w:rPr>
                <w:rFonts w:ascii="Arial" w:eastAsia="Arial" w:hAnsi="Arial" w:cs="Times New Roman"/>
                <w:sz w:val="24"/>
                <w:szCs w:val="24"/>
              </w:rPr>
            </w:pPr>
          </w:p>
        </w:tc>
        <w:tc>
          <w:tcPr>
            <w:tcW w:w="1426" w:type="dxa"/>
            <w:vMerge w:val="restart"/>
            <w:shd w:val="clear" w:color="auto" w:fill="auto"/>
            <w:vAlign w:val="center"/>
          </w:tcPr>
          <w:p w14:paraId="692B3CC3" w14:textId="77777777" w:rsidR="006D2299" w:rsidRDefault="006D2299" w:rsidP="008326E2">
            <w:pPr>
              <w:widowControl w:val="0"/>
              <w:jc w:val="right"/>
              <w:rPr>
                <w:rFonts w:ascii="Arial" w:eastAsia="Arial" w:hAnsi="Arial" w:cs="Times New Roman"/>
                <w:sz w:val="24"/>
                <w:szCs w:val="24"/>
              </w:rPr>
            </w:pPr>
          </w:p>
        </w:tc>
      </w:tr>
      <w:tr w:rsidR="006D2299" w14:paraId="61FF479E" w14:textId="77777777" w:rsidTr="008326E2">
        <w:trPr>
          <w:trHeight w:val="276"/>
        </w:trPr>
        <w:tc>
          <w:tcPr>
            <w:tcW w:w="2321" w:type="dxa"/>
            <w:vMerge w:val="restart"/>
            <w:shd w:val="clear" w:color="auto" w:fill="auto"/>
          </w:tcPr>
          <w:p w14:paraId="7B3F808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-Військовослужбовці ЗСУ</w:t>
            </w:r>
          </w:p>
        </w:tc>
        <w:tc>
          <w:tcPr>
            <w:tcW w:w="1385" w:type="dxa"/>
            <w:vMerge w:val="restart"/>
            <w:shd w:val="clear" w:color="auto" w:fill="auto"/>
            <w:vAlign w:val="center"/>
          </w:tcPr>
          <w:p w14:paraId="4E32F0BE" w14:textId="77777777" w:rsidR="006D2299" w:rsidRDefault="006D2299" w:rsidP="008326E2">
            <w:pPr>
              <w:widowControl w:val="0"/>
              <w:jc w:val="right"/>
              <w:rPr>
                <w:rFonts w:ascii="Arial" w:eastAsia="Arial" w:hAnsi="Arial" w:cs="Times New Roman"/>
                <w:sz w:val="24"/>
                <w:szCs w:val="24"/>
              </w:rPr>
            </w:pPr>
          </w:p>
        </w:tc>
        <w:tc>
          <w:tcPr>
            <w:tcW w:w="1384" w:type="dxa"/>
            <w:vMerge w:val="restart"/>
            <w:shd w:val="clear" w:color="auto" w:fill="auto"/>
            <w:vAlign w:val="center"/>
          </w:tcPr>
          <w:p w14:paraId="134A954C"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2F4E4A2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20"/>
              <w:jc w:val="right"/>
              <w:rPr>
                <w:rFonts w:ascii="Times New Roman" w:eastAsia="Times New Roman" w:hAnsi="Times New Roman" w:cs="Times New Roman"/>
                <w:color w:val="000000"/>
                <w:sz w:val="24"/>
                <w:szCs w:val="24"/>
                <w:lang w:eastAsia="uk-UA" w:bidi="uk-UA"/>
              </w:rPr>
            </w:pPr>
          </w:p>
          <w:p w14:paraId="697F367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992</w:t>
            </w:r>
          </w:p>
        </w:tc>
        <w:tc>
          <w:tcPr>
            <w:tcW w:w="1414" w:type="dxa"/>
            <w:vMerge w:val="restart"/>
            <w:shd w:val="clear" w:color="auto" w:fill="auto"/>
            <w:vAlign w:val="center"/>
          </w:tcPr>
          <w:p w14:paraId="505A83CC"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p>
          <w:p w14:paraId="3B7F04E6"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1351</w:t>
            </w:r>
          </w:p>
        </w:tc>
        <w:tc>
          <w:tcPr>
            <w:tcW w:w="1426" w:type="dxa"/>
            <w:vMerge w:val="restart"/>
            <w:shd w:val="clear" w:color="auto" w:fill="auto"/>
            <w:vAlign w:val="center"/>
          </w:tcPr>
          <w:p w14:paraId="12EBB297"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00"/>
              <w:jc w:val="right"/>
              <w:rPr>
                <w:rFonts w:ascii="Times New Roman" w:eastAsia="Times New Roman" w:hAnsi="Times New Roman" w:cs="Times New Roman"/>
                <w:color w:val="000000"/>
                <w:sz w:val="24"/>
                <w:szCs w:val="24"/>
                <w:lang w:eastAsia="uk-UA" w:bidi="uk-UA"/>
              </w:rPr>
            </w:pPr>
          </w:p>
          <w:p w14:paraId="772F05D2"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564</w:t>
            </w:r>
          </w:p>
        </w:tc>
      </w:tr>
      <w:tr w:rsidR="006D2299" w14:paraId="119FBB1D" w14:textId="77777777" w:rsidTr="008326E2">
        <w:trPr>
          <w:trHeight w:val="276"/>
        </w:trPr>
        <w:tc>
          <w:tcPr>
            <w:tcW w:w="2321" w:type="dxa"/>
            <w:vMerge w:val="restart"/>
            <w:shd w:val="clear" w:color="auto" w:fill="auto"/>
          </w:tcPr>
          <w:p w14:paraId="196B5BD5"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tabs>
                <w:tab w:val="left" w:pos="2455"/>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Кількість оперативних</w:t>
            </w:r>
          </w:p>
          <w:p w14:paraId="46AEAF4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tabs>
                <w:tab w:val="left" w:pos="2725"/>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втручань,од. Зокрема</w:t>
            </w:r>
          </w:p>
        </w:tc>
        <w:tc>
          <w:tcPr>
            <w:tcW w:w="1385" w:type="dxa"/>
            <w:vMerge w:val="restart"/>
            <w:shd w:val="clear" w:color="auto" w:fill="auto"/>
            <w:vAlign w:val="center"/>
          </w:tcPr>
          <w:p w14:paraId="368719C6"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p>
          <w:p w14:paraId="77F498B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5595</w:t>
            </w:r>
          </w:p>
        </w:tc>
        <w:tc>
          <w:tcPr>
            <w:tcW w:w="1384" w:type="dxa"/>
            <w:vMerge w:val="restart"/>
            <w:shd w:val="clear" w:color="auto" w:fill="auto"/>
            <w:vAlign w:val="center"/>
          </w:tcPr>
          <w:p w14:paraId="7D94ACBA"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60"/>
              <w:jc w:val="right"/>
              <w:rPr>
                <w:rFonts w:ascii="Times New Roman" w:eastAsia="Times New Roman" w:hAnsi="Times New Roman" w:cs="Times New Roman"/>
                <w:color w:val="000000"/>
                <w:sz w:val="24"/>
                <w:szCs w:val="24"/>
                <w:lang w:eastAsia="uk-UA" w:bidi="uk-UA"/>
              </w:rPr>
            </w:pPr>
          </w:p>
          <w:p w14:paraId="4BB35794"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6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2669</w:t>
            </w:r>
          </w:p>
        </w:tc>
        <w:tc>
          <w:tcPr>
            <w:tcW w:w="1414" w:type="dxa"/>
            <w:vMerge w:val="restart"/>
            <w:shd w:val="clear" w:color="auto" w:fill="auto"/>
            <w:vAlign w:val="center"/>
          </w:tcPr>
          <w:p w14:paraId="3A3393EB"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p>
          <w:p w14:paraId="67BE7F54"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8595</w:t>
            </w:r>
          </w:p>
        </w:tc>
        <w:tc>
          <w:tcPr>
            <w:tcW w:w="1414" w:type="dxa"/>
            <w:vMerge w:val="restart"/>
            <w:shd w:val="clear" w:color="auto" w:fill="auto"/>
            <w:vAlign w:val="center"/>
          </w:tcPr>
          <w:p w14:paraId="12279502"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p>
          <w:p w14:paraId="138C18E3"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10995</w:t>
            </w:r>
          </w:p>
        </w:tc>
        <w:tc>
          <w:tcPr>
            <w:tcW w:w="1426" w:type="dxa"/>
            <w:vMerge w:val="restart"/>
            <w:shd w:val="clear" w:color="auto" w:fill="auto"/>
            <w:vAlign w:val="center"/>
          </w:tcPr>
          <w:p w14:paraId="00A387EC"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p>
          <w:p w14:paraId="1CA218D7"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6623</w:t>
            </w:r>
          </w:p>
        </w:tc>
      </w:tr>
      <w:tr w:rsidR="006D2299" w14:paraId="187F50F4" w14:textId="77777777" w:rsidTr="008326E2">
        <w:trPr>
          <w:trHeight w:val="276"/>
        </w:trPr>
        <w:tc>
          <w:tcPr>
            <w:tcW w:w="2321" w:type="dxa"/>
            <w:vMerge w:val="restart"/>
            <w:shd w:val="clear" w:color="auto" w:fill="auto"/>
          </w:tcPr>
          <w:p w14:paraId="37D9FFB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tabs>
                <w:tab w:val="left" w:pos="2573"/>
              </w:tabs>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планових втручань, од.</w:t>
            </w:r>
          </w:p>
        </w:tc>
        <w:tc>
          <w:tcPr>
            <w:tcW w:w="1385" w:type="dxa"/>
            <w:vMerge w:val="restart"/>
            <w:shd w:val="clear" w:color="auto" w:fill="auto"/>
            <w:vAlign w:val="center"/>
          </w:tcPr>
          <w:p w14:paraId="41331BA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1832</w:t>
            </w:r>
          </w:p>
        </w:tc>
        <w:tc>
          <w:tcPr>
            <w:tcW w:w="1384" w:type="dxa"/>
            <w:vMerge w:val="restart"/>
            <w:shd w:val="clear" w:color="auto" w:fill="auto"/>
            <w:vAlign w:val="center"/>
          </w:tcPr>
          <w:p w14:paraId="60B9B36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735</w:t>
            </w:r>
          </w:p>
        </w:tc>
        <w:tc>
          <w:tcPr>
            <w:tcW w:w="1414" w:type="dxa"/>
            <w:vMerge w:val="restart"/>
            <w:shd w:val="clear" w:color="auto" w:fill="auto"/>
            <w:vAlign w:val="center"/>
          </w:tcPr>
          <w:p w14:paraId="4F257F44"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7821</w:t>
            </w:r>
          </w:p>
        </w:tc>
        <w:tc>
          <w:tcPr>
            <w:tcW w:w="1414" w:type="dxa"/>
            <w:vMerge w:val="restart"/>
            <w:shd w:val="clear" w:color="auto" w:fill="auto"/>
            <w:vAlign w:val="center"/>
          </w:tcPr>
          <w:p w14:paraId="6C903AA7"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9983</w:t>
            </w:r>
          </w:p>
        </w:tc>
        <w:tc>
          <w:tcPr>
            <w:tcW w:w="1426" w:type="dxa"/>
            <w:vMerge w:val="restart"/>
            <w:shd w:val="clear" w:color="auto" w:fill="auto"/>
            <w:vAlign w:val="center"/>
          </w:tcPr>
          <w:p w14:paraId="7427088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6161</w:t>
            </w:r>
          </w:p>
        </w:tc>
      </w:tr>
      <w:tr w:rsidR="006D2299" w14:paraId="01BA219B" w14:textId="77777777" w:rsidTr="008326E2">
        <w:trPr>
          <w:trHeight w:val="276"/>
        </w:trPr>
        <w:tc>
          <w:tcPr>
            <w:tcW w:w="2321" w:type="dxa"/>
            <w:vMerge w:val="restart"/>
            <w:shd w:val="clear" w:color="auto" w:fill="auto"/>
          </w:tcPr>
          <w:p w14:paraId="67516AB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екстрених втручань, од.</w:t>
            </w:r>
          </w:p>
        </w:tc>
        <w:tc>
          <w:tcPr>
            <w:tcW w:w="1385" w:type="dxa"/>
            <w:vMerge w:val="restart"/>
            <w:shd w:val="clear" w:color="auto" w:fill="auto"/>
            <w:vAlign w:val="center"/>
          </w:tcPr>
          <w:p w14:paraId="3978ED84"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3753</w:t>
            </w:r>
          </w:p>
        </w:tc>
        <w:tc>
          <w:tcPr>
            <w:tcW w:w="1384" w:type="dxa"/>
            <w:vMerge w:val="restart"/>
            <w:shd w:val="clear" w:color="auto" w:fill="auto"/>
            <w:vAlign w:val="center"/>
          </w:tcPr>
          <w:p w14:paraId="6F3CA96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1933</w:t>
            </w:r>
          </w:p>
        </w:tc>
        <w:tc>
          <w:tcPr>
            <w:tcW w:w="1414" w:type="dxa"/>
            <w:vMerge w:val="restart"/>
            <w:shd w:val="clear" w:color="auto" w:fill="auto"/>
            <w:vAlign w:val="center"/>
          </w:tcPr>
          <w:p w14:paraId="053BED6D"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774</w:t>
            </w:r>
          </w:p>
        </w:tc>
        <w:tc>
          <w:tcPr>
            <w:tcW w:w="1414" w:type="dxa"/>
            <w:vMerge w:val="restart"/>
            <w:shd w:val="clear" w:color="auto" w:fill="auto"/>
            <w:vAlign w:val="center"/>
          </w:tcPr>
          <w:p w14:paraId="67101EC6"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1012</w:t>
            </w:r>
          </w:p>
        </w:tc>
        <w:tc>
          <w:tcPr>
            <w:tcW w:w="1426" w:type="dxa"/>
            <w:vMerge w:val="restart"/>
            <w:shd w:val="clear" w:color="auto" w:fill="auto"/>
            <w:vAlign w:val="center"/>
          </w:tcPr>
          <w:p w14:paraId="70798A43"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462</w:t>
            </w:r>
          </w:p>
        </w:tc>
      </w:tr>
      <w:tr w:rsidR="006D2299" w14:paraId="197B2179" w14:textId="77777777" w:rsidTr="008326E2">
        <w:trPr>
          <w:trHeight w:val="276"/>
        </w:trPr>
        <w:tc>
          <w:tcPr>
            <w:tcW w:w="2321" w:type="dxa"/>
            <w:vMerge w:val="restart"/>
            <w:shd w:val="clear" w:color="auto" w:fill="auto"/>
          </w:tcPr>
          <w:p w14:paraId="5CA7F51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«ургентна вісімка», од.</w:t>
            </w:r>
          </w:p>
        </w:tc>
        <w:tc>
          <w:tcPr>
            <w:tcW w:w="1385" w:type="dxa"/>
            <w:vMerge w:val="restart"/>
            <w:shd w:val="clear" w:color="auto" w:fill="auto"/>
            <w:vAlign w:val="center"/>
          </w:tcPr>
          <w:p w14:paraId="3273A0D9"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455</w:t>
            </w:r>
          </w:p>
        </w:tc>
        <w:tc>
          <w:tcPr>
            <w:tcW w:w="1384" w:type="dxa"/>
            <w:vMerge w:val="restart"/>
            <w:shd w:val="clear" w:color="auto" w:fill="auto"/>
            <w:vAlign w:val="center"/>
          </w:tcPr>
          <w:p w14:paraId="18EE759C"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306</w:t>
            </w:r>
          </w:p>
        </w:tc>
        <w:tc>
          <w:tcPr>
            <w:tcW w:w="1414" w:type="dxa"/>
            <w:vMerge w:val="restart"/>
            <w:shd w:val="clear" w:color="auto" w:fill="auto"/>
            <w:vAlign w:val="center"/>
          </w:tcPr>
          <w:p w14:paraId="0F228DCF"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3BA6F127" w14:textId="77777777" w:rsidR="006D2299" w:rsidRDefault="006D2299" w:rsidP="008326E2">
            <w:pPr>
              <w:widowControl w:val="0"/>
              <w:jc w:val="right"/>
              <w:rPr>
                <w:rFonts w:ascii="Arial" w:eastAsia="Arial" w:hAnsi="Arial" w:cs="Times New Roman"/>
                <w:sz w:val="24"/>
                <w:szCs w:val="24"/>
              </w:rPr>
            </w:pPr>
          </w:p>
        </w:tc>
        <w:tc>
          <w:tcPr>
            <w:tcW w:w="1426" w:type="dxa"/>
            <w:vMerge w:val="restart"/>
            <w:shd w:val="clear" w:color="auto" w:fill="auto"/>
            <w:vAlign w:val="center"/>
          </w:tcPr>
          <w:p w14:paraId="0E7E2C6E" w14:textId="77777777" w:rsidR="006D2299" w:rsidRDefault="006D2299" w:rsidP="008326E2">
            <w:pPr>
              <w:widowControl w:val="0"/>
              <w:jc w:val="right"/>
              <w:rPr>
                <w:rFonts w:ascii="Arial" w:eastAsia="Arial" w:hAnsi="Arial" w:cs="Times New Roman"/>
                <w:sz w:val="24"/>
                <w:szCs w:val="24"/>
              </w:rPr>
            </w:pPr>
          </w:p>
        </w:tc>
      </w:tr>
      <w:tr w:rsidR="006D2299" w14:paraId="1C4D76D3" w14:textId="77777777" w:rsidTr="008326E2">
        <w:trPr>
          <w:trHeight w:val="58"/>
        </w:trPr>
        <w:tc>
          <w:tcPr>
            <w:tcW w:w="2321" w:type="dxa"/>
            <w:shd w:val="clear" w:color="auto" w:fill="auto"/>
          </w:tcPr>
          <w:p w14:paraId="23BFEA9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Первинні БАП та стентування</w:t>
            </w:r>
          </w:p>
        </w:tc>
        <w:tc>
          <w:tcPr>
            <w:tcW w:w="1385" w:type="dxa"/>
            <w:shd w:val="clear" w:color="auto" w:fill="auto"/>
            <w:vAlign w:val="center"/>
          </w:tcPr>
          <w:p w14:paraId="1496545B"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tc>
        <w:tc>
          <w:tcPr>
            <w:tcW w:w="1384" w:type="dxa"/>
            <w:shd w:val="clear" w:color="auto" w:fill="auto"/>
            <w:vAlign w:val="center"/>
          </w:tcPr>
          <w:p w14:paraId="662EE9D1"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46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tc>
        <w:tc>
          <w:tcPr>
            <w:tcW w:w="1414" w:type="dxa"/>
            <w:shd w:val="clear" w:color="auto" w:fill="auto"/>
            <w:vAlign w:val="center"/>
          </w:tcPr>
          <w:p w14:paraId="30CCF10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4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10</w:t>
            </w:r>
          </w:p>
        </w:tc>
        <w:tc>
          <w:tcPr>
            <w:tcW w:w="1414" w:type="dxa"/>
            <w:shd w:val="clear" w:color="auto" w:fill="auto"/>
            <w:vAlign w:val="center"/>
          </w:tcPr>
          <w:p w14:paraId="4148A923"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6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48</w:t>
            </w:r>
          </w:p>
        </w:tc>
        <w:tc>
          <w:tcPr>
            <w:tcW w:w="1426" w:type="dxa"/>
            <w:shd w:val="clear" w:color="auto" w:fill="auto"/>
            <w:vAlign w:val="center"/>
          </w:tcPr>
          <w:p w14:paraId="1B8D71A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222</w:t>
            </w:r>
          </w:p>
        </w:tc>
      </w:tr>
      <w:tr w:rsidR="006D2299" w14:paraId="015B21AD" w14:textId="77777777" w:rsidTr="008326E2">
        <w:trPr>
          <w:trHeight w:val="276"/>
        </w:trPr>
        <w:tc>
          <w:tcPr>
            <w:tcW w:w="2321" w:type="dxa"/>
            <w:vMerge w:val="restart"/>
            <w:shd w:val="clear" w:color="auto" w:fill="auto"/>
          </w:tcPr>
          <w:p w14:paraId="01ABCF2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Механічні тромбекстракції</w:t>
            </w:r>
          </w:p>
        </w:tc>
        <w:tc>
          <w:tcPr>
            <w:tcW w:w="1385" w:type="dxa"/>
            <w:vMerge w:val="restart"/>
            <w:shd w:val="clear" w:color="auto" w:fill="auto"/>
            <w:vAlign w:val="center"/>
          </w:tcPr>
          <w:p w14:paraId="37362DF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tc>
        <w:tc>
          <w:tcPr>
            <w:tcW w:w="1384" w:type="dxa"/>
            <w:vMerge w:val="restart"/>
            <w:shd w:val="clear" w:color="auto" w:fill="auto"/>
            <w:vAlign w:val="center"/>
          </w:tcPr>
          <w:p w14:paraId="348DEB5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46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tc>
        <w:tc>
          <w:tcPr>
            <w:tcW w:w="1414" w:type="dxa"/>
            <w:vMerge w:val="restart"/>
            <w:shd w:val="clear" w:color="auto" w:fill="auto"/>
            <w:vAlign w:val="center"/>
          </w:tcPr>
          <w:p w14:paraId="438A698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46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w:t>
            </w:r>
          </w:p>
        </w:tc>
        <w:tc>
          <w:tcPr>
            <w:tcW w:w="1414" w:type="dxa"/>
            <w:vMerge w:val="restart"/>
            <w:shd w:val="clear" w:color="auto" w:fill="auto"/>
            <w:vAlign w:val="center"/>
          </w:tcPr>
          <w:p w14:paraId="30005D94"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4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w:t>
            </w:r>
          </w:p>
        </w:tc>
        <w:tc>
          <w:tcPr>
            <w:tcW w:w="1426" w:type="dxa"/>
            <w:vMerge w:val="restart"/>
            <w:shd w:val="clear" w:color="auto" w:fill="auto"/>
            <w:vAlign w:val="center"/>
          </w:tcPr>
          <w:p w14:paraId="1912CD4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8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w:t>
            </w:r>
          </w:p>
        </w:tc>
      </w:tr>
      <w:tr w:rsidR="006D2299" w14:paraId="5E6296E3" w14:textId="77777777" w:rsidTr="008326E2">
        <w:trPr>
          <w:trHeight w:val="276"/>
        </w:trPr>
        <w:tc>
          <w:tcPr>
            <w:tcW w:w="2321" w:type="dxa"/>
            <w:vMerge w:val="restart"/>
            <w:shd w:val="clear" w:color="auto" w:fill="auto"/>
          </w:tcPr>
          <w:p w14:paraId="2027926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Показник ургентації, %</w:t>
            </w:r>
          </w:p>
        </w:tc>
        <w:tc>
          <w:tcPr>
            <w:tcW w:w="1385" w:type="dxa"/>
            <w:vMerge w:val="restart"/>
            <w:shd w:val="clear" w:color="auto" w:fill="auto"/>
            <w:vAlign w:val="center"/>
          </w:tcPr>
          <w:p w14:paraId="29279DB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67,3</w:t>
            </w:r>
          </w:p>
        </w:tc>
        <w:tc>
          <w:tcPr>
            <w:tcW w:w="1384" w:type="dxa"/>
            <w:vMerge w:val="restart"/>
            <w:shd w:val="clear" w:color="auto" w:fill="auto"/>
            <w:vAlign w:val="center"/>
          </w:tcPr>
          <w:p w14:paraId="6FDA0181"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72,5</w:t>
            </w:r>
          </w:p>
        </w:tc>
        <w:tc>
          <w:tcPr>
            <w:tcW w:w="1414" w:type="dxa"/>
            <w:vMerge w:val="restart"/>
            <w:shd w:val="clear" w:color="auto" w:fill="auto"/>
            <w:vAlign w:val="center"/>
          </w:tcPr>
          <w:p w14:paraId="1978A4C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80,1</w:t>
            </w:r>
          </w:p>
        </w:tc>
        <w:tc>
          <w:tcPr>
            <w:tcW w:w="1414" w:type="dxa"/>
            <w:vMerge w:val="restart"/>
            <w:shd w:val="clear" w:color="auto" w:fill="auto"/>
            <w:vAlign w:val="center"/>
          </w:tcPr>
          <w:p w14:paraId="4455CED7"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80,7</w:t>
            </w:r>
          </w:p>
        </w:tc>
        <w:tc>
          <w:tcPr>
            <w:tcW w:w="1426" w:type="dxa"/>
            <w:vMerge w:val="restart"/>
            <w:shd w:val="clear" w:color="auto" w:fill="auto"/>
            <w:vAlign w:val="center"/>
          </w:tcPr>
          <w:p w14:paraId="2AECED91"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78,2</w:t>
            </w:r>
          </w:p>
        </w:tc>
      </w:tr>
      <w:tr w:rsidR="006D2299" w14:paraId="65162674" w14:textId="77777777" w:rsidTr="008326E2">
        <w:trPr>
          <w:trHeight w:val="298"/>
        </w:trPr>
        <w:tc>
          <w:tcPr>
            <w:tcW w:w="2321" w:type="dxa"/>
            <w:vMerge w:val="restart"/>
            <w:shd w:val="clear" w:color="auto" w:fill="auto"/>
          </w:tcPr>
          <w:p w14:paraId="074359A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Госпітальна летальність, % Зокрема</w:t>
            </w:r>
          </w:p>
        </w:tc>
        <w:tc>
          <w:tcPr>
            <w:tcW w:w="1385" w:type="dxa"/>
            <w:vMerge w:val="restart"/>
            <w:shd w:val="clear" w:color="auto" w:fill="auto"/>
            <w:vAlign w:val="center"/>
          </w:tcPr>
          <w:p w14:paraId="3DD45289"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3,7</w:t>
            </w:r>
          </w:p>
        </w:tc>
        <w:tc>
          <w:tcPr>
            <w:tcW w:w="1384" w:type="dxa"/>
            <w:vMerge w:val="restart"/>
            <w:shd w:val="clear" w:color="auto" w:fill="auto"/>
            <w:vAlign w:val="center"/>
          </w:tcPr>
          <w:p w14:paraId="156F21F2"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5,66</w:t>
            </w:r>
          </w:p>
        </w:tc>
        <w:tc>
          <w:tcPr>
            <w:tcW w:w="1414" w:type="dxa"/>
            <w:vMerge w:val="restart"/>
            <w:shd w:val="clear" w:color="auto" w:fill="auto"/>
            <w:vAlign w:val="center"/>
          </w:tcPr>
          <w:p w14:paraId="63760206"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4,05</w:t>
            </w:r>
          </w:p>
        </w:tc>
        <w:tc>
          <w:tcPr>
            <w:tcW w:w="1414" w:type="dxa"/>
            <w:vMerge w:val="restart"/>
            <w:shd w:val="clear" w:color="auto" w:fill="auto"/>
            <w:vAlign w:val="center"/>
          </w:tcPr>
          <w:p w14:paraId="41389A77"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4,62</w:t>
            </w:r>
          </w:p>
        </w:tc>
        <w:tc>
          <w:tcPr>
            <w:tcW w:w="1426" w:type="dxa"/>
            <w:vMerge w:val="restart"/>
            <w:shd w:val="clear" w:color="auto" w:fill="auto"/>
            <w:vAlign w:val="center"/>
          </w:tcPr>
          <w:p w14:paraId="338A8B7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5,38</w:t>
            </w:r>
          </w:p>
        </w:tc>
      </w:tr>
      <w:tr w:rsidR="006D2299" w14:paraId="14E39AD8" w14:textId="77777777" w:rsidTr="008326E2">
        <w:trPr>
          <w:trHeight w:val="298"/>
        </w:trPr>
        <w:tc>
          <w:tcPr>
            <w:tcW w:w="2321" w:type="dxa"/>
            <w:vMerge w:val="restart"/>
            <w:shd w:val="clear" w:color="auto" w:fill="auto"/>
          </w:tcPr>
          <w:p w14:paraId="1DCE2D8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 екстреної хірургічної патології, %</w:t>
            </w:r>
          </w:p>
        </w:tc>
        <w:tc>
          <w:tcPr>
            <w:tcW w:w="1385" w:type="dxa"/>
            <w:vMerge w:val="restart"/>
            <w:shd w:val="clear" w:color="auto" w:fill="auto"/>
            <w:vAlign w:val="center"/>
          </w:tcPr>
          <w:p w14:paraId="09B4368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0,35</w:t>
            </w:r>
          </w:p>
        </w:tc>
        <w:tc>
          <w:tcPr>
            <w:tcW w:w="1384" w:type="dxa"/>
            <w:vMerge w:val="restart"/>
            <w:shd w:val="clear" w:color="auto" w:fill="auto"/>
            <w:vAlign w:val="center"/>
          </w:tcPr>
          <w:p w14:paraId="619DC21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0,4</w:t>
            </w:r>
          </w:p>
        </w:tc>
        <w:tc>
          <w:tcPr>
            <w:tcW w:w="1414" w:type="dxa"/>
            <w:vMerge w:val="restart"/>
            <w:shd w:val="clear" w:color="auto" w:fill="auto"/>
            <w:vAlign w:val="center"/>
          </w:tcPr>
          <w:p w14:paraId="7C2D059C"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0,59</w:t>
            </w:r>
          </w:p>
        </w:tc>
        <w:tc>
          <w:tcPr>
            <w:tcW w:w="1414" w:type="dxa"/>
            <w:vMerge w:val="restart"/>
            <w:shd w:val="clear" w:color="auto" w:fill="auto"/>
            <w:vAlign w:val="center"/>
          </w:tcPr>
          <w:p w14:paraId="663D368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1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0,48</w:t>
            </w:r>
          </w:p>
        </w:tc>
        <w:tc>
          <w:tcPr>
            <w:tcW w:w="1426" w:type="dxa"/>
            <w:vMerge w:val="restart"/>
            <w:shd w:val="clear" w:color="auto" w:fill="auto"/>
            <w:vAlign w:val="center"/>
          </w:tcPr>
          <w:p w14:paraId="5561681A"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0,65</w:t>
            </w:r>
          </w:p>
        </w:tc>
      </w:tr>
      <w:tr w:rsidR="006D2299" w14:paraId="192C1269" w14:textId="77777777" w:rsidTr="008326E2">
        <w:trPr>
          <w:trHeight w:val="276"/>
        </w:trPr>
        <w:tc>
          <w:tcPr>
            <w:tcW w:w="2321" w:type="dxa"/>
            <w:vMerge w:val="restart"/>
            <w:shd w:val="clear" w:color="auto" w:fill="auto"/>
          </w:tcPr>
          <w:p w14:paraId="7AB80B6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 гострого інфаркту міокарда, %</w:t>
            </w:r>
          </w:p>
        </w:tc>
        <w:tc>
          <w:tcPr>
            <w:tcW w:w="1385" w:type="dxa"/>
            <w:vMerge w:val="restart"/>
            <w:shd w:val="clear" w:color="auto" w:fill="auto"/>
            <w:vAlign w:val="center"/>
          </w:tcPr>
          <w:p w14:paraId="019B9FA8" w14:textId="77777777" w:rsidR="006D2299" w:rsidRDefault="006D2299" w:rsidP="008326E2">
            <w:pPr>
              <w:widowControl w:val="0"/>
              <w:jc w:val="right"/>
              <w:rPr>
                <w:rFonts w:ascii="Arial" w:eastAsia="Arial" w:hAnsi="Arial" w:cs="Times New Roman"/>
                <w:sz w:val="24"/>
                <w:szCs w:val="24"/>
              </w:rPr>
            </w:pPr>
          </w:p>
        </w:tc>
        <w:tc>
          <w:tcPr>
            <w:tcW w:w="1384" w:type="dxa"/>
            <w:vMerge w:val="restart"/>
            <w:shd w:val="clear" w:color="auto" w:fill="auto"/>
            <w:vAlign w:val="center"/>
          </w:tcPr>
          <w:p w14:paraId="4A48AD19"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6125735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10,2</w:t>
            </w:r>
          </w:p>
        </w:tc>
        <w:tc>
          <w:tcPr>
            <w:tcW w:w="1414" w:type="dxa"/>
            <w:vMerge w:val="restart"/>
            <w:shd w:val="clear" w:color="auto" w:fill="auto"/>
            <w:vAlign w:val="center"/>
          </w:tcPr>
          <w:p w14:paraId="74C6E569"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6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9,5</w:t>
            </w:r>
          </w:p>
        </w:tc>
        <w:tc>
          <w:tcPr>
            <w:tcW w:w="1426" w:type="dxa"/>
            <w:vMerge w:val="restart"/>
            <w:shd w:val="clear" w:color="auto" w:fill="auto"/>
            <w:vAlign w:val="center"/>
          </w:tcPr>
          <w:p w14:paraId="0D5BE34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14,48</w:t>
            </w:r>
          </w:p>
        </w:tc>
      </w:tr>
      <w:tr w:rsidR="006D2299" w14:paraId="411725D1" w14:textId="77777777" w:rsidTr="008326E2">
        <w:trPr>
          <w:trHeight w:val="304"/>
        </w:trPr>
        <w:tc>
          <w:tcPr>
            <w:tcW w:w="2321" w:type="dxa"/>
            <w:vMerge w:val="restart"/>
            <w:shd w:val="clear" w:color="auto" w:fill="auto"/>
          </w:tcPr>
          <w:p w14:paraId="4ACB0F4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264"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 гострого мозкового інсульту, %</w:t>
            </w:r>
          </w:p>
        </w:tc>
        <w:tc>
          <w:tcPr>
            <w:tcW w:w="1385" w:type="dxa"/>
            <w:vMerge w:val="restart"/>
            <w:shd w:val="clear" w:color="auto" w:fill="auto"/>
            <w:vAlign w:val="center"/>
          </w:tcPr>
          <w:p w14:paraId="6B15D50E" w14:textId="77777777" w:rsidR="006D2299" w:rsidRDefault="006D2299" w:rsidP="008326E2">
            <w:pPr>
              <w:widowControl w:val="0"/>
              <w:jc w:val="right"/>
              <w:rPr>
                <w:rFonts w:ascii="Arial" w:eastAsia="Arial" w:hAnsi="Arial" w:cs="Times New Roman"/>
                <w:sz w:val="24"/>
                <w:szCs w:val="24"/>
              </w:rPr>
            </w:pPr>
          </w:p>
        </w:tc>
        <w:tc>
          <w:tcPr>
            <w:tcW w:w="1384" w:type="dxa"/>
            <w:vMerge w:val="restart"/>
            <w:shd w:val="clear" w:color="auto" w:fill="auto"/>
            <w:vAlign w:val="center"/>
          </w:tcPr>
          <w:p w14:paraId="3F9B781E"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4A5BDE74"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17,4</w:t>
            </w:r>
          </w:p>
        </w:tc>
        <w:tc>
          <w:tcPr>
            <w:tcW w:w="1414" w:type="dxa"/>
            <w:vMerge w:val="restart"/>
            <w:shd w:val="clear" w:color="auto" w:fill="auto"/>
            <w:vAlign w:val="center"/>
          </w:tcPr>
          <w:p w14:paraId="4171F3E3"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6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16,9</w:t>
            </w:r>
          </w:p>
        </w:tc>
        <w:tc>
          <w:tcPr>
            <w:tcW w:w="1426" w:type="dxa"/>
            <w:vMerge w:val="restart"/>
            <w:shd w:val="clear" w:color="auto" w:fill="auto"/>
            <w:vAlign w:val="center"/>
          </w:tcPr>
          <w:p w14:paraId="4BA62CF2"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21,99</w:t>
            </w:r>
          </w:p>
        </w:tc>
      </w:tr>
      <w:tr w:rsidR="006D2299" w14:paraId="5542DACE" w14:textId="77777777" w:rsidTr="008326E2">
        <w:trPr>
          <w:trHeight w:val="276"/>
        </w:trPr>
        <w:tc>
          <w:tcPr>
            <w:tcW w:w="9344" w:type="dxa"/>
            <w:gridSpan w:val="6"/>
            <w:vMerge w:val="restart"/>
            <w:shd w:val="clear" w:color="auto" w:fill="auto"/>
            <w:vAlign w:val="center"/>
          </w:tcPr>
          <w:p w14:paraId="30129DF7" w14:textId="77777777" w:rsidR="006D2299" w:rsidRDefault="006D2299" w:rsidP="00300158">
            <w:pPr>
              <w:jc w:val="center"/>
              <w:rPr>
                <w:rFonts w:ascii="Times New Roman" w:eastAsia="Arial" w:hAnsi="Times New Roman" w:cs="Times New Roman"/>
                <w:sz w:val="24"/>
                <w:szCs w:val="24"/>
              </w:rPr>
            </w:pPr>
            <w:r>
              <w:rPr>
                <w:rFonts w:ascii="Times New Roman" w:eastAsia="Times New Roman" w:hAnsi="Times New Roman" w:cs="Times New Roman"/>
                <w:color w:val="000000"/>
                <w:sz w:val="24"/>
                <w:szCs w:val="24"/>
                <w:lang w:eastAsia="uk-UA" w:bidi="uk-UA"/>
              </w:rPr>
              <w:t>Діагностична робота</w:t>
            </w:r>
          </w:p>
        </w:tc>
      </w:tr>
      <w:tr w:rsidR="006D2299" w14:paraId="1F2BA7E3" w14:textId="77777777" w:rsidTr="008326E2">
        <w:trPr>
          <w:trHeight w:val="296"/>
        </w:trPr>
        <w:tc>
          <w:tcPr>
            <w:tcW w:w="2321" w:type="dxa"/>
            <w:vMerge w:val="restart"/>
            <w:shd w:val="clear" w:color="auto" w:fill="auto"/>
          </w:tcPr>
          <w:p w14:paraId="00D0F505"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tabs>
                <w:tab w:val="left" w:pos="2142"/>
              </w:tabs>
              <w:spacing w:line="257"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Кількість ендоскопічних втручань Зокрема</w:t>
            </w:r>
          </w:p>
        </w:tc>
        <w:tc>
          <w:tcPr>
            <w:tcW w:w="1385" w:type="dxa"/>
            <w:vMerge w:val="restart"/>
            <w:shd w:val="clear" w:color="auto" w:fill="auto"/>
            <w:vAlign w:val="center"/>
          </w:tcPr>
          <w:p w14:paraId="6B546EAC"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7642</w:t>
            </w:r>
          </w:p>
        </w:tc>
        <w:tc>
          <w:tcPr>
            <w:tcW w:w="1384" w:type="dxa"/>
            <w:vMerge w:val="restart"/>
            <w:shd w:val="clear" w:color="auto" w:fill="auto"/>
            <w:vAlign w:val="center"/>
          </w:tcPr>
          <w:p w14:paraId="21269C9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8008</w:t>
            </w:r>
          </w:p>
        </w:tc>
        <w:tc>
          <w:tcPr>
            <w:tcW w:w="1414" w:type="dxa"/>
            <w:vMerge w:val="restart"/>
            <w:shd w:val="clear" w:color="auto" w:fill="auto"/>
            <w:vAlign w:val="center"/>
          </w:tcPr>
          <w:p w14:paraId="61534093"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12175</w:t>
            </w:r>
          </w:p>
        </w:tc>
        <w:tc>
          <w:tcPr>
            <w:tcW w:w="1414" w:type="dxa"/>
            <w:vMerge w:val="restart"/>
            <w:shd w:val="clear" w:color="auto" w:fill="auto"/>
            <w:vAlign w:val="center"/>
          </w:tcPr>
          <w:p w14:paraId="51E125D0"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9577</w:t>
            </w:r>
          </w:p>
        </w:tc>
        <w:tc>
          <w:tcPr>
            <w:tcW w:w="1426" w:type="dxa"/>
            <w:vMerge w:val="restart"/>
            <w:shd w:val="clear" w:color="auto" w:fill="auto"/>
            <w:vAlign w:val="center"/>
          </w:tcPr>
          <w:p w14:paraId="4574714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2130</w:t>
            </w:r>
          </w:p>
        </w:tc>
      </w:tr>
      <w:tr w:rsidR="006D2299" w14:paraId="0A5218F4" w14:textId="77777777" w:rsidTr="008326E2">
        <w:trPr>
          <w:trHeight w:val="276"/>
        </w:trPr>
        <w:tc>
          <w:tcPr>
            <w:tcW w:w="2321" w:type="dxa"/>
            <w:vMerge w:val="restart"/>
            <w:shd w:val="clear" w:color="auto" w:fill="auto"/>
          </w:tcPr>
          <w:p w14:paraId="68D46E2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ФГДС</w:t>
            </w:r>
          </w:p>
        </w:tc>
        <w:tc>
          <w:tcPr>
            <w:tcW w:w="1385" w:type="dxa"/>
            <w:vMerge w:val="restart"/>
            <w:shd w:val="clear" w:color="auto" w:fill="auto"/>
            <w:vAlign w:val="center"/>
          </w:tcPr>
          <w:p w14:paraId="3893B5D3"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6852</w:t>
            </w:r>
          </w:p>
        </w:tc>
        <w:tc>
          <w:tcPr>
            <w:tcW w:w="1384" w:type="dxa"/>
            <w:vMerge w:val="restart"/>
            <w:shd w:val="clear" w:color="auto" w:fill="auto"/>
            <w:vAlign w:val="center"/>
          </w:tcPr>
          <w:p w14:paraId="15B334B3"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5908</w:t>
            </w:r>
          </w:p>
        </w:tc>
        <w:tc>
          <w:tcPr>
            <w:tcW w:w="1414" w:type="dxa"/>
            <w:vMerge w:val="restart"/>
            <w:shd w:val="clear" w:color="auto" w:fill="auto"/>
            <w:vAlign w:val="center"/>
          </w:tcPr>
          <w:p w14:paraId="16F970BA"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74</w:t>
            </w:r>
          </w:p>
        </w:tc>
        <w:tc>
          <w:tcPr>
            <w:tcW w:w="1414" w:type="dxa"/>
            <w:vMerge w:val="restart"/>
            <w:shd w:val="clear" w:color="auto" w:fill="auto"/>
            <w:vAlign w:val="center"/>
          </w:tcPr>
          <w:p w14:paraId="7A663DCC"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7151</w:t>
            </w:r>
          </w:p>
        </w:tc>
        <w:tc>
          <w:tcPr>
            <w:tcW w:w="1426" w:type="dxa"/>
            <w:vMerge w:val="restart"/>
            <w:shd w:val="clear" w:color="auto" w:fill="auto"/>
            <w:vAlign w:val="center"/>
          </w:tcPr>
          <w:p w14:paraId="3F5DBE16"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318</w:t>
            </w:r>
          </w:p>
        </w:tc>
      </w:tr>
      <w:tr w:rsidR="006D2299" w14:paraId="324C0800" w14:textId="77777777" w:rsidTr="008326E2">
        <w:trPr>
          <w:trHeight w:val="276"/>
        </w:trPr>
        <w:tc>
          <w:tcPr>
            <w:tcW w:w="2321" w:type="dxa"/>
            <w:vMerge w:val="restart"/>
            <w:shd w:val="clear" w:color="auto" w:fill="auto"/>
          </w:tcPr>
          <w:p w14:paraId="0A93FCA5"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Колоноскопій</w:t>
            </w:r>
          </w:p>
        </w:tc>
        <w:tc>
          <w:tcPr>
            <w:tcW w:w="1385" w:type="dxa"/>
            <w:vMerge w:val="restart"/>
            <w:shd w:val="clear" w:color="auto" w:fill="auto"/>
            <w:vAlign w:val="center"/>
          </w:tcPr>
          <w:p w14:paraId="6A4FFBAA"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8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766</w:t>
            </w:r>
          </w:p>
        </w:tc>
        <w:tc>
          <w:tcPr>
            <w:tcW w:w="1384" w:type="dxa"/>
            <w:vMerge w:val="restart"/>
            <w:shd w:val="clear" w:color="auto" w:fill="auto"/>
            <w:vAlign w:val="center"/>
          </w:tcPr>
          <w:p w14:paraId="19768BAA"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1237</w:t>
            </w:r>
          </w:p>
        </w:tc>
        <w:tc>
          <w:tcPr>
            <w:tcW w:w="1414" w:type="dxa"/>
            <w:vMerge w:val="restart"/>
            <w:shd w:val="clear" w:color="auto" w:fill="auto"/>
            <w:vAlign w:val="center"/>
          </w:tcPr>
          <w:p w14:paraId="73D8C99A"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1485</w:t>
            </w:r>
          </w:p>
        </w:tc>
        <w:tc>
          <w:tcPr>
            <w:tcW w:w="1414" w:type="dxa"/>
            <w:vMerge w:val="restart"/>
            <w:shd w:val="clear" w:color="auto" w:fill="auto"/>
            <w:vAlign w:val="center"/>
          </w:tcPr>
          <w:p w14:paraId="5EBB18C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1628</w:t>
            </w:r>
          </w:p>
        </w:tc>
        <w:tc>
          <w:tcPr>
            <w:tcW w:w="1426" w:type="dxa"/>
            <w:vMerge w:val="restart"/>
            <w:shd w:val="clear" w:color="auto" w:fill="auto"/>
            <w:vAlign w:val="center"/>
          </w:tcPr>
          <w:p w14:paraId="4AB23946"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318</w:t>
            </w:r>
          </w:p>
        </w:tc>
      </w:tr>
      <w:tr w:rsidR="006D2299" w14:paraId="6E4B0964" w14:textId="77777777" w:rsidTr="008326E2">
        <w:trPr>
          <w:trHeight w:val="276"/>
        </w:trPr>
        <w:tc>
          <w:tcPr>
            <w:tcW w:w="2321" w:type="dxa"/>
            <w:vMerge w:val="restart"/>
            <w:shd w:val="clear" w:color="auto" w:fill="auto"/>
          </w:tcPr>
          <w:p w14:paraId="29DBAC1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Гістероскопій, од.</w:t>
            </w:r>
          </w:p>
        </w:tc>
        <w:tc>
          <w:tcPr>
            <w:tcW w:w="1385" w:type="dxa"/>
            <w:vMerge w:val="restart"/>
            <w:shd w:val="clear" w:color="auto" w:fill="auto"/>
            <w:vAlign w:val="center"/>
          </w:tcPr>
          <w:p w14:paraId="6B668C4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8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385</w:t>
            </w:r>
          </w:p>
        </w:tc>
        <w:tc>
          <w:tcPr>
            <w:tcW w:w="1384" w:type="dxa"/>
            <w:vMerge w:val="restart"/>
            <w:shd w:val="clear" w:color="auto" w:fill="auto"/>
            <w:vAlign w:val="center"/>
          </w:tcPr>
          <w:p w14:paraId="58208564"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tc>
        <w:tc>
          <w:tcPr>
            <w:tcW w:w="1414" w:type="dxa"/>
            <w:vMerge w:val="restart"/>
            <w:shd w:val="clear" w:color="auto" w:fill="auto"/>
            <w:vAlign w:val="center"/>
          </w:tcPr>
          <w:p w14:paraId="72AA2212"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170</w:t>
            </w:r>
          </w:p>
        </w:tc>
        <w:tc>
          <w:tcPr>
            <w:tcW w:w="1414" w:type="dxa"/>
            <w:vMerge w:val="restart"/>
            <w:shd w:val="clear" w:color="auto" w:fill="auto"/>
            <w:vAlign w:val="center"/>
          </w:tcPr>
          <w:p w14:paraId="03E9F717"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188</w:t>
            </w:r>
          </w:p>
        </w:tc>
        <w:tc>
          <w:tcPr>
            <w:tcW w:w="1426" w:type="dxa"/>
            <w:vMerge w:val="restart"/>
            <w:shd w:val="clear" w:color="auto" w:fill="auto"/>
            <w:vAlign w:val="center"/>
          </w:tcPr>
          <w:p w14:paraId="41B8EC3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76</w:t>
            </w:r>
          </w:p>
        </w:tc>
      </w:tr>
      <w:tr w:rsidR="006D2299" w14:paraId="759F96A1" w14:textId="77777777" w:rsidTr="008326E2">
        <w:trPr>
          <w:trHeight w:val="276"/>
        </w:trPr>
        <w:tc>
          <w:tcPr>
            <w:tcW w:w="2321" w:type="dxa"/>
            <w:vMerge w:val="restart"/>
            <w:shd w:val="clear" w:color="auto" w:fill="auto"/>
          </w:tcPr>
          <w:p w14:paraId="4FB4347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Цистоскопій, од.</w:t>
            </w:r>
          </w:p>
        </w:tc>
        <w:tc>
          <w:tcPr>
            <w:tcW w:w="1385" w:type="dxa"/>
            <w:vMerge w:val="restart"/>
            <w:shd w:val="clear" w:color="auto" w:fill="auto"/>
            <w:vAlign w:val="center"/>
          </w:tcPr>
          <w:p w14:paraId="4F4EA6A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434</w:t>
            </w:r>
          </w:p>
        </w:tc>
        <w:tc>
          <w:tcPr>
            <w:tcW w:w="1384" w:type="dxa"/>
            <w:vMerge w:val="restart"/>
            <w:shd w:val="clear" w:color="auto" w:fill="auto"/>
            <w:vAlign w:val="center"/>
          </w:tcPr>
          <w:p w14:paraId="175C4F8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tc>
        <w:tc>
          <w:tcPr>
            <w:tcW w:w="1414" w:type="dxa"/>
            <w:vMerge w:val="restart"/>
            <w:shd w:val="clear" w:color="auto" w:fill="auto"/>
            <w:vAlign w:val="center"/>
          </w:tcPr>
          <w:p w14:paraId="4B64A9D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470</w:t>
            </w:r>
          </w:p>
        </w:tc>
        <w:tc>
          <w:tcPr>
            <w:tcW w:w="1414" w:type="dxa"/>
            <w:vMerge w:val="restart"/>
            <w:shd w:val="clear" w:color="auto" w:fill="auto"/>
            <w:vAlign w:val="center"/>
          </w:tcPr>
          <w:p w14:paraId="6FD574B9"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2568</w:t>
            </w:r>
          </w:p>
        </w:tc>
        <w:tc>
          <w:tcPr>
            <w:tcW w:w="1426" w:type="dxa"/>
            <w:vMerge w:val="restart"/>
            <w:shd w:val="clear" w:color="auto" w:fill="auto"/>
            <w:vAlign w:val="center"/>
          </w:tcPr>
          <w:p w14:paraId="6AEBDD8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4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1071</w:t>
            </w:r>
          </w:p>
        </w:tc>
      </w:tr>
      <w:tr w:rsidR="006D2299" w14:paraId="1EF7170B" w14:textId="77777777" w:rsidTr="008326E2">
        <w:trPr>
          <w:trHeight w:val="276"/>
        </w:trPr>
        <w:tc>
          <w:tcPr>
            <w:tcW w:w="2321" w:type="dxa"/>
            <w:shd w:val="clear" w:color="auto" w:fill="auto"/>
          </w:tcPr>
          <w:p w14:paraId="06629D0C"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Бронхоскопій, од.</w:t>
            </w:r>
          </w:p>
        </w:tc>
        <w:tc>
          <w:tcPr>
            <w:tcW w:w="1385" w:type="dxa"/>
            <w:shd w:val="clear" w:color="auto" w:fill="auto"/>
            <w:vAlign w:val="center"/>
          </w:tcPr>
          <w:p w14:paraId="102F80E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21</w:t>
            </w:r>
          </w:p>
        </w:tc>
        <w:tc>
          <w:tcPr>
            <w:tcW w:w="1384" w:type="dxa"/>
            <w:shd w:val="clear" w:color="auto" w:fill="auto"/>
            <w:vAlign w:val="center"/>
          </w:tcPr>
          <w:p w14:paraId="09709920"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43</w:t>
            </w:r>
          </w:p>
        </w:tc>
        <w:tc>
          <w:tcPr>
            <w:tcW w:w="1414" w:type="dxa"/>
            <w:shd w:val="clear" w:color="auto" w:fill="auto"/>
            <w:vAlign w:val="center"/>
          </w:tcPr>
          <w:p w14:paraId="3FAF227D" w14:textId="77777777" w:rsidR="006D2299" w:rsidRDefault="006D2299" w:rsidP="008326E2">
            <w:pPr>
              <w:widowControl w:val="0"/>
              <w:jc w:val="right"/>
              <w:rPr>
                <w:rFonts w:ascii="Arial" w:eastAsia="Arial" w:hAnsi="Arial" w:cs="Times New Roman"/>
                <w:sz w:val="24"/>
                <w:szCs w:val="24"/>
              </w:rPr>
            </w:pPr>
          </w:p>
        </w:tc>
        <w:tc>
          <w:tcPr>
            <w:tcW w:w="1414" w:type="dxa"/>
            <w:shd w:val="clear" w:color="auto" w:fill="auto"/>
            <w:vAlign w:val="center"/>
          </w:tcPr>
          <w:p w14:paraId="3CCAE249"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20</w:t>
            </w:r>
          </w:p>
        </w:tc>
        <w:tc>
          <w:tcPr>
            <w:tcW w:w="1426" w:type="dxa"/>
            <w:shd w:val="clear" w:color="auto" w:fill="auto"/>
            <w:vAlign w:val="center"/>
          </w:tcPr>
          <w:p w14:paraId="4E57F24B"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12</w:t>
            </w:r>
          </w:p>
        </w:tc>
      </w:tr>
    </w:tbl>
    <w:p w14:paraId="13B57375" w14:textId="08D0619D" w:rsidR="008326E2" w:rsidRPr="008326E2" w:rsidRDefault="008326E2" w:rsidP="008326E2">
      <w:pPr>
        <w:spacing w:after="0"/>
        <w:jc w:val="right"/>
        <w:rPr>
          <w:rFonts w:ascii="Times New Roman" w:hAnsi="Times New Roman" w:cs="Times New Roman"/>
          <w:sz w:val="28"/>
          <w:szCs w:val="28"/>
        </w:rPr>
      </w:pPr>
      <w:r w:rsidRPr="008326E2">
        <w:rPr>
          <w:rFonts w:ascii="Times New Roman" w:hAnsi="Times New Roman" w:cs="Times New Roman"/>
          <w:sz w:val="28"/>
          <w:szCs w:val="28"/>
        </w:rPr>
        <w:lastRenderedPageBreak/>
        <w:t>Продовження таблиці 2.2</w:t>
      </w:r>
    </w:p>
    <w:tbl>
      <w:tblPr>
        <w:tblStyle w:val="a3"/>
        <w:tblW w:w="0" w:type="auto"/>
        <w:tblLook w:val="04A0" w:firstRow="1" w:lastRow="0" w:firstColumn="1" w:lastColumn="0" w:noHBand="0" w:noVBand="1"/>
      </w:tblPr>
      <w:tblGrid>
        <w:gridCol w:w="2321"/>
        <w:gridCol w:w="1385"/>
        <w:gridCol w:w="1384"/>
        <w:gridCol w:w="1414"/>
        <w:gridCol w:w="1414"/>
        <w:gridCol w:w="1426"/>
      </w:tblGrid>
      <w:tr w:rsidR="006D2299" w14:paraId="1AC648E3" w14:textId="77777777" w:rsidTr="008326E2">
        <w:trPr>
          <w:trHeight w:val="276"/>
        </w:trPr>
        <w:tc>
          <w:tcPr>
            <w:tcW w:w="2321" w:type="dxa"/>
            <w:vMerge w:val="restart"/>
            <w:shd w:val="clear" w:color="auto" w:fill="auto"/>
          </w:tcPr>
          <w:p w14:paraId="083BB4C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Артроскопій, од.</w:t>
            </w:r>
          </w:p>
        </w:tc>
        <w:tc>
          <w:tcPr>
            <w:tcW w:w="1385" w:type="dxa"/>
            <w:vMerge w:val="restart"/>
            <w:shd w:val="clear" w:color="auto" w:fill="auto"/>
            <w:vAlign w:val="center"/>
          </w:tcPr>
          <w:p w14:paraId="7592D71C"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38</w:t>
            </w:r>
          </w:p>
        </w:tc>
        <w:tc>
          <w:tcPr>
            <w:tcW w:w="1384" w:type="dxa"/>
            <w:vMerge w:val="restart"/>
            <w:shd w:val="clear" w:color="auto" w:fill="auto"/>
            <w:vAlign w:val="center"/>
          </w:tcPr>
          <w:p w14:paraId="1D533C71"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1D428ADA"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1CD591D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15</w:t>
            </w:r>
          </w:p>
        </w:tc>
        <w:tc>
          <w:tcPr>
            <w:tcW w:w="1426" w:type="dxa"/>
            <w:vMerge w:val="restart"/>
            <w:shd w:val="clear" w:color="auto" w:fill="auto"/>
            <w:vAlign w:val="center"/>
          </w:tcPr>
          <w:p w14:paraId="48485A8A"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w:t>
            </w:r>
          </w:p>
        </w:tc>
      </w:tr>
      <w:tr w:rsidR="006D2299" w14:paraId="6EC91166" w14:textId="77777777" w:rsidTr="008326E2">
        <w:trPr>
          <w:trHeight w:val="298"/>
        </w:trPr>
        <w:tc>
          <w:tcPr>
            <w:tcW w:w="2321" w:type="dxa"/>
            <w:vMerge w:val="restart"/>
            <w:shd w:val="clear" w:color="auto" w:fill="auto"/>
          </w:tcPr>
          <w:p w14:paraId="43E6DD65"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Кількість ангіографічних</w:t>
            </w:r>
          </w:p>
        </w:tc>
        <w:tc>
          <w:tcPr>
            <w:tcW w:w="1385" w:type="dxa"/>
            <w:vMerge w:val="restart"/>
            <w:shd w:val="clear" w:color="auto" w:fill="auto"/>
            <w:vAlign w:val="center"/>
          </w:tcPr>
          <w:p w14:paraId="0AC836A0" w14:textId="77777777" w:rsidR="006D2299" w:rsidRDefault="006D2299" w:rsidP="008326E2">
            <w:pPr>
              <w:widowControl w:val="0"/>
              <w:jc w:val="right"/>
              <w:rPr>
                <w:rFonts w:ascii="Arial" w:eastAsia="Arial" w:hAnsi="Arial" w:cs="Times New Roman"/>
                <w:sz w:val="24"/>
                <w:szCs w:val="24"/>
              </w:rPr>
            </w:pPr>
          </w:p>
        </w:tc>
        <w:tc>
          <w:tcPr>
            <w:tcW w:w="1384" w:type="dxa"/>
            <w:vMerge w:val="restart"/>
            <w:shd w:val="clear" w:color="auto" w:fill="auto"/>
            <w:vAlign w:val="center"/>
          </w:tcPr>
          <w:p w14:paraId="3DE43DD0"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78243C69"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212E7EE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196</w:t>
            </w:r>
          </w:p>
        </w:tc>
        <w:tc>
          <w:tcPr>
            <w:tcW w:w="1426" w:type="dxa"/>
            <w:vMerge w:val="restart"/>
            <w:shd w:val="clear" w:color="auto" w:fill="auto"/>
            <w:vAlign w:val="center"/>
          </w:tcPr>
          <w:p w14:paraId="0FC76061"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664</w:t>
            </w:r>
          </w:p>
        </w:tc>
      </w:tr>
      <w:tr w:rsidR="006D2299" w14:paraId="1B39AED4" w14:textId="77777777" w:rsidTr="008326E2">
        <w:trPr>
          <w:trHeight w:val="298"/>
        </w:trPr>
        <w:tc>
          <w:tcPr>
            <w:tcW w:w="2321" w:type="dxa"/>
            <w:vMerge w:val="restart"/>
            <w:shd w:val="clear" w:color="auto" w:fill="auto"/>
          </w:tcPr>
          <w:p w14:paraId="32AD5DA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втручань, од. зокрема Коронарних ангіографій Церебральних</w:t>
            </w:r>
          </w:p>
        </w:tc>
        <w:tc>
          <w:tcPr>
            <w:tcW w:w="1385" w:type="dxa"/>
            <w:vMerge w:val="restart"/>
            <w:shd w:val="clear" w:color="auto" w:fill="auto"/>
            <w:vAlign w:val="center"/>
          </w:tcPr>
          <w:p w14:paraId="3FEFBE24" w14:textId="77777777" w:rsidR="006D2299" w:rsidRDefault="006D2299" w:rsidP="008326E2">
            <w:pPr>
              <w:widowControl w:val="0"/>
              <w:jc w:val="right"/>
              <w:rPr>
                <w:rFonts w:ascii="Arial" w:eastAsia="Arial" w:hAnsi="Arial" w:cs="Times New Roman"/>
                <w:sz w:val="24"/>
                <w:szCs w:val="24"/>
              </w:rPr>
            </w:pPr>
          </w:p>
        </w:tc>
        <w:tc>
          <w:tcPr>
            <w:tcW w:w="1384" w:type="dxa"/>
            <w:vMerge w:val="restart"/>
            <w:shd w:val="clear" w:color="auto" w:fill="auto"/>
            <w:vAlign w:val="center"/>
          </w:tcPr>
          <w:p w14:paraId="6B5E546D"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1CD9C246"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68FEC7D3"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135</w:t>
            </w:r>
          </w:p>
        </w:tc>
        <w:tc>
          <w:tcPr>
            <w:tcW w:w="1426" w:type="dxa"/>
            <w:vMerge w:val="restart"/>
            <w:shd w:val="clear" w:color="auto" w:fill="auto"/>
            <w:vAlign w:val="center"/>
          </w:tcPr>
          <w:p w14:paraId="1144E609"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40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599</w:t>
            </w:r>
          </w:p>
        </w:tc>
      </w:tr>
      <w:tr w:rsidR="006D2299" w14:paraId="6753D777" w14:textId="77777777" w:rsidTr="008326E2">
        <w:trPr>
          <w:trHeight w:val="276"/>
        </w:trPr>
        <w:tc>
          <w:tcPr>
            <w:tcW w:w="2321" w:type="dxa"/>
            <w:vMerge w:val="restart"/>
            <w:shd w:val="clear" w:color="auto" w:fill="auto"/>
          </w:tcPr>
          <w:p w14:paraId="0EF4C06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ангіографій</w:t>
            </w:r>
          </w:p>
        </w:tc>
        <w:tc>
          <w:tcPr>
            <w:tcW w:w="1385" w:type="dxa"/>
            <w:vMerge w:val="restart"/>
            <w:shd w:val="clear" w:color="auto" w:fill="auto"/>
            <w:vAlign w:val="center"/>
          </w:tcPr>
          <w:p w14:paraId="5E85EA89" w14:textId="77777777" w:rsidR="006D2299" w:rsidRDefault="006D2299" w:rsidP="008326E2">
            <w:pPr>
              <w:widowControl w:val="0"/>
              <w:jc w:val="right"/>
              <w:rPr>
                <w:rFonts w:ascii="Arial" w:eastAsia="Arial" w:hAnsi="Arial" w:cs="Times New Roman"/>
                <w:sz w:val="24"/>
                <w:szCs w:val="24"/>
              </w:rPr>
            </w:pPr>
          </w:p>
        </w:tc>
        <w:tc>
          <w:tcPr>
            <w:tcW w:w="1384" w:type="dxa"/>
            <w:vMerge w:val="restart"/>
            <w:shd w:val="clear" w:color="auto" w:fill="auto"/>
            <w:vAlign w:val="center"/>
          </w:tcPr>
          <w:p w14:paraId="52836FAC"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175FF486" w14:textId="77777777" w:rsidR="006D2299" w:rsidRDefault="006D2299" w:rsidP="008326E2">
            <w:pPr>
              <w:widowControl w:val="0"/>
              <w:jc w:val="right"/>
              <w:rPr>
                <w:rFonts w:ascii="Arial" w:eastAsia="Arial" w:hAnsi="Arial" w:cs="Times New Roman"/>
                <w:sz w:val="24"/>
                <w:szCs w:val="24"/>
              </w:rPr>
            </w:pPr>
          </w:p>
        </w:tc>
        <w:tc>
          <w:tcPr>
            <w:tcW w:w="1414" w:type="dxa"/>
            <w:vMerge w:val="restart"/>
            <w:shd w:val="clear" w:color="auto" w:fill="auto"/>
            <w:vAlign w:val="center"/>
          </w:tcPr>
          <w:p w14:paraId="573486C1"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w:t>
            </w:r>
          </w:p>
        </w:tc>
        <w:tc>
          <w:tcPr>
            <w:tcW w:w="1426" w:type="dxa"/>
            <w:vMerge w:val="restart"/>
            <w:shd w:val="clear" w:color="auto" w:fill="auto"/>
            <w:vAlign w:val="center"/>
          </w:tcPr>
          <w:p w14:paraId="15227E4C"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5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21</w:t>
            </w:r>
          </w:p>
        </w:tc>
      </w:tr>
      <w:tr w:rsidR="006D2299" w14:paraId="4BBFC12E" w14:textId="77777777" w:rsidTr="008326E2">
        <w:trPr>
          <w:trHeight w:val="298"/>
        </w:trPr>
        <w:tc>
          <w:tcPr>
            <w:tcW w:w="2321" w:type="dxa"/>
            <w:vMerge w:val="restart"/>
            <w:shd w:val="clear" w:color="auto" w:fill="auto"/>
          </w:tcPr>
          <w:p w14:paraId="167DD05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Функціональних досліджень, од.</w:t>
            </w:r>
          </w:p>
        </w:tc>
        <w:tc>
          <w:tcPr>
            <w:tcW w:w="1385" w:type="dxa"/>
            <w:vMerge w:val="restart"/>
            <w:shd w:val="clear" w:color="auto" w:fill="auto"/>
            <w:vAlign w:val="center"/>
          </w:tcPr>
          <w:p w14:paraId="73AF5B5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12463</w:t>
            </w:r>
          </w:p>
        </w:tc>
        <w:tc>
          <w:tcPr>
            <w:tcW w:w="1384" w:type="dxa"/>
            <w:vMerge w:val="restart"/>
            <w:shd w:val="clear" w:color="auto" w:fill="auto"/>
            <w:vAlign w:val="center"/>
          </w:tcPr>
          <w:p w14:paraId="29503DD3"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11768</w:t>
            </w:r>
          </w:p>
        </w:tc>
        <w:tc>
          <w:tcPr>
            <w:tcW w:w="1414" w:type="dxa"/>
            <w:vMerge w:val="restart"/>
            <w:shd w:val="clear" w:color="auto" w:fill="auto"/>
            <w:vAlign w:val="center"/>
          </w:tcPr>
          <w:p w14:paraId="06608F10"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11692</w:t>
            </w:r>
          </w:p>
        </w:tc>
        <w:tc>
          <w:tcPr>
            <w:tcW w:w="1414" w:type="dxa"/>
            <w:vMerge w:val="restart"/>
            <w:shd w:val="clear" w:color="auto" w:fill="auto"/>
            <w:vAlign w:val="center"/>
          </w:tcPr>
          <w:p w14:paraId="415D1042"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12455</w:t>
            </w:r>
          </w:p>
        </w:tc>
        <w:tc>
          <w:tcPr>
            <w:tcW w:w="1426" w:type="dxa"/>
            <w:vMerge w:val="restart"/>
            <w:shd w:val="clear" w:color="auto" w:fill="auto"/>
            <w:vAlign w:val="center"/>
          </w:tcPr>
          <w:p w14:paraId="2A459DB4"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7013</w:t>
            </w:r>
          </w:p>
        </w:tc>
      </w:tr>
      <w:tr w:rsidR="006D2299" w14:paraId="005AAA07" w14:textId="77777777" w:rsidTr="008326E2">
        <w:trPr>
          <w:trHeight w:val="292"/>
        </w:trPr>
        <w:tc>
          <w:tcPr>
            <w:tcW w:w="2321" w:type="dxa"/>
            <w:vMerge w:val="restart"/>
            <w:shd w:val="clear" w:color="auto" w:fill="auto"/>
          </w:tcPr>
          <w:p w14:paraId="1662E3CC"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254"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Ультразвукових досліджень, од.</w:t>
            </w:r>
          </w:p>
        </w:tc>
        <w:tc>
          <w:tcPr>
            <w:tcW w:w="1385" w:type="dxa"/>
            <w:vMerge w:val="restart"/>
            <w:shd w:val="clear" w:color="auto" w:fill="auto"/>
            <w:vAlign w:val="center"/>
          </w:tcPr>
          <w:p w14:paraId="6AC9B3AB"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21487</w:t>
            </w:r>
          </w:p>
        </w:tc>
        <w:tc>
          <w:tcPr>
            <w:tcW w:w="1384" w:type="dxa"/>
            <w:vMerge w:val="restart"/>
            <w:shd w:val="clear" w:color="auto" w:fill="auto"/>
            <w:vAlign w:val="center"/>
          </w:tcPr>
          <w:p w14:paraId="56FE878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22687</w:t>
            </w:r>
          </w:p>
        </w:tc>
        <w:tc>
          <w:tcPr>
            <w:tcW w:w="1414" w:type="dxa"/>
            <w:vMerge w:val="restart"/>
            <w:shd w:val="clear" w:color="auto" w:fill="auto"/>
            <w:vAlign w:val="center"/>
          </w:tcPr>
          <w:p w14:paraId="7DA323BB"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33144</w:t>
            </w:r>
          </w:p>
        </w:tc>
        <w:tc>
          <w:tcPr>
            <w:tcW w:w="1414" w:type="dxa"/>
            <w:vMerge w:val="restart"/>
            <w:shd w:val="clear" w:color="auto" w:fill="auto"/>
            <w:vAlign w:val="center"/>
          </w:tcPr>
          <w:p w14:paraId="769EB24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40841</w:t>
            </w:r>
          </w:p>
        </w:tc>
        <w:tc>
          <w:tcPr>
            <w:tcW w:w="1426" w:type="dxa"/>
            <w:vMerge w:val="restart"/>
            <w:shd w:val="clear" w:color="auto" w:fill="auto"/>
            <w:vAlign w:val="center"/>
          </w:tcPr>
          <w:p w14:paraId="4129EC4A"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23625</w:t>
            </w:r>
          </w:p>
        </w:tc>
      </w:tr>
      <w:tr w:rsidR="006D2299" w14:paraId="7BC05A15" w14:textId="77777777" w:rsidTr="008326E2">
        <w:trPr>
          <w:trHeight w:val="276"/>
        </w:trPr>
        <w:tc>
          <w:tcPr>
            <w:tcW w:w="2321" w:type="dxa"/>
            <w:vMerge w:val="restart"/>
            <w:shd w:val="clear" w:color="auto" w:fill="auto"/>
          </w:tcPr>
          <w:p w14:paraId="31398B8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Рентгенологічних</w:t>
            </w:r>
          </w:p>
          <w:p w14:paraId="07AADB1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досліджень, од</w:t>
            </w:r>
          </w:p>
        </w:tc>
        <w:tc>
          <w:tcPr>
            <w:tcW w:w="1385" w:type="dxa"/>
            <w:vMerge w:val="restart"/>
            <w:shd w:val="clear" w:color="auto" w:fill="auto"/>
            <w:vAlign w:val="center"/>
          </w:tcPr>
          <w:p w14:paraId="40A2EA4D"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12711</w:t>
            </w:r>
          </w:p>
        </w:tc>
        <w:tc>
          <w:tcPr>
            <w:tcW w:w="1384" w:type="dxa"/>
            <w:vMerge w:val="restart"/>
            <w:shd w:val="clear" w:color="auto" w:fill="auto"/>
            <w:vAlign w:val="center"/>
          </w:tcPr>
          <w:p w14:paraId="45035E9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8385</w:t>
            </w:r>
          </w:p>
        </w:tc>
        <w:tc>
          <w:tcPr>
            <w:tcW w:w="1414" w:type="dxa"/>
            <w:vMerge w:val="restart"/>
            <w:shd w:val="clear" w:color="auto" w:fill="auto"/>
            <w:vAlign w:val="center"/>
          </w:tcPr>
          <w:p w14:paraId="2D51BAA7"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20255</w:t>
            </w:r>
          </w:p>
        </w:tc>
        <w:tc>
          <w:tcPr>
            <w:tcW w:w="1414" w:type="dxa"/>
            <w:vMerge w:val="restart"/>
            <w:shd w:val="clear" w:color="auto" w:fill="auto"/>
            <w:vAlign w:val="center"/>
          </w:tcPr>
          <w:p w14:paraId="337257A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17526</w:t>
            </w:r>
          </w:p>
        </w:tc>
        <w:tc>
          <w:tcPr>
            <w:tcW w:w="1426" w:type="dxa"/>
            <w:vMerge w:val="restart"/>
            <w:shd w:val="clear" w:color="auto" w:fill="auto"/>
            <w:vAlign w:val="center"/>
          </w:tcPr>
          <w:p w14:paraId="449AA532"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12771</w:t>
            </w:r>
          </w:p>
        </w:tc>
      </w:tr>
      <w:tr w:rsidR="006D2299" w14:paraId="6B8018C2" w14:textId="77777777" w:rsidTr="008326E2">
        <w:trPr>
          <w:trHeight w:val="304"/>
        </w:trPr>
        <w:tc>
          <w:tcPr>
            <w:tcW w:w="2321" w:type="dxa"/>
            <w:vMerge w:val="restart"/>
            <w:shd w:val="clear" w:color="auto" w:fill="auto"/>
          </w:tcPr>
          <w:p w14:paraId="1D4CDF8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264"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зокрема комп’ютерних томографій, од.</w:t>
            </w:r>
          </w:p>
        </w:tc>
        <w:tc>
          <w:tcPr>
            <w:tcW w:w="1385" w:type="dxa"/>
            <w:vMerge w:val="restart"/>
            <w:shd w:val="clear" w:color="auto" w:fill="auto"/>
            <w:vAlign w:val="center"/>
          </w:tcPr>
          <w:p w14:paraId="2928EAE2" w14:textId="77777777" w:rsidR="006D2299" w:rsidRDefault="006D2299" w:rsidP="008326E2">
            <w:pPr>
              <w:widowControl w:val="0"/>
              <w:jc w:val="right"/>
              <w:rPr>
                <w:rFonts w:ascii="Arial" w:eastAsia="Arial" w:hAnsi="Arial" w:cs="Times New Roman"/>
                <w:sz w:val="24"/>
                <w:szCs w:val="24"/>
              </w:rPr>
            </w:pPr>
          </w:p>
        </w:tc>
        <w:tc>
          <w:tcPr>
            <w:tcW w:w="1384" w:type="dxa"/>
            <w:vMerge w:val="restart"/>
            <w:shd w:val="clear" w:color="auto" w:fill="auto"/>
            <w:vAlign w:val="center"/>
          </w:tcPr>
          <w:p w14:paraId="21C79E98"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647</w:t>
            </w:r>
          </w:p>
        </w:tc>
        <w:tc>
          <w:tcPr>
            <w:tcW w:w="1414" w:type="dxa"/>
            <w:vMerge w:val="restart"/>
            <w:shd w:val="clear" w:color="auto" w:fill="auto"/>
            <w:vAlign w:val="center"/>
          </w:tcPr>
          <w:p w14:paraId="021BF36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11241</w:t>
            </w:r>
          </w:p>
        </w:tc>
        <w:tc>
          <w:tcPr>
            <w:tcW w:w="1414" w:type="dxa"/>
            <w:vMerge w:val="restart"/>
            <w:shd w:val="clear" w:color="auto" w:fill="auto"/>
            <w:vAlign w:val="center"/>
          </w:tcPr>
          <w:p w14:paraId="05567E02"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7659</w:t>
            </w:r>
          </w:p>
        </w:tc>
        <w:tc>
          <w:tcPr>
            <w:tcW w:w="1426" w:type="dxa"/>
            <w:vMerge w:val="restart"/>
            <w:shd w:val="clear" w:color="auto" w:fill="auto"/>
            <w:vAlign w:val="center"/>
          </w:tcPr>
          <w:p w14:paraId="622CCB4C"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tc>
      </w:tr>
      <w:tr w:rsidR="006D2299" w14:paraId="3C72F71A" w14:textId="77777777" w:rsidTr="008326E2">
        <w:trPr>
          <w:trHeight w:val="298"/>
        </w:trPr>
        <w:tc>
          <w:tcPr>
            <w:tcW w:w="2321" w:type="dxa"/>
            <w:vMerge w:val="restart"/>
            <w:shd w:val="clear" w:color="auto" w:fill="auto"/>
          </w:tcPr>
          <w:p w14:paraId="2C42CC8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Лабораторних досліджень, од. Зокрема</w:t>
            </w:r>
          </w:p>
        </w:tc>
        <w:tc>
          <w:tcPr>
            <w:tcW w:w="1385" w:type="dxa"/>
            <w:vMerge w:val="restart"/>
            <w:shd w:val="clear" w:color="auto" w:fill="auto"/>
            <w:vAlign w:val="center"/>
          </w:tcPr>
          <w:p w14:paraId="19AE23A7"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753991</w:t>
            </w:r>
          </w:p>
        </w:tc>
        <w:tc>
          <w:tcPr>
            <w:tcW w:w="1384" w:type="dxa"/>
            <w:vMerge w:val="restart"/>
            <w:shd w:val="clear" w:color="auto" w:fill="auto"/>
            <w:vAlign w:val="center"/>
          </w:tcPr>
          <w:p w14:paraId="489A7CC2"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892016</w:t>
            </w:r>
          </w:p>
        </w:tc>
        <w:tc>
          <w:tcPr>
            <w:tcW w:w="1414" w:type="dxa"/>
            <w:vMerge w:val="restart"/>
            <w:shd w:val="clear" w:color="auto" w:fill="auto"/>
            <w:vAlign w:val="center"/>
          </w:tcPr>
          <w:p w14:paraId="69B0F611"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1125274</w:t>
            </w:r>
          </w:p>
        </w:tc>
        <w:tc>
          <w:tcPr>
            <w:tcW w:w="1414" w:type="dxa"/>
            <w:vMerge w:val="restart"/>
            <w:shd w:val="clear" w:color="auto" w:fill="auto"/>
            <w:vAlign w:val="center"/>
          </w:tcPr>
          <w:p w14:paraId="44DCD0FA"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1292747</w:t>
            </w:r>
          </w:p>
        </w:tc>
        <w:tc>
          <w:tcPr>
            <w:tcW w:w="1426" w:type="dxa"/>
            <w:vMerge w:val="restart"/>
            <w:shd w:val="clear" w:color="auto" w:fill="auto"/>
            <w:vAlign w:val="center"/>
          </w:tcPr>
          <w:p w14:paraId="6649E8C0"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739391</w:t>
            </w:r>
          </w:p>
        </w:tc>
      </w:tr>
      <w:tr w:rsidR="006D2299" w14:paraId="710478BF" w14:textId="77777777" w:rsidTr="008326E2">
        <w:trPr>
          <w:trHeight w:val="276"/>
        </w:trPr>
        <w:tc>
          <w:tcPr>
            <w:tcW w:w="2321" w:type="dxa"/>
            <w:vMerge w:val="restart"/>
            <w:shd w:val="clear" w:color="auto" w:fill="auto"/>
          </w:tcPr>
          <w:p w14:paraId="217E62C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гематологічних</w:t>
            </w:r>
          </w:p>
        </w:tc>
        <w:tc>
          <w:tcPr>
            <w:tcW w:w="1385" w:type="dxa"/>
            <w:vMerge w:val="restart"/>
            <w:shd w:val="clear" w:color="auto" w:fill="auto"/>
            <w:vAlign w:val="center"/>
          </w:tcPr>
          <w:p w14:paraId="089F7CC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278501</w:t>
            </w:r>
          </w:p>
        </w:tc>
        <w:tc>
          <w:tcPr>
            <w:tcW w:w="1384" w:type="dxa"/>
            <w:vMerge w:val="restart"/>
            <w:shd w:val="clear" w:color="auto" w:fill="auto"/>
            <w:vAlign w:val="center"/>
          </w:tcPr>
          <w:p w14:paraId="6983938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385052</w:t>
            </w:r>
          </w:p>
        </w:tc>
        <w:tc>
          <w:tcPr>
            <w:tcW w:w="1414" w:type="dxa"/>
            <w:vMerge w:val="restart"/>
            <w:shd w:val="clear" w:color="auto" w:fill="auto"/>
            <w:vAlign w:val="center"/>
          </w:tcPr>
          <w:p w14:paraId="77BF475B"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453744</w:t>
            </w:r>
          </w:p>
        </w:tc>
        <w:tc>
          <w:tcPr>
            <w:tcW w:w="1414" w:type="dxa"/>
            <w:vMerge w:val="restart"/>
            <w:shd w:val="clear" w:color="auto" w:fill="auto"/>
            <w:vAlign w:val="center"/>
          </w:tcPr>
          <w:p w14:paraId="0021596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508109</w:t>
            </w:r>
          </w:p>
        </w:tc>
        <w:tc>
          <w:tcPr>
            <w:tcW w:w="1426" w:type="dxa"/>
            <w:vMerge w:val="restart"/>
            <w:shd w:val="clear" w:color="auto" w:fill="auto"/>
            <w:vAlign w:val="center"/>
          </w:tcPr>
          <w:p w14:paraId="1A70B60B"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272151</w:t>
            </w:r>
          </w:p>
        </w:tc>
      </w:tr>
      <w:tr w:rsidR="006D2299" w14:paraId="0AE1B543" w14:textId="77777777" w:rsidTr="008326E2">
        <w:trPr>
          <w:trHeight w:val="276"/>
        </w:trPr>
        <w:tc>
          <w:tcPr>
            <w:tcW w:w="2321" w:type="dxa"/>
            <w:shd w:val="clear" w:color="auto" w:fill="auto"/>
          </w:tcPr>
          <w:p w14:paraId="53991ACC"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біохімічних</w:t>
            </w:r>
          </w:p>
        </w:tc>
        <w:tc>
          <w:tcPr>
            <w:tcW w:w="1385" w:type="dxa"/>
            <w:shd w:val="clear" w:color="auto" w:fill="auto"/>
            <w:vAlign w:val="center"/>
          </w:tcPr>
          <w:p w14:paraId="33A5E73E"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276401</w:t>
            </w:r>
          </w:p>
        </w:tc>
        <w:tc>
          <w:tcPr>
            <w:tcW w:w="1384" w:type="dxa"/>
            <w:shd w:val="clear" w:color="auto" w:fill="auto"/>
            <w:vAlign w:val="center"/>
          </w:tcPr>
          <w:p w14:paraId="7EA4F4E9"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337634</w:t>
            </w:r>
          </w:p>
        </w:tc>
        <w:tc>
          <w:tcPr>
            <w:tcW w:w="1414" w:type="dxa"/>
            <w:shd w:val="clear" w:color="auto" w:fill="auto"/>
            <w:vAlign w:val="center"/>
          </w:tcPr>
          <w:p w14:paraId="1954821D"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462913</w:t>
            </w:r>
          </w:p>
        </w:tc>
        <w:tc>
          <w:tcPr>
            <w:tcW w:w="1414" w:type="dxa"/>
            <w:shd w:val="clear" w:color="auto" w:fill="auto"/>
            <w:vAlign w:val="center"/>
          </w:tcPr>
          <w:p w14:paraId="5A104290"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561960</w:t>
            </w:r>
          </w:p>
        </w:tc>
        <w:tc>
          <w:tcPr>
            <w:tcW w:w="1426" w:type="dxa"/>
            <w:shd w:val="clear" w:color="auto" w:fill="auto"/>
            <w:vAlign w:val="center"/>
          </w:tcPr>
          <w:p w14:paraId="3CD678B6"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329967</w:t>
            </w:r>
          </w:p>
        </w:tc>
      </w:tr>
      <w:tr w:rsidR="006D2299" w14:paraId="6B52DCC8" w14:textId="77777777" w:rsidTr="008326E2">
        <w:trPr>
          <w:trHeight w:val="276"/>
        </w:trPr>
        <w:tc>
          <w:tcPr>
            <w:tcW w:w="2321" w:type="dxa"/>
            <w:vMerge w:val="restart"/>
            <w:shd w:val="clear" w:color="auto" w:fill="auto"/>
          </w:tcPr>
          <w:p w14:paraId="0CC1F92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ІФА</w:t>
            </w:r>
          </w:p>
        </w:tc>
        <w:tc>
          <w:tcPr>
            <w:tcW w:w="1385" w:type="dxa"/>
            <w:vMerge w:val="restart"/>
            <w:shd w:val="clear" w:color="auto" w:fill="auto"/>
            <w:vAlign w:val="center"/>
          </w:tcPr>
          <w:p w14:paraId="0880F417"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25955</w:t>
            </w:r>
          </w:p>
        </w:tc>
        <w:tc>
          <w:tcPr>
            <w:tcW w:w="1384" w:type="dxa"/>
            <w:vMerge w:val="restart"/>
            <w:shd w:val="clear" w:color="auto" w:fill="auto"/>
            <w:vAlign w:val="center"/>
          </w:tcPr>
          <w:p w14:paraId="5620C76F"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25558</w:t>
            </w:r>
          </w:p>
        </w:tc>
        <w:tc>
          <w:tcPr>
            <w:tcW w:w="1414" w:type="dxa"/>
            <w:vMerge w:val="restart"/>
            <w:shd w:val="clear" w:color="auto" w:fill="auto"/>
            <w:vAlign w:val="center"/>
          </w:tcPr>
          <w:p w14:paraId="428FC630"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32240</w:t>
            </w:r>
          </w:p>
        </w:tc>
        <w:tc>
          <w:tcPr>
            <w:tcW w:w="1414" w:type="dxa"/>
            <w:vMerge w:val="restart"/>
            <w:shd w:val="clear" w:color="auto" w:fill="auto"/>
            <w:vAlign w:val="center"/>
          </w:tcPr>
          <w:p w14:paraId="20B3099D"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38314</w:t>
            </w:r>
          </w:p>
        </w:tc>
        <w:tc>
          <w:tcPr>
            <w:tcW w:w="1426" w:type="dxa"/>
            <w:vMerge w:val="restart"/>
            <w:shd w:val="clear" w:color="auto" w:fill="auto"/>
            <w:vAlign w:val="center"/>
          </w:tcPr>
          <w:p w14:paraId="0F848E46"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19103</w:t>
            </w:r>
          </w:p>
        </w:tc>
      </w:tr>
      <w:tr w:rsidR="006D2299" w14:paraId="04627A35" w14:textId="77777777" w:rsidTr="008326E2">
        <w:trPr>
          <w:trHeight w:val="276"/>
        </w:trPr>
        <w:tc>
          <w:tcPr>
            <w:tcW w:w="2321" w:type="dxa"/>
            <w:vMerge w:val="restart"/>
            <w:shd w:val="clear" w:color="auto" w:fill="auto"/>
          </w:tcPr>
          <w:p w14:paraId="64ECDE3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зокрема ІФА </w:t>
            </w:r>
            <w:r>
              <w:rPr>
                <w:rFonts w:ascii="Times New Roman" w:eastAsia="Times New Roman" w:hAnsi="Times New Roman" w:cs="Times New Roman"/>
                <w:color w:val="000000"/>
                <w:sz w:val="24"/>
                <w:szCs w:val="24"/>
                <w:lang w:val="en-US" w:bidi="en-US"/>
              </w:rPr>
              <w:t>COVID</w:t>
            </w:r>
          </w:p>
        </w:tc>
        <w:tc>
          <w:tcPr>
            <w:tcW w:w="1385" w:type="dxa"/>
            <w:vMerge w:val="restart"/>
            <w:shd w:val="clear" w:color="auto" w:fill="auto"/>
            <w:vAlign w:val="center"/>
          </w:tcPr>
          <w:p w14:paraId="6E14C940"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24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471</w:t>
            </w:r>
          </w:p>
        </w:tc>
        <w:tc>
          <w:tcPr>
            <w:tcW w:w="1384" w:type="dxa"/>
            <w:vMerge w:val="restart"/>
            <w:shd w:val="clear" w:color="auto" w:fill="auto"/>
            <w:vAlign w:val="center"/>
          </w:tcPr>
          <w:p w14:paraId="2E79991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2341</w:t>
            </w:r>
          </w:p>
        </w:tc>
        <w:tc>
          <w:tcPr>
            <w:tcW w:w="1414" w:type="dxa"/>
            <w:vMerge w:val="restart"/>
            <w:shd w:val="clear" w:color="auto" w:fill="auto"/>
            <w:vAlign w:val="center"/>
          </w:tcPr>
          <w:p w14:paraId="09F285C9"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720</w:t>
            </w:r>
          </w:p>
        </w:tc>
        <w:tc>
          <w:tcPr>
            <w:tcW w:w="1414" w:type="dxa"/>
            <w:vMerge w:val="restart"/>
            <w:shd w:val="clear" w:color="auto" w:fill="auto"/>
            <w:vAlign w:val="center"/>
          </w:tcPr>
          <w:p w14:paraId="38032A9D"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ind w:firstLine="320"/>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1620</w:t>
            </w:r>
          </w:p>
        </w:tc>
        <w:tc>
          <w:tcPr>
            <w:tcW w:w="1426" w:type="dxa"/>
            <w:vMerge w:val="restart"/>
            <w:shd w:val="clear" w:color="auto" w:fill="auto"/>
            <w:vAlign w:val="center"/>
          </w:tcPr>
          <w:p w14:paraId="6C86A485" w14:textId="77777777" w:rsidR="006D2299" w:rsidRDefault="006D2299" w:rsidP="008326E2">
            <w:pPr>
              <w:widowControl w:val="0"/>
              <w:pBdr>
                <w:top w:val="none" w:sz="4" w:space="0" w:color="000000"/>
                <w:left w:val="none" w:sz="4" w:space="0" w:color="000000"/>
                <w:bottom w:val="none" w:sz="4" w:space="0" w:color="000000"/>
                <w:right w:val="none" w:sz="4" w:space="0" w:color="000000"/>
                <w:between w:val="none" w:sz="4" w:space="0" w:color="000000"/>
              </w:pBdr>
              <w:jc w:val="right"/>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10</w:t>
            </w:r>
          </w:p>
        </w:tc>
      </w:tr>
    </w:tbl>
    <w:p w14:paraId="50F6E858" w14:textId="684A33CC"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bCs/>
          <w:i/>
          <w:color w:val="000000"/>
          <w:sz w:val="24"/>
          <w:szCs w:val="24"/>
          <w:lang w:val="en-US" w:eastAsia="uk-UA" w:bidi="uk-UA"/>
        </w:rPr>
      </w:pPr>
      <w:r>
        <w:rPr>
          <w:rFonts w:ascii="Times New Roman" w:eastAsia="Times New Roman" w:hAnsi="Times New Roman" w:cs="Times New Roman"/>
          <w:i/>
          <w:iCs/>
          <w:color w:val="000000"/>
          <w:sz w:val="24"/>
          <w:szCs w:val="24"/>
          <w:lang w:eastAsia="uk-UA" w:bidi="uk-UA"/>
        </w:rPr>
        <w:t xml:space="preserve">Джерело: </w:t>
      </w:r>
      <w:r>
        <w:rPr>
          <w:rFonts w:ascii="Times New Roman" w:eastAsia="Times New Roman" w:hAnsi="Times New Roman" w:cs="Times New Roman"/>
          <w:i/>
          <w:iCs/>
          <w:color w:val="000000"/>
          <w:sz w:val="24"/>
          <w:szCs w:val="24"/>
          <w:lang w:val="en-US" w:eastAsia="uk-UA" w:bidi="uk-UA"/>
        </w:rPr>
        <w:t>[</w:t>
      </w:r>
      <w:r w:rsidR="00492A6F">
        <w:rPr>
          <w:rFonts w:ascii="Times New Roman" w:eastAsia="Times New Roman" w:hAnsi="Times New Roman" w:cs="Times New Roman"/>
          <w:i/>
          <w:iCs/>
          <w:color w:val="000000"/>
          <w:sz w:val="24"/>
          <w:szCs w:val="24"/>
          <w:lang w:eastAsia="uk-UA" w:bidi="uk-UA"/>
        </w:rPr>
        <w:t>29</w:t>
      </w:r>
      <w:r>
        <w:rPr>
          <w:rFonts w:ascii="Times New Roman" w:eastAsia="Times New Roman" w:hAnsi="Times New Roman" w:cs="Times New Roman"/>
          <w:i/>
          <w:iCs/>
          <w:color w:val="000000"/>
          <w:sz w:val="24"/>
          <w:szCs w:val="24"/>
          <w:lang w:val="en-US" w:eastAsia="uk-UA" w:bidi="uk-UA"/>
        </w:rPr>
        <w:t>]</w:t>
      </w:r>
    </w:p>
    <w:p w14:paraId="2B3C4E70"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p>
    <w:p w14:paraId="4399E9B1"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Таким чином, протягом аналізуємого періоду відстежується позитивна динаміка напруженості виробничої діяльності, зокрема щорічна тенденція щодо збільшення кількості госпіталізованих пацієнтів, оптимізується середній ліжко-день та госпітальна летальність, збільшується кількість та видів діагностичних та ургентних і планових втручань тощо, що прогнозовано збільшує кількість лікувальних епізодів та виконання договорів з НСЗУ, і, відповідно, фінансування закладу.</w:t>
      </w:r>
    </w:p>
    <w:p w14:paraId="02A6FE53" w14:textId="33CB45E8"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6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Відповідно до рішення Одеської міської ради від 24 квітня 2024 р. </w:t>
      </w:r>
      <w:r>
        <w:rPr>
          <w:rFonts w:ascii="Times New Roman" w:eastAsia="Times New Roman" w:hAnsi="Times New Roman" w:cs="Times New Roman"/>
          <w:color w:val="000000"/>
          <w:sz w:val="28"/>
          <w:szCs w:val="28"/>
          <w:lang w:val="en-US" w:bidi="en-US"/>
        </w:rPr>
        <w:t>№2085-V</w:t>
      </w:r>
      <w:r>
        <w:rPr>
          <w:rFonts w:ascii="Times New Roman" w:eastAsia="Times New Roman" w:hAnsi="Times New Roman" w:cs="Times New Roman"/>
          <w:color w:val="000000"/>
          <w:sz w:val="28"/>
          <w:szCs w:val="28"/>
          <w:lang w:eastAsia="uk-UA" w:bidi="uk-UA"/>
        </w:rPr>
        <w:t xml:space="preserve">ІІІ «Про затвердження статуту Комунального некомерційного підприємства «Міська клінічна лікарня №10» Одеської міської ради у новій редакції </w:t>
      </w:r>
      <w:r>
        <w:rPr>
          <w:rFonts w:ascii="Times New Roman" w:eastAsia="Times New Roman" w:hAnsi="Times New Roman" w:cs="Times New Roman"/>
          <w:color w:val="000000"/>
          <w:sz w:val="28"/>
          <w:szCs w:val="28"/>
          <w:lang w:val="en-US" w:eastAsia="uk-UA" w:bidi="uk-UA"/>
        </w:rPr>
        <w:t>[</w:t>
      </w:r>
      <w:r w:rsidR="00492A6F">
        <w:rPr>
          <w:rFonts w:ascii="Times New Roman" w:eastAsia="Times New Roman" w:hAnsi="Times New Roman" w:cs="Times New Roman"/>
          <w:color w:val="000000"/>
          <w:sz w:val="28"/>
          <w:szCs w:val="28"/>
          <w:lang w:eastAsia="uk-UA" w:bidi="uk-UA"/>
        </w:rPr>
        <w:t>33</w:t>
      </w:r>
      <w:r>
        <w:rPr>
          <w:rFonts w:ascii="Times New Roman" w:eastAsia="Times New Roman" w:hAnsi="Times New Roman" w:cs="Times New Roman"/>
          <w:color w:val="000000"/>
          <w:sz w:val="28"/>
          <w:szCs w:val="28"/>
          <w:lang w:val="en-US" w:eastAsia="uk-UA" w:bidi="uk-UA"/>
        </w:rPr>
        <w:t>]</w:t>
      </w:r>
      <w:r>
        <w:rPr>
          <w:rFonts w:ascii="Times New Roman" w:eastAsia="Times New Roman" w:hAnsi="Times New Roman" w:cs="Times New Roman"/>
          <w:color w:val="000000"/>
          <w:sz w:val="28"/>
          <w:szCs w:val="28"/>
          <w:lang w:eastAsia="uk-UA" w:bidi="uk-UA"/>
        </w:rPr>
        <w:t xml:space="preserve">, у КНП «МКЛ №10» ОМР проведено реструктуризацію як </w:t>
      </w:r>
      <w:r>
        <w:rPr>
          <w:rFonts w:ascii="Times New Roman" w:eastAsia="Times New Roman" w:hAnsi="Times New Roman" w:cs="Times New Roman"/>
          <w:color w:val="000000"/>
          <w:sz w:val="28"/>
          <w:szCs w:val="28"/>
          <w:lang w:eastAsia="uk-UA" w:bidi="uk-UA"/>
        </w:rPr>
        <w:lastRenderedPageBreak/>
        <w:t>кластерної лікарні спроможної мережі Одеського госпітального округу задля забезпечення повноцінного розвитку госпітального кластеру.</w:t>
      </w:r>
    </w:p>
    <w:p w14:paraId="5B777384" w14:textId="143472C5" w:rsidR="006D2299" w:rsidRDefault="006D2299" w:rsidP="006D2299">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eastAsia="Arial" w:hAnsi="Times New Roman" w:cs="Times New Roman"/>
          <w:sz w:val="28"/>
          <w:szCs w:val="28"/>
        </w:rPr>
      </w:pPr>
      <w:r>
        <w:rPr>
          <w:rFonts w:ascii="Times New Roman" w:eastAsia="Times New Roman" w:hAnsi="Times New Roman" w:cs="Times New Roman"/>
          <w:sz w:val="28"/>
          <w:szCs w:val="28"/>
        </w:rPr>
        <w:t>Кластеризація виступає ключовим елементом інфраструктурної реформи системи охорони здоров’я, спрямованої на раціоналізацію мережі лікарень у межах госпітальних округів за кластерним принципом. Її впровадження покликане не лише підвищити ефективність управління ресурсами, а й забезпечити більш якісний і доступний рівень медичної допомоги населенню</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color w:val="000000"/>
          <w:sz w:val="28"/>
          <w:szCs w:val="28"/>
          <w:lang w:val="en-US" w:eastAsia="uk-UA" w:bidi="uk-UA"/>
        </w:rPr>
        <w:t>[</w:t>
      </w:r>
      <w:r w:rsidR="00492A6F">
        <w:rPr>
          <w:rFonts w:ascii="Times New Roman" w:eastAsia="Times New Roman" w:hAnsi="Times New Roman" w:cs="Times New Roman"/>
          <w:color w:val="000000"/>
          <w:sz w:val="28"/>
          <w:szCs w:val="28"/>
          <w:lang w:eastAsia="uk-UA" w:bidi="uk-UA"/>
        </w:rPr>
        <w:t>34</w:t>
      </w:r>
      <w:r>
        <w:rPr>
          <w:rFonts w:ascii="Times New Roman" w:eastAsia="Times New Roman" w:hAnsi="Times New Roman" w:cs="Times New Roman"/>
          <w:color w:val="000000"/>
          <w:sz w:val="28"/>
          <w:szCs w:val="28"/>
          <w:lang w:val="en-US" w:eastAsia="uk-UA" w:bidi="uk-UA"/>
        </w:rPr>
        <w:t>]</w:t>
      </w:r>
      <w:r>
        <w:rPr>
          <w:rFonts w:ascii="Times New Roman" w:eastAsia="Times New Roman" w:hAnsi="Times New Roman" w:cs="Times New Roman"/>
          <w:sz w:val="28"/>
          <w:szCs w:val="28"/>
        </w:rPr>
        <w:t>.</w:t>
      </w:r>
    </w:p>
    <w:p w14:paraId="10978618" w14:textId="0FEF366C" w:rsidR="006D2299" w:rsidRDefault="006D2299" w:rsidP="006D2299">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eastAsia="Arial" w:hAnsi="Times New Roman" w:cs="Times New Roman"/>
          <w:sz w:val="28"/>
          <w:szCs w:val="28"/>
        </w:rPr>
      </w:pPr>
      <w:r>
        <w:rPr>
          <w:rFonts w:ascii="Times New Roman" w:eastAsia="Times New Roman" w:hAnsi="Times New Roman" w:cs="Times New Roman"/>
          <w:sz w:val="28"/>
          <w:szCs w:val="28"/>
        </w:rPr>
        <w:t>Передусім, кластеризація сприяє покращенню якості медичних послуг, адже дозволяє сконцентрувати кваліфікований персонал, сучасне обладнання та стандартизовані клінічні протоколи в межах потужних медичних центрів.</w:t>
      </w:r>
      <w:r>
        <w:rPr>
          <w:rFonts w:ascii="Times New Roman" w:eastAsia="Times New Roman" w:hAnsi="Times New Roman" w:cs="Times New Roman"/>
          <w:sz w:val="28"/>
          <w:szCs w:val="28"/>
        </w:rPr>
        <w:br/>
        <w:t xml:space="preserve"> Крім того, створюється конкурентне середовище, що стимулює розвиток інновацій та впровадження передових технологій у медичній практиці. Кластерні заклади отримують можливість співпрацювати з Національною службою здоров’я України на договірних засадах, що підвищує їхню зацікавленість у якості та результативності лікування</w:t>
      </w:r>
      <w:r>
        <w:rPr>
          <w:rFonts w:ascii="Times New Roman" w:eastAsia="Times New Roman" w:hAnsi="Times New Roman" w:cs="Times New Roman"/>
          <w:color w:val="000000"/>
          <w:sz w:val="28"/>
          <w:szCs w:val="28"/>
          <w:lang w:val="en-US" w:eastAsia="uk-UA" w:bidi="uk-UA"/>
        </w:rPr>
        <w:t xml:space="preserve"> [</w:t>
      </w:r>
      <w:r w:rsidR="00492A6F">
        <w:rPr>
          <w:rFonts w:ascii="Times New Roman" w:eastAsia="Times New Roman" w:hAnsi="Times New Roman" w:cs="Times New Roman"/>
          <w:color w:val="000000"/>
          <w:sz w:val="28"/>
          <w:szCs w:val="28"/>
          <w:lang w:eastAsia="uk-UA" w:bidi="uk-UA"/>
        </w:rPr>
        <w:t>34</w:t>
      </w:r>
      <w:r>
        <w:rPr>
          <w:rFonts w:ascii="Times New Roman" w:eastAsia="Times New Roman" w:hAnsi="Times New Roman" w:cs="Times New Roman"/>
          <w:color w:val="000000"/>
          <w:sz w:val="28"/>
          <w:szCs w:val="28"/>
          <w:lang w:val="en-US" w:eastAsia="uk-UA" w:bidi="uk-UA"/>
        </w:rPr>
        <w:t>]</w:t>
      </w:r>
      <w:r>
        <w:rPr>
          <w:rFonts w:ascii="Times New Roman" w:eastAsia="Times New Roman" w:hAnsi="Times New Roman" w:cs="Times New Roman"/>
          <w:color w:val="000000"/>
          <w:sz w:val="28"/>
          <w:szCs w:val="28"/>
          <w:lang w:eastAsia="uk-UA" w:bidi="uk-UA"/>
        </w:rPr>
        <w:t>.</w:t>
      </w:r>
    </w:p>
    <w:p w14:paraId="200009DB" w14:textId="77777777" w:rsidR="006D2299" w:rsidRDefault="006D2299" w:rsidP="006D2299">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аспектом є й оптимізація використання матеріально-технічних і кадрових ресурсів: дороговартісне обладнання та висококваліфіковані спеціалісти використовуються ефективніше, що знижує витрати й підвищує ефективність роботи системи загалом.</w:t>
      </w:r>
    </w:p>
    <w:p w14:paraId="3C86E6CF" w14:textId="77777777" w:rsidR="006D2299" w:rsidRDefault="006D2299" w:rsidP="006D2299">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кластерна модель сприяє забезпеченню рівного доступу до медичних послуг незалежно від місця проживання чи соціального статусу пацієнтів, гарантує єдиний стандарт якості допомоги для всіх.</w:t>
      </w:r>
    </w:p>
    <w:p w14:paraId="1E515B48" w14:textId="5DFE043B" w:rsidR="006D2299" w:rsidRDefault="006D2299" w:rsidP="006D2299">
      <w:pPr>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eastAsia="Arial" w:hAnsi="Times New Roman" w:cs="Times New Roman"/>
          <w:sz w:val="28"/>
          <w:szCs w:val="28"/>
        </w:rPr>
      </w:pPr>
      <w:r>
        <w:rPr>
          <w:rFonts w:ascii="Times New Roman" w:eastAsia="Times New Roman" w:hAnsi="Times New Roman" w:cs="Times New Roman"/>
          <w:sz w:val="28"/>
          <w:szCs w:val="28"/>
        </w:rPr>
        <w:t xml:space="preserve">Відповідно до Постанови Кабінету Міністрів України від 28 лютого 2023 р. №174 «Деякі питання організації спроможної мережі закладів охорони здоров’я» </w:t>
      </w:r>
      <w:r>
        <w:rPr>
          <w:rFonts w:ascii="Times New Roman" w:eastAsia="Times New Roman" w:hAnsi="Times New Roman" w:cs="Times New Roman"/>
          <w:color w:val="000000"/>
          <w:sz w:val="28"/>
          <w:szCs w:val="28"/>
          <w:lang w:val="en-US" w:eastAsia="uk-UA" w:bidi="uk-UA"/>
        </w:rPr>
        <w:t>[</w:t>
      </w:r>
      <w:r w:rsidR="00492A6F">
        <w:rPr>
          <w:rFonts w:ascii="Times New Roman" w:eastAsia="Times New Roman" w:hAnsi="Times New Roman" w:cs="Times New Roman"/>
          <w:color w:val="000000"/>
          <w:sz w:val="28"/>
          <w:szCs w:val="28"/>
          <w:lang w:eastAsia="uk-UA" w:bidi="uk-UA"/>
        </w:rPr>
        <w:t>25</w:t>
      </w:r>
      <w:r>
        <w:rPr>
          <w:rFonts w:ascii="Times New Roman" w:eastAsia="Times New Roman" w:hAnsi="Times New Roman" w:cs="Times New Roman"/>
          <w:color w:val="000000"/>
          <w:sz w:val="28"/>
          <w:szCs w:val="28"/>
          <w:lang w:val="en-US" w:eastAsia="uk-UA" w:bidi="uk-UA"/>
        </w:rPr>
        <w:t>]</w:t>
      </w:r>
      <w:r>
        <w:rPr>
          <w:rFonts w:ascii="Times New Roman" w:eastAsia="Times New Roman" w:hAnsi="Times New Roman" w:cs="Times New Roman"/>
          <w:sz w:val="28"/>
          <w:szCs w:val="28"/>
        </w:rPr>
        <w:t>, кластерний заклад охорони здоров’я - це багатопрофільна лікарня, здатна забезпечити потреби населення госпітального округу у медичній та реабілітаційній допомозі при найпоширеніших захворюваннях і станах у межах визначених напрямів стаціонарної допомоги.</w:t>
      </w:r>
    </w:p>
    <w:p w14:paraId="3227A8F5"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6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У КНП «МКЛ №10» ОМР на основі відповідного управлінського </w:t>
      </w:r>
      <w:r>
        <w:rPr>
          <w:rFonts w:ascii="Times New Roman" w:eastAsia="Times New Roman" w:hAnsi="Times New Roman" w:cs="Times New Roman"/>
          <w:color w:val="000000"/>
          <w:sz w:val="28"/>
          <w:szCs w:val="28"/>
          <w:lang w:eastAsia="uk-UA" w:bidi="uk-UA"/>
        </w:rPr>
        <w:lastRenderedPageBreak/>
        <w:t xml:space="preserve">рішення було створено робочу групу з формування структури та штатного розпису </w:t>
      </w:r>
      <w:r>
        <w:rPr>
          <w:rFonts w:ascii="Times New Roman" w:eastAsia="Times New Roman" w:hAnsi="Times New Roman" w:cs="Times New Roman"/>
          <w:color w:val="000000"/>
          <w:sz w:val="28"/>
          <w:szCs w:val="28"/>
          <w:lang w:val="ru-RU" w:eastAsia="ru-RU" w:bidi="ru-RU"/>
        </w:rPr>
        <w:t xml:space="preserve">кластерного </w:t>
      </w:r>
      <w:r>
        <w:rPr>
          <w:rFonts w:ascii="Times New Roman" w:eastAsia="Times New Roman" w:hAnsi="Times New Roman" w:cs="Times New Roman"/>
          <w:color w:val="000000"/>
          <w:sz w:val="28"/>
          <w:szCs w:val="28"/>
          <w:lang w:eastAsia="uk-UA" w:bidi="uk-UA"/>
        </w:rPr>
        <w:t>закладу охорони здоров’я. За результатами роботи визначено наступні напрямки розвитку лікарні:</w:t>
      </w:r>
    </w:p>
    <w:p w14:paraId="368983A4" w14:textId="77777777" w:rsidR="006D2299" w:rsidRDefault="006D2299" w:rsidP="006D2299">
      <w:pPr>
        <w:widowControl w:val="0"/>
        <w:numPr>
          <w:ilvl w:val="0"/>
          <w:numId w:val="31"/>
        </w:numPr>
        <w:pBdr>
          <w:top w:val="none" w:sz="4" w:space="0" w:color="000000"/>
          <w:left w:val="none" w:sz="4" w:space="0" w:color="000000"/>
          <w:bottom w:val="none" w:sz="4" w:space="0" w:color="000000"/>
          <w:right w:val="none" w:sz="4" w:space="0" w:color="000000"/>
          <w:between w:val="none" w:sz="4" w:space="0" w:color="000000"/>
        </w:pBdr>
        <w:tabs>
          <w:tab w:val="left" w:pos="340"/>
          <w:tab w:val="left" w:pos="850"/>
          <w:tab w:val="left" w:pos="99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Впровадження мінімального (базового) переліку медичних напрямів надання медичної допомоги населення, властивого для </w:t>
      </w:r>
      <w:r>
        <w:rPr>
          <w:rFonts w:ascii="Times New Roman" w:eastAsia="Times New Roman" w:hAnsi="Times New Roman" w:cs="Times New Roman"/>
          <w:color w:val="000000"/>
          <w:sz w:val="28"/>
          <w:szCs w:val="28"/>
          <w:lang w:val="ru-RU" w:eastAsia="ru-RU" w:bidi="ru-RU"/>
        </w:rPr>
        <w:t xml:space="preserve">кластерного </w:t>
      </w:r>
      <w:r>
        <w:rPr>
          <w:rFonts w:ascii="Times New Roman" w:eastAsia="Times New Roman" w:hAnsi="Times New Roman" w:cs="Times New Roman"/>
          <w:color w:val="000000"/>
          <w:sz w:val="28"/>
          <w:szCs w:val="28"/>
          <w:lang w:eastAsia="uk-UA" w:bidi="uk-UA"/>
        </w:rPr>
        <w:t>закладу охорони здоров</w:t>
      </w:r>
      <w:r>
        <w:rPr>
          <w:rFonts w:ascii="Times New Roman" w:eastAsia="Times New Roman" w:hAnsi="Times New Roman" w:cs="Times New Roman"/>
          <w:color w:val="000000"/>
          <w:sz w:val="28"/>
          <w:szCs w:val="28"/>
          <w:lang w:val="en-US" w:eastAsia="uk-UA" w:bidi="uk-UA"/>
        </w:rPr>
        <w:t>’</w:t>
      </w:r>
      <w:r>
        <w:rPr>
          <w:rFonts w:ascii="Times New Roman" w:eastAsia="Times New Roman" w:hAnsi="Times New Roman" w:cs="Times New Roman"/>
          <w:color w:val="000000"/>
          <w:sz w:val="28"/>
          <w:szCs w:val="28"/>
          <w:lang w:eastAsia="uk-UA" w:bidi="uk-UA"/>
        </w:rPr>
        <w:t xml:space="preserve">я. </w:t>
      </w:r>
    </w:p>
    <w:p w14:paraId="548BECBD" w14:textId="77777777" w:rsidR="006D2299" w:rsidRDefault="006D2299" w:rsidP="006D2299">
      <w:pPr>
        <w:widowControl w:val="0"/>
        <w:numPr>
          <w:ilvl w:val="0"/>
          <w:numId w:val="31"/>
        </w:numPr>
        <w:pBdr>
          <w:top w:val="none" w:sz="4" w:space="0" w:color="000000"/>
          <w:left w:val="none" w:sz="4" w:space="0" w:color="000000"/>
          <w:bottom w:val="none" w:sz="4" w:space="0" w:color="000000"/>
          <w:right w:val="none" w:sz="4" w:space="0" w:color="000000"/>
          <w:between w:val="none" w:sz="4" w:space="0" w:color="000000"/>
        </w:pBdr>
        <w:tabs>
          <w:tab w:val="left" w:pos="340"/>
          <w:tab w:val="left" w:pos="850"/>
          <w:tab w:val="left" w:pos="99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Збереження існуючого потенціалу та забезпечення подальшого розвитку напрямків надання медичної допомоги, що не регламентовані базовим переліком у кластерній лікарні, проте вже здобули розвитку у КНП «МКЛ №10» ОМР.</w:t>
      </w:r>
    </w:p>
    <w:p w14:paraId="1705F76A" w14:textId="77777777" w:rsidR="006D2299" w:rsidRDefault="006D2299" w:rsidP="006D2299">
      <w:pPr>
        <w:widowControl w:val="0"/>
        <w:numPr>
          <w:ilvl w:val="0"/>
          <w:numId w:val="31"/>
        </w:numPr>
        <w:pBdr>
          <w:top w:val="none" w:sz="4" w:space="0" w:color="000000"/>
          <w:left w:val="none" w:sz="4" w:space="0" w:color="000000"/>
          <w:bottom w:val="none" w:sz="4" w:space="0" w:color="000000"/>
          <w:right w:val="none" w:sz="4" w:space="0" w:color="000000"/>
          <w:between w:val="none" w:sz="4" w:space="0" w:color="000000"/>
        </w:pBdr>
        <w:tabs>
          <w:tab w:val="left" w:pos="340"/>
          <w:tab w:val="left" w:pos="850"/>
          <w:tab w:val="left" w:pos="99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Розвиток нових медичних напрямків та подальший розвиток сучасних технологій в рамках існуючої потреби у Одеській територіальній громаді за наявному джерелу фінансування (НСЗУ).</w:t>
      </w:r>
    </w:p>
    <w:p w14:paraId="5AF14E6F"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tabs>
          <w:tab w:val="left" w:pos="340"/>
          <w:tab w:val="left" w:pos="850"/>
          <w:tab w:val="left" w:pos="992"/>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В результаті пропонується наступне реформування служб та напрямків надання медичної допомоги КНП «МКЛ №10» ОМР як </w:t>
      </w:r>
      <w:r>
        <w:rPr>
          <w:rFonts w:ascii="Times New Roman" w:eastAsia="Times New Roman" w:hAnsi="Times New Roman" w:cs="Times New Roman"/>
          <w:color w:val="000000"/>
          <w:sz w:val="28"/>
          <w:szCs w:val="28"/>
          <w:lang w:val="ru-RU" w:eastAsia="ru-RU" w:bidi="ru-RU"/>
        </w:rPr>
        <w:t xml:space="preserve">кластерного </w:t>
      </w:r>
      <w:r>
        <w:rPr>
          <w:rFonts w:ascii="Times New Roman" w:eastAsia="Times New Roman" w:hAnsi="Times New Roman" w:cs="Times New Roman"/>
          <w:color w:val="000000"/>
          <w:sz w:val="28"/>
          <w:szCs w:val="28"/>
          <w:lang w:eastAsia="uk-UA" w:bidi="uk-UA"/>
        </w:rPr>
        <w:t>закладу охорони здоров</w:t>
      </w:r>
      <w:r>
        <w:rPr>
          <w:rFonts w:ascii="Times New Roman" w:eastAsia="Times New Roman" w:hAnsi="Times New Roman" w:cs="Times New Roman"/>
          <w:color w:val="000000"/>
          <w:sz w:val="28"/>
          <w:szCs w:val="28"/>
          <w:lang w:val="en-US" w:eastAsia="uk-UA" w:bidi="uk-UA"/>
        </w:rPr>
        <w:t>’</w:t>
      </w:r>
      <w:r>
        <w:rPr>
          <w:rFonts w:ascii="Times New Roman" w:eastAsia="Times New Roman" w:hAnsi="Times New Roman" w:cs="Times New Roman"/>
          <w:color w:val="000000"/>
          <w:sz w:val="28"/>
          <w:szCs w:val="28"/>
          <w:lang w:eastAsia="uk-UA" w:bidi="uk-UA"/>
        </w:rPr>
        <w:t>я задля формування повноцінного госпітального кластеру.</w:t>
      </w:r>
    </w:p>
    <w:p w14:paraId="765AE99D" w14:textId="59365700"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Розділ 1. Впровадження мінімального (базового) переліку медичних напрямів надання медичної допомоги населення, властивого для </w:t>
      </w:r>
      <w:r>
        <w:rPr>
          <w:rFonts w:ascii="Times New Roman" w:eastAsia="Times New Roman" w:hAnsi="Times New Roman" w:cs="Times New Roman"/>
          <w:color w:val="000000"/>
          <w:sz w:val="28"/>
          <w:szCs w:val="28"/>
          <w:lang w:val="ru-RU" w:eastAsia="ru-RU" w:bidi="ru-RU"/>
        </w:rPr>
        <w:t xml:space="preserve">кластерного </w:t>
      </w:r>
      <w:r>
        <w:rPr>
          <w:rFonts w:ascii="Times New Roman" w:eastAsia="Times New Roman" w:hAnsi="Times New Roman" w:cs="Times New Roman"/>
          <w:color w:val="000000"/>
          <w:sz w:val="28"/>
          <w:szCs w:val="28"/>
          <w:lang w:eastAsia="uk-UA" w:bidi="uk-UA"/>
        </w:rPr>
        <w:t>закладу охорони здоров</w:t>
      </w:r>
      <w:r>
        <w:rPr>
          <w:rFonts w:ascii="Times New Roman" w:eastAsia="Times New Roman" w:hAnsi="Times New Roman" w:cs="Times New Roman"/>
          <w:color w:val="000000"/>
          <w:sz w:val="28"/>
          <w:szCs w:val="28"/>
          <w:lang w:val="en-US" w:eastAsia="uk-UA" w:bidi="uk-UA"/>
        </w:rPr>
        <w:t>’</w:t>
      </w:r>
      <w:r>
        <w:rPr>
          <w:rFonts w:ascii="Times New Roman" w:eastAsia="Times New Roman" w:hAnsi="Times New Roman" w:cs="Times New Roman"/>
          <w:color w:val="000000"/>
          <w:sz w:val="28"/>
          <w:szCs w:val="28"/>
          <w:lang w:eastAsia="uk-UA" w:bidi="uk-UA"/>
        </w:rPr>
        <w:t xml:space="preserve">я (табл. </w:t>
      </w:r>
      <w:r w:rsidR="008326E2">
        <w:rPr>
          <w:rFonts w:ascii="Times New Roman" w:eastAsia="Times New Roman" w:hAnsi="Times New Roman" w:cs="Times New Roman"/>
          <w:color w:val="000000"/>
          <w:sz w:val="28"/>
          <w:szCs w:val="28"/>
          <w:lang w:eastAsia="uk-UA" w:bidi="uk-UA"/>
        </w:rPr>
        <w:t>2</w:t>
      </w:r>
      <w:r>
        <w:rPr>
          <w:rFonts w:ascii="Times New Roman" w:eastAsia="Times New Roman" w:hAnsi="Times New Roman" w:cs="Times New Roman"/>
          <w:color w:val="000000"/>
          <w:sz w:val="28"/>
          <w:szCs w:val="28"/>
          <w:lang w:eastAsia="uk-UA" w:bidi="uk-UA"/>
        </w:rPr>
        <w:t>.3).</w:t>
      </w:r>
    </w:p>
    <w:p w14:paraId="18C11E74" w14:textId="2F2412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right"/>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Таблиця </w:t>
      </w:r>
      <w:r w:rsidR="008326E2">
        <w:rPr>
          <w:rFonts w:ascii="Times New Roman" w:eastAsia="Times New Roman" w:hAnsi="Times New Roman" w:cs="Times New Roman"/>
          <w:color w:val="000000"/>
          <w:sz w:val="28"/>
          <w:szCs w:val="28"/>
          <w:lang w:eastAsia="uk-UA" w:bidi="uk-UA"/>
        </w:rPr>
        <w:t>2</w:t>
      </w:r>
      <w:r>
        <w:rPr>
          <w:rFonts w:ascii="Times New Roman" w:eastAsia="Times New Roman" w:hAnsi="Times New Roman" w:cs="Times New Roman"/>
          <w:color w:val="000000"/>
          <w:sz w:val="28"/>
          <w:szCs w:val="28"/>
          <w:lang w:eastAsia="uk-UA" w:bidi="uk-UA"/>
        </w:rPr>
        <w:t>.3</w:t>
      </w:r>
    </w:p>
    <w:p w14:paraId="43BA09B4"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center"/>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t xml:space="preserve"> Впровадження мінімального (базового) переліку медичних напрямів надання медичної допомоги населення, властивого для </w:t>
      </w:r>
      <w:r>
        <w:rPr>
          <w:rFonts w:ascii="Times New Roman" w:eastAsia="Times New Roman" w:hAnsi="Times New Roman" w:cs="Times New Roman"/>
          <w:b/>
          <w:bCs/>
          <w:color w:val="000000"/>
          <w:sz w:val="28"/>
          <w:szCs w:val="28"/>
          <w:lang w:val="ru-RU" w:eastAsia="ru-RU" w:bidi="ru-RU"/>
        </w:rPr>
        <w:t xml:space="preserve">кластерного </w:t>
      </w:r>
      <w:r>
        <w:rPr>
          <w:rFonts w:ascii="Times New Roman" w:eastAsia="Times New Roman" w:hAnsi="Times New Roman" w:cs="Times New Roman"/>
          <w:b/>
          <w:bCs/>
          <w:color w:val="000000"/>
          <w:sz w:val="28"/>
          <w:szCs w:val="28"/>
          <w:lang w:eastAsia="uk-UA" w:bidi="uk-UA"/>
        </w:rPr>
        <w:t>закладу охорони здоров’я</w:t>
      </w:r>
    </w:p>
    <w:tbl>
      <w:tblPr>
        <w:tblW w:w="9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7"/>
        <w:gridCol w:w="1959"/>
        <w:gridCol w:w="2577"/>
        <w:gridCol w:w="2963"/>
      </w:tblGrid>
      <w:tr w:rsidR="006D2299" w14:paraId="73CF10B0" w14:textId="77777777" w:rsidTr="008326E2">
        <w:trPr>
          <w:trHeight w:hRule="exact" w:val="359"/>
          <w:jc w:val="center"/>
        </w:trPr>
        <w:tc>
          <w:tcPr>
            <w:tcW w:w="2167" w:type="dxa"/>
            <w:shd w:val="clear" w:color="auto" w:fill="auto"/>
            <w:vAlign w:val="center"/>
          </w:tcPr>
          <w:p w14:paraId="531315C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Напрямок</w:t>
            </w:r>
          </w:p>
        </w:tc>
        <w:tc>
          <w:tcPr>
            <w:tcW w:w="1959" w:type="dxa"/>
            <w:shd w:val="clear" w:color="auto" w:fill="auto"/>
            <w:vAlign w:val="center"/>
          </w:tcPr>
          <w:p w14:paraId="1E36856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Впровадження</w:t>
            </w:r>
          </w:p>
        </w:tc>
        <w:tc>
          <w:tcPr>
            <w:tcW w:w="2577" w:type="dxa"/>
            <w:shd w:val="clear" w:color="auto" w:fill="auto"/>
            <w:vAlign w:val="center"/>
          </w:tcPr>
          <w:p w14:paraId="2CA77BC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7"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Структурний підрозділ</w:t>
            </w:r>
          </w:p>
        </w:tc>
        <w:tc>
          <w:tcPr>
            <w:tcW w:w="2963" w:type="dxa"/>
            <w:shd w:val="clear" w:color="auto" w:fill="auto"/>
            <w:vAlign w:val="center"/>
          </w:tcPr>
          <w:p w14:paraId="3045761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Обгрунтування</w:t>
            </w:r>
          </w:p>
        </w:tc>
      </w:tr>
      <w:tr w:rsidR="006D2299" w14:paraId="18857A13" w14:textId="77777777" w:rsidTr="008326E2">
        <w:trPr>
          <w:trHeight w:hRule="exact" w:val="2239"/>
          <w:jc w:val="center"/>
        </w:trPr>
        <w:tc>
          <w:tcPr>
            <w:tcW w:w="2167" w:type="dxa"/>
            <w:shd w:val="clear" w:color="auto" w:fill="auto"/>
            <w:vAlign w:val="center"/>
          </w:tcPr>
          <w:p w14:paraId="69C017B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Акушерство і гінекологія (II рівень </w:t>
            </w:r>
            <w:r>
              <w:rPr>
                <w:rFonts w:ascii="Times New Roman" w:eastAsia="Times New Roman" w:hAnsi="Times New Roman" w:cs="Times New Roman"/>
                <w:color w:val="000000"/>
                <w:sz w:val="24"/>
                <w:szCs w:val="24"/>
                <w:lang w:val="ru-RU" w:eastAsia="ru-RU" w:bidi="ru-RU"/>
              </w:rPr>
              <w:t>перинатально</w:t>
            </w:r>
            <w:r>
              <w:rPr>
                <w:rFonts w:ascii="Times New Roman" w:eastAsia="Times New Roman" w:hAnsi="Times New Roman" w:cs="Times New Roman"/>
                <w:color w:val="000000"/>
                <w:sz w:val="24"/>
                <w:szCs w:val="24"/>
                <w:lang w:eastAsia="uk-UA" w:bidi="uk-UA"/>
              </w:rPr>
              <w:t>ї</w:t>
            </w:r>
            <w:r>
              <w:rPr>
                <w:rFonts w:ascii="Times New Roman" w:eastAsia="Times New Roman" w:hAnsi="Times New Roman" w:cs="Times New Roman"/>
                <w:color w:val="000000"/>
                <w:sz w:val="24"/>
                <w:szCs w:val="24"/>
                <w:lang w:val="ru-RU" w:eastAsia="ru-RU" w:bidi="ru-RU"/>
              </w:rPr>
              <w:t xml:space="preserve"> </w:t>
            </w:r>
            <w:r>
              <w:rPr>
                <w:rFonts w:ascii="Times New Roman" w:eastAsia="Times New Roman" w:hAnsi="Times New Roman" w:cs="Times New Roman"/>
                <w:color w:val="000000"/>
                <w:sz w:val="24"/>
                <w:szCs w:val="24"/>
                <w:lang w:eastAsia="uk-UA" w:bidi="uk-UA"/>
              </w:rPr>
              <w:t>допомоги)</w:t>
            </w:r>
          </w:p>
        </w:tc>
        <w:tc>
          <w:tcPr>
            <w:tcW w:w="1959" w:type="dxa"/>
            <w:shd w:val="clear" w:color="auto" w:fill="auto"/>
            <w:vAlign w:val="center"/>
          </w:tcPr>
          <w:p w14:paraId="095A90F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7278F4A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199"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 08.05.2024р.</w:t>
            </w:r>
          </w:p>
        </w:tc>
        <w:tc>
          <w:tcPr>
            <w:tcW w:w="2577" w:type="dxa"/>
            <w:shd w:val="clear" w:color="auto" w:fill="auto"/>
            <w:vAlign w:val="center"/>
          </w:tcPr>
          <w:p w14:paraId="254E9418"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Відокремлений підрозділ - центр </w:t>
            </w:r>
            <w:r>
              <w:rPr>
                <w:rFonts w:ascii="Times New Roman" w:eastAsia="Times New Roman" w:hAnsi="Times New Roman" w:cs="Times New Roman"/>
                <w:color w:val="000000"/>
                <w:sz w:val="24"/>
                <w:szCs w:val="24"/>
                <w:lang w:val="ru-RU" w:eastAsia="ru-RU" w:bidi="ru-RU"/>
              </w:rPr>
              <w:t>перинатально</w:t>
            </w:r>
            <w:r>
              <w:rPr>
                <w:rFonts w:ascii="Times New Roman" w:eastAsia="Times New Roman" w:hAnsi="Times New Roman" w:cs="Times New Roman"/>
                <w:color w:val="000000"/>
                <w:sz w:val="24"/>
                <w:szCs w:val="24"/>
                <w:lang w:eastAsia="uk-UA" w:bidi="uk-UA"/>
              </w:rPr>
              <w:t>ї</w:t>
            </w:r>
            <w:r>
              <w:rPr>
                <w:rFonts w:ascii="Times New Roman" w:eastAsia="Times New Roman" w:hAnsi="Times New Roman" w:cs="Times New Roman"/>
                <w:color w:val="000000"/>
                <w:sz w:val="24"/>
                <w:szCs w:val="24"/>
                <w:lang w:val="ru-RU" w:eastAsia="ru-RU" w:bidi="ru-RU"/>
              </w:rPr>
              <w:t xml:space="preserve"> </w:t>
            </w:r>
            <w:r>
              <w:rPr>
                <w:rFonts w:ascii="Times New Roman" w:eastAsia="Times New Roman" w:hAnsi="Times New Roman" w:cs="Times New Roman"/>
                <w:color w:val="000000"/>
                <w:sz w:val="24"/>
                <w:szCs w:val="24"/>
                <w:lang w:eastAsia="uk-UA" w:bidi="uk-UA"/>
              </w:rPr>
              <w:t>допомоги</w:t>
            </w:r>
          </w:p>
        </w:tc>
        <w:tc>
          <w:tcPr>
            <w:tcW w:w="2963" w:type="dxa"/>
            <w:shd w:val="clear" w:color="auto" w:fill="auto"/>
            <w:vAlign w:val="center"/>
          </w:tcPr>
          <w:p w14:paraId="5294261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Створення ЦПД II рівня у відповідності до наказу МОЗ від 25 липня 2013 року </w:t>
            </w:r>
            <w:r>
              <w:rPr>
                <w:rFonts w:ascii="Times New Roman" w:eastAsia="Times New Roman" w:hAnsi="Times New Roman" w:cs="Times New Roman"/>
                <w:color w:val="000000"/>
                <w:sz w:val="24"/>
                <w:szCs w:val="24"/>
                <w:lang w:val="en-US" w:bidi="en-US"/>
              </w:rPr>
              <w:t xml:space="preserve">N </w:t>
            </w:r>
            <w:r>
              <w:rPr>
                <w:rFonts w:ascii="Times New Roman" w:eastAsia="Times New Roman" w:hAnsi="Times New Roman" w:cs="Times New Roman"/>
                <w:color w:val="000000"/>
                <w:sz w:val="24"/>
                <w:szCs w:val="24"/>
                <w:lang w:eastAsia="uk-UA" w:bidi="uk-UA"/>
              </w:rPr>
              <w:t>641 «Про затвердження Примірного положення про Перинатальний центр II рівня»</w:t>
            </w:r>
          </w:p>
        </w:tc>
      </w:tr>
    </w:tbl>
    <w:p w14:paraId="49D6CEA1" w14:textId="7210A455" w:rsidR="008326E2" w:rsidRDefault="008326E2"/>
    <w:p w14:paraId="037D41E0" w14:textId="42E08F5A" w:rsidR="008326E2" w:rsidRDefault="008326E2"/>
    <w:p w14:paraId="3BE842DE" w14:textId="662276A7" w:rsidR="008326E2" w:rsidRPr="008326E2" w:rsidRDefault="008326E2" w:rsidP="008326E2">
      <w:pPr>
        <w:spacing w:after="0"/>
        <w:jc w:val="right"/>
        <w:rPr>
          <w:rFonts w:ascii="Times New Roman" w:hAnsi="Times New Roman" w:cs="Times New Roman"/>
          <w:sz w:val="28"/>
          <w:szCs w:val="28"/>
        </w:rPr>
      </w:pPr>
      <w:r w:rsidRPr="008326E2">
        <w:rPr>
          <w:rFonts w:ascii="Times New Roman" w:hAnsi="Times New Roman" w:cs="Times New Roman"/>
          <w:sz w:val="28"/>
          <w:szCs w:val="28"/>
        </w:rPr>
        <w:lastRenderedPageBreak/>
        <w:t>Продовження таблиці 2.3</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2004"/>
        <w:gridCol w:w="2532"/>
        <w:gridCol w:w="3118"/>
      </w:tblGrid>
      <w:tr w:rsidR="006D2299" w14:paraId="09FBECCC" w14:textId="77777777" w:rsidTr="008326E2">
        <w:trPr>
          <w:trHeight w:hRule="exact" w:val="565"/>
          <w:jc w:val="center"/>
        </w:trPr>
        <w:tc>
          <w:tcPr>
            <w:tcW w:w="2122" w:type="dxa"/>
            <w:shd w:val="clear" w:color="auto" w:fill="auto"/>
            <w:vAlign w:val="center"/>
          </w:tcPr>
          <w:p w14:paraId="53A8F63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Алергологія</w:t>
            </w:r>
          </w:p>
        </w:tc>
        <w:tc>
          <w:tcPr>
            <w:tcW w:w="2004" w:type="dxa"/>
            <w:shd w:val="clear" w:color="auto" w:fill="auto"/>
            <w:vAlign w:val="bottom"/>
          </w:tcPr>
          <w:p w14:paraId="13FA17C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2"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 </w:t>
            </w:r>
          </w:p>
          <w:p w14:paraId="7C6F4D4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2"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shd w:val="clear" w:color="auto" w:fill="auto"/>
            <w:vAlign w:val="center"/>
          </w:tcPr>
          <w:p w14:paraId="54F3FBF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Лікар алерголог ДКЦ</w:t>
            </w:r>
          </w:p>
        </w:tc>
        <w:tc>
          <w:tcPr>
            <w:tcW w:w="3118" w:type="dxa"/>
            <w:shd w:val="clear" w:color="auto" w:fill="auto"/>
            <w:vAlign w:val="center"/>
          </w:tcPr>
          <w:p w14:paraId="2F166A62" w14:textId="77777777" w:rsidR="006D2299" w:rsidRDefault="006D2299" w:rsidP="00C75FCD">
            <w:pPr>
              <w:widowControl w:val="0"/>
              <w:spacing w:after="0"/>
              <w:rPr>
                <w:rFonts w:ascii="Arial" w:eastAsia="Arial" w:hAnsi="Arial" w:cs="Times New Roman"/>
                <w:sz w:val="24"/>
                <w:szCs w:val="24"/>
              </w:rPr>
            </w:pPr>
          </w:p>
        </w:tc>
      </w:tr>
      <w:tr w:rsidR="006D2299" w14:paraId="4849F71C" w14:textId="77777777" w:rsidTr="008326E2">
        <w:trPr>
          <w:trHeight w:hRule="exact" w:val="1127"/>
          <w:jc w:val="center"/>
        </w:trPr>
        <w:tc>
          <w:tcPr>
            <w:tcW w:w="2122" w:type="dxa"/>
            <w:shd w:val="clear" w:color="auto" w:fill="auto"/>
            <w:vAlign w:val="center"/>
          </w:tcPr>
          <w:p w14:paraId="20B8149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Анестезіологія (інтенсивна терапія в невідкладних станах)</w:t>
            </w:r>
          </w:p>
        </w:tc>
        <w:tc>
          <w:tcPr>
            <w:tcW w:w="2004" w:type="dxa"/>
            <w:shd w:val="clear" w:color="auto" w:fill="auto"/>
            <w:vAlign w:val="center"/>
          </w:tcPr>
          <w:p w14:paraId="50FBC85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664099E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2"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shd w:val="clear" w:color="auto" w:fill="auto"/>
            <w:vAlign w:val="center"/>
          </w:tcPr>
          <w:p w14:paraId="575C0708"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Відділення анестезіології та інтенсивної терапії модульного типу</w:t>
            </w:r>
          </w:p>
        </w:tc>
        <w:tc>
          <w:tcPr>
            <w:tcW w:w="3118" w:type="dxa"/>
            <w:shd w:val="clear" w:color="auto" w:fill="auto"/>
            <w:vAlign w:val="center"/>
          </w:tcPr>
          <w:p w14:paraId="0086A3E3" w14:textId="77777777" w:rsidR="006D2299" w:rsidRDefault="006D2299" w:rsidP="00C75FCD">
            <w:pPr>
              <w:widowControl w:val="0"/>
              <w:spacing w:after="0"/>
              <w:rPr>
                <w:rFonts w:ascii="Arial" w:eastAsia="Arial" w:hAnsi="Arial" w:cs="Times New Roman"/>
                <w:sz w:val="24"/>
                <w:szCs w:val="24"/>
              </w:rPr>
            </w:pPr>
          </w:p>
        </w:tc>
      </w:tr>
      <w:tr w:rsidR="006D2299" w14:paraId="6507C38D" w14:textId="77777777" w:rsidTr="008326E2">
        <w:trPr>
          <w:trHeight w:hRule="exact" w:val="988"/>
          <w:jc w:val="center"/>
        </w:trPr>
        <w:tc>
          <w:tcPr>
            <w:tcW w:w="2122" w:type="dxa"/>
            <w:shd w:val="clear" w:color="auto" w:fill="auto"/>
            <w:vAlign w:val="center"/>
          </w:tcPr>
          <w:p w14:paraId="5899B72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Дерматовенероло-</w:t>
            </w:r>
          </w:p>
          <w:p w14:paraId="1C1336A5"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гія</w:t>
            </w:r>
          </w:p>
        </w:tc>
        <w:tc>
          <w:tcPr>
            <w:tcW w:w="2004" w:type="dxa"/>
            <w:shd w:val="clear" w:color="auto" w:fill="auto"/>
            <w:vAlign w:val="center"/>
          </w:tcPr>
          <w:p w14:paraId="282420A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0D0454F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2"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shd w:val="clear" w:color="auto" w:fill="auto"/>
            <w:vAlign w:val="center"/>
          </w:tcPr>
          <w:p w14:paraId="7A3B91F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Лікар </w:t>
            </w:r>
            <w:r>
              <w:rPr>
                <w:rFonts w:ascii="Times New Roman" w:eastAsia="Times New Roman" w:hAnsi="Times New Roman" w:cs="Times New Roman"/>
                <w:color w:val="000000"/>
                <w:sz w:val="24"/>
                <w:szCs w:val="24"/>
                <w:lang w:val="ru-RU" w:eastAsia="ru-RU" w:bidi="ru-RU"/>
              </w:rPr>
              <w:t xml:space="preserve">дерматовенеролог </w:t>
            </w:r>
            <w:r>
              <w:rPr>
                <w:rFonts w:ascii="Times New Roman" w:eastAsia="Times New Roman" w:hAnsi="Times New Roman" w:cs="Times New Roman"/>
                <w:color w:val="000000"/>
                <w:sz w:val="24"/>
                <w:szCs w:val="24"/>
                <w:lang w:eastAsia="uk-UA" w:bidi="uk-UA"/>
              </w:rPr>
              <w:t>ДКЦ</w:t>
            </w:r>
          </w:p>
        </w:tc>
        <w:tc>
          <w:tcPr>
            <w:tcW w:w="3118" w:type="dxa"/>
            <w:shd w:val="clear" w:color="auto" w:fill="auto"/>
            <w:vAlign w:val="center"/>
          </w:tcPr>
          <w:p w14:paraId="5A5AB612" w14:textId="77777777" w:rsidR="006D2299" w:rsidRDefault="006D2299" w:rsidP="00C75FCD">
            <w:pPr>
              <w:widowControl w:val="0"/>
              <w:spacing w:after="0"/>
              <w:rPr>
                <w:rFonts w:ascii="Arial" w:eastAsia="Arial" w:hAnsi="Arial" w:cs="Times New Roman"/>
                <w:sz w:val="24"/>
                <w:szCs w:val="24"/>
              </w:rPr>
            </w:pPr>
          </w:p>
        </w:tc>
      </w:tr>
      <w:tr w:rsidR="006D2299" w14:paraId="22EEFFE5" w14:textId="77777777" w:rsidTr="008326E2">
        <w:trPr>
          <w:trHeight w:hRule="exact" w:val="1127"/>
          <w:jc w:val="center"/>
        </w:trPr>
        <w:tc>
          <w:tcPr>
            <w:tcW w:w="2122" w:type="dxa"/>
            <w:shd w:val="clear" w:color="auto" w:fill="auto"/>
            <w:vAlign w:val="center"/>
          </w:tcPr>
          <w:p w14:paraId="75E5F17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Ендокринологія (крім хірургічних втручань)</w:t>
            </w:r>
          </w:p>
        </w:tc>
        <w:tc>
          <w:tcPr>
            <w:tcW w:w="2004" w:type="dxa"/>
            <w:shd w:val="clear" w:color="auto" w:fill="auto"/>
            <w:vAlign w:val="center"/>
          </w:tcPr>
          <w:p w14:paraId="116CEB4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1A8B9BB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192"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3 01.01.2024р.</w:t>
            </w:r>
          </w:p>
        </w:tc>
        <w:tc>
          <w:tcPr>
            <w:tcW w:w="2532" w:type="dxa"/>
            <w:shd w:val="clear" w:color="auto" w:fill="auto"/>
            <w:vAlign w:val="center"/>
          </w:tcPr>
          <w:p w14:paraId="78E0FAB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введено 5 ліжок ендокринологічного профілю у відділення терапії</w:t>
            </w:r>
          </w:p>
        </w:tc>
        <w:tc>
          <w:tcPr>
            <w:tcW w:w="3118" w:type="dxa"/>
            <w:shd w:val="clear" w:color="auto" w:fill="auto"/>
            <w:vAlign w:val="center"/>
          </w:tcPr>
          <w:p w14:paraId="6A002742" w14:textId="77777777" w:rsidR="006D2299" w:rsidRDefault="006D2299" w:rsidP="00C75FCD">
            <w:pPr>
              <w:widowControl w:val="0"/>
              <w:spacing w:after="0"/>
              <w:rPr>
                <w:rFonts w:ascii="Arial" w:eastAsia="Arial" w:hAnsi="Arial" w:cs="Times New Roman"/>
                <w:sz w:val="24"/>
                <w:szCs w:val="24"/>
              </w:rPr>
            </w:pPr>
          </w:p>
        </w:tc>
      </w:tr>
      <w:tr w:rsidR="006D2299" w14:paraId="47DDC43A" w14:textId="77777777" w:rsidTr="008326E2">
        <w:trPr>
          <w:trHeight w:hRule="exact" w:val="1678"/>
          <w:jc w:val="center"/>
        </w:trPr>
        <w:tc>
          <w:tcPr>
            <w:tcW w:w="2122" w:type="dxa"/>
            <w:shd w:val="clear" w:color="auto" w:fill="auto"/>
            <w:vAlign w:val="center"/>
          </w:tcPr>
          <w:p w14:paraId="45DBC3C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Інфекційні хвороби</w:t>
            </w:r>
          </w:p>
        </w:tc>
        <w:tc>
          <w:tcPr>
            <w:tcW w:w="2004" w:type="dxa"/>
            <w:shd w:val="clear" w:color="auto" w:fill="auto"/>
            <w:vAlign w:val="center"/>
          </w:tcPr>
          <w:p w14:paraId="1AF20C4C"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52CE8E2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199"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shd w:val="clear" w:color="auto" w:fill="auto"/>
            <w:vAlign w:val="center"/>
          </w:tcPr>
          <w:p w14:paraId="592F95F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Відділення Е(Н)МД ізолятор (6 інфекційних ліжок) Лікар інфекціоніст ДКЦ</w:t>
            </w:r>
          </w:p>
        </w:tc>
        <w:tc>
          <w:tcPr>
            <w:tcW w:w="3118" w:type="dxa"/>
            <w:shd w:val="clear" w:color="auto" w:fill="auto"/>
            <w:vAlign w:val="center"/>
          </w:tcPr>
          <w:p w14:paraId="119979A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На готовність вимогам надання медичної допомоги у надзвичайних станах при масовому надходженні пацієнтів з біологічним ураженням</w:t>
            </w:r>
          </w:p>
        </w:tc>
      </w:tr>
      <w:tr w:rsidR="006D2299" w14:paraId="6AA6EE0A" w14:textId="77777777" w:rsidTr="008326E2">
        <w:trPr>
          <w:trHeight w:hRule="exact" w:val="1127"/>
          <w:jc w:val="center"/>
        </w:trPr>
        <w:tc>
          <w:tcPr>
            <w:tcW w:w="2122" w:type="dxa"/>
            <w:shd w:val="clear" w:color="auto" w:fill="auto"/>
            <w:vAlign w:val="center"/>
          </w:tcPr>
          <w:p w14:paraId="21BDD1D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Кардіологія, зокрема інтервенційна кардіологія</w:t>
            </w:r>
          </w:p>
        </w:tc>
        <w:tc>
          <w:tcPr>
            <w:tcW w:w="2004" w:type="dxa"/>
            <w:shd w:val="clear" w:color="auto" w:fill="auto"/>
            <w:vAlign w:val="center"/>
          </w:tcPr>
          <w:p w14:paraId="0A29019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6"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 </w:t>
            </w:r>
          </w:p>
          <w:p w14:paraId="622F1D2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6"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shd w:val="clear" w:color="auto" w:fill="auto"/>
            <w:vAlign w:val="center"/>
          </w:tcPr>
          <w:p w14:paraId="447E417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Відділення інтервенційної кардіології та реперфузійної терапії</w:t>
            </w:r>
          </w:p>
        </w:tc>
        <w:tc>
          <w:tcPr>
            <w:tcW w:w="3118" w:type="dxa"/>
            <w:shd w:val="clear" w:color="auto" w:fill="auto"/>
            <w:vAlign w:val="center"/>
          </w:tcPr>
          <w:p w14:paraId="3AA1C247" w14:textId="77777777" w:rsidR="006D2299" w:rsidRDefault="006D2299" w:rsidP="00C75FCD">
            <w:pPr>
              <w:widowControl w:val="0"/>
              <w:spacing w:after="0"/>
              <w:rPr>
                <w:rFonts w:ascii="Arial" w:eastAsia="Arial" w:hAnsi="Arial" w:cs="Times New Roman"/>
                <w:sz w:val="24"/>
                <w:szCs w:val="24"/>
              </w:rPr>
            </w:pPr>
          </w:p>
        </w:tc>
      </w:tr>
      <w:tr w:rsidR="006D2299" w14:paraId="741EC34B" w14:textId="77777777" w:rsidTr="008326E2">
        <w:trPr>
          <w:trHeight w:hRule="exact" w:val="1141"/>
          <w:jc w:val="center"/>
        </w:trPr>
        <w:tc>
          <w:tcPr>
            <w:tcW w:w="2122" w:type="dxa"/>
            <w:shd w:val="clear" w:color="auto" w:fill="auto"/>
            <w:vAlign w:val="center"/>
          </w:tcPr>
          <w:p w14:paraId="2106E41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Неврологія</w:t>
            </w:r>
          </w:p>
        </w:tc>
        <w:tc>
          <w:tcPr>
            <w:tcW w:w="2004" w:type="dxa"/>
            <w:shd w:val="clear" w:color="auto" w:fill="auto"/>
            <w:vAlign w:val="center"/>
          </w:tcPr>
          <w:p w14:paraId="2068A31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694487C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9"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shd w:val="clear" w:color="auto" w:fill="auto"/>
            <w:vAlign w:val="center"/>
          </w:tcPr>
          <w:p w14:paraId="051AF8B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Створення відділення нейрохірургії, неврології та психіатрії</w:t>
            </w:r>
          </w:p>
        </w:tc>
        <w:tc>
          <w:tcPr>
            <w:tcW w:w="3118" w:type="dxa"/>
            <w:shd w:val="clear" w:color="auto" w:fill="auto"/>
            <w:vAlign w:val="center"/>
          </w:tcPr>
          <w:p w14:paraId="76C4B9F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Забезпечення вимог пакету «Надання медичної допомоги при гострому інсульті»</w:t>
            </w:r>
          </w:p>
        </w:tc>
      </w:tr>
      <w:tr w:rsidR="006D2299" w14:paraId="2EEA1BCD" w14:textId="77777777" w:rsidTr="008326E2">
        <w:trPr>
          <w:trHeight w:hRule="exact" w:val="1127"/>
          <w:jc w:val="center"/>
        </w:trPr>
        <w:tc>
          <w:tcPr>
            <w:tcW w:w="2122" w:type="dxa"/>
            <w:shd w:val="clear" w:color="auto" w:fill="auto"/>
            <w:vAlign w:val="center"/>
          </w:tcPr>
          <w:p w14:paraId="68DF2B2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Нейрохірургія</w:t>
            </w:r>
          </w:p>
        </w:tc>
        <w:tc>
          <w:tcPr>
            <w:tcW w:w="2004" w:type="dxa"/>
            <w:shd w:val="clear" w:color="auto" w:fill="auto"/>
            <w:vAlign w:val="center"/>
          </w:tcPr>
          <w:p w14:paraId="54867BA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4643DB9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2"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shd w:val="clear" w:color="auto" w:fill="auto"/>
            <w:vAlign w:val="center"/>
          </w:tcPr>
          <w:p w14:paraId="344C02B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Об’єднання з неврологічною службою</w:t>
            </w:r>
          </w:p>
        </w:tc>
        <w:tc>
          <w:tcPr>
            <w:tcW w:w="3118" w:type="dxa"/>
            <w:shd w:val="clear" w:color="auto" w:fill="auto"/>
            <w:vAlign w:val="center"/>
          </w:tcPr>
          <w:p w14:paraId="63116F5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Вимоги розширеного пакету «Надання медичної допомоги при гострому інсульті»</w:t>
            </w:r>
          </w:p>
        </w:tc>
      </w:tr>
      <w:tr w:rsidR="006D2299" w14:paraId="0D2D922D" w14:textId="77777777" w:rsidTr="008326E2">
        <w:trPr>
          <w:trHeight w:hRule="exact" w:val="875"/>
          <w:jc w:val="center"/>
        </w:trPr>
        <w:tc>
          <w:tcPr>
            <w:tcW w:w="2122" w:type="dxa"/>
            <w:shd w:val="clear" w:color="auto" w:fill="auto"/>
            <w:vAlign w:val="center"/>
          </w:tcPr>
          <w:p w14:paraId="66395938"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Отоларингологія</w:t>
            </w:r>
          </w:p>
        </w:tc>
        <w:tc>
          <w:tcPr>
            <w:tcW w:w="2004" w:type="dxa"/>
            <w:shd w:val="clear" w:color="auto" w:fill="auto"/>
            <w:vAlign w:val="center"/>
          </w:tcPr>
          <w:p w14:paraId="412099B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1AB5587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199"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shd w:val="clear" w:color="auto" w:fill="auto"/>
            <w:vAlign w:val="center"/>
          </w:tcPr>
          <w:p w14:paraId="3A10CC4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Введено 5 ліжок ЛОР- профілю у відділення політравми</w:t>
            </w:r>
          </w:p>
        </w:tc>
        <w:tc>
          <w:tcPr>
            <w:tcW w:w="3118" w:type="dxa"/>
            <w:shd w:val="clear" w:color="auto" w:fill="auto"/>
            <w:vAlign w:val="center"/>
          </w:tcPr>
          <w:p w14:paraId="31791529" w14:textId="77777777" w:rsidR="006D2299" w:rsidRDefault="006D2299" w:rsidP="00C75FCD">
            <w:pPr>
              <w:widowControl w:val="0"/>
              <w:spacing w:after="0"/>
              <w:rPr>
                <w:rFonts w:ascii="Arial" w:eastAsia="Arial" w:hAnsi="Arial" w:cs="Times New Roman"/>
                <w:sz w:val="24"/>
                <w:szCs w:val="24"/>
              </w:rPr>
            </w:pPr>
          </w:p>
        </w:tc>
      </w:tr>
      <w:tr w:rsidR="006D2299" w14:paraId="4E1085A6" w14:textId="77777777" w:rsidTr="008326E2">
        <w:trPr>
          <w:trHeight w:hRule="exact" w:val="857"/>
          <w:jc w:val="center"/>
        </w:trPr>
        <w:tc>
          <w:tcPr>
            <w:tcW w:w="2122" w:type="dxa"/>
            <w:shd w:val="clear" w:color="auto" w:fill="auto"/>
            <w:vAlign w:val="center"/>
          </w:tcPr>
          <w:p w14:paraId="284D786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Педіатрія</w:t>
            </w:r>
          </w:p>
        </w:tc>
        <w:tc>
          <w:tcPr>
            <w:tcW w:w="2004" w:type="dxa"/>
            <w:shd w:val="clear" w:color="auto" w:fill="auto"/>
            <w:vAlign w:val="center"/>
          </w:tcPr>
          <w:p w14:paraId="3F0FE54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r>
              <w:rPr>
                <w:rFonts w:ascii="Times New Roman" w:eastAsia="Times New Roman" w:hAnsi="Times New Roman" w:cs="Times New Roman"/>
                <w:color w:val="000000"/>
                <w:sz w:val="24"/>
                <w:szCs w:val="24"/>
                <w:vertAlign w:val="superscript"/>
                <w:lang w:eastAsia="uk-UA" w:bidi="uk-UA"/>
              </w:rPr>
              <w:t>+</w:t>
            </w:r>
            <w:r>
              <w:rPr>
                <w:rFonts w:ascii="Times New Roman" w:eastAsia="Times New Roman" w:hAnsi="Times New Roman" w:cs="Times New Roman"/>
                <w:color w:val="000000"/>
                <w:sz w:val="24"/>
                <w:szCs w:val="24"/>
                <w:lang w:eastAsia="uk-UA" w:bidi="uk-UA"/>
              </w:rPr>
              <w:t>)</w:t>
            </w:r>
          </w:p>
          <w:p w14:paraId="5FDB859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2" w:lineRule="auto"/>
              <w:ind w:firstLine="320"/>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shd w:val="clear" w:color="auto" w:fill="auto"/>
            <w:vAlign w:val="center"/>
          </w:tcPr>
          <w:p w14:paraId="03A0156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рамках функціонування опікового відділення</w:t>
            </w:r>
          </w:p>
        </w:tc>
        <w:tc>
          <w:tcPr>
            <w:tcW w:w="3118" w:type="dxa"/>
            <w:shd w:val="clear" w:color="auto" w:fill="auto"/>
            <w:vAlign w:val="center"/>
          </w:tcPr>
          <w:p w14:paraId="2F6197FD" w14:textId="77777777" w:rsidR="006D2299" w:rsidRDefault="006D2299" w:rsidP="00C75FCD">
            <w:pPr>
              <w:widowControl w:val="0"/>
              <w:spacing w:after="0"/>
              <w:rPr>
                <w:rFonts w:ascii="Arial" w:eastAsia="Arial" w:hAnsi="Arial" w:cs="Times New Roman"/>
                <w:sz w:val="10"/>
                <w:szCs w:val="10"/>
              </w:rPr>
            </w:pPr>
          </w:p>
        </w:tc>
      </w:tr>
      <w:tr w:rsidR="006D2299" w14:paraId="3C9FB5A9" w14:textId="77777777" w:rsidTr="008326E2">
        <w:trPr>
          <w:trHeight w:hRule="exact" w:val="1962"/>
          <w:jc w:val="center"/>
        </w:trPr>
        <w:tc>
          <w:tcPr>
            <w:tcW w:w="2122" w:type="dxa"/>
            <w:shd w:val="clear" w:color="auto" w:fill="auto"/>
            <w:vAlign w:val="center"/>
          </w:tcPr>
          <w:p w14:paraId="6AE408B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Реабілітація</w:t>
            </w:r>
          </w:p>
        </w:tc>
        <w:tc>
          <w:tcPr>
            <w:tcW w:w="2004" w:type="dxa"/>
            <w:shd w:val="clear" w:color="auto" w:fill="auto"/>
            <w:vAlign w:val="center"/>
          </w:tcPr>
          <w:p w14:paraId="4930604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5FE9619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199" w:lineRule="auto"/>
              <w:ind w:firstLine="320"/>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shd w:val="clear" w:color="auto" w:fill="auto"/>
            <w:vAlign w:val="center"/>
          </w:tcPr>
          <w:p w14:paraId="1751149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Створення відділення стаціонарної післягострої та довготривалої реабілітаційної допомоги Розвиток відділення амбулаторної реабілітації на базі ЖК9</w:t>
            </w:r>
          </w:p>
        </w:tc>
        <w:tc>
          <w:tcPr>
            <w:tcW w:w="3118" w:type="dxa"/>
            <w:shd w:val="clear" w:color="auto" w:fill="auto"/>
            <w:vAlign w:val="center"/>
          </w:tcPr>
          <w:p w14:paraId="1C8F32E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Пакети НСЗУ «Стаціонарна реабілітаційна допомога» та «Амбулаторна реабілітаційна допомога»</w:t>
            </w:r>
          </w:p>
        </w:tc>
      </w:tr>
    </w:tbl>
    <w:p w14:paraId="333D40DA" w14:textId="0EF5E823" w:rsidR="008326E2" w:rsidRDefault="008326E2"/>
    <w:p w14:paraId="0AD751F2" w14:textId="2963C1BB" w:rsidR="008326E2" w:rsidRDefault="008326E2"/>
    <w:p w14:paraId="730BE877" w14:textId="08687F42" w:rsidR="008326E2" w:rsidRDefault="008326E2"/>
    <w:p w14:paraId="3ADD2056" w14:textId="77777777" w:rsidR="008326E2" w:rsidRPr="008326E2" w:rsidRDefault="008326E2" w:rsidP="008326E2">
      <w:pPr>
        <w:spacing w:after="0"/>
        <w:jc w:val="right"/>
        <w:rPr>
          <w:rFonts w:ascii="Times New Roman" w:hAnsi="Times New Roman" w:cs="Times New Roman"/>
          <w:sz w:val="28"/>
          <w:szCs w:val="28"/>
        </w:rPr>
      </w:pPr>
      <w:r w:rsidRPr="008326E2">
        <w:rPr>
          <w:rFonts w:ascii="Times New Roman" w:hAnsi="Times New Roman" w:cs="Times New Roman"/>
          <w:sz w:val="28"/>
          <w:szCs w:val="28"/>
        </w:rPr>
        <w:lastRenderedPageBreak/>
        <w:t>Продовження таблиці 2.3</w:t>
      </w:r>
    </w:p>
    <w:tbl>
      <w:tblPr>
        <w:tblW w:w="9706" w:type="dxa"/>
        <w:jc w:val="center"/>
        <w:tblLayout w:type="fixed"/>
        <w:tblLook w:val="04A0" w:firstRow="1" w:lastRow="0" w:firstColumn="1" w:lastColumn="0" w:noHBand="0" w:noVBand="1"/>
      </w:tblPr>
      <w:tblGrid>
        <w:gridCol w:w="2199"/>
        <w:gridCol w:w="1927"/>
        <w:gridCol w:w="2532"/>
        <w:gridCol w:w="83"/>
        <w:gridCol w:w="2965"/>
      </w:tblGrid>
      <w:tr w:rsidR="006D2299" w14:paraId="48514D92" w14:textId="77777777" w:rsidTr="008326E2">
        <w:trPr>
          <w:trHeight w:hRule="exact" w:val="1130"/>
          <w:jc w:val="center"/>
        </w:trPr>
        <w:tc>
          <w:tcPr>
            <w:tcW w:w="2199" w:type="dxa"/>
            <w:tcBorders>
              <w:top w:val="single" w:sz="4" w:space="0" w:color="000000"/>
              <w:left w:val="single" w:sz="4" w:space="0" w:color="000000"/>
            </w:tcBorders>
            <w:shd w:val="clear" w:color="auto" w:fill="auto"/>
            <w:vAlign w:val="center"/>
          </w:tcPr>
          <w:p w14:paraId="5608D8A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Терапія</w:t>
            </w:r>
          </w:p>
        </w:tc>
        <w:tc>
          <w:tcPr>
            <w:tcW w:w="1927" w:type="dxa"/>
            <w:tcBorders>
              <w:top w:val="single" w:sz="4" w:space="0" w:color="000000"/>
              <w:left w:val="single" w:sz="4" w:space="0" w:color="000000"/>
            </w:tcBorders>
            <w:shd w:val="clear" w:color="auto" w:fill="auto"/>
            <w:vAlign w:val="center"/>
          </w:tcPr>
          <w:p w14:paraId="2C6C6AB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5646C57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6" w:lineRule="auto"/>
              <w:ind w:firstLine="320"/>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tcBorders>
              <w:top w:val="single" w:sz="4" w:space="0" w:color="000000"/>
              <w:left w:val="single" w:sz="4" w:space="0" w:color="000000"/>
            </w:tcBorders>
            <w:shd w:val="clear" w:color="auto" w:fill="auto"/>
            <w:vAlign w:val="center"/>
          </w:tcPr>
          <w:p w14:paraId="7412885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Відділення терапії на 60 ліжок (зокрема 20 ліжок загальнотерапевтичного профілю )</w:t>
            </w:r>
          </w:p>
        </w:tc>
        <w:tc>
          <w:tcPr>
            <w:tcW w:w="3048" w:type="dxa"/>
            <w:gridSpan w:val="2"/>
            <w:tcBorders>
              <w:top w:val="single" w:sz="4" w:space="0" w:color="000000"/>
              <w:left w:val="single" w:sz="4" w:space="0" w:color="000000"/>
              <w:right w:val="single" w:sz="4" w:space="0" w:color="000000"/>
            </w:tcBorders>
            <w:shd w:val="clear" w:color="auto" w:fill="auto"/>
            <w:vAlign w:val="center"/>
          </w:tcPr>
          <w:p w14:paraId="0606A76A" w14:textId="77777777" w:rsidR="006D2299" w:rsidRDefault="006D2299" w:rsidP="00C75FCD">
            <w:pPr>
              <w:widowControl w:val="0"/>
              <w:spacing w:after="0"/>
              <w:rPr>
                <w:rFonts w:ascii="Arial" w:eastAsia="Arial" w:hAnsi="Arial" w:cs="Times New Roman"/>
                <w:sz w:val="10"/>
                <w:szCs w:val="10"/>
              </w:rPr>
            </w:pPr>
          </w:p>
        </w:tc>
      </w:tr>
      <w:tr w:rsidR="006D2299" w14:paraId="1C658B15" w14:textId="77777777" w:rsidTr="008326E2">
        <w:trPr>
          <w:trHeight w:hRule="exact" w:val="1145"/>
          <w:jc w:val="center"/>
        </w:trPr>
        <w:tc>
          <w:tcPr>
            <w:tcW w:w="2199" w:type="dxa"/>
            <w:tcBorders>
              <w:top w:val="single" w:sz="4" w:space="0" w:color="000000"/>
              <w:left w:val="single" w:sz="4" w:space="0" w:color="000000"/>
            </w:tcBorders>
            <w:shd w:val="clear" w:color="auto" w:fill="auto"/>
            <w:vAlign w:val="center"/>
          </w:tcPr>
          <w:p w14:paraId="7219BF7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Ортопедія і травматологія</w:t>
            </w:r>
          </w:p>
        </w:tc>
        <w:tc>
          <w:tcPr>
            <w:tcW w:w="1927" w:type="dxa"/>
            <w:tcBorders>
              <w:top w:val="single" w:sz="4" w:space="0" w:color="000000"/>
              <w:left w:val="single" w:sz="4" w:space="0" w:color="000000"/>
            </w:tcBorders>
            <w:shd w:val="clear" w:color="auto" w:fill="auto"/>
            <w:vAlign w:val="center"/>
          </w:tcPr>
          <w:p w14:paraId="60D41C5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445102A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2" w:lineRule="auto"/>
              <w:ind w:firstLine="320"/>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tcBorders>
              <w:top w:val="single" w:sz="4" w:space="0" w:color="000000"/>
              <w:left w:val="single" w:sz="4" w:space="0" w:color="000000"/>
            </w:tcBorders>
            <w:shd w:val="clear" w:color="auto" w:fill="auto"/>
            <w:vAlign w:val="center"/>
          </w:tcPr>
          <w:p w14:paraId="72DFF64B"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Наявна потреба збільшення ліжкового фонду травматологічного профілю на 10 ліжок</w:t>
            </w:r>
          </w:p>
        </w:tc>
        <w:tc>
          <w:tcPr>
            <w:tcW w:w="3048" w:type="dxa"/>
            <w:gridSpan w:val="2"/>
            <w:tcBorders>
              <w:top w:val="single" w:sz="4" w:space="0" w:color="000000"/>
              <w:left w:val="single" w:sz="4" w:space="0" w:color="000000"/>
              <w:right w:val="single" w:sz="4" w:space="0" w:color="000000"/>
            </w:tcBorders>
            <w:shd w:val="clear" w:color="auto" w:fill="auto"/>
            <w:vAlign w:val="center"/>
          </w:tcPr>
          <w:p w14:paraId="14F8807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Перевантаження ліжкового фонду травматологічного профілю</w:t>
            </w:r>
          </w:p>
        </w:tc>
      </w:tr>
      <w:tr w:rsidR="006D2299" w14:paraId="5F234EF4" w14:textId="77777777" w:rsidTr="008326E2">
        <w:trPr>
          <w:trHeight w:hRule="exact" w:val="1955"/>
          <w:jc w:val="center"/>
        </w:trPr>
        <w:tc>
          <w:tcPr>
            <w:tcW w:w="2199" w:type="dxa"/>
            <w:tcBorders>
              <w:top w:val="single" w:sz="4" w:space="0" w:color="000000"/>
              <w:left w:val="single" w:sz="4" w:space="0" w:color="000000"/>
            </w:tcBorders>
            <w:shd w:val="clear" w:color="auto" w:fill="auto"/>
            <w:vAlign w:val="center"/>
          </w:tcPr>
          <w:p w14:paraId="7E957865"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Урологія</w:t>
            </w:r>
          </w:p>
        </w:tc>
        <w:tc>
          <w:tcPr>
            <w:tcW w:w="1927" w:type="dxa"/>
            <w:tcBorders>
              <w:top w:val="single" w:sz="4" w:space="0" w:color="000000"/>
              <w:left w:val="single" w:sz="4" w:space="0" w:color="000000"/>
            </w:tcBorders>
            <w:shd w:val="clear" w:color="auto" w:fill="auto"/>
            <w:vAlign w:val="center"/>
          </w:tcPr>
          <w:p w14:paraId="4738BDB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66D3F00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197" w:lineRule="auto"/>
              <w:ind w:firstLine="320"/>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tcBorders>
              <w:top w:val="single" w:sz="4" w:space="0" w:color="000000"/>
              <w:left w:val="single" w:sz="4" w:space="0" w:color="000000"/>
            </w:tcBorders>
            <w:shd w:val="clear" w:color="auto" w:fill="auto"/>
            <w:vAlign w:val="center"/>
          </w:tcPr>
          <w:p w14:paraId="6BABF36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Трансформація урологічної служби за рахунок впровадження служби </w:t>
            </w:r>
            <w:r>
              <w:rPr>
                <w:rFonts w:ascii="Times New Roman" w:eastAsia="Times New Roman" w:hAnsi="Times New Roman" w:cs="Times New Roman"/>
                <w:color w:val="000000"/>
                <w:sz w:val="24"/>
                <w:szCs w:val="24"/>
                <w:lang w:val="ru-RU" w:eastAsia="ru-RU" w:bidi="ru-RU"/>
              </w:rPr>
              <w:t>трансплантологи</w:t>
            </w:r>
          </w:p>
        </w:tc>
        <w:tc>
          <w:tcPr>
            <w:tcW w:w="3048" w:type="dxa"/>
            <w:gridSpan w:val="2"/>
            <w:tcBorders>
              <w:top w:val="single" w:sz="4" w:space="0" w:color="000000"/>
              <w:left w:val="single" w:sz="4" w:space="0" w:color="000000"/>
              <w:right w:val="single" w:sz="4" w:space="0" w:color="000000"/>
            </w:tcBorders>
            <w:shd w:val="clear" w:color="auto" w:fill="auto"/>
            <w:vAlign w:val="center"/>
          </w:tcPr>
          <w:p w14:paraId="3EA51BAB"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Залишення одного урологічного відділення, впровадження у інше урологічне відділення служби </w:t>
            </w:r>
            <w:r>
              <w:rPr>
                <w:rFonts w:ascii="Times New Roman" w:eastAsia="Times New Roman" w:hAnsi="Times New Roman" w:cs="Times New Roman"/>
                <w:color w:val="000000"/>
                <w:sz w:val="24"/>
                <w:szCs w:val="24"/>
                <w:lang w:val="ru-RU" w:eastAsia="ru-RU" w:bidi="ru-RU"/>
              </w:rPr>
              <w:t xml:space="preserve">трансплантологи </w:t>
            </w:r>
            <w:r>
              <w:rPr>
                <w:rFonts w:ascii="Times New Roman" w:eastAsia="Times New Roman" w:hAnsi="Times New Roman" w:cs="Times New Roman"/>
                <w:color w:val="000000"/>
                <w:sz w:val="24"/>
                <w:szCs w:val="24"/>
                <w:lang w:eastAsia="uk-UA" w:bidi="uk-UA"/>
              </w:rPr>
              <w:t>Отримання пакету НСЗУ «Трансплантологія»</w:t>
            </w:r>
          </w:p>
        </w:tc>
      </w:tr>
      <w:tr w:rsidR="006D2299" w14:paraId="07D9F480" w14:textId="77777777" w:rsidTr="008326E2">
        <w:trPr>
          <w:trHeight w:hRule="exact" w:val="1400"/>
          <w:jc w:val="center"/>
        </w:trPr>
        <w:tc>
          <w:tcPr>
            <w:tcW w:w="2199" w:type="dxa"/>
            <w:tcBorders>
              <w:top w:val="single" w:sz="4" w:space="0" w:color="000000"/>
              <w:left w:val="single" w:sz="4" w:space="0" w:color="000000"/>
            </w:tcBorders>
            <w:shd w:val="clear" w:color="auto" w:fill="auto"/>
            <w:vAlign w:val="center"/>
          </w:tcPr>
          <w:p w14:paraId="6898CCB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Хірургія, зокрема судинна</w:t>
            </w:r>
          </w:p>
        </w:tc>
        <w:tc>
          <w:tcPr>
            <w:tcW w:w="1927" w:type="dxa"/>
            <w:tcBorders>
              <w:top w:val="single" w:sz="4" w:space="0" w:color="000000"/>
              <w:left w:val="single" w:sz="4" w:space="0" w:color="000000"/>
            </w:tcBorders>
            <w:shd w:val="clear" w:color="auto" w:fill="auto"/>
            <w:vAlign w:val="center"/>
          </w:tcPr>
          <w:p w14:paraId="48F18B4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7578E8A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197" w:lineRule="auto"/>
              <w:ind w:firstLine="320"/>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tcBorders>
              <w:top w:val="single" w:sz="4" w:space="0" w:color="000000"/>
              <w:left w:val="single" w:sz="4" w:space="0" w:color="000000"/>
            </w:tcBorders>
            <w:shd w:val="clear" w:color="auto" w:fill="auto"/>
            <w:vAlign w:val="center"/>
          </w:tcPr>
          <w:p w14:paraId="3A81270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Відділення хірургії Відділення ендоскопічної та малоінвазивної хірургії з хірургією одного дня</w:t>
            </w:r>
          </w:p>
        </w:tc>
        <w:tc>
          <w:tcPr>
            <w:tcW w:w="3048" w:type="dxa"/>
            <w:gridSpan w:val="2"/>
            <w:tcBorders>
              <w:top w:val="single" w:sz="4" w:space="0" w:color="000000"/>
              <w:left w:val="single" w:sz="4" w:space="0" w:color="000000"/>
              <w:right w:val="single" w:sz="4" w:space="0" w:color="000000"/>
            </w:tcBorders>
            <w:shd w:val="clear" w:color="auto" w:fill="auto"/>
            <w:vAlign w:val="center"/>
          </w:tcPr>
          <w:p w14:paraId="07C41157" w14:textId="77777777" w:rsidR="006D2299" w:rsidRDefault="006D2299" w:rsidP="00C75FCD">
            <w:pPr>
              <w:widowControl w:val="0"/>
              <w:spacing w:after="0"/>
              <w:rPr>
                <w:rFonts w:ascii="Arial" w:eastAsia="Arial" w:hAnsi="Arial" w:cs="Times New Roman"/>
                <w:sz w:val="10"/>
                <w:szCs w:val="10"/>
              </w:rPr>
            </w:pPr>
          </w:p>
        </w:tc>
      </w:tr>
      <w:tr w:rsidR="006D2299" w14:paraId="2B7F0982" w14:textId="77777777" w:rsidTr="008326E2">
        <w:trPr>
          <w:trHeight w:hRule="exact" w:val="1127"/>
          <w:jc w:val="center"/>
        </w:trPr>
        <w:tc>
          <w:tcPr>
            <w:tcW w:w="2199" w:type="dxa"/>
            <w:tcBorders>
              <w:top w:val="single" w:sz="4" w:space="0" w:color="000000"/>
              <w:left w:val="single" w:sz="4" w:space="0" w:color="000000"/>
            </w:tcBorders>
            <w:shd w:val="clear" w:color="auto" w:fill="auto"/>
            <w:vAlign w:val="center"/>
          </w:tcPr>
          <w:p w14:paraId="4F85875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Офтальмологія</w:t>
            </w:r>
          </w:p>
        </w:tc>
        <w:tc>
          <w:tcPr>
            <w:tcW w:w="1927" w:type="dxa"/>
            <w:tcBorders>
              <w:top w:val="single" w:sz="4" w:space="0" w:color="000000"/>
              <w:left w:val="single" w:sz="4" w:space="0" w:color="000000"/>
            </w:tcBorders>
            <w:shd w:val="clear" w:color="auto" w:fill="auto"/>
            <w:vAlign w:val="center"/>
          </w:tcPr>
          <w:p w14:paraId="50A5572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4"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 </w:t>
            </w:r>
          </w:p>
          <w:p w14:paraId="720DC23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4"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532" w:type="dxa"/>
            <w:tcBorders>
              <w:top w:val="single" w:sz="4" w:space="0" w:color="000000"/>
              <w:left w:val="single" w:sz="4" w:space="0" w:color="000000"/>
            </w:tcBorders>
            <w:shd w:val="clear" w:color="auto" w:fill="auto"/>
            <w:vAlign w:val="center"/>
          </w:tcPr>
          <w:p w14:paraId="14DFCD2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Введено 5 ліжок офтальмологічного профілю у відділення політравми</w:t>
            </w:r>
          </w:p>
        </w:tc>
        <w:tc>
          <w:tcPr>
            <w:tcW w:w="3048" w:type="dxa"/>
            <w:gridSpan w:val="2"/>
            <w:tcBorders>
              <w:top w:val="single" w:sz="4" w:space="0" w:color="000000"/>
              <w:left w:val="single" w:sz="4" w:space="0" w:color="000000"/>
              <w:right w:val="single" w:sz="4" w:space="0" w:color="000000"/>
            </w:tcBorders>
            <w:shd w:val="clear" w:color="auto" w:fill="auto"/>
            <w:vAlign w:val="center"/>
          </w:tcPr>
          <w:p w14:paraId="68CD6A9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Створення травмпункту ока на базі цілодобового травмпункту</w:t>
            </w:r>
          </w:p>
        </w:tc>
      </w:tr>
      <w:tr w:rsidR="006D2299" w14:paraId="19CE57DC" w14:textId="77777777" w:rsidTr="008326E2">
        <w:trPr>
          <w:trHeight w:hRule="exact" w:val="1674"/>
          <w:jc w:val="center"/>
        </w:trPr>
        <w:tc>
          <w:tcPr>
            <w:tcW w:w="2199" w:type="dxa"/>
            <w:tcBorders>
              <w:top w:val="single" w:sz="4" w:space="0" w:color="000000"/>
              <w:left w:val="single" w:sz="4" w:space="0" w:color="000000"/>
            </w:tcBorders>
            <w:shd w:val="clear" w:color="auto" w:fill="auto"/>
            <w:vAlign w:val="center"/>
          </w:tcPr>
          <w:p w14:paraId="439C943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Паліативна медична допомога</w:t>
            </w:r>
          </w:p>
        </w:tc>
        <w:tc>
          <w:tcPr>
            <w:tcW w:w="1927" w:type="dxa"/>
            <w:tcBorders>
              <w:top w:val="single" w:sz="4" w:space="0" w:color="000000"/>
              <w:left w:val="single" w:sz="4" w:space="0" w:color="000000"/>
            </w:tcBorders>
            <w:shd w:val="clear" w:color="auto" w:fill="auto"/>
            <w:vAlign w:val="center"/>
          </w:tcPr>
          <w:p w14:paraId="68EF19E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2"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 xml:space="preserve">(+) </w:t>
            </w:r>
          </w:p>
          <w:p w14:paraId="37C2CDC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2"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p w14:paraId="475C161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02"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 08.05.2024р.</w:t>
            </w:r>
          </w:p>
        </w:tc>
        <w:tc>
          <w:tcPr>
            <w:tcW w:w="2532" w:type="dxa"/>
            <w:tcBorders>
              <w:top w:val="single" w:sz="4" w:space="0" w:color="000000"/>
              <w:left w:val="single" w:sz="4" w:space="0" w:color="000000"/>
            </w:tcBorders>
            <w:shd w:val="clear" w:color="auto" w:fill="auto"/>
            <w:vAlign w:val="center"/>
          </w:tcPr>
          <w:p w14:paraId="32C94ECC"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Створення відділення паліативної допомоги</w:t>
            </w:r>
          </w:p>
        </w:tc>
        <w:tc>
          <w:tcPr>
            <w:tcW w:w="3048" w:type="dxa"/>
            <w:gridSpan w:val="2"/>
            <w:tcBorders>
              <w:top w:val="single" w:sz="4" w:space="0" w:color="000000"/>
              <w:left w:val="single" w:sz="4" w:space="0" w:color="000000"/>
              <w:right w:val="single" w:sz="4" w:space="0" w:color="000000"/>
            </w:tcBorders>
            <w:shd w:val="clear" w:color="auto" w:fill="auto"/>
            <w:vAlign w:val="center"/>
          </w:tcPr>
          <w:p w14:paraId="6FE0B00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Впровадження вимог наказу МОЗ 04.06.2020 № 1308 «Про удосконалення організації надання паліативної допомоги в Україні»</w:t>
            </w:r>
          </w:p>
        </w:tc>
      </w:tr>
      <w:tr w:rsidR="006D2299" w14:paraId="04E1DC99" w14:textId="77777777" w:rsidTr="008326E2">
        <w:trPr>
          <w:trHeight w:hRule="exact" w:val="853"/>
          <w:jc w:val="center"/>
        </w:trPr>
        <w:tc>
          <w:tcPr>
            <w:tcW w:w="2199" w:type="dxa"/>
            <w:tcBorders>
              <w:top w:val="single" w:sz="4" w:space="0" w:color="000000"/>
              <w:left w:val="single" w:sz="4" w:space="0" w:color="000000"/>
            </w:tcBorders>
            <w:shd w:val="clear" w:color="auto" w:fill="auto"/>
            <w:vAlign w:val="center"/>
          </w:tcPr>
          <w:p w14:paraId="1C0D5FE0"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Психіатрія</w:t>
            </w:r>
          </w:p>
        </w:tc>
        <w:tc>
          <w:tcPr>
            <w:tcW w:w="1927" w:type="dxa"/>
            <w:tcBorders>
              <w:top w:val="single" w:sz="4" w:space="0" w:color="000000"/>
              <w:left w:val="single" w:sz="4" w:space="0" w:color="000000"/>
            </w:tcBorders>
            <w:shd w:val="clear" w:color="auto" w:fill="auto"/>
            <w:vAlign w:val="bottom"/>
          </w:tcPr>
          <w:p w14:paraId="4823DCC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22D8C3C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197" w:lineRule="auto"/>
              <w:ind w:firstLine="320"/>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p w14:paraId="70DBD088"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 01.01.2024р.</w:t>
            </w:r>
          </w:p>
        </w:tc>
        <w:tc>
          <w:tcPr>
            <w:tcW w:w="2532" w:type="dxa"/>
            <w:tcBorders>
              <w:top w:val="single" w:sz="4" w:space="0" w:color="000000"/>
              <w:left w:val="single" w:sz="4" w:space="0" w:color="000000"/>
            </w:tcBorders>
            <w:shd w:val="clear" w:color="auto" w:fill="auto"/>
            <w:vAlign w:val="center"/>
          </w:tcPr>
          <w:p w14:paraId="3BDBDB6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Введено 5 ліжок психіатричного профілю у відділення неврології</w:t>
            </w:r>
          </w:p>
        </w:tc>
        <w:tc>
          <w:tcPr>
            <w:tcW w:w="3048" w:type="dxa"/>
            <w:gridSpan w:val="2"/>
            <w:tcBorders>
              <w:top w:val="single" w:sz="4" w:space="0" w:color="000000"/>
              <w:left w:val="single" w:sz="4" w:space="0" w:color="000000"/>
              <w:right w:val="single" w:sz="4" w:space="0" w:color="000000"/>
            </w:tcBorders>
            <w:shd w:val="clear" w:color="auto" w:fill="auto"/>
            <w:vAlign w:val="center"/>
          </w:tcPr>
          <w:p w14:paraId="7C7DE5B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Отримання пакету «Стаціонарна психіатрична допомога»</w:t>
            </w:r>
          </w:p>
        </w:tc>
      </w:tr>
      <w:tr w:rsidR="006D2299" w14:paraId="6E5A376F" w14:textId="77777777" w:rsidTr="008326E2">
        <w:trPr>
          <w:trHeight w:hRule="exact" w:val="871"/>
          <w:jc w:val="center"/>
        </w:trPr>
        <w:tc>
          <w:tcPr>
            <w:tcW w:w="2199" w:type="dxa"/>
            <w:tcBorders>
              <w:top w:val="single" w:sz="4" w:space="0" w:color="000000"/>
              <w:left w:val="single" w:sz="4" w:space="0" w:color="000000"/>
              <w:bottom w:val="single" w:sz="4" w:space="0" w:color="000000"/>
            </w:tcBorders>
            <w:shd w:val="clear" w:color="auto" w:fill="auto"/>
            <w:vAlign w:val="center"/>
          </w:tcPr>
          <w:p w14:paraId="77F35DC7" w14:textId="2A42A9F8" w:rsidR="00772EDE" w:rsidRDefault="00772EDE" w:rsidP="00C75FCD">
            <w:pPr>
              <w:widowControl w:val="0"/>
              <w:pBdr>
                <w:top w:val="none" w:sz="4" w:space="0" w:color="000000"/>
                <w:left w:val="none" w:sz="4" w:space="0" w:color="000000"/>
                <w:bottom w:val="none" w:sz="4" w:space="0" w:color="000000"/>
                <w:right w:val="none" w:sz="4" w:space="0" w:color="000000"/>
                <w:between w:val="none" w:sz="4" w:space="0" w:color="000000"/>
              </w:pBdr>
              <w:shd w:val="clear" w:color="auto" w:fill="E9F0F6" w:themeFill="accent1" w:themeFillTint="33"/>
              <w:spacing w:after="0" w:line="240" w:lineRule="auto"/>
              <w:rPr>
                <w:rFonts w:ascii="Times New Roman" w:eastAsia="Times New Roman" w:hAnsi="Times New Roman" w:cs="Times New Roman"/>
                <w:color w:val="000000"/>
                <w:sz w:val="24"/>
                <w:szCs w:val="24"/>
                <w:lang w:eastAsia="uk-UA" w:bidi="uk-UA"/>
              </w:rPr>
            </w:pPr>
            <w:r w:rsidRPr="00772EDE">
              <w:rPr>
                <w:rFonts w:ascii="Times New Roman" w:eastAsia="Times New Roman" w:hAnsi="Times New Roman" w:cs="Times New Roman"/>
                <w:color w:val="000000"/>
                <w:sz w:val="24"/>
                <w:szCs w:val="24"/>
                <w:lang w:eastAsia="uk-UA" w:bidi="uk-UA"/>
              </w:rPr>
              <w:t>Трансфузіологія</w:t>
            </w:r>
          </w:p>
        </w:tc>
        <w:tc>
          <w:tcPr>
            <w:tcW w:w="1927" w:type="dxa"/>
            <w:tcBorders>
              <w:top w:val="single" w:sz="4" w:space="0" w:color="000000"/>
              <w:left w:val="single" w:sz="4" w:space="0" w:color="000000"/>
              <w:bottom w:val="single" w:sz="4" w:space="0" w:color="000000"/>
            </w:tcBorders>
            <w:shd w:val="clear" w:color="auto" w:fill="auto"/>
            <w:vAlign w:val="center"/>
          </w:tcPr>
          <w:p w14:paraId="4E618145"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w:t>
            </w:r>
          </w:p>
          <w:p w14:paraId="0DA9162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197" w:lineRule="auto"/>
              <w:ind w:firstLine="320"/>
              <w:jc w:val="both"/>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 наявності</w:t>
            </w:r>
          </w:p>
        </w:tc>
        <w:tc>
          <w:tcPr>
            <w:tcW w:w="2615" w:type="dxa"/>
            <w:gridSpan w:val="2"/>
            <w:tcBorders>
              <w:top w:val="single" w:sz="4" w:space="0" w:color="000000"/>
              <w:left w:val="single" w:sz="4" w:space="0" w:color="000000"/>
              <w:bottom w:val="single" w:sz="4" w:space="0" w:color="000000"/>
            </w:tcBorders>
            <w:shd w:val="clear" w:color="auto" w:fill="auto"/>
            <w:vAlign w:val="center"/>
          </w:tcPr>
          <w:p w14:paraId="2AC380BB"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Створення відділу трансфузіології та банку крові</w:t>
            </w:r>
          </w:p>
        </w:tc>
        <w:tc>
          <w:tcPr>
            <w:tcW w:w="29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2E400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Вимоги договору з НСЗУ</w:t>
            </w:r>
          </w:p>
        </w:tc>
      </w:tr>
    </w:tbl>
    <w:p w14:paraId="160D8BB2" w14:textId="2B7149E3" w:rsidR="006D2299" w:rsidRDefault="00492A6F"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bCs/>
          <w:i/>
          <w:color w:val="000000"/>
          <w:sz w:val="24"/>
          <w:szCs w:val="24"/>
          <w:lang w:eastAsia="uk-UA" w:bidi="uk-UA"/>
        </w:rPr>
      </w:pPr>
      <w:r>
        <w:rPr>
          <w:rFonts w:ascii="Times New Roman" w:eastAsia="Times New Roman" w:hAnsi="Times New Roman" w:cs="Times New Roman"/>
          <w:i/>
          <w:iCs/>
          <w:color w:val="000000"/>
          <w:sz w:val="24"/>
          <w:szCs w:val="24"/>
          <w:lang w:eastAsia="uk-UA" w:bidi="uk-UA"/>
        </w:rPr>
        <w:t>Джерело: [29</w:t>
      </w:r>
      <w:r w:rsidR="006D2299">
        <w:rPr>
          <w:rFonts w:ascii="Times New Roman" w:eastAsia="Times New Roman" w:hAnsi="Times New Roman" w:cs="Times New Roman"/>
          <w:i/>
          <w:iCs/>
          <w:color w:val="000000"/>
          <w:sz w:val="24"/>
          <w:szCs w:val="24"/>
          <w:lang w:eastAsia="uk-UA" w:bidi="uk-UA"/>
        </w:rPr>
        <w:t>]</w:t>
      </w:r>
    </w:p>
    <w:p w14:paraId="20B4F492"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p>
    <w:p w14:paraId="591754C3" w14:textId="1D8DE923"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Розділ 2. Збереження існуючого потенціалу та забезпечення подальшого розвитку напрямків надання медичної допомоги, що не регламентовані базовим переліком у кластерній лікарні, проте вже здобули розвитку у КНП «МКЛ №10» ОМР (табл. </w:t>
      </w:r>
      <w:r w:rsidR="00772EDE">
        <w:rPr>
          <w:rFonts w:ascii="Times New Roman" w:eastAsia="Times New Roman" w:hAnsi="Times New Roman" w:cs="Times New Roman"/>
          <w:color w:val="000000"/>
          <w:sz w:val="28"/>
          <w:szCs w:val="28"/>
          <w:lang w:eastAsia="uk-UA" w:bidi="uk-UA"/>
        </w:rPr>
        <w:t>2</w:t>
      </w:r>
      <w:r>
        <w:rPr>
          <w:rFonts w:ascii="Times New Roman" w:eastAsia="Times New Roman" w:hAnsi="Times New Roman" w:cs="Times New Roman"/>
          <w:color w:val="000000"/>
          <w:sz w:val="28"/>
          <w:szCs w:val="28"/>
          <w:lang w:eastAsia="uk-UA" w:bidi="uk-UA"/>
        </w:rPr>
        <w:t>.4).</w:t>
      </w:r>
    </w:p>
    <w:p w14:paraId="61E5009B" w14:textId="77777777" w:rsidR="00772EDE" w:rsidRDefault="00772EDE"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right"/>
        <w:rPr>
          <w:rFonts w:ascii="Times New Roman" w:eastAsia="Times New Roman" w:hAnsi="Times New Roman" w:cs="Times New Roman"/>
          <w:color w:val="000000"/>
          <w:sz w:val="28"/>
          <w:szCs w:val="28"/>
          <w:lang w:eastAsia="uk-UA" w:bidi="uk-UA"/>
        </w:rPr>
      </w:pPr>
    </w:p>
    <w:p w14:paraId="13D7006B" w14:textId="77777777" w:rsidR="00772EDE" w:rsidRDefault="00772EDE"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right"/>
        <w:rPr>
          <w:rFonts w:ascii="Times New Roman" w:eastAsia="Times New Roman" w:hAnsi="Times New Roman" w:cs="Times New Roman"/>
          <w:color w:val="000000"/>
          <w:sz w:val="28"/>
          <w:szCs w:val="28"/>
          <w:lang w:eastAsia="uk-UA" w:bidi="uk-UA"/>
        </w:rPr>
      </w:pPr>
    </w:p>
    <w:p w14:paraId="6F1BA0DE" w14:textId="14BC38AD"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right"/>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lastRenderedPageBreak/>
        <w:t xml:space="preserve">Таблиця </w:t>
      </w:r>
      <w:r w:rsidR="00772EDE">
        <w:rPr>
          <w:rFonts w:ascii="Times New Roman" w:eastAsia="Times New Roman" w:hAnsi="Times New Roman" w:cs="Times New Roman"/>
          <w:color w:val="000000"/>
          <w:sz w:val="28"/>
          <w:szCs w:val="28"/>
          <w:lang w:eastAsia="uk-UA" w:bidi="uk-UA"/>
        </w:rPr>
        <w:t>2</w:t>
      </w:r>
      <w:r>
        <w:rPr>
          <w:rFonts w:ascii="Times New Roman" w:eastAsia="Times New Roman" w:hAnsi="Times New Roman" w:cs="Times New Roman"/>
          <w:color w:val="000000"/>
          <w:sz w:val="28"/>
          <w:szCs w:val="28"/>
          <w:lang w:eastAsia="uk-UA" w:bidi="uk-UA"/>
        </w:rPr>
        <w:t>.4</w:t>
      </w:r>
    </w:p>
    <w:p w14:paraId="11F7514C"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center"/>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b/>
          <w:bCs/>
          <w:color w:val="000000"/>
          <w:sz w:val="28"/>
          <w:szCs w:val="28"/>
          <w:lang w:eastAsia="uk-UA" w:bidi="uk-UA"/>
        </w:rPr>
        <w:t>Розвиток напрямків надання медичної допомоги</w:t>
      </w:r>
      <w:r>
        <w:rPr>
          <w:rFonts w:ascii="Times New Roman" w:eastAsia="Times New Roman" w:hAnsi="Times New Roman" w:cs="Times New Roman"/>
          <w:color w:val="000000"/>
          <w:sz w:val="28"/>
          <w:szCs w:val="28"/>
          <w:lang w:eastAsia="uk-UA" w:bidi="uk-UA"/>
        </w:rPr>
        <w:t xml:space="preserve"> </w:t>
      </w:r>
    </w:p>
    <w:p w14:paraId="57F692C5"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center"/>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t>КНП «МКЛ №10» ОМР</w:t>
      </w:r>
    </w:p>
    <w:tbl>
      <w:tblPr>
        <w:tblW w:w="98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6"/>
        <w:gridCol w:w="3341"/>
        <w:gridCol w:w="4378"/>
      </w:tblGrid>
      <w:tr w:rsidR="006D2299" w14:paraId="509FE2FB" w14:textId="77777777" w:rsidTr="00772EDE">
        <w:trPr>
          <w:trHeight w:hRule="exact" w:val="367"/>
          <w:jc w:val="center"/>
        </w:trPr>
        <w:tc>
          <w:tcPr>
            <w:tcW w:w="2156" w:type="dxa"/>
            <w:shd w:val="clear" w:color="auto" w:fill="auto"/>
            <w:vAlign w:val="center"/>
          </w:tcPr>
          <w:p w14:paraId="2969785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Напрямок</w:t>
            </w:r>
          </w:p>
        </w:tc>
        <w:tc>
          <w:tcPr>
            <w:tcW w:w="3341" w:type="dxa"/>
            <w:shd w:val="clear" w:color="auto" w:fill="auto"/>
            <w:vAlign w:val="center"/>
          </w:tcPr>
          <w:p w14:paraId="4E3992B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Структурний підрозділ</w:t>
            </w:r>
          </w:p>
        </w:tc>
        <w:tc>
          <w:tcPr>
            <w:tcW w:w="4378" w:type="dxa"/>
            <w:shd w:val="clear" w:color="auto" w:fill="auto"/>
            <w:vAlign w:val="center"/>
          </w:tcPr>
          <w:p w14:paraId="11BE67C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Очікуваний результат</w:t>
            </w:r>
          </w:p>
        </w:tc>
      </w:tr>
      <w:tr w:rsidR="006D2299" w14:paraId="7C4C56A2" w14:textId="77777777" w:rsidTr="00772EDE">
        <w:trPr>
          <w:trHeight w:hRule="exact" w:val="997"/>
          <w:jc w:val="center"/>
        </w:trPr>
        <w:tc>
          <w:tcPr>
            <w:tcW w:w="2156" w:type="dxa"/>
            <w:shd w:val="clear" w:color="auto" w:fill="auto"/>
            <w:vAlign w:val="center"/>
          </w:tcPr>
          <w:p w14:paraId="20D39F09"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Комбустіологія</w:t>
            </w:r>
          </w:p>
        </w:tc>
        <w:tc>
          <w:tcPr>
            <w:tcW w:w="3341" w:type="dxa"/>
            <w:shd w:val="clear" w:color="auto" w:fill="auto"/>
            <w:vAlign w:val="center"/>
          </w:tcPr>
          <w:p w14:paraId="7188ECA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Відділення опіків</w:t>
            </w:r>
          </w:p>
        </w:tc>
        <w:tc>
          <w:tcPr>
            <w:tcW w:w="4378" w:type="dxa"/>
            <w:shd w:val="clear" w:color="auto" w:fill="auto"/>
            <w:vAlign w:val="center"/>
          </w:tcPr>
          <w:p w14:paraId="2CEC322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62"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Функціонування єдиної в госпітальному окрузі комбустіологічної служби</w:t>
            </w:r>
          </w:p>
        </w:tc>
      </w:tr>
      <w:tr w:rsidR="006D2299" w14:paraId="7F0C114C" w14:textId="77777777" w:rsidTr="00772EDE">
        <w:trPr>
          <w:trHeight w:hRule="exact" w:val="979"/>
          <w:jc w:val="center"/>
        </w:trPr>
        <w:tc>
          <w:tcPr>
            <w:tcW w:w="2156" w:type="dxa"/>
            <w:shd w:val="clear" w:color="auto" w:fill="auto"/>
            <w:vAlign w:val="center"/>
          </w:tcPr>
          <w:p w14:paraId="17A4709A"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ind w:firstLine="360"/>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Гемодіаліз</w:t>
            </w:r>
          </w:p>
        </w:tc>
        <w:tc>
          <w:tcPr>
            <w:tcW w:w="3341" w:type="dxa"/>
            <w:shd w:val="clear" w:color="auto" w:fill="auto"/>
            <w:vAlign w:val="center"/>
          </w:tcPr>
          <w:p w14:paraId="1A807F3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Відділення амбулаторного гемодіалізу</w:t>
            </w:r>
          </w:p>
        </w:tc>
        <w:tc>
          <w:tcPr>
            <w:tcW w:w="4378" w:type="dxa"/>
            <w:shd w:val="clear" w:color="auto" w:fill="auto"/>
            <w:vAlign w:val="center"/>
          </w:tcPr>
          <w:p w14:paraId="4E9D2E75"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7"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Функціонування єдиної в Одеській територіальній громаді служби гемодіалізу</w:t>
            </w:r>
          </w:p>
        </w:tc>
      </w:tr>
      <w:tr w:rsidR="006D2299" w14:paraId="3EF081DB" w14:textId="77777777" w:rsidTr="00772EDE">
        <w:trPr>
          <w:trHeight w:hRule="exact" w:val="997"/>
          <w:jc w:val="center"/>
        </w:trPr>
        <w:tc>
          <w:tcPr>
            <w:tcW w:w="2156" w:type="dxa"/>
            <w:shd w:val="clear" w:color="auto" w:fill="auto"/>
            <w:vAlign w:val="center"/>
          </w:tcPr>
          <w:p w14:paraId="0D0085CD"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Проктологія</w:t>
            </w:r>
          </w:p>
        </w:tc>
        <w:tc>
          <w:tcPr>
            <w:tcW w:w="3341" w:type="dxa"/>
            <w:shd w:val="clear" w:color="auto" w:fill="auto"/>
            <w:vAlign w:val="center"/>
          </w:tcPr>
          <w:p w14:paraId="6819C03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64"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Відділення проктології та онкології</w:t>
            </w:r>
          </w:p>
        </w:tc>
        <w:tc>
          <w:tcPr>
            <w:tcW w:w="4378" w:type="dxa"/>
            <w:shd w:val="clear" w:color="auto" w:fill="auto"/>
            <w:vAlign w:val="center"/>
          </w:tcPr>
          <w:p w14:paraId="3EF1024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Функціонування єдиної в Одеській територіальній громаді служби проктології</w:t>
            </w:r>
          </w:p>
        </w:tc>
      </w:tr>
      <w:tr w:rsidR="006D2299" w14:paraId="35ABF2EC" w14:textId="77777777" w:rsidTr="00772EDE">
        <w:trPr>
          <w:trHeight w:hRule="exact" w:val="666"/>
          <w:jc w:val="center"/>
        </w:trPr>
        <w:tc>
          <w:tcPr>
            <w:tcW w:w="2156" w:type="dxa"/>
            <w:shd w:val="clear" w:color="auto" w:fill="auto"/>
            <w:vAlign w:val="center"/>
          </w:tcPr>
          <w:p w14:paraId="2BB28D45"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Онкологія</w:t>
            </w:r>
          </w:p>
        </w:tc>
        <w:tc>
          <w:tcPr>
            <w:tcW w:w="3341" w:type="dxa"/>
            <w:shd w:val="clear" w:color="auto" w:fill="auto"/>
            <w:vAlign w:val="center"/>
          </w:tcPr>
          <w:p w14:paraId="7BE25A5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Відділення проктології та онкології</w:t>
            </w:r>
          </w:p>
        </w:tc>
        <w:tc>
          <w:tcPr>
            <w:tcW w:w="4378" w:type="dxa"/>
            <w:shd w:val="clear" w:color="auto" w:fill="auto"/>
            <w:vAlign w:val="center"/>
          </w:tcPr>
          <w:p w14:paraId="35AFD5DB"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66"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Отримання пакету «Хіміотерапія» НСЗУ</w:t>
            </w:r>
          </w:p>
        </w:tc>
      </w:tr>
      <w:tr w:rsidR="006D2299" w14:paraId="2CE96E84" w14:textId="77777777" w:rsidTr="00772EDE">
        <w:trPr>
          <w:trHeight w:hRule="exact" w:val="1146"/>
          <w:jc w:val="center"/>
        </w:trPr>
        <w:tc>
          <w:tcPr>
            <w:tcW w:w="2156" w:type="dxa"/>
            <w:shd w:val="clear" w:color="auto" w:fill="auto"/>
            <w:vAlign w:val="center"/>
          </w:tcPr>
          <w:p w14:paraId="209322B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4"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Гастроентерологія</w:t>
            </w:r>
          </w:p>
        </w:tc>
        <w:tc>
          <w:tcPr>
            <w:tcW w:w="3341" w:type="dxa"/>
            <w:shd w:val="clear" w:color="auto" w:fill="auto"/>
            <w:vAlign w:val="center"/>
          </w:tcPr>
          <w:p w14:paraId="47A6F42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7"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Введено 15 ліжок гастроентерологічного профілю на базі відділення терапії</w:t>
            </w:r>
          </w:p>
        </w:tc>
        <w:tc>
          <w:tcPr>
            <w:tcW w:w="4378" w:type="dxa"/>
            <w:vMerge w:val="restart"/>
            <w:shd w:val="clear" w:color="auto" w:fill="auto"/>
            <w:vAlign w:val="center"/>
          </w:tcPr>
          <w:p w14:paraId="6AF0A4A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7"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Забезпечення спеціалізованої служби надання медичної допомоги госпітального кластеру</w:t>
            </w:r>
          </w:p>
        </w:tc>
      </w:tr>
      <w:tr w:rsidR="006D2299" w14:paraId="2B15BD97" w14:textId="77777777" w:rsidTr="00772EDE">
        <w:trPr>
          <w:trHeight w:hRule="exact" w:val="973"/>
          <w:jc w:val="center"/>
        </w:trPr>
        <w:tc>
          <w:tcPr>
            <w:tcW w:w="2156" w:type="dxa"/>
            <w:shd w:val="clear" w:color="auto" w:fill="auto"/>
            <w:vAlign w:val="center"/>
          </w:tcPr>
          <w:p w14:paraId="12417B5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Ревматологія</w:t>
            </w:r>
          </w:p>
        </w:tc>
        <w:tc>
          <w:tcPr>
            <w:tcW w:w="3341" w:type="dxa"/>
            <w:shd w:val="clear" w:color="auto" w:fill="auto"/>
            <w:vAlign w:val="center"/>
          </w:tcPr>
          <w:p w14:paraId="7524C98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Введено 5 ліжок ревматологічного профілю на базі відділення терапії</w:t>
            </w:r>
          </w:p>
        </w:tc>
        <w:tc>
          <w:tcPr>
            <w:tcW w:w="4378" w:type="dxa"/>
            <w:vMerge/>
            <w:shd w:val="clear" w:color="auto" w:fill="auto"/>
            <w:vAlign w:val="center"/>
          </w:tcPr>
          <w:p w14:paraId="1F556BD0" w14:textId="77777777" w:rsidR="006D2299" w:rsidRDefault="006D2299" w:rsidP="00C75FCD">
            <w:pPr>
              <w:spacing w:after="0"/>
              <w:rPr>
                <w:rFonts w:ascii="Arial" w:eastAsia="Arial" w:hAnsi="Arial" w:cs="Times New Roman"/>
              </w:rPr>
            </w:pPr>
          </w:p>
        </w:tc>
      </w:tr>
      <w:tr w:rsidR="006D2299" w14:paraId="1B084E85" w14:textId="77777777" w:rsidTr="00772EDE">
        <w:trPr>
          <w:trHeight w:hRule="exact" w:val="992"/>
          <w:jc w:val="center"/>
        </w:trPr>
        <w:tc>
          <w:tcPr>
            <w:tcW w:w="2156" w:type="dxa"/>
            <w:shd w:val="clear" w:color="auto" w:fill="auto"/>
            <w:vAlign w:val="center"/>
          </w:tcPr>
          <w:p w14:paraId="7C171814"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Пульмонологія</w:t>
            </w:r>
          </w:p>
        </w:tc>
        <w:tc>
          <w:tcPr>
            <w:tcW w:w="3341" w:type="dxa"/>
            <w:shd w:val="clear" w:color="auto" w:fill="auto"/>
            <w:vAlign w:val="center"/>
          </w:tcPr>
          <w:p w14:paraId="1D03A96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Введено 5 ліжок пульмонологічного профілю на базі відділення терапії</w:t>
            </w:r>
          </w:p>
        </w:tc>
        <w:tc>
          <w:tcPr>
            <w:tcW w:w="4378" w:type="dxa"/>
            <w:vMerge/>
            <w:shd w:val="clear" w:color="auto" w:fill="auto"/>
            <w:vAlign w:val="center"/>
          </w:tcPr>
          <w:p w14:paraId="3085E0A8" w14:textId="77777777" w:rsidR="006D2299" w:rsidRDefault="006D2299" w:rsidP="00C75FCD">
            <w:pPr>
              <w:spacing w:after="0"/>
              <w:rPr>
                <w:rFonts w:ascii="Arial" w:eastAsia="Arial" w:hAnsi="Arial" w:cs="Times New Roman"/>
              </w:rPr>
            </w:pPr>
          </w:p>
        </w:tc>
      </w:tr>
      <w:tr w:rsidR="006D2299" w14:paraId="5CC298D5" w14:textId="77777777" w:rsidTr="00772EDE">
        <w:trPr>
          <w:trHeight w:hRule="exact" w:val="992"/>
          <w:jc w:val="center"/>
        </w:trPr>
        <w:tc>
          <w:tcPr>
            <w:tcW w:w="2156" w:type="dxa"/>
            <w:shd w:val="clear" w:color="auto" w:fill="auto"/>
            <w:vAlign w:val="center"/>
          </w:tcPr>
          <w:p w14:paraId="28B914B7"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ind w:firstLine="20"/>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Нефрологія</w:t>
            </w:r>
          </w:p>
        </w:tc>
        <w:tc>
          <w:tcPr>
            <w:tcW w:w="3341" w:type="dxa"/>
            <w:shd w:val="clear" w:color="auto" w:fill="auto"/>
            <w:vAlign w:val="center"/>
          </w:tcPr>
          <w:p w14:paraId="5F5C867F"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9"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Введено 10 ліжок нефрологічного профілю на базі відділення терапії</w:t>
            </w:r>
          </w:p>
        </w:tc>
        <w:tc>
          <w:tcPr>
            <w:tcW w:w="4378" w:type="dxa"/>
            <w:vMerge/>
            <w:shd w:val="clear" w:color="auto" w:fill="auto"/>
            <w:vAlign w:val="center"/>
          </w:tcPr>
          <w:p w14:paraId="7BA0A40E" w14:textId="77777777" w:rsidR="006D2299" w:rsidRDefault="006D2299" w:rsidP="00C75FCD">
            <w:pPr>
              <w:spacing w:after="0"/>
              <w:rPr>
                <w:rFonts w:ascii="Arial" w:eastAsia="Arial" w:hAnsi="Arial" w:cs="Times New Roman"/>
              </w:rPr>
            </w:pPr>
          </w:p>
        </w:tc>
      </w:tr>
      <w:tr w:rsidR="006D2299" w14:paraId="624F82C8" w14:textId="77777777" w:rsidTr="00772EDE">
        <w:trPr>
          <w:trHeight w:hRule="exact" w:val="349"/>
          <w:jc w:val="center"/>
        </w:trPr>
        <w:tc>
          <w:tcPr>
            <w:tcW w:w="2156" w:type="dxa"/>
            <w:shd w:val="clear" w:color="auto" w:fill="auto"/>
            <w:vAlign w:val="center"/>
          </w:tcPr>
          <w:p w14:paraId="306E0503"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ind w:firstLine="20"/>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Гематологія</w:t>
            </w:r>
          </w:p>
        </w:tc>
        <w:tc>
          <w:tcPr>
            <w:tcW w:w="3341" w:type="dxa"/>
            <w:shd w:val="clear" w:color="auto" w:fill="auto"/>
            <w:vAlign w:val="center"/>
          </w:tcPr>
          <w:p w14:paraId="07C31192"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Лікар гематолог ДКЦ</w:t>
            </w:r>
          </w:p>
        </w:tc>
        <w:tc>
          <w:tcPr>
            <w:tcW w:w="4378" w:type="dxa"/>
            <w:shd w:val="clear" w:color="auto" w:fill="auto"/>
            <w:vAlign w:val="center"/>
          </w:tcPr>
          <w:p w14:paraId="6185BA78" w14:textId="77777777" w:rsidR="006D2299" w:rsidRDefault="006D2299" w:rsidP="00C75FCD">
            <w:pPr>
              <w:widowControl w:val="0"/>
              <w:spacing w:after="0"/>
              <w:rPr>
                <w:rFonts w:ascii="Arial" w:eastAsia="Arial" w:hAnsi="Arial" w:cs="Times New Roman"/>
                <w:sz w:val="24"/>
                <w:szCs w:val="24"/>
              </w:rPr>
            </w:pPr>
          </w:p>
        </w:tc>
      </w:tr>
      <w:tr w:rsidR="006D2299" w14:paraId="56787B00" w14:textId="77777777" w:rsidTr="00772EDE">
        <w:trPr>
          <w:trHeight w:hRule="exact" w:val="338"/>
          <w:jc w:val="center"/>
        </w:trPr>
        <w:tc>
          <w:tcPr>
            <w:tcW w:w="2156" w:type="dxa"/>
            <w:shd w:val="clear" w:color="auto" w:fill="auto"/>
            <w:vAlign w:val="center"/>
          </w:tcPr>
          <w:p w14:paraId="1F590FCB"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Профпатологія</w:t>
            </w:r>
          </w:p>
        </w:tc>
        <w:tc>
          <w:tcPr>
            <w:tcW w:w="3341" w:type="dxa"/>
            <w:shd w:val="clear" w:color="auto" w:fill="auto"/>
            <w:vAlign w:val="center"/>
          </w:tcPr>
          <w:p w14:paraId="36BFB01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Лікар профпатолог ДКЦ</w:t>
            </w:r>
          </w:p>
        </w:tc>
        <w:tc>
          <w:tcPr>
            <w:tcW w:w="4378" w:type="dxa"/>
            <w:shd w:val="clear" w:color="auto" w:fill="auto"/>
            <w:vAlign w:val="center"/>
          </w:tcPr>
          <w:p w14:paraId="72D452C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Створення комісії з профоглядів</w:t>
            </w:r>
          </w:p>
        </w:tc>
      </w:tr>
      <w:tr w:rsidR="006D2299" w14:paraId="30B82759" w14:textId="77777777" w:rsidTr="00772E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662"/>
          <w:jc w:val="center"/>
        </w:trPr>
        <w:tc>
          <w:tcPr>
            <w:tcW w:w="2156" w:type="dxa"/>
            <w:tcBorders>
              <w:top w:val="single" w:sz="4" w:space="0" w:color="000000"/>
              <w:left w:val="single" w:sz="4" w:space="0" w:color="000000"/>
            </w:tcBorders>
            <w:shd w:val="clear" w:color="auto" w:fill="auto"/>
            <w:vAlign w:val="center"/>
          </w:tcPr>
          <w:p w14:paraId="76DF4A76"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64"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Клінічна імунологія</w:t>
            </w:r>
          </w:p>
        </w:tc>
        <w:tc>
          <w:tcPr>
            <w:tcW w:w="3341" w:type="dxa"/>
            <w:tcBorders>
              <w:top w:val="single" w:sz="4" w:space="0" w:color="000000"/>
              <w:left w:val="single" w:sz="4" w:space="0" w:color="000000"/>
            </w:tcBorders>
            <w:shd w:val="clear" w:color="auto" w:fill="auto"/>
            <w:vAlign w:val="center"/>
          </w:tcPr>
          <w:p w14:paraId="6F387771"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83"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Лікар імунолог клінічний ДКЦ</w:t>
            </w:r>
          </w:p>
        </w:tc>
        <w:tc>
          <w:tcPr>
            <w:tcW w:w="4378" w:type="dxa"/>
            <w:tcBorders>
              <w:top w:val="single" w:sz="4" w:space="0" w:color="000000"/>
              <w:left w:val="single" w:sz="4" w:space="0" w:color="000000"/>
              <w:right w:val="single" w:sz="4" w:space="0" w:color="000000"/>
            </w:tcBorders>
            <w:shd w:val="clear" w:color="auto" w:fill="auto"/>
            <w:vAlign w:val="center"/>
          </w:tcPr>
          <w:p w14:paraId="644B1D83" w14:textId="77777777" w:rsidR="006D2299" w:rsidRDefault="006D2299" w:rsidP="00C75FCD">
            <w:pPr>
              <w:widowControl w:val="0"/>
              <w:spacing w:after="0"/>
              <w:rPr>
                <w:rFonts w:ascii="Arial" w:eastAsia="Arial" w:hAnsi="Arial" w:cs="Times New Roman"/>
                <w:sz w:val="24"/>
                <w:szCs w:val="24"/>
              </w:rPr>
            </w:pPr>
          </w:p>
        </w:tc>
      </w:tr>
      <w:tr w:rsidR="006D2299" w14:paraId="15E03875" w14:textId="77777777" w:rsidTr="00772E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688"/>
          <w:jc w:val="center"/>
        </w:trPr>
        <w:tc>
          <w:tcPr>
            <w:tcW w:w="2156" w:type="dxa"/>
            <w:tcBorders>
              <w:top w:val="single" w:sz="4" w:space="0" w:color="000000"/>
              <w:left w:val="single" w:sz="4" w:space="0" w:color="000000"/>
              <w:bottom w:val="single" w:sz="4" w:space="0" w:color="000000"/>
            </w:tcBorders>
            <w:shd w:val="clear" w:color="auto" w:fill="auto"/>
            <w:vAlign w:val="center"/>
          </w:tcPr>
          <w:p w14:paraId="23CA455E"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7"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Андрологія та сексопатологія</w:t>
            </w:r>
          </w:p>
        </w:tc>
        <w:tc>
          <w:tcPr>
            <w:tcW w:w="3341" w:type="dxa"/>
            <w:tcBorders>
              <w:top w:val="single" w:sz="4" w:space="0" w:color="000000"/>
              <w:left w:val="single" w:sz="4" w:space="0" w:color="000000"/>
              <w:bottom w:val="single" w:sz="4" w:space="0" w:color="000000"/>
            </w:tcBorders>
            <w:shd w:val="clear" w:color="auto" w:fill="auto"/>
            <w:vAlign w:val="center"/>
          </w:tcPr>
          <w:p w14:paraId="21D3FE4B"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Лікар сексопатолог ДКЦ</w:t>
            </w:r>
          </w:p>
        </w:tc>
        <w:tc>
          <w:tcPr>
            <w:tcW w:w="437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CF403C" w14:textId="77777777" w:rsidR="006D2299"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7" w:lineRule="auto"/>
              <w:rPr>
                <w:rFonts w:ascii="Times New Roman" w:eastAsia="Times New Roman" w:hAnsi="Times New Roman" w:cs="Times New Roman"/>
                <w:color w:val="000000"/>
                <w:sz w:val="24"/>
                <w:szCs w:val="24"/>
                <w:lang w:eastAsia="uk-UA" w:bidi="uk-UA"/>
              </w:rPr>
            </w:pPr>
            <w:r>
              <w:rPr>
                <w:rFonts w:ascii="Times New Roman" w:eastAsia="Times New Roman" w:hAnsi="Times New Roman" w:cs="Times New Roman"/>
                <w:color w:val="000000"/>
                <w:sz w:val="24"/>
                <w:szCs w:val="24"/>
                <w:lang w:eastAsia="uk-UA" w:bidi="uk-UA"/>
              </w:rPr>
              <w:t>Можливість розвинення служби репродуктивної медицини</w:t>
            </w:r>
          </w:p>
        </w:tc>
      </w:tr>
    </w:tbl>
    <w:p w14:paraId="55E2A13E" w14:textId="7FF49DE9" w:rsidR="006D2299" w:rsidRDefault="00492A6F"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bCs/>
          <w:i/>
          <w:color w:val="000000"/>
          <w:sz w:val="24"/>
          <w:szCs w:val="24"/>
          <w:lang w:eastAsia="uk-UA" w:bidi="uk-UA"/>
        </w:rPr>
      </w:pPr>
      <w:r>
        <w:rPr>
          <w:rFonts w:ascii="Times New Roman" w:eastAsia="Times New Roman" w:hAnsi="Times New Roman" w:cs="Times New Roman"/>
          <w:i/>
          <w:iCs/>
          <w:color w:val="000000"/>
          <w:sz w:val="24"/>
          <w:szCs w:val="24"/>
          <w:lang w:eastAsia="uk-UA" w:bidi="uk-UA"/>
        </w:rPr>
        <w:t>Джерело: [29</w:t>
      </w:r>
      <w:r w:rsidR="006D2299">
        <w:rPr>
          <w:rFonts w:ascii="Times New Roman" w:eastAsia="Times New Roman" w:hAnsi="Times New Roman" w:cs="Times New Roman"/>
          <w:i/>
          <w:iCs/>
          <w:color w:val="000000"/>
          <w:sz w:val="24"/>
          <w:szCs w:val="24"/>
          <w:lang w:eastAsia="uk-UA" w:bidi="uk-UA"/>
        </w:rPr>
        <w:t>]</w:t>
      </w:r>
    </w:p>
    <w:p w14:paraId="72509EF6" w14:textId="77777777" w:rsidR="006D2299" w:rsidRDefault="006D2299" w:rsidP="006D2299">
      <w:pPr>
        <w:spacing w:after="0" w:line="1" w:lineRule="exact"/>
        <w:rPr>
          <w:rFonts w:ascii="Arial" w:eastAsia="Arial" w:hAnsi="Arial" w:cs="Times New Roman"/>
          <w:sz w:val="2"/>
          <w:szCs w:val="2"/>
        </w:rPr>
      </w:pPr>
    </w:p>
    <w:p w14:paraId="19EF4299" w14:textId="77777777" w:rsidR="006D2299" w:rsidRDefault="006D2299" w:rsidP="006D2299">
      <w:pPr>
        <w:spacing w:after="0" w:line="1" w:lineRule="exact"/>
        <w:rPr>
          <w:rFonts w:ascii="Arial" w:eastAsia="Arial" w:hAnsi="Arial" w:cs="Times New Roman"/>
        </w:rPr>
      </w:pPr>
    </w:p>
    <w:p w14:paraId="0ADAAB8C"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09"/>
        <w:jc w:val="both"/>
        <w:rPr>
          <w:rFonts w:ascii="Times New Roman" w:eastAsia="Times New Roman" w:hAnsi="Times New Roman" w:cs="Times New Roman"/>
          <w:color w:val="000000"/>
          <w:sz w:val="28"/>
          <w:szCs w:val="28"/>
          <w:lang w:eastAsia="uk-UA" w:bidi="uk-UA"/>
        </w:rPr>
      </w:pPr>
    </w:p>
    <w:p w14:paraId="01F3C3AC" w14:textId="1A089A91"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Розділ 3. Розвиток нових медичних напрямків та подальший розвиток сучасних технологій в рамках існуючої потреби у Одеській територіальній громаді за наявному джерелу фінансування (НСЗУ) (табл</w:t>
      </w:r>
      <w:r w:rsidRPr="00A45016">
        <w:rPr>
          <w:rFonts w:ascii="Times New Roman" w:eastAsia="Times New Roman" w:hAnsi="Times New Roman" w:cs="Times New Roman"/>
          <w:color w:val="000000"/>
          <w:sz w:val="28"/>
          <w:szCs w:val="28"/>
          <w:lang w:eastAsia="uk-UA" w:bidi="uk-UA"/>
        </w:rPr>
        <w:t xml:space="preserve">. </w:t>
      </w:r>
      <w:r w:rsidR="00772EDE">
        <w:rPr>
          <w:rFonts w:ascii="Times New Roman" w:eastAsia="Times New Roman" w:hAnsi="Times New Roman" w:cs="Times New Roman"/>
          <w:color w:val="000000"/>
          <w:sz w:val="28"/>
          <w:szCs w:val="28"/>
          <w:lang w:eastAsia="uk-UA" w:bidi="uk-UA"/>
        </w:rPr>
        <w:t>2</w:t>
      </w:r>
      <w:r w:rsidRPr="00A45016">
        <w:rPr>
          <w:rFonts w:ascii="Times New Roman" w:eastAsia="Times New Roman" w:hAnsi="Times New Roman" w:cs="Times New Roman"/>
          <w:color w:val="000000"/>
          <w:sz w:val="28"/>
          <w:szCs w:val="28"/>
          <w:lang w:eastAsia="uk-UA" w:bidi="uk-UA"/>
        </w:rPr>
        <w:t>.5).</w:t>
      </w:r>
    </w:p>
    <w:p w14:paraId="571E737B" w14:textId="77777777" w:rsidR="00772EDE" w:rsidRPr="00A45016" w:rsidRDefault="00772EDE"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09"/>
        <w:jc w:val="both"/>
        <w:rPr>
          <w:rFonts w:ascii="Times New Roman" w:eastAsia="Times New Roman" w:hAnsi="Times New Roman" w:cs="Times New Roman"/>
          <w:color w:val="000000"/>
          <w:sz w:val="28"/>
          <w:szCs w:val="28"/>
          <w:lang w:eastAsia="uk-UA" w:bidi="uk-UA"/>
        </w:rPr>
      </w:pPr>
    </w:p>
    <w:p w14:paraId="7FA65E98" w14:textId="1581B8B9" w:rsidR="006D2299" w:rsidRPr="00A45016" w:rsidRDefault="00772EDE"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09"/>
        <w:jc w:val="right"/>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eastAsia="uk-UA" w:bidi="uk-UA"/>
        </w:rPr>
        <w:lastRenderedPageBreak/>
        <w:t>Таблиця 2</w:t>
      </w:r>
      <w:r w:rsidR="006D2299" w:rsidRPr="00A45016">
        <w:rPr>
          <w:rFonts w:ascii="Times New Roman" w:eastAsia="Times New Roman" w:hAnsi="Times New Roman" w:cs="Times New Roman"/>
          <w:color w:val="000000"/>
          <w:sz w:val="28"/>
          <w:szCs w:val="28"/>
          <w:lang w:eastAsia="uk-UA" w:bidi="uk-UA"/>
        </w:rPr>
        <w:t xml:space="preserve">.5 </w:t>
      </w:r>
    </w:p>
    <w:p w14:paraId="2C87E781" w14:textId="77777777" w:rsidR="006D2299" w:rsidRPr="00A45016"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09"/>
        <w:jc w:val="center"/>
        <w:rPr>
          <w:rFonts w:ascii="Times New Roman" w:eastAsia="Times New Roman" w:hAnsi="Times New Roman" w:cs="Times New Roman"/>
          <w:b/>
          <w:bCs/>
          <w:color w:val="000000"/>
          <w:sz w:val="28"/>
          <w:szCs w:val="28"/>
        </w:rPr>
      </w:pPr>
      <w:r w:rsidRPr="00A45016">
        <w:rPr>
          <w:rFonts w:ascii="Times New Roman" w:eastAsia="Times New Roman" w:hAnsi="Times New Roman" w:cs="Times New Roman"/>
          <w:b/>
          <w:bCs/>
          <w:color w:val="000000"/>
          <w:sz w:val="28"/>
          <w:szCs w:val="28"/>
          <w:lang w:eastAsia="uk-UA" w:bidi="uk-UA"/>
        </w:rPr>
        <w:t>Нові медичні напрямки</w:t>
      </w:r>
      <w:r w:rsidRPr="00A45016">
        <w:rPr>
          <w:rFonts w:ascii="Times New Roman" w:eastAsia="Times New Roman" w:hAnsi="Times New Roman" w:cs="Times New Roman"/>
          <w:color w:val="000000"/>
          <w:sz w:val="28"/>
          <w:szCs w:val="28"/>
          <w:lang w:eastAsia="uk-UA" w:bidi="uk-UA"/>
        </w:rPr>
        <w:t xml:space="preserve"> </w:t>
      </w:r>
      <w:r w:rsidRPr="00A45016">
        <w:rPr>
          <w:rFonts w:ascii="Times New Roman" w:eastAsia="Times New Roman" w:hAnsi="Times New Roman" w:cs="Times New Roman"/>
          <w:b/>
          <w:bCs/>
          <w:color w:val="000000"/>
          <w:sz w:val="28"/>
          <w:szCs w:val="28"/>
          <w:lang w:eastAsia="uk-UA" w:bidi="uk-UA"/>
        </w:rPr>
        <w:t>діяльності КНП «МКЛ №10» ОМР</w:t>
      </w:r>
    </w:p>
    <w:tbl>
      <w:tblPr>
        <w:tblW w:w="0" w:type="auto"/>
        <w:jc w:val="center"/>
        <w:tblLayout w:type="fixed"/>
        <w:tblLook w:val="04A0" w:firstRow="1" w:lastRow="0" w:firstColumn="1" w:lastColumn="0" w:noHBand="0" w:noVBand="1"/>
      </w:tblPr>
      <w:tblGrid>
        <w:gridCol w:w="2113"/>
        <w:gridCol w:w="3136"/>
        <w:gridCol w:w="4586"/>
      </w:tblGrid>
      <w:tr w:rsidR="006D2299" w:rsidRPr="00A45016" w14:paraId="1B875FEA" w14:textId="77777777" w:rsidTr="00772EDE">
        <w:trPr>
          <w:trHeight w:hRule="exact" w:val="367"/>
          <w:jc w:val="center"/>
        </w:trPr>
        <w:tc>
          <w:tcPr>
            <w:tcW w:w="2113" w:type="dxa"/>
            <w:tcBorders>
              <w:top w:val="single" w:sz="4" w:space="0" w:color="000000"/>
              <w:left w:val="single" w:sz="4" w:space="0" w:color="000000"/>
            </w:tcBorders>
            <w:shd w:val="clear" w:color="auto" w:fill="auto"/>
            <w:vAlign w:val="center"/>
          </w:tcPr>
          <w:p w14:paraId="74C91B33" w14:textId="77777777" w:rsidR="006D2299" w:rsidRPr="00A45016"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rPr>
            </w:pPr>
            <w:r w:rsidRPr="00A45016">
              <w:rPr>
                <w:rFonts w:ascii="Times New Roman" w:eastAsia="Times New Roman" w:hAnsi="Times New Roman" w:cs="Times New Roman"/>
                <w:color w:val="000000"/>
                <w:sz w:val="24"/>
                <w:szCs w:val="24"/>
                <w:lang w:eastAsia="uk-UA" w:bidi="uk-UA"/>
              </w:rPr>
              <w:t>Напрямок</w:t>
            </w:r>
          </w:p>
        </w:tc>
        <w:tc>
          <w:tcPr>
            <w:tcW w:w="3136" w:type="dxa"/>
            <w:tcBorders>
              <w:top w:val="single" w:sz="4" w:space="0" w:color="000000"/>
              <w:left w:val="single" w:sz="4" w:space="0" w:color="000000"/>
            </w:tcBorders>
            <w:shd w:val="clear" w:color="auto" w:fill="auto"/>
            <w:vAlign w:val="center"/>
          </w:tcPr>
          <w:p w14:paraId="62255D79" w14:textId="77777777" w:rsidR="006D2299" w:rsidRPr="00A45016"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57" w:lineRule="auto"/>
              <w:jc w:val="center"/>
              <w:rPr>
                <w:rFonts w:ascii="Times New Roman" w:eastAsia="Times New Roman" w:hAnsi="Times New Roman" w:cs="Times New Roman"/>
                <w:color w:val="000000"/>
                <w:sz w:val="24"/>
                <w:szCs w:val="24"/>
              </w:rPr>
            </w:pPr>
            <w:r w:rsidRPr="00A45016">
              <w:rPr>
                <w:rFonts w:ascii="Times New Roman" w:eastAsia="Times New Roman" w:hAnsi="Times New Roman" w:cs="Times New Roman"/>
                <w:color w:val="000000"/>
                <w:sz w:val="24"/>
                <w:szCs w:val="24"/>
                <w:lang w:eastAsia="uk-UA" w:bidi="uk-UA"/>
              </w:rPr>
              <w:t>Структурний підрозділ</w:t>
            </w:r>
          </w:p>
        </w:tc>
        <w:tc>
          <w:tcPr>
            <w:tcW w:w="4586" w:type="dxa"/>
            <w:tcBorders>
              <w:top w:val="single" w:sz="4" w:space="0" w:color="000000"/>
              <w:left w:val="single" w:sz="4" w:space="0" w:color="000000"/>
              <w:right w:val="single" w:sz="4" w:space="0" w:color="000000"/>
            </w:tcBorders>
            <w:shd w:val="clear" w:color="auto" w:fill="auto"/>
            <w:vAlign w:val="center"/>
          </w:tcPr>
          <w:p w14:paraId="4E7FE52A" w14:textId="77777777" w:rsidR="006D2299" w:rsidRPr="00A45016"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jc w:val="center"/>
              <w:rPr>
                <w:rFonts w:ascii="Times New Roman" w:eastAsia="Times New Roman" w:hAnsi="Times New Roman" w:cs="Times New Roman"/>
                <w:color w:val="000000"/>
                <w:sz w:val="24"/>
                <w:szCs w:val="24"/>
              </w:rPr>
            </w:pPr>
            <w:r w:rsidRPr="00A45016">
              <w:rPr>
                <w:rFonts w:ascii="Times New Roman" w:eastAsia="Times New Roman" w:hAnsi="Times New Roman" w:cs="Times New Roman"/>
                <w:color w:val="000000"/>
                <w:sz w:val="24"/>
                <w:szCs w:val="24"/>
                <w:lang w:eastAsia="uk-UA" w:bidi="uk-UA"/>
              </w:rPr>
              <w:t>Обґрунтування</w:t>
            </w:r>
          </w:p>
        </w:tc>
      </w:tr>
      <w:tr w:rsidR="006D2299" w:rsidRPr="00A45016" w14:paraId="1963DD73" w14:textId="77777777" w:rsidTr="00772EDE">
        <w:trPr>
          <w:trHeight w:hRule="exact" w:val="1415"/>
          <w:jc w:val="center"/>
        </w:trPr>
        <w:tc>
          <w:tcPr>
            <w:tcW w:w="2113" w:type="dxa"/>
            <w:tcBorders>
              <w:top w:val="single" w:sz="4" w:space="0" w:color="000000"/>
              <w:left w:val="single" w:sz="4" w:space="0" w:color="000000"/>
            </w:tcBorders>
            <w:shd w:val="clear" w:color="auto" w:fill="auto"/>
            <w:vAlign w:val="center"/>
          </w:tcPr>
          <w:p w14:paraId="33775DD0" w14:textId="77777777" w:rsidR="006D2299" w:rsidRPr="00A45016"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rPr>
            </w:pPr>
            <w:r w:rsidRPr="00A45016">
              <w:rPr>
                <w:rFonts w:ascii="Times New Roman" w:eastAsia="Times New Roman" w:hAnsi="Times New Roman" w:cs="Times New Roman"/>
                <w:color w:val="000000"/>
                <w:sz w:val="24"/>
                <w:szCs w:val="24"/>
                <w:lang w:eastAsia="uk-UA" w:bidi="uk-UA"/>
              </w:rPr>
              <w:t>Трансплантологія</w:t>
            </w:r>
          </w:p>
        </w:tc>
        <w:tc>
          <w:tcPr>
            <w:tcW w:w="3136" w:type="dxa"/>
            <w:tcBorders>
              <w:top w:val="single" w:sz="4" w:space="0" w:color="000000"/>
              <w:left w:val="single" w:sz="4" w:space="0" w:color="000000"/>
            </w:tcBorders>
            <w:shd w:val="clear" w:color="auto" w:fill="auto"/>
            <w:vAlign w:val="center"/>
          </w:tcPr>
          <w:p w14:paraId="0556CB2F" w14:textId="77777777" w:rsidR="006D2299" w:rsidRPr="00A45016"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rPr>
            </w:pPr>
            <w:r w:rsidRPr="00A45016">
              <w:rPr>
                <w:rFonts w:ascii="Times New Roman" w:eastAsia="Times New Roman" w:hAnsi="Times New Roman" w:cs="Times New Roman"/>
                <w:color w:val="000000"/>
                <w:sz w:val="24"/>
                <w:szCs w:val="24"/>
                <w:lang w:eastAsia="uk-UA" w:bidi="uk-UA"/>
              </w:rPr>
              <w:t xml:space="preserve">Створення на базі урологічного відділення №2 відділення урології та </w:t>
            </w:r>
            <w:r w:rsidRPr="00A45016">
              <w:rPr>
                <w:rFonts w:ascii="Times New Roman" w:eastAsia="Times New Roman" w:hAnsi="Times New Roman" w:cs="Times New Roman"/>
                <w:color w:val="000000"/>
                <w:sz w:val="24"/>
                <w:szCs w:val="24"/>
                <w:lang w:val="ru-RU" w:eastAsia="ru-RU" w:bidi="ru-RU"/>
              </w:rPr>
              <w:t>трансплантологи</w:t>
            </w:r>
          </w:p>
        </w:tc>
        <w:tc>
          <w:tcPr>
            <w:tcW w:w="4586" w:type="dxa"/>
            <w:tcBorders>
              <w:top w:val="single" w:sz="4" w:space="0" w:color="000000"/>
              <w:left w:val="single" w:sz="4" w:space="0" w:color="000000"/>
              <w:right w:val="single" w:sz="4" w:space="0" w:color="000000"/>
            </w:tcBorders>
            <w:shd w:val="clear" w:color="auto" w:fill="auto"/>
            <w:vAlign w:val="center"/>
          </w:tcPr>
          <w:p w14:paraId="6DBD7CA6" w14:textId="77777777" w:rsidR="006D2299" w:rsidRPr="00A45016"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rPr>
            </w:pPr>
            <w:r w:rsidRPr="00A45016">
              <w:rPr>
                <w:rFonts w:ascii="Times New Roman" w:eastAsia="Times New Roman" w:hAnsi="Times New Roman" w:cs="Times New Roman"/>
                <w:color w:val="000000"/>
                <w:sz w:val="24"/>
                <w:szCs w:val="24"/>
                <w:lang w:eastAsia="uk-UA" w:bidi="uk-UA"/>
              </w:rPr>
              <w:t>Наявна додаткова потреба розвитку трансплантологічної служби Одеського госпітального округу. Можливості отримання пакету НСЗУ «Трансплантологія»</w:t>
            </w:r>
          </w:p>
        </w:tc>
      </w:tr>
      <w:tr w:rsidR="006D2299" w:rsidRPr="00A45016" w14:paraId="62A03A24" w14:textId="77777777" w:rsidTr="00772EDE">
        <w:trPr>
          <w:trHeight w:hRule="exact" w:val="1415"/>
          <w:jc w:val="center"/>
        </w:trPr>
        <w:tc>
          <w:tcPr>
            <w:tcW w:w="2113" w:type="dxa"/>
            <w:tcBorders>
              <w:top w:val="single" w:sz="4" w:space="0" w:color="000000"/>
              <w:left w:val="single" w:sz="4" w:space="0" w:color="000000"/>
              <w:bottom w:val="single" w:sz="4" w:space="0" w:color="000000"/>
            </w:tcBorders>
            <w:shd w:val="clear" w:color="auto" w:fill="auto"/>
            <w:vAlign w:val="center"/>
          </w:tcPr>
          <w:p w14:paraId="2733430B" w14:textId="77777777" w:rsidR="006D2299" w:rsidRPr="00A45016"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rPr>
            </w:pPr>
            <w:r w:rsidRPr="00A45016">
              <w:rPr>
                <w:rFonts w:ascii="Times New Roman" w:eastAsia="Times New Roman" w:hAnsi="Times New Roman" w:cs="Times New Roman"/>
                <w:color w:val="000000"/>
                <w:sz w:val="24"/>
                <w:szCs w:val="24"/>
                <w:lang w:eastAsia="uk-UA" w:bidi="uk-UA"/>
              </w:rPr>
              <w:t>Репродуктивна медицина</w:t>
            </w:r>
          </w:p>
        </w:tc>
        <w:tc>
          <w:tcPr>
            <w:tcW w:w="3136" w:type="dxa"/>
            <w:tcBorders>
              <w:top w:val="single" w:sz="4" w:space="0" w:color="000000"/>
              <w:left w:val="single" w:sz="4" w:space="0" w:color="000000"/>
              <w:bottom w:val="single" w:sz="4" w:space="0" w:color="000000"/>
            </w:tcBorders>
            <w:shd w:val="clear" w:color="auto" w:fill="auto"/>
            <w:vAlign w:val="center"/>
          </w:tcPr>
          <w:p w14:paraId="749FD4A9" w14:textId="77777777" w:rsidR="006D2299" w:rsidRPr="00A45016"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rPr>
            </w:pPr>
            <w:r w:rsidRPr="00A45016">
              <w:rPr>
                <w:rFonts w:ascii="Times New Roman" w:eastAsia="Times New Roman" w:hAnsi="Times New Roman" w:cs="Times New Roman"/>
                <w:color w:val="000000"/>
                <w:sz w:val="24"/>
                <w:szCs w:val="24"/>
                <w:lang w:eastAsia="uk-UA" w:bidi="uk-UA"/>
              </w:rPr>
              <w:t>Створення на базі ДКЦ№1 відділення репродуктивного здоров’я</w:t>
            </w:r>
          </w:p>
        </w:tc>
        <w:tc>
          <w:tcPr>
            <w:tcW w:w="45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AE452A" w14:textId="77777777" w:rsidR="006D2299" w:rsidRPr="00A45016" w:rsidRDefault="006D2299" w:rsidP="00C75FCD">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rPr>
                <w:rFonts w:ascii="Times New Roman" w:eastAsia="Times New Roman" w:hAnsi="Times New Roman" w:cs="Times New Roman"/>
                <w:color w:val="000000"/>
                <w:sz w:val="24"/>
                <w:szCs w:val="24"/>
              </w:rPr>
            </w:pPr>
            <w:r w:rsidRPr="00A45016">
              <w:rPr>
                <w:rFonts w:ascii="Times New Roman" w:eastAsia="Times New Roman" w:hAnsi="Times New Roman" w:cs="Times New Roman"/>
                <w:color w:val="000000"/>
                <w:sz w:val="24"/>
                <w:szCs w:val="24"/>
                <w:lang w:eastAsia="uk-UA" w:bidi="uk-UA"/>
              </w:rPr>
              <w:t>Служба чоловічого (андрології) та жіночого репродуктивного здоров’я Вже наявна у роз’єднаному стані Можливості отримання пакету НСЗУ «ДРТ»</w:t>
            </w:r>
          </w:p>
        </w:tc>
      </w:tr>
    </w:tbl>
    <w:p w14:paraId="37E367C5" w14:textId="11AC39C0" w:rsidR="006D2299" w:rsidRPr="00A45016" w:rsidRDefault="00492A6F"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i/>
          <w:iCs/>
          <w:color w:val="000000"/>
          <w:sz w:val="24"/>
          <w:szCs w:val="24"/>
        </w:rPr>
      </w:pPr>
      <w:r>
        <w:rPr>
          <w:rFonts w:ascii="Times New Roman" w:eastAsia="Times New Roman" w:hAnsi="Times New Roman" w:cs="Times New Roman"/>
          <w:i/>
          <w:iCs/>
          <w:color w:val="000000"/>
          <w:sz w:val="24"/>
          <w:szCs w:val="24"/>
          <w:lang w:eastAsia="uk-UA" w:bidi="uk-UA"/>
        </w:rPr>
        <w:t>Джерело: [29</w:t>
      </w:r>
      <w:r w:rsidR="006D2299" w:rsidRPr="00A45016">
        <w:rPr>
          <w:rFonts w:ascii="Times New Roman" w:eastAsia="Times New Roman" w:hAnsi="Times New Roman" w:cs="Times New Roman"/>
          <w:i/>
          <w:iCs/>
          <w:color w:val="000000"/>
          <w:sz w:val="24"/>
          <w:szCs w:val="24"/>
          <w:lang w:eastAsia="uk-UA" w:bidi="uk-UA"/>
        </w:rPr>
        <w:t>]</w:t>
      </w:r>
    </w:p>
    <w:p w14:paraId="2A10D19A"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bCs/>
          <w:i/>
          <w:color w:val="000000"/>
          <w:sz w:val="24"/>
          <w:szCs w:val="24"/>
          <w:lang w:eastAsia="uk-UA" w:bidi="uk-UA"/>
        </w:rPr>
      </w:pPr>
    </w:p>
    <w:p w14:paraId="6245BD09" w14:textId="77777777" w:rsidR="006D2299" w:rsidRDefault="006D2299" w:rsidP="006D2299">
      <w:pPr>
        <w:widowControl w:val="0"/>
        <w:spacing w:after="0" w:line="1" w:lineRule="exact"/>
        <w:rPr>
          <w:rFonts w:ascii="Arial" w:eastAsia="Arial" w:hAnsi="Arial" w:cs="Times New Roman"/>
        </w:rPr>
      </w:pPr>
    </w:p>
    <w:p w14:paraId="2871F609" w14:textId="77777777" w:rsidR="006D2299" w:rsidRDefault="006D2299" w:rsidP="006D2299">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Таким чином, в результаті проведеної інфраструктурної реформи закладу КНП «МКЛ №10» ОМР отримало можливість функціонувати як повноцінна кластерна лікарня з надання медичної допомоги за всіма мінімальними базовими напрямами, збереже потенціал існуючих спеціалізованих напрямків та набуло перспективи розвитку за сучасними новими напрямами надання медичної допомоги, забезпечило відповідність до встановлених чинним законодавством вимог до </w:t>
      </w:r>
      <w:r>
        <w:rPr>
          <w:rFonts w:ascii="Times New Roman" w:eastAsia="Times New Roman" w:hAnsi="Times New Roman" w:cs="Times New Roman"/>
          <w:color w:val="000000"/>
          <w:sz w:val="28"/>
          <w:szCs w:val="28"/>
          <w:lang w:val="ru-RU" w:eastAsia="ru-RU" w:bidi="ru-RU"/>
        </w:rPr>
        <w:t xml:space="preserve">кластерного </w:t>
      </w:r>
      <w:r>
        <w:rPr>
          <w:rFonts w:ascii="Times New Roman" w:eastAsia="Times New Roman" w:hAnsi="Times New Roman" w:cs="Times New Roman"/>
          <w:color w:val="000000"/>
          <w:sz w:val="28"/>
          <w:szCs w:val="28"/>
          <w:lang w:eastAsia="uk-UA" w:bidi="uk-UA"/>
        </w:rPr>
        <w:t>закладу охорони здоров’я.</w:t>
      </w:r>
    </w:p>
    <w:p w14:paraId="338C6894" w14:textId="77777777" w:rsidR="006D2299" w:rsidRDefault="006D2299">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p>
    <w:p w14:paraId="2FE6B40A" w14:textId="5DF87D32"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b/>
          <w:color w:val="000000"/>
          <w:sz w:val="28"/>
          <w:szCs w:val="28"/>
          <w:lang w:eastAsia="uk-UA" w:bidi="uk-UA"/>
        </w:rPr>
        <w:t>2.</w:t>
      </w:r>
      <w:r w:rsidR="006D2299">
        <w:rPr>
          <w:rFonts w:ascii="Times New Roman" w:eastAsia="Microsoft YaHei" w:hAnsi="Times New Roman" w:cs="Times New Roman"/>
          <w:b/>
          <w:color w:val="000000"/>
          <w:sz w:val="28"/>
          <w:szCs w:val="28"/>
          <w:lang w:eastAsia="uk-UA" w:bidi="uk-UA"/>
        </w:rPr>
        <w:t>3</w:t>
      </w:r>
      <w:r>
        <w:rPr>
          <w:rFonts w:ascii="Times New Roman" w:eastAsia="Microsoft YaHei" w:hAnsi="Times New Roman" w:cs="Times New Roman"/>
          <w:b/>
          <w:color w:val="000000"/>
          <w:sz w:val="28"/>
          <w:szCs w:val="28"/>
          <w:lang w:eastAsia="uk-UA" w:bidi="uk-UA"/>
        </w:rPr>
        <w:t xml:space="preserve">. Вплив ухвалення ефективних управлінських рішень на перспективи розвитку КНП «МКЛ №10» ОМР  </w:t>
      </w:r>
    </w:p>
    <w:p w14:paraId="2FE6B40B"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Завдяки організаційно-управлінським рішенням та ефективному менеджменту, запропонованим у 2020-2023 рр., КНП «МКЛ №10» ОМР має потенціал та можливості розвитку як кластерна лікарня - багатопрофільний опорний заклад охорони здоров’я на принципах організації спроможної мережі спеціалізованих медичних закладів, зокрема з організації медичної допомоги у надзвичайних станах та масовому надходженні пацієнтів, в т.ч. медичної допомоги постраждалих внаслідок військової агресії російської федерації проти України.</w:t>
      </w:r>
    </w:p>
    <w:p w14:paraId="2FE6B40C" w14:textId="317B9436"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lastRenderedPageBreak/>
        <w:t xml:space="preserve">За даними стратегічного планування, очікуваний дохід закладу є достатнім для функціонування КНП «МКЛ№ 10» ОМР як спроможної лікарні, що забезпечує сталу діяльність та подальший набутий потенціал розвитку, належний рівень заробітної плати та оптимальне співвідношення статей заробітної плати до інших витрат лікарні (менше 85% від загальних коштів від договору з НСЗУ) </w:t>
      </w:r>
      <w:r>
        <w:rPr>
          <w:rFonts w:ascii="Times New Roman" w:eastAsia="Microsoft YaHei" w:hAnsi="Times New Roman" w:cs="Times New Roman"/>
          <w:color w:val="000000"/>
          <w:sz w:val="28"/>
          <w:szCs w:val="28"/>
          <w:lang w:val="en-US" w:eastAsia="uk-UA" w:bidi="uk-UA"/>
        </w:rPr>
        <w:t>[</w:t>
      </w:r>
      <w:r w:rsidR="00492A6F">
        <w:rPr>
          <w:rFonts w:ascii="Times New Roman" w:eastAsia="Microsoft YaHei" w:hAnsi="Times New Roman" w:cs="Times New Roman"/>
          <w:color w:val="000000"/>
          <w:sz w:val="28"/>
          <w:szCs w:val="28"/>
          <w:lang w:eastAsia="uk-UA" w:bidi="uk-UA"/>
        </w:rPr>
        <w:t>2</w:t>
      </w:r>
      <w:r>
        <w:rPr>
          <w:rFonts w:ascii="Times New Roman" w:eastAsia="Microsoft YaHei" w:hAnsi="Times New Roman" w:cs="Times New Roman"/>
          <w:color w:val="000000"/>
          <w:sz w:val="28"/>
          <w:szCs w:val="28"/>
          <w:lang w:eastAsia="uk-UA" w:bidi="uk-UA"/>
        </w:rPr>
        <w:t>8</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2FE6B40D"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За деякими службами, представленими в Одеському госпітальному окрузі в однині, заклад може претендувати на розвиток надкластерних функцій, зокрема зі створення регіонального опікового центру на базі опікового відділення та створення регіонального центру ренальної медицини (на базі нефрологічних, урологічних, урогінекологічних ліжок, відділення гемодіалізу тощо) з наступним розвитком трансплантаційної служби.</w:t>
      </w:r>
    </w:p>
    <w:p w14:paraId="2FE6B40E" w14:textId="783441E3"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На виконання наказу МОЗ України від 16.03.2022 року № 495 «Про організацію надання відновного лікування та реабілітаційної допомоги у сфері охорони здоров’я військовослужбовцям сил оборони» </w:t>
      </w:r>
      <w:r>
        <w:rPr>
          <w:rFonts w:ascii="Times New Roman" w:eastAsia="Microsoft YaHei" w:hAnsi="Times New Roman" w:cs="Times New Roman"/>
          <w:color w:val="000000"/>
          <w:sz w:val="28"/>
          <w:szCs w:val="28"/>
          <w:lang w:val="en-US" w:eastAsia="uk-UA" w:bidi="uk-UA"/>
        </w:rPr>
        <w:t>[</w:t>
      </w:r>
      <w:r w:rsidR="00492A6F">
        <w:rPr>
          <w:rFonts w:ascii="Times New Roman" w:eastAsia="Microsoft YaHei" w:hAnsi="Times New Roman" w:cs="Times New Roman"/>
          <w:color w:val="000000"/>
          <w:sz w:val="28"/>
          <w:szCs w:val="28"/>
          <w:lang w:eastAsia="uk-UA" w:bidi="uk-UA"/>
        </w:rPr>
        <w:t>35</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 у закладі створено амбулаторну та стаціонарну реабілітаційну службу, в співпраці з відділенням політравми та партнерською лабораторією біоніки виконуються високотехнологічні методики ЗД-моделювання, принтингу дефектів кісткової тканини та я високотехнологічні методики ЗД-моделювання, принтингу дефектів кісткової тканини та унікальні реконструктивні оперативні втручання при травмах черепа та обличчя. Враховуючи впроваджений досвід, є доцільним створення на базі КНП «МКЛ №10» ОМР регіонального центру реконструктивної хірургії та реабілітації щелепо-лицьової травми.</w:t>
      </w:r>
    </w:p>
    <w:p w14:paraId="2FE6B40F"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Для реалізації певних функцій кластерної лікарні (II рівень перинатальної допомоги) доцільно створення акушерської та посилення акушерсько-гінекологічної служби закладу. Найбільш оптимальним механізмом є злиття з КНП «Пологовий будинок № 7» за територіальною близькістю та наявними клінічними маршрутами. Також доцільно об`єднання лабораторних служб декількох медичних закладів Малиновського, Київського районів та створення єдиної потужної багатопрофільної клінічної лабораторії </w:t>
      </w:r>
      <w:r>
        <w:rPr>
          <w:rFonts w:ascii="Times New Roman" w:eastAsia="Microsoft YaHei" w:hAnsi="Times New Roman" w:cs="Times New Roman"/>
          <w:color w:val="000000"/>
          <w:sz w:val="28"/>
          <w:szCs w:val="28"/>
          <w:lang w:eastAsia="uk-UA" w:bidi="uk-UA"/>
        </w:rPr>
        <w:lastRenderedPageBreak/>
        <w:t>на базі однієї з жіночих консультацій.</w:t>
      </w:r>
    </w:p>
    <w:p w14:paraId="2FE6B410"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Існує потреба у дооснащенні КНП «МКЛ №10» ОМР сучасним обладнанням, зокрема магнітно-резонансним томографом, для якого підготовлено приміщення та наявний досвідчений медичний персонал.</w:t>
      </w:r>
    </w:p>
    <w:p w14:paraId="2FE6B411"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Очікується залучення коштів Єдиного інвестиційного Європейського банку та Єдиного банку розвитку регіонів задля забезпечення енергоефективності закладу, оптимізації роботи операційних блоків та підвищення якості перебування лікарів, задля відповідності до вимог до належної енергоефективності закладу, оптимізації роботи операційних блоків та підвищення якості медичних послуг та рівня надання медичної допомоги </w:t>
      </w:r>
    </w:p>
    <w:p w14:paraId="2FE6B412" w14:textId="09F0B401"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Таким чином, ефективні організаційно-управлінські технологічної рішення керівництва КНП «МКЛ №10» ОМР дозволили досягнути вимог лікарні інтенсивного лікування - опорного закладу госпітального округу Одеської області [</w:t>
      </w:r>
      <w:r w:rsidR="00492A6F">
        <w:rPr>
          <w:rFonts w:ascii="Times New Roman" w:eastAsia="Microsoft YaHei" w:hAnsi="Times New Roman" w:cs="Times New Roman"/>
          <w:color w:val="000000"/>
          <w:sz w:val="28"/>
          <w:szCs w:val="28"/>
          <w:lang w:eastAsia="uk-UA" w:bidi="uk-UA"/>
        </w:rPr>
        <w:t>29</w:t>
      </w:r>
      <w:r>
        <w:rPr>
          <w:rFonts w:ascii="Times New Roman" w:eastAsia="Microsoft YaHei" w:hAnsi="Times New Roman" w:cs="Times New Roman"/>
          <w:color w:val="000000"/>
          <w:sz w:val="28"/>
          <w:szCs w:val="28"/>
          <w:lang w:eastAsia="uk-UA" w:bidi="uk-UA"/>
        </w:rPr>
        <w:t>].</w:t>
      </w:r>
    </w:p>
    <w:p w14:paraId="2FE6B413"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Проте, щодо відповідності вимогам кластерної лікарні, необхідні наступні заходи: </w:t>
      </w:r>
    </w:p>
    <w:p w14:paraId="2FE6B414"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 впровадження перинатальної служби закладу; </w:t>
      </w:r>
    </w:p>
    <w:p w14:paraId="2FE6B415"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розвиток надання медичної допомоги пацієнтам дитячого віку;</w:t>
      </w:r>
    </w:p>
    <w:p w14:paraId="2FE6B416"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 посилення реабілітаційної служби закладу; </w:t>
      </w:r>
    </w:p>
    <w:p w14:paraId="2FE6B417"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 посилення паліативної служби закладу; </w:t>
      </w:r>
    </w:p>
    <w:p w14:paraId="2FE6B418"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встановлення відповідності служб до сучасних медико-технологічних стандартів (лабораторна служба, гістологічна служба, мікробіологічна служба);</w:t>
      </w:r>
    </w:p>
    <w:p w14:paraId="2FE6B419" w14:textId="77777777" w:rsidR="00471728" w:rsidRDefault="006415EC">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впровадження нових та розвиток щойно створених служб, їх медико- технологічних стратегій (офтальмологічна служба, ЛОР-служба, репродуктивна служба, щелепно-лицьова служба, служба реабілітації, зокрема новонароджених, паліативна служба).</w:t>
      </w:r>
    </w:p>
    <w:p w14:paraId="2FE6B41A" w14:textId="0CF46FE9" w:rsidR="00471728" w:rsidRDefault="00471728">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p>
    <w:p w14:paraId="1875F911" w14:textId="70618511" w:rsidR="00772EDE" w:rsidRDefault="00772EDE">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p>
    <w:p w14:paraId="683AD549" w14:textId="77777777" w:rsidR="00772EDE" w:rsidRDefault="00772EDE">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p>
    <w:p w14:paraId="2FE6B41B" w14:textId="77777777" w:rsidR="00471728" w:rsidRDefault="006415EC">
      <w:pPr>
        <w:spacing w:after="0" w:line="360" w:lineRule="auto"/>
        <w:ind w:firstLine="709"/>
        <w:jc w:val="both"/>
        <w:rPr>
          <w:rFonts w:ascii="Times New Roman" w:eastAsia="Arial" w:hAnsi="Times New Roman" w:cs="Times New Roman"/>
          <w:b/>
          <w:sz w:val="28"/>
          <w:szCs w:val="28"/>
        </w:rPr>
      </w:pPr>
      <w:r>
        <w:rPr>
          <w:rFonts w:ascii="Times New Roman" w:eastAsia="Arial" w:hAnsi="Times New Roman" w:cs="Times New Roman"/>
          <w:b/>
          <w:sz w:val="28"/>
          <w:szCs w:val="28"/>
        </w:rPr>
        <w:lastRenderedPageBreak/>
        <w:t>Висновок до розділу 2</w:t>
      </w:r>
    </w:p>
    <w:p w14:paraId="5E119E20" w14:textId="12AD2220"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Дослідження системи управління медичним закладом здійснено на прикладі Комунального некомерційного підприємства «Міська клінічна лікарня №10» Одеської міської ради, що набуває свій розвиток як кластерна опорна багатопрофільна лікарня інтенсивного лікування. Сьогодні лікарня представляє собою заклад, спроможний надавати 15 сервісів.</w:t>
      </w:r>
    </w:p>
    <w:p w14:paraId="64EC2C48"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Організація управління КНП «МКЛ №10 ОМР визначається через його певну місію, цілі та завдання.</w:t>
      </w:r>
    </w:p>
    <w:p w14:paraId="536BAD42"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Виходячи з місії та цінностей КНП «МКЛ №10» ОМР, основними стратегічними напрямками діяльності є:</w:t>
      </w:r>
    </w:p>
    <w:p w14:paraId="64E2946A"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забезпечення фінансової стабільності та стійкості закладу;</w:t>
      </w:r>
    </w:p>
    <w:p w14:paraId="6364A5BC"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 забезпечення доступності та якості медичних послуг; </w:t>
      </w:r>
    </w:p>
    <w:p w14:paraId="27370779"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формування та розвиток команди висококваліфікованих кадрів;</w:t>
      </w:r>
    </w:p>
    <w:p w14:paraId="05266F33"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забезпечення ефективного менеджменту, зокрема контролю якості надання медичних послуг.</w:t>
      </w:r>
    </w:p>
    <w:p w14:paraId="2E849A85"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Водночас саме у сфері охорони здоров’я виняткове значення мають комунікації, оскільки ефективне використання комунікаційних інструментів сприяє досягненню низки ключових цілей.</w:t>
      </w:r>
      <w:r w:rsidRPr="00300158">
        <w:rPr>
          <w:rFonts w:ascii="Arial" w:eastAsia="Arial" w:hAnsi="Arial" w:cs="Times New Roman"/>
        </w:rPr>
        <w:t xml:space="preserve"> </w:t>
      </w:r>
      <w:r w:rsidRPr="00300158">
        <w:rPr>
          <w:rFonts w:ascii="Times New Roman" w:eastAsia="Arial" w:hAnsi="Times New Roman" w:cs="Times New Roman"/>
          <w:sz w:val="28"/>
          <w:szCs w:val="28"/>
        </w:rPr>
        <w:t>З метою створення належної комунікаційної стратегії КНП «МКЛ №10» ОМР та впровадження ефективних заходів у закладі створено відділ безпеки, безпеки інформації та комунікацій, який підпорядкований заступнику генерального директора з розвитку та загальних питань.</w:t>
      </w:r>
    </w:p>
    <w:p w14:paraId="3028B37D"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У закладі впроваджено цілісну систему управління та контролю якості й безпеки медичної діяльності, побудовану відповідно до вимог чинного законодавства. Її функціонування ґрунтується на безперервному моніторингу індикаторів і критеріїв, що відображають доступність, якість та безпечність медичної допомоги за відповідними напрямами. Такий підхід забезпечує ефективне управління процесами у КНП «МКЛ №10» ОМР і гарантує пацієнтам отримання медичної допомоги належного обсягу та високої якості.</w:t>
      </w:r>
    </w:p>
    <w:p w14:paraId="247A8DB7"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lastRenderedPageBreak/>
        <w:t>КНП «МКЛ №10» ОМР надає медичну допомогу постраждалим внаслідок військової агресії Російської Федерації проти України.</w:t>
      </w:r>
      <w:r w:rsidRPr="00300158">
        <w:rPr>
          <w:rFonts w:ascii="Arial" w:eastAsia="Arial" w:hAnsi="Arial" w:cs="Times New Roman"/>
        </w:rPr>
        <w:t xml:space="preserve"> </w:t>
      </w:r>
      <w:r w:rsidRPr="00300158">
        <w:rPr>
          <w:rFonts w:ascii="Times New Roman" w:eastAsia="Arial" w:hAnsi="Times New Roman" w:cs="Times New Roman"/>
          <w:sz w:val="28"/>
          <w:szCs w:val="28"/>
        </w:rPr>
        <w:t xml:space="preserve">Станом на теперішній час у КНП «МКЛ №10» ОМР проліковано більше 3000 пацієнтів - військовослужбовців ЗСУ. </w:t>
      </w:r>
    </w:p>
    <w:p w14:paraId="0C9B6E04"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Для оперативного реагування при надзвичайних станах у КНП «МКЛ №10» розроблено план реагування на надзвичайні стани, проведені тренінги з навчання персоналу при масовому надходженні, правила поводження персоналу у разі об’явлення сигналу «Повітряна тривога». </w:t>
      </w:r>
    </w:p>
    <w:p w14:paraId="41D83C56"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Заклад підготовлено до функціонування в умовах режиму воєнного стану: створені найпростіші укриття в підвальних приміщеннях корпусу літ. «П» та «Е» та «Д» задля забезпечення належних умов перебування пацієнтів та персоналу під час сигналів повітряної тривоги, створені умови у разі необхідності проведення оперативної діяльності та лікувально-діагностичних заходів під час перебування в укриттях, у разі довготривалого відключення від енергоресурсу та блекаутів на території лікарень Одеської територіальної громади проведено роботи з влаштування джерел артезіанського водопостачання.</w:t>
      </w:r>
    </w:p>
    <w:p w14:paraId="1F8F8184"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Оцінка основних показників діяльності КНП «МКЛ №10» ОМР та напрями його подальшого розвитку здійснена за допомогою SWOT-аналізу, який дозволяє визначити сильні та слабкі сторони закладу, а також наявні можливості й потенційні загрози.</w:t>
      </w:r>
    </w:p>
    <w:p w14:paraId="5F68695C"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Аналіз основних виробничих показників закладу дозволив дійти висновку про позитивну динаміку напруженості виробничої діяльності, зокрема щорічну тенденцію щодо збільшення кількості госпіталізованих пацієнтів, оптимізацію середнього ліжко-дня та госпітальну летальність, збільшення кількості та видів діагностичних та ургентних і планових втручань тощо, що прогнозовано збільшує кількість лікувальних епізодів та виконання договорів з НСЗУ, і, відповідно, фінансування закладу.</w:t>
      </w:r>
    </w:p>
    <w:p w14:paraId="439EE868"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Комунальне некомерційне підприємство «Міська клінічна лікарня №10» Одеської міської ради уклало договір з Національною Службою Здоров’я </w:t>
      </w:r>
      <w:r w:rsidRPr="00300158">
        <w:rPr>
          <w:rFonts w:ascii="Times New Roman" w:eastAsia="Arial" w:hAnsi="Times New Roman" w:cs="Times New Roman"/>
          <w:sz w:val="28"/>
          <w:szCs w:val="28"/>
        </w:rPr>
        <w:lastRenderedPageBreak/>
        <w:t>України про медичне обслуговування населення за програмою державних гарантій. Протягом 2025 року у закладі надаються безкоштовні медичні послуги згідно умов, специфікації та вимог програми державних гарантій за наступними напрямками</w:t>
      </w:r>
    </w:p>
    <w:p w14:paraId="4246AC88"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Завдяки організаційно-управлінським рішенням та ефективному менеджменту КНП «МКЛ №10» ОМР має потенціал та можливості розвитку як кластерна лікарня - багатопрофільний опорний заклад охорони здоров’я на принципах організації спроможної мережі спеціалізованих медичних закладів, зокрема з організації медичної допомоги у надзвичайних станах та масовому надходженні пацієнтів, в т.ч. медичної допомоги постраждалих внаслідок військової агресії російської федерації проти України.</w:t>
      </w:r>
    </w:p>
    <w:p w14:paraId="2C55B393"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Таким чином, ефективні організаційно-управлінські технологічної рішення керівництва КНП «МКЛ №10» ОМР дозволили досягнути вимог лікарні інтенсивного лікування - опорного закладу госпітального округу Одеської області. Проте, щодо відповідності вимогам кластерної лікарні, необхідні наступні заходи: </w:t>
      </w:r>
    </w:p>
    <w:p w14:paraId="6ED6E3E5"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 впровадження перинатальної служби закладу; </w:t>
      </w:r>
    </w:p>
    <w:p w14:paraId="44F1ABB2"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розвиток надання медичної допомоги пацієнтам дитячого віку;</w:t>
      </w:r>
    </w:p>
    <w:p w14:paraId="0654ADE6"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 посилення реабілітаційної служби закладу; </w:t>
      </w:r>
    </w:p>
    <w:p w14:paraId="79A0090C"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 посилення паліативної служби закладу; </w:t>
      </w:r>
    </w:p>
    <w:p w14:paraId="0B880FEB"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встановлення відповідності служб до сучасних медико-технологічних стандартів (лабораторна служба, гістологічна служба, мікробіологічна служба);</w:t>
      </w:r>
    </w:p>
    <w:p w14:paraId="7DD755E7"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впровадження нових та розвиток щойно створених служб, їх медико- технологічних стратегій (офтальмологічна служба, ЛОР-служба, репродуктивна служба, щелепно-лицьова служба, служба реабілітації, зокрема новонароджених, паліативна служба).</w:t>
      </w:r>
    </w:p>
    <w:p w14:paraId="49076D36" w14:textId="77777777" w:rsidR="00300158" w:rsidRPr="00300158" w:rsidRDefault="00300158" w:rsidP="00300158">
      <w:pPr>
        <w:widowControl w:val="0"/>
        <w:spacing w:after="0" w:line="240" w:lineRule="auto"/>
        <w:rPr>
          <w:rFonts w:ascii="Microsoft YaHei" w:eastAsia="Microsoft YaHei" w:hAnsi="Microsoft YaHei" w:cs="Microsoft YaHei"/>
          <w:color w:val="000000"/>
          <w:sz w:val="24"/>
          <w:szCs w:val="24"/>
          <w:lang w:eastAsia="uk-UA" w:bidi="uk-UA"/>
        </w:rPr>
      </w:pPr>
    </w:p>
    <w:p w14:paraId="2FE6B42E" w14:textId="77777777" w:rsidR="00471728" w:rsidRDefault="00471728">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p>
    <w:p w14:paraId="2FE6B42F" w14:textId="5A36B771" w:rsidR="00471728" w:rsidRDefault="00471728">
      <w:pPr>
        <w:widowControl w:val="0"/>
        <w:tabs>
          <w:tab w:val="left" w:pos="993"/>
        </w:tabs>
        <w:spacing w:after="0" w:line="360" w:lineRule="auto"/>
        <w:ind w:firstLine="709"/>
        <w:contextualSpacing/>
        <w:jc w:val="both"/>
        <w:rPr>
          <w:rFonts w:ascii="Times New Roman" w:eastAsia="Microsoft YaHei" w:hAnsi="Times New Roman" w:cs="Times New Roman"/>
          <w:color w:val="000000"/>
          <w:sz w:val="28"/>
          <w:szCs w:val="28"/>
          <w:lang w:eastAsia="uk-UA" w:bidi="uk-UA"/>
        </w:rPr>
      </w:pPr>
    </w:p>
    <w:p w14:paraId="2FE6B431" w14:textId="77777777" w:rsidR="00471728" w:rsidRDefault="006415EC">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jc w:val="center"/>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lastRenderedPageBreak/>
        <w:t xml:space="preserve">РОЗДІЛ 3 </w:t>
      </w:r>
    </w:p>
    <w:p w14:paraId="2FE6B432" w14:textId="77777777" w:rsidR="00471728" w:rsidRDefault="006415EC">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jc w:val="center"/>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t xml:space="preserve">УДОСКОНАЛЕННЯ СИСТЕМИ УПРАВЛІНСЬКИХ РІШЕНЬ У ДІЯЛЬНОСТІ ТА СТРАТЕГІЧНОМУ РОЗВИТКУ </w:t>
      </w:r>
    </w:p>
    <w:p w14:paraId="2FE6B433" w14:textId="77777777" w:rsidR="00471728" w:rsidRDefault="006415EC">
      <w:pPr>
        <w:widowControl w:val="0"/>
        <w:pBdr>
          <w:top w:val="none" w:sz="4" w:space="0" w:color="000000"/>
          <w:left w:val="none" w:sz="4" w:space="0" w:color="000000"/>
          <w:bottom w:val="none" w:sz="4" w:space="0" w:color="000000"/>
          <w:right w:val="none" w:sz="4" w:space="0" w:color="000000"/>
          <w:between w:val="none" w:sz="4" w:space="0" w:color="000000"/>
        </w:pBdr>
        <w:tabs>
          <w:tab w:val="left" w:pos="1134"/>
        </w:tabs>
        <w:spacing w:after="0" w:line="360" w:lineRule="auto"/>
        <w:jc w:val="center"/>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t xml:space="preserve">КНП </w:t>
      </w:r>
      <w:r>
        <w:rPr>
          <w:rFonts w:ascii="Times New Roman" w:eastAsia="Times New Roman" w:hAnsi="Times New Roman" w:cs="Times New Roman"/>
          <w:b/>
          <w:bCs/>
          <w:color w:val="000000"/>
          <w:sz w:val="28"/>
          <w:szCs w:val="28"/>
          <w:lang w:val="ru-RU" w:eastAsia="uk-UA" w:bidi="uk-UA"/>
        </w:rPr>
        <w:t>«</w:t>
      </w:r>
      <w:r>
        <w:rPr>
          <w:rFonts w:ascii="Times New Roman" w:eastAsia="Times New Roman" w:hAnsi="Times New Roman" w:cs="Times New Roman"/>
          <w:b/>
          <w:bCs/>
          <w:color w:val="000000"/>
          <w:sz w:val="28"/>
          <w:szCs w:val="28"/>
          <w:lang w:eastAsia="uk-UA" w:bidi="uk-UA"/>
        </w:rPr>
        <w:t>МКЛ №10» ОМР</w:t>
      </w:r>
    </w:p>
    <w:p w14:paraId="2FE6B434" w14:textId="77777777" w:rsidR="00471728" w:rsidRDefault="00471728">
      <w:pPr>
        <w:keepNext/>
        <w:keepLines/>
        <w:widowControl w:val="0"/>
        <w:pBdr>
          <w:top w:val="none" w:sz="4" w:space="0" w:color="000000"/>
          <w:left w:val="none" w:sz="4" w:space="0" w:color="000000"/>
          <w:bottom w:val="none" w:sz="4" w:space="0" w:color="000000"/>
          <w:right w:val="none" w:sz="4" w:space="0" w:color="000000"/>
          <w:between w:val="none" w:sz="4" w:space="0" w:color="000000"/>
        </w:pBdr>
        <w:tabs>
          <w:tab w:val="left" w:pos="536"/>
        </w:tabs>
        <w:spacing w:after="0" w:line="360" w:lineRule="auto"/>
        <w:ind w:firstLine="709"/>
        <w:jc w:val="both"/>
        <w:outlineLvl w:val="2"/>
        <w:rPr>
          <w:rFonts w:ascii="Times New Roman" w:eastAsia="Times New Roman" w:hAnsi="Times New Roman" w:cs="Times New Roman"/>
          <w:b/>
          <w:bCs/>
          <w:color w:val="000000"/>
          <w:sz w:val="28"/>
          <w:szCs w:val="28"/>
          <w:lang w:eastAsia="uk-UA" w:bidi="uk-UA"/>
        </w:rPr>
      </w:pPr>
    </w:p>
    <w:p w14:paraId="02F5D100" w14:textId="3F558781" w:rsidR="006507D0" w:rsidRDefault="006D2299" w:rsidP="006507D0">
      <w:pPr>
        <w:widowControl w:val="0"/>
        <w:spacing w:after="0" w:line="360" w:lineRule="auto"/>
        <w:ind w:firstLine="709"/>
        <w:jc w:val="both"/>
        <w:rPr>
          <w:rFonts w:ascii="Times New Roman" w:eastAsia="Microsoft YaHei" w:hAnsi="Times New Roman" w:cs="Times New Roman"/>
          <w:b/>
          <w:bCs/>
          <w:color w:val="000000"/>
          <w:sz w:val="28"/>
          <w:szCs w:val="28"/>
          <w:lang w:eastAsia="uk-UA" w:bidi="uk-UA"/>
        </w:rPr>
      </w:pPr>
      <w:r>
        <w:rPr>
          <w:rFonts w:ascii="Times New Roman" w:eastAsia="Microsoft YaHei" w:hAnsi="Times New Roman" w:cs="Times New Roman"/>
          <w:b/>
          <w:color w:val="000000"/>
          <w:sz w:val="28"/>
          <w:szCs w:val="28"/>
          <w:lang w:eastAsia="uk-UA" w:bidi="uk-UA"/>
        </w:rPr>
        <w:t>3</w:t>
      </w:r>
      <w:r w:rsidR="006507D0">
        <w:rPr>
          <w:rFonts w:ascii="Times New Roman" w:eastAsia="Microsoft YaHei" w:hAnsi="Times New Roman" w:cs="Times New Roman"/>
          <w:b/>
          <w:color w:val="000000"/>
          <w:sz w:val="28"/>
          <w:szCs w:val="28"/>
          <w:lang w:eastAsia="uk-UA" w:bidi="uk-UA"/>
        </w:rPr>
        <w:t xml:space="preserve">.1. </w:t>
      </w:r>
      <w:r w:rsidR="00772EDE" w:rsidRPr="00772EDE">
        <w:rPr>
          <w:rFonts w:ascii="Times New Roman" w:eastAsia="Microsoft YaHei" w:hAnsi="Times New Roman" w:cs="Times New Roman"/>
          <w:b/>
          <w:color w:val="000000"/>
          <w:sz w:val="28"/>
          <w:szCs w:val="28"/>
          <w:lang w:eastAsia="uk-UA" w:bidi="uk-UA"/>
        </w:rPr>
        <w:t>Роль управлінських компетенцій керівника у формуванні та реалізації дієвих рішень в діяльності закладу охорони здоров’я</w:t>
      </w:r>
    </w:p>
    <w:p w14:paraId="2B5F8DD2"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Ухвалення рішення асоціюється, перш за все, із проблемною ситуацією. Вміння розпізнавати та вирішувати організаційні проблеми у керівника медичного закладу розвивається із набуттям професійного досвіду. Ефективне управлінське рішення - це поєднання професіоналізму керівника та мистецтва управлінця.</w:t>
      </w:r>
    </w:p>
    <w:p w14:paraId="0BD07A33" w14:textId="4600B69C"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У діяльності сучасного керівника функції управління (планування, організація, мотивація та контроль) тісно пов’язані між собою, причому кожна пов’язана з необхідністю приймати рішення на користь досягнення цілей, що стоять перед закладом. Засоби комунікації дозволяють використовувати отриману інформацію для прийняття рішень, щоб потім у доступній формі довести її до виконавців </w:t>
      </w:r>
      <w:r>
        <w:rPr>
          <w:rFonts w:ascii="Times New Roman" w:eastAsia="Microsoft YaHei" w:hAnsi="Times New Roman" w:cs="Times New Roman"/>
          <w:color w:val="000000"/>
          <w:sz w:val="28"/>
          <w:szCs w:val="28"/>
          <w:lang w:val="en-US" w:eastAsia="uk-UA" w:bidi="uk-UA"/>
        </w:rPr>
        <w:t>[</w:t>
      </w:r>
      <w:r w:rsidR="00492A6F">
        <w:rPr>
          <w:rFonts w:ascii="Times New Roman" w:eastAsia="Microsoft YaHei" w:hAnsi="Times New Roman" w:cs="Times New Roman"/>
          <w:color w:val="000000"/>
          <w:sz w:val="28"/>
          <w:szCs w:val="28"/>
          <w:lang w:eastAsia="uk-UA" w:bidi="uk-UA"/>
        </w:rPr>
        <w:t>36</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57ECB6E4"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Рішення приймають люди, а їм властиво помилятися. Відповідальність за ухвалення важливих організаційних рішень - важкий моральний тягар.</w:t>
      </w:r>
    </w:p>
    <w:p w14:paraId="2F3123CB"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Управлінські рішення характеризуються масштабністю (охоплюють широке коло людей), психологічною специфікою та фінансовими наслідками.</w:t>
      </w:r>
    </w:p>
    <w:p w14:paraId="0B36E9DB" w14:textId="20019BF0"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Керівник, виступаючи від представників медичного закладу, структурного підрозділу, робить вибір у їхніх інтересах. Він не має права приймати непродумані рішення. Китайська мудрість говорить: «Бездарне управління призвело до краху сотні організацій. Невміння керівників приймати рішення згубно». Маючи інформацію (предмет праці), керівник приймає управлінські рішення, його знання, уміння та досвід (засіб праці) допомагають не допустити помилки. Управлінські рішення (продукт праці) - це результат аналітичного, прогностичного та економічного обґрунтування, </w:t>
      </w:r>
      <w:r>
        <w:rPr>
          <w:rFonts w:ascii="Times New Roman" w:eastAsia="Microsoft YaHei" w:hAnsi="Times New Roman" w:cs="Times New Roman"/>
          <w:color w:val="000000"/>
          <w:sz w:val="28"/>
          <w:szCs w:val="28"/>
          <w:lang w:eastAsia="uk-UA" w:bidi="uk-UA"/>
        </w:rPr>
        <w:lastRenderedPageBreak/>
        <w:t>що передбачає вибір оптимального варіанта з кількох можливих для досягнення визначеної мети. Для керівника будь-якого рангу прийняття управлінського рішення є основним видом «продукції», кінцевим результатом його діяльності та важливою складовою мистецтва керувати колективом</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37</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54B6387F"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Управлінське рішення - це розгорнутий у часі вольовий, логіко-мисленнєвий, емоційно-психологічний та правовий акт, здійснений у межах посадових повноважень, суть якого зводиться до вибору оптимального варіанта вирішення з кількох можливих. Управлінські рішення формують вигляд та порядок впливу суб’єкта на об’єкт управління (система, організація, структурний підрозділ, людина - виконавець), визначають порядок їхньої взаємодії для досягнення практичних результатів. Рішення керівника охоплюють усі напрямки діяльності медичного закладу та мають кілька аспектів:</w:t>
      </w:r>
    </w:p>
    <w:p w14:paraId="6DA233FB"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правовий (полягає у дотриманні правових норм при його підготовці, прийнятті та реалізації, наданні форми нормативного акту, розподілі відповідальності за виконання);</w:t>
      </w:r>
    </w:p>
    <w:p w14:paraId="02B107D8"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організаційний (делегування повноважень, локалізація та усунення конфліктів);</w:t>
      </w:r>
    </w:p>
    <w:p w14:paraId="5C868D0F"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економічний (ефективність використання) всіх видів ресурсів, матеріальна зацікавленість персоналу);</w:t>
      </w:r>
    </w:p>
    <w:p w14:paraId="30DE5D02"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соціальний (якість трудової діяльності, система участі в управлінні);</w:t>
      </w:r>
    </w:p>
    <w:p w14:paraId="5DA2D710"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психологічний (охоплює ділові якості керівника та психологічний склад особистості підлеглих, соціально-психологічний клімат у медичному закладі, готовність персоналу до нововведень);</w:t>
      </w:r>
    </w:p>
    <w:p w14:paraId="4B2169A3" w14:textId="0E0C86E9"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педагогічний (містить виховний компонент управлінського рішення, сприяє зростанню професійного рівня медичних працівників, формування корпоративної культури за допомогою позитивних моральних настанов)</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38</w:t>
      </w:r>
      <w:r>
        <w:rPr>
          <w:rFonts w:ascii="Times New Roman" w:eastAsia="Microsoft YaHei" w:hAnsi="Times New Roman" w:cs="Times New Roman"/>
          <w:color w:val="000000"/>
          <w:sz w:val="28"/>
          <w:szCs w:val="28"/>
          <w:lang w:eastAsia="uk-UA" w:bidi="uk-UA"/>
        </w:rPr>
        <w:t>, с. 33</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5BDE7079" w14:textId="58C6067E"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Сучасна система управління медичним закладом, в основі якої покладено принцип скалярності, представлена ​​трьома ієрархічними рівнями </w:t>
      </w:r>
      <w:r>
        <w:rPr>
          <w:rFonts w:ascii="Times New Roman" w:eastAsia="Microsoft YaHei" w:hAnsi="Times New Roman" w:cs="Times New Roman"/>
          <w:color w:val="000000"/>
          <w:sz w:val="28"/>
          <w:szCs w:val="28"/>
          <w:lang w:eastAsia="uk-UA" w:bidi="uk-UA"/>
        </w:rPr>
        <w:lastRenderedPageBreak/>
        <w:t>(горизонтальний поділ праці). Необхідність формування трирівневої системи управління обумовлена ​​великим обсягом, багатоаспектністю та складністю роботи з управління. Високий рівень ухвалення рішень дозволить врахувати інтереси всіх сторін. Якість та цінність управлінського рішення в медичному закладі визначаються станом культури трудових, суспільних та людських відносин, етичних цінностей</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39</w:t>
      </w:r>
      <w:r>
        <w:rPr>
          <w:rFonts w:ascii="Times New Roman" w:eastAsia="Microsoft YaHei" w:hAnsi="Times New Roman" w:cs="Times New Roman"/>
          <w:color w:val="000000"/>
          <w:sz w:val="28"/>
          <w:szCs w:val="28"/>
          <w:lang w:eastAsia="uk-UA" w:bidi="uk-UA"/>
        </w:rPr>
        <w:t>, с. 38</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7F8DBF20" w14:textId="1F51083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Для управлінського рішення властива майбутність (стосується часу впливу та перспектив прийнятого рішення), періодичність (характеризує частоту або її рідкість (унікальність)); оборотність (показник, наскільки швидко і просто його скасувати). Рішення, що характеризуються високою періодичністю, оборотністю, досить вузькою спрямованістю та короткостроковою перспективою, приймаються на низьких ієрархічних рівнях управління; рідкісні, унікальні, цінні, перспективні, що зачіпають багато видів та напрямки діяльності медичного закладу, складно оборотні - на найвищому рівні. Процес прийняття рішень визначає дієвість управління, ефективність подолання виникаючих труднощів, розподілу ресурсів та досягнення організаційних цілей. Знання, досвід, вміння та навички з виявлення організаційних проблем, розроблення та прийняття управлінських рішень, їх реалізації та постановки питань контролю багато в чому визначають ефективність закладу з досягнення цілей </w:t>
      </w:r>
      <w:r>
        <w:rPr>
          <w:rFonts w:ascii="Times New Roman" w:eastAsia="Microsoft YaHei" w:hAnsi="Times New Roman" w:cs="Times New Roman"/>
          <w:color w:val="000000"/>
          <w:sz w:val="28"/>
          <w:szCs w:val="28"/>
          <w:lang w:val="en-US" w:eastAsia="uk-UA" w:bidi="uk-UA"/>
        </w:rPr>
        <w:t>[</w:t>
      </w:r>
      <w:r w:rsidR="00492A6F">
        <w:rPr>
          <w:rFonts w:ascii="Times New Roman" w:eastAsia="Microsoft YaHei" w:hAnsi="Times New Roman" w:cs="Times New Roman"/>
          <w:color w:val="000000"/>
          <w:sz w:val="28"/>
          <w:szCs w:val="28"/>
          <w:lang w:eastAsia="uk-UA" w:bidi="uk-UA"/>
        </w:rPr>
        <w:t>40</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7BEA2169"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Призначення на керівну посаду - унікальна можливість організації використовувати особистісні особливості керівника найбільш ефективно для досягнення своєї мети. В ідеалі має бути обрана людина, яка може краще за інших виконати доручену роботу. Недооцінка об’єктивних якостей особистості призводить до помилкового висунення людей на керівні пости, що обертається матеріальними та моральними витратами.</w:t>
      </w:r>
    </w:p>
    <w:p w14:paraId="6010C3D6"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Вибір управлінського рішення неоднозначний, багато в чому залежить від особливостей «особистісного профілю» (сукупність якостей людини), менталітету, культурних відмінностей, що формує переваги у процесі управління різних країнах.</w:t>
      </w:r>
    </w:p>
    <w:p w14:paraId="7E35CAF8" w14:textId="3EC71C94"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lastRenderedPageBreak/>
        <w:t>Індивідуалізм, «жорсткий» підхід до прийняття та ухвалення управлінських рішень характерний для країн пострадянського простору, Західної Європи, США. Одностайність, беззастережна підтримка прийнятого рішення - спадщина радянської доби в управлінні. Переважання колективного підходу, групових форм прийняття рішень, пошук глибинних причин проблеми властивий для країн Азії (Японія)</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41</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70B89150"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За результатами дослідження останніх років, ефективність управлінських рішень залежить від психосоціотипу, статі та віку керівника. Індивідуальні, розумові особливості, вік та стать управлінця впливають на тип прийняття рішень в умовах визначеності, невизначеності та ризику. Від особистісної системи цінностей залежить поведінка та дії керівника медичного закладу, безпосередній вплив на характер прийнятих ним рішень. «Організаційна культура» керівника визначає якісну характеристику управлінського рішення: залучення всіх працівників до системи цінностей закладу з урахуванням корпоративного духу. Управлінські творчі здібності - це вміння розробляти та приймати оригінальні рішення, тісно пов’язані з особливостями розумово-інтелектуальної діяльності.</w:t>
      </w:r>
    </w:p>
    <w:p w14:paraId="73ABA8C3" w14:textId="2A535288"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Індивідуальне мислення покликане забезпечити ефективність прийнятих рішень. Швидкість, оригінальність, глибина, гнучкість розвиваються у процесі накопичення професійного управлінського досвіду. Вміння доводити розпочату справу до кінця, психологічний стан, поведінкові обмеження особистісного характеру (ставлення до ризику, здатність до передбачення, вміння впливати на інших людей та співпрацювати з ними) є важливими характеристиками індивіда, покликаного приймати управлінські рішення. Освіта є одним із основних факторів, що характеризують особливості процесу прийняття рішень конкретним керівником</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42</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1B76470A"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Успіх діяльності медичного закладу залежить від досвіду керівника (теоретичні знання, життєвий досвід, стереотипи, стандарти, що виправдали себе у минулому). У досвідченіших управлінців, стаж роботи яких понад 10 років, готовність до прийняття рішень в умовах ризику нижче, ніж у </w:t>
      </w:r>
      <w:r>
        <w:rPr>
          <w:rFonts w:ascii="Times New Roman" w:eastAsia="Microsoft YaHei" w:hAnsi="Times New Roman" w:cs="Times New Roman"/>
          <w:color w:val="000000"/>
          <w:sz w:val="28"/>
          <w:szCs w:val="28"/>
          <w:lang w:eastAsia="uk-UA" w:bidi="uk-UA"/>
        </w:rPr>
        <w:lastRenderedPageBreak/>
        <w:t>працівників із меншим стажем. Ефективність управлінських рішень значною мірою визначається управлінськими здібностями: вмінням впливати інших людей, розподіляти роботу.</w:t>
      </w:r>
    </w:p>
    <w:p w14:paraId="23900A66" w14:textId="588EC676"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Наявність та рівень діагностичних можливостей керівника закладу охорони здоров’я дозволяють глибоко пізнати стан справ у медичному закладі, всебічно, системно бачити та оцінювати проблемну ситуацію. Індивідуальна управлінська позиція як поєднання життєвого та ділового досвіду визначає основні ідеї та цілі діяльності керівника, шляхи досягнення та ступінь наполегливості в їх реалізації. Наявність та особливості управлінської позиції мають на увазі особисту зрілість людини, здатність прийняти відповідальність не лише за себе, а й за дії своїх підлеглих</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43</w:t>
      </w:r>
      <w:r>
        <w:rPr>
          <w:rFonts w:ascii="Times New Roman" w:eastAsia="Microsoft YaHei" w:hAnsi="Times New Roman" w:cs="Times New Roman"/>
          <w:color w:val="000000"/>
          <w:sz w:val="28"/>
          <w:szCs w:val="28"/>
          <w:lang w:eastAsia="uk-UA" w:bidi="uk-UA"/>
        </w:rPr>
        <w:t>, с. 92</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67EBB4A2"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Таким чином, особистісний профіль керівника трансформується у особистісний профіль рішення.</w:t>
      </w:r>
    </w:p>
    <w:p w14:paraId="587D92ED"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Дослідження останніх десятиліть дозволили виявити 4 стилі прийняття рішень:</w:t>
      </w:r>
    </w:p>
    <w:p w14:paraId="647A7366"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директивний стиль характерний для керівників, які надають перевагу простим і чітким рішенням, вони діють раціонально та продуктивно, орієнтуючись на встановлені правила й процедури, уникають надлишку інформації, приймають рішення швидко та зазвичай розглядають лише одну-дві альтернативи;</w:t>
      </w:r>
    </w:p>
    <w:p w14:paraId="48AA0013"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аналітичний стиль (властивий для управлінців, які віддають перевагу комплексним рішенням, що базуються на максимальному обсязі інформації, яка передбачає створення альтернатив та пошук найкращого рішення з урахуванням отриманих відомостей);</w:t>
      </w:r>
    </w:p>
    <w:p w14:paraId="3CD1A195"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концептуальний стиль (воліють творчим керівникам, які часто використовують інформацію, що надходить від інших людей та з управлінських систем, розглядають досить багато різнопланових альтернатив);</w:t>
      </w:r>
    </w:p>
    <w:p w14:paraId="5130B24F" w14:textId="08DB4A4E"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 поведінковий стиль (характерний для управлінців, які піклуються про інших людей, їх особистісний розвиток, воліють поговорити зі </w:t>
      </w:r>
      <w:r>
        <w:rPr>
          <w:rFonts w:ascii="Times New Roman" w:eastAsia="Microsoft YaHei" w:hAnsi="Times New Roman" w:cs="Times New Roman"/>
          <w:color w:val="000000"/>
          <w:sz w:val="28"/>
          <w:szCs w:val="28"/>
          <w:lang w:eastAsia="uk-UA" w:bidi="uk-UA"/>
        </w:rPr>
        <w:lastRenderedPageBreak/>
        <w:t>співробітниками віч-на-віч, щоб зрозуміти їхнє ставлення до проблеми та визначити результативність до конкретного варіанта рішення</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44</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54357117"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Виявлення управлінської проблеми є найважливішим етапом управлінського рішення. Умовно управлінські проблеми можна поділити на три категорії.</w:t>
      </w:r>
    </w:p>
    <w:p w14:paraId="21406AE1"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Перша категорія проблем представлена ​​усілякими відхиленнями від запланованої норми (іншими словами, дефектами діяльності), виявленими у процесі контролю. Усунення цього типу проблем становить суть реактивного управління.</w:t>
      </w:r>
    </w:p>
    <w:p w14:paraId="3F510651"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Другу категорію проблем представлено ситуаціями ймовірного ризику, загрози; рішення такого роду проблем належить до активного (оперативного) управління.</w:t>
      </w:r>
    </w:p>
    <w:p w14:paraId="226C1D55" w14:textId="129DD501"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І, нарешті, третій тип управлінських проблем - це ситуації потенційної можливості. Використання подібних управлінських ситуацій на благо організації становить суть проактивного, чи випереджуючого, управління</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45</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28ADF96E"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Отже, суть вирішуваних проблем становить основу ефективності управління загалом.</w:t>
      </w:r>
    </w:p>
    <w:p w14:paraId="3546C99A"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Оптимальним за умов діяльності керівника медичного закладу, безперечно, є проактивне управління. Тим не менш, можливості його реалізації реально обмежені.</w:t>
      </w:r>
    </w:p>
    <w:p w14:paraId="77B0EE36" w14:textId="2BCFF7FD"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Чинники, що обмежують ефективність управлінського рішення,  можна поділити кілька груп</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46</w:t>
      </w:r>
      <w:r>
        <w:rPr>
          <w:rFonts w:ascii="Times New Roman" w:eastAsia="Microsoft YaHei" w:hAnsi="Times New Roman" w:cs="Times New Roman"/>
          <w:color w:val="000000"/>
          <w:sz w:val="28"/>
          <w:szCs w:val="28"/>
          <w:lang w:eastAsia="uk-UA" w:bidi="uk-UA"/>
        </w:rPr>
        <w:t>, с. 112</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59AF8294"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По-перше, це фактори, пов’язані з особистістю керівника, особливостями його управлінської культури, його поведінковими особливостями (здібностями сприйняти проблему та індивідуальними способами реагувати на неї). У доринкову епоху статусні вимоги керівника медичного закладу відповідали традиційним вимогам фахівців охорони здоров’я. Провідну роль у цих характеристиках займав альтруїзм. В даний час домінантою діяльності керівника закладу охорони здоров</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 xml:space="preserve">я, більшою мірою, ніж керівника іншого профілю, стають економічні чинники. Вони мотивують </w:t>
      </w:r>
      <w:r>
        <w:rPr>
          <w:rFonts w:ascii="Times New Roman" w:eastAsia="Microsoft YaHei" w:hAnsi="Times New Roman" w:cs="Times New Roman"/>
          <w:color w:val="000000"/>
          <w:sz w:val="28"/>
          <w:szCs w:val="28"/>
          <w:lang w:eastAsia="uk-UA" w:bidi="uk-UA"/>
        </w:rPr>
        <w:lastRenderedPageBreak/>
        <w:t>економічну поведінку на шкоду альтруїстичним складником професійного статусу.</w:t>
      </w:r>
    </w:p>
    <w:p w14:paraId="3D31566F" w14:textId="1DDE3ECE"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Процес соціально-економічної диференціації медичних закладів, за якого одні з них процвітають, а інші перебувають на межі банкрутства, актуалізує питання про те, які якості потрібні успішному керівнику закладу охорони здоровся та якими професійними знаннями він повинен володіти, які складові повинні бути обов’язковою базою його управлінської культури</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47</w:t>
      </w:r>
      <w:r>
        <w:rPr>
          <w:rFonts w:ascii="Times New Roman" w:eastAsia="Microsoft YaHei" w:hAnsi="Times New Roman" w:cs="Times New Roman"/>
          <w:color w:val="000000"/>
          <w:sz w:val="28"/>
          <w:szCs w:val="28"/>
          <w:lang w:eastAsia="uk-UA" w:bidi="uk-UA"/>
        </w:rPr>
        <w:t>, с. 498</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28CDC508"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Наймолодшою та найактуальнішою в умовах управління сучасною охороною здоров’я є соціально орієнтована управлінська культура, заснована на гуманістичному компоненті управлінська культура. У той же час, у силу залученості до ринкового середовища та через специфіку діяльності, сучасний керівник медичного закладу має бути не тільки соціально орієнтованим керівником, а й економістом, фахівцем з соціальної роботи, окупаційної терапії, культурно-дозвільної діяльності. Можна припустити, що соціальну роль керівника медичного закладу успішніше виконуватиме професіонал у галузі не медицини, а менеджменту, економіки, соціальної роботи. Проте залучення до професійної діяльності у сфері охорони здоров’я немедиків (менеджерів, економістів та ін.) іноді стає основою потенційної конфліктогенної ситуації, коли в одному соціальному полі діють представники малосумісних професій.</w:t>
      </w:r>
    </w:p>
    <w:p w14:paraId="790C7C2D" w14:textId="7688C901"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По-друге, можливості ефективного управління обмежені внутрішніми чинниками діяльності керівника. Основною проблемою, яка заважає ефективній роботі головних лікарів медичних закладів, є їхня завантаженість фінансовими питаннями. Вона стає професійною детермінантою діяльності на шкоду професійним медичним її складовим, а також впливає на зміну особистості керівника, який постійно перебуває у стані стресу, що спричиняє проблеми у сфері міжособистісної взаємодії, формування ефективного колективу, згуртованої організаційної команди</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48</w:t>
      </w:r>
      <w:r>
        <w:rPr>
          <w:rFonts w:ascii="Times New Roman" w:eastAsia="Microsoft YaHei" w:hAnsi="Times New Roman" w:cs="Times New Roman"/>
          <w:color w:val="000000"/>
          <w:sz w:val="28"/>
          <w:szCs w:val="28"/>
          <w:lang w:eastAsia="uk-UA" w:bidi="uk-UA"/>
        </w:rPr>
        <w:t>, с. 144</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6F04B3FE" w14:textId="289B0A1C"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Має місце парадокс, що присутній у роботі керівника медичного </w:t>
      </w:r>
      <w:r>
        <w:rPr>
          <w:rFonts w:ascii="Times New Roman" w:eastAsia="Microsoft YaHei" w:hAnsi="Times New Roman" w:cs="Times New Roman"/>
          <w:color w:val="000000"/>
          <w:sz w:val="28"/>
          <w:szCs w:val="28"/>
          <w:lang w:eastAsia="uk-UA" w:bidi="uk-UA"/>
        </w:rPr>
        <w:lastRenderedPageBreak/>
        <w:t>закладу. Суть парадоксу полягає в «боротьбі» між альтруїстичною (професійною медичною) та економічною складовими діяльності керівника. Як відомо, професіонал у медицині - завжди альтруїст. Водночас, абсолютизація професійної детермінанти поведінки, пов’язаної з альтруїзмом, може призвести до банкрутства медичного закладу. Однак абсолютизація економічної детермінанти поведінки може призвести до зниження якості медичного обслуговування у медичному закладі, оскільки виключиться альтруїстична компонента. Так, наприклад, керівники деяких медичних закладів, опинившись у важкій фінансовій ситуації, свідомо йдуть на розширення сфери медичних послуг, які нерідко не тільки не сприяють оздоровленню, а й навіть завдають шкоди здоров’ю, внаслідок того, що вони приносять швидкий дохід і мають стабільного споживача</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49</w:t>
      </w:r>
      <w:r>
        <w:rPr>
          <w:rFonts w:ascii="Times New Roman" w:eastAsia="Microsoft YaHei" w:hAnsi="Times New Roman" w:cs="Times New Roman"/>
          <w:color w:val="000000"/>
          <w:sz w:val="28"/>
          <w:szCs w:val="28"/>
          <w:lang w:eastAsia="uk-UA" w:bidi="uk-UA"/>
        </w:rPr>
        <w:t>, с. 233</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227A1BF9"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Обмежуючою дією можливості ефективного управлінського рішення має зовнішнє середовище, що становить умови прийняття рішення. Це можуть бути умови певності (коли керівник точно знає результат кожного з можливих варіантів вибору), умови ризику, що приблизно оцінюється (ймовірність результату кожного рішення можна оцінити з відомою часткою ймовірності), умови невизначеності (невідомості, коли інформації недостатньо для прогнозування рівня ймовірності результатів).</w:t>
      </w:r>
    </w:p>
    <w:p w14:paraId="418FED4F"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І, нарешті, обмежує прийняття рішень взаємозалежність факторів внутрішнього середовища організації, яка становить як об’єкт управління відкриту соціотехнічну систему. Позитивна зміна одного з факторів внутрішнього середовища спричиняє невизначену і навіть негативну зміну інших факторів. Вміння передбачати негативні наслідки рішення та своєчасно оцінити управлінську картину загалом надзвичайно важливе для ефективного управління.</w:t>
      </w:r>
    </w:p>
    <w:p w14:paraId="498FBEF9"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Кожне управлінське рішення обов’язково включає наявність умов вибору тієї чи іншої альтернативи та подальшу реалізацію обраного рішення. Реальна ситуація, як правило, вимагає від керівника значних зусиль щодо організації процесу виконання рішення. У деяких випадках навіть сам цей </w:t>
      </w:r>
      <w:r>
        <w:rPr>
          <w:rFonts w:ascii="Times New Roman" w:eastAsia="Microsoft YaHei" w:hAnsi="Times New Roman" w:cs="Times New Roman"/>
          <w:color w:val="000000"/>
          <w:sz w:val="28"/>
          <w:szCs w:val="28"/>
          <w:lang w:eastAsia="uk-UA" w:bidi="uk-UA"/>
        </w:rPr>
        <w:lastRenderedPageBreak/>
        <w:t>процес потребує планування. Особливу роль процесі реалізації управлінського рішення грають методи доведення прийнятих рішень до виконавців.</w:t>
      </w:r>
    </w:p>
    <w:p w14:paraId="2A9E370B" w14:textId="438C35C0"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Досвід управлінської діяльності свідчить, що недостатня ефективність у донесенні рішень до виконавців зазвичай зумовлена чотирма основними чинниками: недостатньо чітке формулювання рішення; погане слухання з боку виконавця; відсутність у виконавця необхідних для реалізації рішення умов та коштів; відсутність необхідної аргументації рішення із боку керівника, тобто. відсутність у виконавця внутрішньої згоди з цим рішенням</w:t>
      </w:r>
      <w:r>
        <w:rPr>
          <w:rFonts w:ascii="Times New Roman" w:eastAsia="Microsoft YaHei" w:hAnsi="Times New Roman" w:cs="Times New Roman"/>
          <w:color w:val="000000"/>
          <w:sz w:val="28"/>
          <w:szCs w:val="28"/>
          <w:lang w:val="en-US" w:eastAsia="uk-UA" w:bidi="uk-UA"/>
        </w:rPr>
        <w:t xml:space="preserve"> [</w:t>
      </w:r>
      <w:r w:rsidR="00492A6F">
        <w:rPr>
          <w:rFonts w:ascii="Times New Roman" w:eastAsia="Microsoft YaHei" w:hAnsi="Times New Roman" w:cs="Times New Roman"/>
          <w:color w:val="000000"/>
          <w:sz w:val="28"/>
          <w:szCs w:val="28"/>
          <w:lang w:eastAsia="uk-UA" w:bidi="uk-UA"/>
        </w:rPr>
        <w:t>50</w:t>
      </w:r>
      <w:r>
        <w:rPr>
          <w:rFonts w:ascii="Times New Roman" w:eastAsia="Microsoft YaHei" w:hAnsi="Times New Roman" w:cs="Times New Roman"/>
          <w:color w:val="000000"/>
          <w:sz w:val="28"/>
          <w:szCs w:val="28"/>
          <w:lang w:eastAsia="uk-UA" w:bidi="uk-UA"/>
        </w:rPr>
        <w:t>, с. 553</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12B259A5"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Отже, результативність реалізації управлінських рішень безпосередньо визначається рівнем ефективності кадрового менеджменту. У сучасних умовах управління медичною установою провідної ролі набуває такий інструмент управління персоналом, як організаційна культура. Організаційна культура тісно пов’язана з управлінською культурою, і в практиці управління є її визначальним фактором: керівник, створюючи норми та цінності для персоналу, транслює власне розуміння та бачення організаційних проблем.</w:t>
      </w:r>
    </w:p>
    <w:p w14:paraId="5F25CEB4" w14:textId="2C4E0366"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 xml:space="preserve">Проведені дослідження показали, що керівники охорони здоров’я припускаються низки помилок у кадровій роботі. З одного боку, керівники медичних установ визнають значущість людських ресурсів організації та наявність кадрової політики у своїй установі, чітко розуміють її основні цілі та зв’язок зі стратегічним розвитком організації; з іншого – не здатні чітко визначити змістовні складові кадрової політики за основними напрямками кадрової роботи установи. Невисокий рівень управлінської культури керівників ЛПЗ у галузі кадрового менеджменту призводить до відтворення такої кадрової політики, яка стає елементом інерційного механізму діяльності сучасного ЛПЗ. Така ситуація потребує підвищення рівня соціально-психологічної компетентності як однієї з елементів управлінської культури керівників. Управлінська культура керівника доповнюється системою його ціннісно-смислових установок, що визначають характер прийнятих рішень за основними напрямками роботи організації та способами їх практичної реалізації, насамперед щодо політики управління персоналом </w:t>
      </w:r>
      <w:r>
        <w:rPr>
          <w:rFonts w:ascii="Times New Roman" w:eastAsia="Microsoft YaHei" w:hAnsi="Times New Roman" w:cs="Times New Roman"/>
          <w:color w:val="000000"/>
          <w:sz w:val="28"/>
          <w:szCs w:val="28"/>
          <w:lang w:val="en-US" w:eastAsia="uk-UA" w:bidi="uk-UA"/>
        </w:rPr>
        <w:t>[</w:t>
      </w:r>
      <w:r w:rsidR="00492A6F">
        <w:rPr>
          <w:rFonts w:ascii="Times New Roman" w:eastAsia="Microsoft YaHei" w:hAnsi="Times New Roman" w:cs="Times New Roman"/>
          <w:color w:val="000000"/>
          <w:sz w:val="28"/>
          <w:szCs w:val="28"/>
          <w:lang w:eastAsia="uk-UA" w:bidi="uk-UA"/>
        </w:rPr>
        <w:t>51-55</w:t>
      </w:r>
      <w:r>
        <w:rPr>
          <w:rFonts w:ascii="Times New Roman" w:eastAsia="Microsoft YaHei" w:hAnsi="Times New Roman" w:cs="Times New Roman"/>
          <w:color w:val="000000"/>
          <w:sz w:val="28"/>
          <w:szCs w:val="28"/>
          <w:lang w:val="en-US" w:eastAsia="uk-UA" w:bidi="uk-UA"/>
        </w:rPr>
        <w:t>]</w:t>
      </w:r>
      <w:r>
        <w:rPr>
          <w:rFonts w:ascii="Times New Roman" w:eastAsia="Microsoft YaHei" w:hAnsi="Times New Roman" w:cs="Times New Roman"/>
          <w:color w:val="000000"/>
          <w:sz w:val="28"/>
          <w:szCs w:val="28"/>
          <w:lang w:eastAsia="uk-UA" w:bidi="uk-UA"/>
        </w:rPr>
        <w:t>.</w:t>
      </w:r>
    </w:p>
    <w:p w14:paraId="4877BF55"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lastRenderedPageBreak/>
        <w:t>Базисом, у якому формується управлінська культура кожного керівника, є його особиста культура. Найбільш важливими особливостями особистості успішного керівника санаторно-оздоровчої установи, на нашу думку, є такі якості: стратегічний склад розуму; проникливість; комунікативність; високі організаторські можливості; самокритичність. Наявність цих особистісних якостей дає керівнику можливість поєднувати формальну та неформальну владу, коли керівник одночасно є і наділеним офіційними повноваженнями особою, і соціальним лідером, здатним найефективніше направити персонал на досягнення організаційних цілей.</w:t>
      </w:r>
    </w:p>
    <w:p w14:paraId="34F407F5" w14:textId="77777777" w:rsidR="006507D0" w:rsidRDefault="006507D0" w:rsidP="006507D0">
      <w:pPr>
        <w:widowControl w:val="0"/>
        <w:spacing w:after="0" w:line="360" w:lineRule="auto"/>
        <w:ind w:firstLine="709"/>
        <w:jc w:val="both"/>
        <w:rPr>
          <w:rFonts w:ascii="Times New Roman" w:eastAsia="Microsoft YaHei" w:hAnsi="Times New Roman" w:cs="Times New Roman"/>
          <w:color w:val="000000"/>
          <w:sz w:val="28"/>
          <w:szCs w:val="28"/>
          <w:lang w:eastAsia="uk-UA" w:bidi="uk-UA"/>
        </w:rPr>
      </w:pPr>
      <w:r>
        <w:rPr>
          <w:rFonts w:ascii="Times New Roman" w:eastAsia="Microsoft YaHei" w:hAnsi="Times New Roman" w:cs="Times New Roman"/>
          <w:color w:val="000000"/>
          <w:sz w:val="28"/>
          <w:szCs w:val="28"/>
          <w:lang w:eastAsia="uk-UA" w:bidi="uk-UA"/>
        </w:rPr>
        <w:t>Таким чином, складність прийняття та реалізації ефективного управлінського рішення у сучасній охороні здоров’я зростає. Разом з тим, зростає й відповідальність керівників соціальної сфери, зростають вимоги до їхньої управлінської культури. Сприяти вирішенню проблем ефективного управління санаторно-оздоровчими установами може диференціація соціальних ролей менеджера, економіста та лікаря, – іншими словами, цю роботу мають виконувати різні люди. Для забезпечення такої можливості необхідний розвиток системи післядипломної медичної освіти для осіб, які не мають вищої медичної освіти, а також формування системи перекваліфікації осіб, які мають диплом про вищу медичну освіту, економістів та менеджерів охорони здоров’я. Доцільно також створення системи психолого-педагогічної освіти та психологічної підтримки керівників медичних закладів та керівників охорони здоров’я в цілому.</w:t>
      </w:r>
    </w:p>
    <w:p w14:paraId="2FE6B6FC" w14:textId="77777777" w:rsidR="00471728" w:rsidRDefault="00471728">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p>
    <w:p w14:paraId="2FE6B6FD" w14:textId="5BAE355F" w:rsidR="00471728" w:rsidRDefault="006415EC">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b/>
          <w:bCs/>
          <w:color w:val="000000"/>
          <w:sz w:val="28"/>
          <w:szCs w:val="28"/>
          <w:lang w:eastAsia="uk-UA" w:bidi="uk-UA"/>
        </w:rPr>
      </w:pPr>
      <w:r>
        <w:rPr>
          <w:rFonts w:ascii="Times New Roman" w:eastAsia="Times New Roman" w:hAnsi="Times New Roman" w:cs="Times New Roman"/>
          <w:b/>
          <w:bCs/>
          <w:color w:val="000000"/>
          <w:sz w:val="28"/>
          <w:szCs w:val="28"/>
          <w:lang w:eastAsia="uk-UA" w:bidi="uk-UA"/>
        </w:rPr>
        <w:t>3.</w:t>
      </w:r>
      <w:r w:rsidR="00772EDE">
        <w:rPr>
          <w:rFonts w:ascii="Times New Roman" w:eastAsia="Times New Roman" w:hAnsi="Times New Roman" w:cs="Times New Roman"/>
          <w:b/>
          <w:bCs/>
          <w:color w:val="000000"/>
          <w:sz w:val="28"/>
          <w:szCs w:val="28"/>
          <w:lang w:eastAsia="uk-UA" w:bidi="uk-UA"/>
        </w:rPr>
        <w:t>2</w:t>
      </w:r>
      <w:r>
        <w:rPr>
          <w:rFonts w:ascii="Times New Roman" w:eastAsia="Times New Roman" w:hAnsi="Times New Roman" w:cs="Times New Roman"/>
          <w:b/>
          <w:bCs/>
          <w:color w:val="000000"/>
          <w:sz w:val="28"/>
          <w:szCs w:val="28"/>
          <w:lang w:eastAsia="uk-UA" w:bidi="uk-UA"/>
        </w:rPr>
        <w:t>. Стратегічні та інноваційні пропозиції подальшого розвитку КНП «МКЛ №10» ОМР на основі оптимізації управлінських рішень</w:t>
      </w:r>
    </w:p>
    <w:p w14:paraId="2FE6B6FE" w14:textId="77777777" w:rsidR="00471728" w:rsidRDefault="006415EC">
      <w:pPr>
        <w:spacing w:after="0" w:line="360" w:lineRule="auto"/>
        <w:ind w:firstLine="709"/>
        <w:jc w:val="both"/>
        <w:rPr>
          <w:rFonts w:ascii="Times New Roman" w:eastAsia="Arial" w:hAnsi="Times New Roman" w:cs="Times New Roman"/>
          <w:sz w:val="28"/>
          <w:szCs w:val="28"/>
        </w:rPr>
      </w:pPr>
      <w:r>
        <w:rPr>
          <w:rFonts w:ascii="Times New Roman" w:eastAsia="Arial" w:hAnsi="Times New Roman" w:cs="Times New Roman"/>
          <w:sz w:val="28"/>
          <w:szCs w:val="28"/>
        </w:rPr>
        <w:t xml:space="preserve">Прийняття управлінських рішень у медичних </w:t>
      </w:r>
      <w:r>
        <w:rPr>
          <w:rFonts w:ascii="Times New Roman" w:eastAsia="Arial" w:hAnsi="Times New Roman" w:cs="Times New Roman"/>
          <w:sz w:val="28"/>
          <w:szCs w:val="28"/>
          <w:lang w:val="ru-RU"/>
        </w:rPr>
        <w:t>заклада</w:t>
      </w:r>
      <w:r>
        <w:rPr>
          <w:rFonts w:ascii="Times New Roman" w:eastAsia="Arial" w:hAnsi="Times New Roman" w:cs="Times New Roman"/>
          <w:sz w:val="28"/>
          <w:szCs w:val="28"/>
        </w:rPr>
        <w:t xml:space="preserve">х, безумовно, актуальне, оскільки його успішність багато чому визначає якість надання медичної допомоги населенню. У той самий час практика повсякденної діяльності свідчить про те, що у низці медичних закладів процес прийняття </w:t>
      </w:r>
      <w:r>
        <w:rPr>
          <w:rFonts w:ascii="Times New Roman" w:eastAsia="Arial" w:hAnsi="Times New Roman" w:cs="Times New Roman"/>
          <w:sz w:val="28"/>
          <w:szCs w:val="28"/>
        </w:rPr>
        <w:lastRenderedPageBreak/>
        <w:t xml:space="preserve">таких рішень перебуває на неналежному рівні, а саме відзначаються низька  якість та ефективність  самих рішень, їх реалізація. </w:t>
      </w:r>
    </w:p>
    <w:p w14:paraId="2FE6B6FF" w14:textId="121EFD35" w:rsidR="00471728" w:rsidRDefault="006415EC">
      <w:pPr>
        <w:spacing w:after="0" w:line="360" w:lineRule="auto"/>
        <w:ind w:firstLine="709"/>
        <w:jc w:val="both"/>
        <w:rPr>
          <w:rFonts w:ascii="Times New Roman" w:eastAsia="Arial" w:hAnsi="Times New Roman" w:cs="Times New Roman"/>
          <w:sz w:val="28"/>
          <w:szCs w:val="28"/>
        </w:rPr>
      </w:pPr>
      <w:r>
        <w:rPr>
          <w:rFonts w:ascii="Times New Roman" w:eastAsia="Arial" w:hAnsi="Times New Roman" w:cs="Times New Roman"/>
          <w:sz w:val="28"/>
          <w:szCs w:val="28"/>
        </w:rPr>
        <w:t>В основу оптимізації управлінських рішень, спрямованих на найкращу ефективність, пропонуємо покласти наступні принципи (табл. 3.</w:t>
      </w:r>
      <w:r w:rsidR="00772EDE">
        <w:rPr>
          <w:rFonts w:ascii="Times New Roman" w:eastAsia="Arial" w:hAnsi="Times New Roman" w:cs="Times New Roman"/>
          <w:sz w:val="28"/>
          <w:szCs w:val="28"/>
        </w:rPr>
        <w:t>1</w:t>
      </w:r>
      <w:r>
        <w:rPr>
          <w:rFonts w:ascii="Times New Roman" w:eastAsia="Arial" w:hAnsi="Times New Roman" w:cs="Times New Roman"/>
          <w:sz w:val="28"/>
          <w:szCs w:val="28"/>
        </w:rPr>
        <w:t>).</w:t>
      </w:r>
    </w:p>
    <w:p w14:paraId="2FE6B700" w14:textId="753FEC29" w:rsidR="00471728" w:rsidRPr="00F07FA9" w:rsidRDefault="006415EC">
      <w:pPr>
        <w:spacing w:after="0" w:line="360" w:lineRule="auto"/>
        <w:ind w:firstLine="709"/>
        <w:jc w:val="right"/>
        <w:rPr>
          <w:rFonts w:ascii="Times New Roman" w:eastAsia="Arial" w:hAnsi="Times New Roman" w:cs="Times New Roman"/>
          <w:sz w:val="28"/>
          <w:szCs w:val="28"/>
        </w:rPr>
      </w:pPr>
      <w:r w:rsidRPr="00F07FA9">
        <w:rPr>
          <w:rFonts w:ascii="Times New Roman" w:eastAsia="Arial" w:hAnsi="Times New Roman" w:cs="Times New Roman"/>
          <w:sz w:val="28"/>
          <w:szCs w:val="28"/>
        </w:rPr>
        <w:t>Таблиця 3.</w:t>
      </w:r>
      <w:r w:rsidR="00772EDE">
        <w:rPr>
          <w:rFonts w:ascii="Times New Roman" w:eastAsia="Arial" w:hAnsi="Times New Roman" w:cs="Times New Roman"/>
          <w:sz w:val="28"/>
          <w:szCs w:val="28"/>
        </w:rPr>
        <w:t>1</w:t>
      </w:r>
    </w:p>
    <w:p w14:paraId="2FE6B701" w14:textId="77777777" w:rsidR="00471728" w:rsidRPr="00F07FA9" w:rsidRDefault="006415EC">
      <w:pPr>
        <w:spacing w:after="0" w:line="360" w:lineRule="auto"/>
        <w:ind w:firstLine="709"/>
        <w:jc w:val="center"/>
        <w:rPr>
          <w:rFonts w:ascii="Times New Roman" w:eastAsia="Arial" w:hAnsi="Times New Roman" w:cs="Times New Roman"/>
          <w:b/>
          <w:bCs/>
          <w:sz w:val="28"/>
          <w:szCs w:val="28"/>
        </w:rPr>
      </w:pPr>
      <w:r w:rsidRPr="00F07FA9">
        <w:rPr>
          <w:rFonts w:ascii="Times New Roman" w:eastAsia="Arial" w:hAnsi="Times New Roman" w:cs="Times New Roman"/>
          <w:b/>
          <w:bCs/>
          <w:sz w:val="28"/>
          <w:szCs w:val="28"/>
        </w:rPr>
        <w:t>Принципи оптимізації управлінських рішень</w:t>
      </w:r>
    </w:p>
    <w:tbl>
      <w:tblPr>
        <w:tblStyle w:val="a3"/>
        <w:tblW w:w="9351" w:type="dxa"/>
        <w:tblLayout w:type="fixed"/>
        <w:tblLook w:val="04A0" w:firstRow="1" w:lastRow="0" w:firstColumn="1" w:lastColumn="0" w:noHBand="0" w:noVBand="1"/>
      </w:tblPr>
      <w:tblGrid>
        <w:gridCol w:w="3114"/>
        <w:gridCol w:w="6237"/>
      </w:tblGrid>
      <w:tr w:rsidR="00471728" w:rsidRPr="00F07FA9" w14:paraId="2FE6B704" w14:textId="77777777" w:rsidTr="00772EDE">
        <w:tc>
          <w:tcPr>
            <w:tcW w:w="3114" w:type="dxa"/>
            <w:shd w:val="clear" w:color="auto" w:fill="auto"/>
          </w:tcPr>
          <w:p w14:paraId="2FE6B702" w14:textId="77777777" w:rsidR="00471728" w:rsidRPr="00F07FA9" w:rsidRDefault="006415EC">
            <w:pPr>
              <w:jc w:val="center"/>
              <w:rPr>
                <w:rFonts w:ascii="Times New Roman" w:eastAsia="Arial" w:hAnsi="Times New Roman" w:cs="Times New Roman"/>
                <w:sz w:val="24"/>
                <w:szCs w:val="24"/>
              </w:rPr>
            </w:pPr>
            <w:r w:rsidRPr="00F07FA9">
              <w:rPr>
                <w:rFonts w:ascii="Times New Roman" w:eastAsia="Arial" w:hAnsi="Times New Roman" w:cs="Times New Roman"/>
                <w:sz w:val="24"/>
                <w:szCs w:val="24"/>
              </w:rPr>
              <w:t>Принципи</w:t>
            </w:r>
          </w:p>
        </w:tc>
        <w:tc>
          <w:tcPr>
            <w:tcW w:w="6237" w:type="dxa"/>
            <w:shd w:val="clear" w:color="auto" w:fill="auto"/>
          </w:tcPr>
          <w:p w14:paraId="2FE6B703" w14:textId="77777777" w:rsidR="00471728" w:rsidRPr="00F07FA9" w:rsidRDefault="006415EC">
            <w:pPr>
              <w:jc w:val="center"/>
              <w:rPr>
                <w:rFonts w:ascii="Times New Roman" w:eastAsia="Arial" w:hAnsi="Times New Roman" w:cs="Times New Roman"/>
                <w:sz w:val="24"/>
                <w:szCs w:val="24"/>
              </w:rPr>
            </w:pPr>
            <w:r w:rsidRPr="00F07FA9">
              <w:rPr>
                <w:rFonts w:ascii="Times New Roman" w:eastAsia="Arial" w:hAnsi="Times New Roman" w:cs="Times New Roman"/>
                <w:sz w:val="24"/>
                <w:szCs w:val="24"/>
              </w:rPr>
              <w:t>Реалізація</w:t>
            </w:r>
          </w:p>
        </w:tc>
      </w:tr>
      <w:tr w:rsidR="00471728" w:rsidRPr="00F07FA9" w14:paraId="2FE6B707" w14:textId="77777777" w:rsidTr="00772EDE">
        <w:tc>
          <w:tcPr>
            <w:tcW w:w="3114" w:type="dxa"/>
            <w:shd w:val="clear" w:color="auto" w:fill="auto"/>
            <w:vAlign w:val="center"/>
          </w:tcPr>
          <w:p w14:paraId="2FE6B705"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Цілеспрямованість</w:t>
            </w:r>
          </w:p>
        </w:tc>
        <w:tc>
          <w:tcPr>
            <w:tcW w:w="6237" w:type="dxa"/>
            <w:shd w:val="clear" w:color="auto" w:fill="auto"/>
            <w:vAlign w:val="center"/>
          </w:tcPr>
          <w:p w14:paraId="2FE6B706"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Необхідно приймати управлінські рішення, які є найбільш прийнятними з точки зору досягнення певної мети діяльності.</w:t>
            </w:r>
          </w:p>
        </w:tc>
      </w:tr>
      <w:tr w:rsidR="00471728" w:rsidRPr="00F07FA9" w14:paraId="2FE6B70A" w14:textId="77777777" w:rsidTr="00772EDE">
        <w:tc>
          <w:tcPr>
            <w:tcW w:w="3114" w:type="dxa"/>
            <w:shd w:val="clear" w:color="auto" w:fill="auto"/>
            <w:vAlign w:val="center"/>
          </w:tcPr>
          <w:p w14:paraId="2FE6B708"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Ізоморфізм (із системного підходу)</w:t>
            </w:r>
          </w:p>
        </w:tc>
        <w:tc>
          <w:tcPr>
            <w:tcW w:w="6237" w:type="dxa"/>
            <w:shd w:val="clear" w:color="auto" w:fill="auto"/>
            <w:vAlign w:val="center"/>
          </w:tcPr>
          <w:p w14:paraId="2FE6B709"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Передбачає реалізацію архітектури кібернетичної системи управління або функціональної системи з охопленням не лише результатів діяльності, а й питань її організації.</w:t>
            </w:r>
          </w:p>
        </w:tc>
      </w:tr>
      <w:tr w:rsidR="00471728" w:rsidRPr="00F07FA9" w14:paraId="2FE6B70D" w14:textId="77777777" w:rsidTr="00772EDE">
        <w:tc>
          <w:tcPr>
            <w:tcW w:w="3114" w:type="dxa"/>
            <w:shd w:val="clear" w:color="auto" w:fill="auto"/>
            <w:vAlign w:val="center"/>
          </w:tcPr>
          <w:p w14:paraId="2FE6B70B"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Мультипараметрична взаємодія (системний підхід)</w:t>
            </w:r>
          </w:p>
        </w:tc>
        <w:tc>
          <w:tcPr>
            <w:tcW w:w="6237" w:type="dxa"/>
            <w:shd w:val="clear" w:color="auto" w:fill="auto"/>
            <w:vAlign w:val="center"/>
          </w:tcPr>
          <w:p w14:paraId="2FE6B70C"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Зміна інформативних показників (критеріїв), що характеризують прийняття управлінських рішень, позначається як на стані цього процесу, так і результатах функціонування усієї системи медичного закладу.</w:t>
            </w:r>
          </w:p>
        </w:tc>
      </w:tr>
      <w:tr w:rsidR="00471728" w:rsidRPr="00F07FA9" w14:paraId="2FE6B710" w14:textId="77777777" w:rsidTr="00772EDE">
        <w:tc>
          <w:tcPr>
            <w:tcW w:w="3114" w:type="dxa"/>
            <w:shd w:val="clear" w:color="auto" w:fill="auto"/>
            <w:vAlign w:val="center"/>
          </w:tcPr>
          <w:p w14:paraId="2FE6B70E"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Перспективність</w:t>
            </w:r>
          </w:p>
        </w:tc>
        <w:tc>
          <w:tcPr>
            <w:tcW w:w="6237" w:type="dxa"/>
            <w:shd w:val="clear" w:color="auto" w:fill="auto"/>
            <w:vAlign w:val="center"/>
          </w:tcPr>
          <w:p w14:paraId="2FE6B70F"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При аналізі можливих  варіантів рішень (альтернатив) слід обирати найбільш доцільний з урахуванням близьких та віддалених (стратегічних) перспектив та орієнтацією на інноваційні прориви.</w:t>
            </w:r>
          </w:p>
        </w:tc>
      </w:tr>
      <w:tr w:rsidR="00471728" w:rsidRPr="00F07FA9" w14:paraId="2FE6B713" w14:textId="77777777" w:rsidTr="00772EDE">
        <w:tc>
          <w:tcPr>
            <w:tcW w:w="3114" w:type="dxa"/>
            <w:shd w:val="clear" w:color="auto" w:fill="auto"/>
            <w:vAlign w:val="center"/>
          </w:tcPr>
          <w:p w14:paraId="2FE6B711"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Багатокритеріальний спосіб оцінки (використання адекватного критеріально-діагностичного інструментарію)</w:t>
            </w:r>
          </w:p>
        </w:tc>
        <w:tc>
          <w:tcPr>
            <w:tcW w:w="6237" w:type="dxa"/>
            <w:shd w:val="clear" w:color="auto" w:fill="auto"/>
            <w:vAlign w:val="center"/>
          </w:tcPr>
          <w:p w14:paraId="2FE6B712"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Дозволяє реалізувати переваги цифровізації, отримувати розгорнуту картину та причини поточного стану успішності прийняття управлінських рішень, а значить, можливі напрями корекції.</w:t>
            </w:r>
          </w:p>
        </w:tc>
      </w:tr>
      <w:tr w:rsidR="00471728" w:rsidRPr="00F07FA9" w14:paraId="2FE6B716" w14:textId="77777777" w:rsidTr="00772EDE">
        <w:tc>
          <w:tcPr>
            <w:tcW w:w="3114" w:type="dxa"/>
            <w:shd w:val="clear" w:color="auto" w:fill="auto"/>
            <w:vAlign w:val="center"/>
          </w:tcPr>
          <w:p w14:paraId="2FE6B714"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Гнучкість</w:t>
            </w:r>
          </w:p>
        </w:tc>
        <w:tc>
          <w:tcPr>
            <w:tcW w:w="6237" w:type="dxa"/>
            <w:shd w:val="clear" w:color="auto" w:fill="auto"/>
            <w:vAlign w:val="center"/>
          </w:tcPr>
          <w:p w14:paraId="2FE6B715"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Вимагає в умовах нестабільності сучасного соціально-економічного стану готовності до змін діяльності, коригування вже прийнятих рішень, але в рамках нормативного правового поля. Надає можливість раціонально розпоряджатися наявними ресурсами.</w:t>
            </w:r>
          </w:p>
        </w:tc>
      </w:tr>
      <w:tr w:rsidR="00471728" w:rsidRPr="00F07FA9" w14:paraId="2FE6B719" w14:textId="77777777" w:rsidTr="00772EDE">
        <w:tc>
          <w:tcPr>
            <w:tcW w:w="3114" w:type="dxa"/>
            <w:shd w:val="clear" w:color="auto" w:fill="auto"/>
            <w:vAlign w:val="center"/>
          </w:tcPr>
          <w:p w14:paraId="2FE6B717"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Диференціація</w:t>
            </w:r>
          </w:p>
        </w:tc>
        <w:tc>
          <w:tcPr>
            <w:tcW w:w="6237" w:type="dxa"/>
            <w:shd w:val="clear" w:color="auto" w:fill="auto"/>
            <w:vAlign w:val="center"/>
          </w:tcPr>
          <w:p w14:paraId="2FE6B718"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Передбачає врахування як специфіки прийняття управлінських рішень в медичних організаціях, так і особливостей їхньої діяльності.</w:t>
            </w:r>
          </w:p>
        </w:tc>
      </w:tr>
      <w:tr w:rsidR="00471728" w:rsidRPr="00F07FA9" w14:paraId="2FE6B71C" w14:textId="77777777" w:rsidTr="00772EDE">
        <w:trPr>
          <w:trHeight w:val="276"/>
        </w:trPr>
        <w:tc>
          <w:tcPr>
            <w:tcW w:w="3114" w:type="dxa"/>
            <w:shd w:val="clear" w:color="auto" w:fill="auto"/>
            <w:vAlign w:val="center"/>
          </w:tcPr>
          <w:p w14:paraId="2FE6B71A"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Компетентність</w:t>
            </w:r>
          </w:p>
        </w:tc>
        <w:tc>
          <w:tcPr>
            <w:tcW w:w="6237" w:type="dxa"/>
            <w:shd w:val="clear" w:color="auto" w:fill="auto"/>
            <w:vAlign w:val="center"/>
          </w:tcPr>
          <w:p w14:paraId="2FE6B71B"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 xml:space="preserve">Визначає необхідність організації та здійснення цілеспрямованої професійної підготовки як керівників медичних організацій, так і медичного персоналу, який </w:t>
            </w:r>
          </w:p>
        </w:tc>
      </w:tr>
      <w:tr w:rsidR="00471728" w:rsidRPr="00F07FA9" w14:paraId="2FE6B720" w14:textId="77777777" w:rsidTr="00772EDE">
        <w:trPr>
          <w:trHeight w:val="276"/>
        </w:trPr>
        <w:tc>
          <w:tcPr>
            <w:tcW w:w="3114" w:type="dxa"/>
            <w:shd w:val="clear" w:color="auto" w:fill="auto"/>
            <w:vAlign w:val="center"/>
          </w:tcPr>
          <w:p w14:paraId="2FE6B71E" w14:textId="77777777" w:rsidR="00471728" w:rsidRPr="00F07FA9" w:rsidRDefault="00471728">
            <w:pPr>
              <w:rPr>
                <w:rFonts w:ascii="Times New Roman" w:eastAsia="Arial" w:hAnsi="Times New Roman" w:cs="Times New Roman"/>
                <w:sz w:val="24"/>
                <w:szCs w:val="24"/>
              </w:rPr>
            </w:pPr>
          </w:p>
        </w:tc>
        <w:tc>
          <w:tcPr>
            <w:tcW w:w="6237" w:type="dxa"/>
            <w:shd w:val="clear" w:color="auto" w:fill="auto"/>
            <w:vAlign w:val="center"/>
          </w:tcPr>
          <w:p w14:paraId="2FE6B71F"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дозволить якісно приймати та реалізувати управлінські рішення.</w:t>
            </w:r>
          </w:p>
        </w:tc>
      </w:tr>
      <w:tr w:rsidR="00471728" w:rsidRPr="00F07FA9" w14:paraId="2FE6B723" w14:textId="77777777" w:rsidTr="00772EDE">
        <w:trPr>
          <w:trHeight w:val="276"/>
        </w:trPr>
        <w:tc>
          <w:tcPr>
            <w:tcW w:w="3114" w:type="dxa"/>
            <w:shd w:val="clear" w:color="auto" w:fill="auto"/>
            <w:vAlign w:val="center"/>
          </w:tcPr>
          <w:p w14:paraId="2FE6B721"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Демократизація</w:t>
            </w:r>
          </w:p>
        </w:tc>
        <w:tc>
          <w:tcPr>
            <w:tcW w:w="6237" w:type="dxa"/>
            <w:shd w:val="clear" w:color="auto" w:fill="auto"/>
            <w:vAlign w:val="center"/>
          </w:tcPr>
          <w:p w14:paraId="2FE6B722" w14:textId="77777777" w:rsidR="00471728" w:rsidRPr="00F07FA9" w:rsidRDefault="006415EC">
            <w:pPr>
              <w:rPr>
                <w:rFonts w:ascii="Times New Roman" w:eastAsia="Arial" w:hAnsi="Times New Roman" w:cs="Times New Roman"/>
                <w:sz w:val="24"/>
                <w:szCs w:val="24"/>
              </w:rPr>
            </w:pPr>
            <w:r w:rsidRPr="00F07FA9">
              <w:rPr>
                <w:rFonts w:ascii="Times New Roman" w:eastAsia="Arial" w:hAnsi="Times New Roman" w:cs="Times New Roman"/>
                <w:sz w:val="24"/>
                <w:szCs w:val="24"/>
              </w:rPr>
              <w:t>Означає розширення участі медичного персоналу у прийнятті управлінських рішень.</w:t>
            </w:r>
          </w:p>
        </w:tc>
      </w:tr>
    </w:tbl>
    <w:p w14:paraId="2FE6B724" w14:textId="77777777" w:rsidR="00471728" w:rsidRPr="00F07FA9" w:rsidRDefault="006415EC">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bCs/>
          <w:i/>
          <w:color w:val="000000"/>
          <w:sz w:val="24"/>
          <w:szCs w:val="24"/>
        </w:rPr>
      </w:pPr>
      <w:r w:rsidRPr="00F07FA9">
        <w:rPr>
          <w:rFonts w:ascii="Times New Roman" w:eastAsia="Times New Roman" w:hAnsi="Times New Roman" w:cs="Times New Roman"/>
          <w:i/>
          <w:iCs/>
          <w:color w:val="000000"/>
          <w:sz w:val="24"/>
          <w:szCs w:val="24"/>
          <w:lang w:eastAsia="uk-UA" w:bidi="uk-UA"/>
        </w:rPr>
        <w:t>Джерело: складено автором</w:t>
      </w:r>
    </w:p>
    <w:p w14:paraId="2FE6B725" w14:textId="77777777" w:rsidR="00471728" w:rsidRDefault="00471728">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p>
    <w:p w14:paraId="2FE6B726" w14:textId="77777777" w:rsidR="00471728" w:rsidRDefault="006415EC">
      <w:pPr>
        <w:widowControl w:val="0"/>
        <w:pBdr>
          <w:top w:val="none" w:sz="4" w:space="0" w:color="000000"/>
          <w:left w:val="none" w:sz="4" w:space="0" w:color="000000"/>
          <w:bottom w:val="none" w:sz="4" w:space="0" w:color="000000"/>
          <w:right w:val="none" w:sz="4" w:space="0" w:color="000000"/>
          <w:between w:val="none" w:sz="4" w:space="0" w:color="000000"/>
        </w:pBdr>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Враховуючи стратегічні тенденції розвитку, існуючі можливості та інновації, побудовані на детальному аналізі </w:t>
      </w:r>
      <w:r>
        <w:rPr>
          <w:rFonts w:ascii="Times New Roman" w:eastAsia="Times New Roman" w:hAnsi="Times New Roman" w:cs="Times New Roman"/>
          <w:color w:val="000000"/>
          <w:sz w:val="28"/>
          <w:szCs w:val="28"/>
          <w:lang w:val="en-US" w:bidi="en-US"/>
        </w:rPr>
        <w:t>SWOT</w:t>
      </w:r>
      <w:r>
        <w:rPr>
          <w:rFonts w:ascii="Times New Roman" w:eastAsia="Times New Roman" w:hAnsi="Times New Roman" w:cs="Times New Roman"/>
          <w:color w:val="000000"/>
          <w:sz w:val="28"/>
          <w:szCs w:val="28"/>
          <w:lang w:val="ru-RU" w:eastAsia="ru-RU" w:bidi="ru-RU"/>
        </w:rPr>
        <w:t xml:space="preserve">-деталей, </w:t>
      </w:r>
      <w:r>
        <w:rPr>
          <w:rFonts w:ascii="Times New Roman" w:eastAsia="Times New Roman" w:hAnsi="Times New Roman" w:cs="Times New Roman"/>
          <w:color w:val="000000"/>
          <w:sz w:val="28"/>
          <w:szCs w:val="28"/>
          <w:lang w:eastAsia="uk-UA" w:bidi="uk-UA"/>
        </w:rPr>
        <w:t xml:space="preserve">можна виділити </w:t>
      </w:r>
      <w:r>
        <w:rPr>
          <w:rFonts w:ascii="Times New Roman" w:eastAsia="Times New Roman" w:hAnsi="Times New Roman" w:cs="Times New Roman"/>
          <w:color w:val="000000"/>
          <w:sz w:val="28"/>
          <w:szCs w:val="28"/>
          <w:lang w:eastAsia="uk-UA" w:bidi="uk-UA"/>
        </w:rPr>
        <w:lastRenderedPageBreak/>
        <w:t>наступні передумови розвитку:</w:t>
      </w:r>
    </w:p>
    <w:p w14:paraId="2FE6B727" w14:textId="5E203341" w:rsidR="00471728" w:rsidRDefault="006415EC">
      <w:pPr>
        <w:widowControl w:val="0"/>
        <w:numPr>
          <w:ilvl w:val="0"/>
          <w:numId w:val="33"/>
        </w:numPr>
        <w:pBdr>
          <w:top w:val="none" w:sz="4" w:space="0" w:color="000000"/>
          <w:left w:val="none" w:sz="4" w:space="0" w:color="000000"/>
          <w:bottom w:val="none" w:sz="4" w:space="0" w:color="000000"/>
          <w:right w:val="none" w:sz="4" w:space="0" w:color="000000"/>
          <w:between w:val="none" w:sz="4" w:space="0" w:color="000000"/>
        </w:pBdr>
        <w:tabs>
          <w:tab w:val="left" w:pos="1047"/>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Подальший розвиток госпітального кластеру, розвиток закладу як кластерної лікарні спроможної мережі Одеського госпітального округу за основними вимогами та спеціальностями, регламентованими Постановою КМУ від 28 лютого 2023 р. № 174 «Деякі питання організації спроможної мережі закладів охорони здоров’я»</w:t>
      </w:r>
      <w:r>
        <w:t xml:space="preserve"> </w:t>
      </w:r>
      <w:r>
        <w:rPr>
          <w:rFonts w:ascii="Times New Roman" w:eastAsia="Times New Roman" w:hAnsi="Times New Roman" w:cs="Times New Roman"/>
          <w:color w:val="000000"/>
          <w:sz w:val="28"/>
          <w:szCs w:val="28"/>
          <w:lang w:eastAsia="uk-UA" w:bidi="uk-UA"/>
        </w:rPr>
        <w:t>[</w:t>
      </w:r>
      <w:r w:rsidR="00492A6F">
        <w:rPr>
          <w:rFonts w:ascii="Times New Roman" w:eastAsia="Times New Roman" w:hAnsi="Times New Roman" w:cs="Times New Roman"/>
          <w:color w:val="000000"/>
          <w:sz w:val="28"/>
          <w:szCs w:val="28"/>
          <w:lang w:eastAsia="uk-UA" w:bidi="uk-UA"/>
        </w:rPr>
        <w:t>25</w:t>
      </w:r>
      <w:r>
        <w:rPr>
          <w:rFonts w:ascii="Times New Roman" w:eastAsia="Times New Roman" w:hAnsi="Times New Roman" w:cs="Times New Roman"/>
          <w:color w:val="000000"/>
          <w:sz w:val="28"/>
          <w:szCs w:val="28"/>
          <w:lang w:eastAsia="uk-UA" w:bidi="uk-UA"/>
        </w:rPr>
        <w:t>].</w:t>
      </w:r>
    </w:p>
    <w:p w14:paraId="2FE6B728" w14:textId="77777777" w:rsidR="00471728" w:rsidRDefault="006415EC">
      <w:pPr>
        <w:widowControl w:val="0"/>
        <w:numPr>
          <w:ilvl w:val="0"/>
          <w:numId w:val="33"/>
        </w:numPr>
        <w:pBdr>
          <w:top w:val="none" w:sz="4" w:space="0" w:color="000000"/>
          <w:left w:val="none" w:sz="4" w:space="0" w:color="000000"/>
          <w:bottom w:val="none" w:sz="4" w:space="0" w:color="000000"/>
          <w:right w:val="none" w:sz="4" w:space="0" w:color="000000"/>
          <w:between w:val="none" w:sz="4" w:space="0" w:color="000000"/>
        </w:pBdr>
        <w:tabs>
          <w:tab w:val="left" w:pos="1044"/>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Забезпечення фінансової спроможності та сталого функціонування закладу через оптимізацію господарчої медичної, управлінської, комунікаційної стратегічної та інноваційної діяльності.</w:t>
      </w:r>
    </w:p>
    <w:p w14:paraId="2FE6B729" w14:textId="77777777" w:rsidR="00471728" w:rsidRDefault="006415EC">
      <w:pPr>
        <w:widowControl w:val="0"/>
        <w:numPr>
          <w:ilvl w:val="0"/>
          <w:numId w:val="33"/>
        </w:numPr>
        <w:pBdr>
          <w:top w:val="none" w:sz="4" w:space="0" w:color="000000"/>
          <w:left w:val="none" w:sz="4" w:space="0" w:color="000000"/>
          <w:bottom w:val="none" w:sz="4" w:space="0" w:color="000000"/>
          <w:right w:val="none" w:sz="4" w:space="0" w:color="000000"/>
          <w:between w:val="none" w:sz="4" w:space="0" w:color="000000"/>
        </w:pBdr>
        <w:tabs>
          <w:tab w:val="left" w:pos="1036"/>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Дотримання виконання місії, цілі та завдань закладу, через забезпечення пацієнт-орієнтованого підходу закладу, дотримання принципів безбар’єрності та пацієнтоцентричної моделі надання медичних послуг.</w:t>
      </w:r>
    </w:p>
    <w:p w14:paraId="2FE6B72A" w14:textId="77777777" w:rsidR="00471728" w:rsidRDefault="006415EC">
      <w:pPr>
        <w:widowControl w:val="0"/>
        <w:numPr>
          <w:ilvl w:val="0"/>
          <w:numId w:val="33"/>
        </w:numPr>
        <w:pBdr>
          <w:top w:val="none" w:sz="4" w:space="0" w:color="000000"/>
          <w:left w:val="none" w:sz="4" w:space="0" w:color="000000"/>
          <w:bottom w:val="none" w:sz="4" w:space="0" w:color="000000"/>
          <w:right w:val="none" w:sz="4" w:space="0" w:color="000000"/>
          <w:between w:val="none" w:sz="4" w:space="0" w:color="000000"/>
        </w:pBdr>
        <w:tabs>
          <w:tab w:val="left" w:pos="1040"/>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Забезпечення прозорого розвитку закладу за певною стратегію шляхом стратегічного планування із погодженням засновника закладу та дотримання чинного законодавства.</w:t>
      </w:r>
    </w:p>
    <w:p w14:paraId="2FE6B72B" w14:textId="77777777" w:rsidR="00471728" w:rsidRDefault="006415EC">
      <w:pPr>
        <w:widowControl w:val="0"/>
        <w:numPr>
          <w:ilvl w:val="0"/>
          <w:numId w:val="33"/>
        </w:numPr>
        <w:pBdr>
          <w:top w:val="none" w:sz="4" w:space="0" w:color="000000"/>
          <w:left w:val="none" w:sz="4" w:space="0" w:color="000000"/>
          <w:bottom w:val="none" w:sz="4" w:space="0" w:color="000000"/>
          <w:right w:val="none" w:sz="4" w:space="0" w:color="000000"/>
          <w:between w:val="none" w:sz="4" w:space="0" w:color="000000"/>
        </w:pBdr>
        <w:tabs>
          <w:tab w:val="left" w:pos="1058"/>
        </w:tabs>
        <w:spacing w:after="0" w:line="360" w:lineRule="auto"/>
        <w:ind w:firstLine="740"/>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Створення наглядової ради на виконання наказу МОЗ України від 21 листопада 2023 р. № 1221 «Про наглядову раду закладу охорони здоров’я», подання засновнику пропозиції щодо термінів створення та складу наглядової ради </w:t>
      </w:r>
      <w:r>
        <w:rPr>
          <w:rFonts w:ascii="Times New Roman" w:eastAsia="Times New Roman" w:hAnsi="Times New Roman" w:cs="Times New Roman"/>
          <w:color w:val="000000"/>
          <w:sz w:val="28"/>
          <w:szCs w:val="28"/>
          <w:lang w:val="en-US" w:eastAsia="uk-UA" w:bidi="uk-UA"/>
        </w:rPr>
        <w:t>[</w:t>
      </w:r>
      <w:r>
        <w:rPr>
          <w:rFonts w:ascii="Times New Roman" w:eastAsia="Times New Roman" w:hAnsi="Times New Roman" w:cs="Times New Roman"/>
          <w:color w:val="000000"/>
          <w:sz w:val="28"/>
          <w:szCs w:val="28"/>
          <w:lang w:eastAsia="uk-UA" w:bidi="uk-UA"/>
        </w:rPr>
        <w:t>56</w:t>
      </w:r>
      <w:r>
        <w:rPr>
          <w:rFonts w:ascii="Times New Roman" w:eastAsia="Times New Roman" w:hAnsi="Times New Roman" w:cs="Times New Roman"/>
          <w:color w:val="000000"/>
          <w:sz w:val="28"/>
          <w:szCs w:val="28"/>
          <w:lang w:val="en-US" w:eastAsia="uk-UA" w:bidi="uk-UA"/>
        </w:rPr>
        <w:t>]</w:t>
      </w:r>
      <w:r>
        <w:rPr>
          <w:rFonts w:ascii="Times New Roman" w:eastAsia="Times New Roman" w:hAnsi="Times New Roman" w:cs="Times New Roman"/>
          <w:color w:val="000000"/>
          <w:sz w:val="28"/>
          <w:szCs w:val="28"/>
          <w:lang w:eastAsia="uk-UA" w:bidi="uk-UA"/>
        </w:rPr>
        <w:t>.</w:t>
      </w:r>
    </w:p>
    <w:p w14:paraId="2FE6B72C" w14:textId="77777777" w:rsidR="00471728" w:rsidRDefault="006415EC">
      <w:pPr>
        <w:spacing w:after="0" w:line="360" w:lineRule="auto"/>
        <w:ind w:firstLine="709"/>
        <w:jc w:val="both"/>
        <w:rPr>
          <w:rFonts w:ascii="Times New Roman" w:eastAsia="Arial" w:hAnsi="Times New Roman" w:cs="Times New Roman"/>
          <w:sz w:val="28"/>
          <w:szCs w:val="28"/>
        </w:rPr>
      </w:pPr>
      <w:r>
        <w:rPr>
          <w:rFonts w:ascii="Times New Roman" w:eastAsia="Times New Roman" w:hAnsi="Times New Roman" w:cs="Times New Roman"/>
          <w:color w:val="000000"/>
          <w:sz w:val="28"/>
          <w:szCs w:val="28"/>
          <w:lang w:eastAsia="uk-UA" w:bidi="uk-UA"/>
        </w:rPr>
        <w:t>6. Подальша розробка та втілення інноваційних проектів у розвиток закладу (пропонується дев</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eastAsia="uk-UA" w:bidi="uk-UA"/>
        </w:rPr>
        <w:t xml:space="preserve">ять проектів інноваційного розвитку госпітального кластеру), що демонструють інвестиційну привабливість та перспективність розвитку КНП «МКЛ №10» ОМР </w:t>
      </w:r>
      <w:r>
        <w:rPr>
          <w:rFonts w:ascii="Times New Roman" w:eastAsia="Times New Roman" w:hAnsi="Times New Roman" w:cs="Times New Roman"/>
          <w:sz w:val="28"/>
          <w:szCs w:val="28"/>
        </w:rPr>
        <w:t xml:space="preserve"> (Додаток В).</w:t>
      </w:r>
    </w:p>
    <w:p w14:paraId="2FE6B72D" w14:textId="77777777" w:rsidR="00471728" w:rsidRDefault="006415EC">
      <w:pPr>
        <w:widowControl w:val="0"/>
        <w:pBdr>
          <w:top w:val="none" w:sz="4" w:space="0" w:color="000000"/>
          <w:left w:val="none" w:sz="4" w:space="0" w:color="000000"/>
          <w:bottom w:val="none" w:sz="4" w:space="0" w:color="000000"/>
          <w:right w:val="none" w:sz="4" w:space="0" w:color="000000"/>
          <w:between w:val="none" w:sz="4" w:space="0" w:color="000000"/>
        </w:pBdr>
        <w:tabs>
          <w:tab w:val="left" w:pos="375"/>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Аналіз основних аспектів діяльності КНП продемонстрував, що керівником закладу ведеться глибока, систематична та всеохоплююча робота з організації управління та розвитку лікарні, враховуючи необхідні стратегії та інновації для забезпечення сталого розвитку та щоденного функціонування КНП «МКЛ №10» ОМР.</w:t>
      </w:r>
    </w:p>
    <w:p w14:paraId="2FE6B72E" w14:textId="77777777" w:rsidR="00471728" w:rsidRDefault="006415EC">
      <w:pPr>
        <w:widowControl w:val="0"/>
        <w:pBdr>
          <w:top w:val="none" w:sz="4" w:space="0" w:color="000000"/>
          <w:left w:val="none" w:sz="4" w:space="0" w:color="000000"/>
          <w:bottom w:val="none" w:sz="4" w:space="0" w:color="000000"/>
          <w:right w:val="none" w:sz="4" w:space="0" w:color="000000"/>
          <w:between w:val="none" w:sz="4" w:space="0" w:color="000000"/>
        </w:pBdr>
        <w:tabs>
          <w:tab w:val="left" w:pos="375"/>
        </w:tabs>
        <w:spacing w:after="0" w:line="360" w:lineRule="auto"/>
        <w:ind w:firstLine="709"/>
        <w:jc w:val="both"/>
        <w:rPr>
          <w:rFonts w:ascii="Times New Roman" w:eastAsia="Times New Roman" w:hAnsi="Times New Roman" w:cs="Times New Roman"/>
          <w:color w:val="000000"/>
          <w:sz w:val="28"/>
          <w:szCs w:val="28"/>
          <w:lang w:eastAsia="uk-UA" w:bidi="uk-UA"/>
        </w:rPr>
      </w:pPr>
      <w:r>
        <w:rPr>
          <w:rFonts w:ascii="Times New Roman" w:eastAsia="Times New Roman" w:hAnsi="Times New Roman" w:cs="Times New Roman"/>
          <w:color w:val="000000"/>
          <w:sz w:val="28"/>
          <w:szCs w:val="28"/>
          <w:lang w:eastAsia="uk-UA" w:bidi="uk-UA"/>
        </w:rPr>
        <w:t xml:space="preserve">Керівником визначені певні стратегії та перспективи подальшого розвитку КНП, що забезпечуватиме сталий розвиток закладу з урахуванням </w:t>
      </w:r>
      <w:r>
        <w:rPr>
          <w:rFonts w:ascii="Times New Roman" w:eastAsia="Times New Roman" w:hAnsi="Times New Roman" w:cs="Times New Roman"/>
          <w:color w:val="000000"/>
          <w:sz w:val="28"/>
          <w:szCs w:val="28"/>
          <w:lang w:eastAsia="uk-UA" w:bidi="uk-UA"/>
        </w:rPr>
        <w:lastRenderedPageBreak/>
        <w:t>інтересів працівників КНП «МКЛ №10» ОМР і його засновника - Одеську міську раду.</w:t>
      </w:r>
    </w:p>
    <w:p w14:paraId="2FE6B72F" w14:textId="77777777" w:rsidR="00471728" w:rsidRDefault="00471728">
      <w:pPr>
        <w:widowControl w:val="0"/>
        <w:pBdr>
          <w:top w:val="none" w:sz="4" w:space="0" w:color="000000"/>
          <w:left w:val="none" w:sz="4" w:space="0" w:color="000000"/>
          <w:bottom w:val="none" w:sz="4" w:space="0" w:color="000000"/>
          <w:right w:val="none" w:sz="4" w:space="0" w:color="000000"/>
          <w:between w:val="none" w:sz="4" w:space="0" w:color="000000"/>
        </w:pBdr>
        <w:tabs>
          <w:tab w:val="left" w:pos="375"/>
        </w:tabs>
        <w:spacing w:after="0" w:line="360" w:lineRule="auto"/>
        <w:ind w:firstLine="709"/>
        <w:jc w:val="both"/>
        <w:rPr>
          <w:rFonts w:ascii="Times New Roman" w:eastAsia="Times New Roman" w:hAnsi="Times New Roman" w:cs="Times New Roman"/>
          <w:color w:val="000000"/>
          <w:sz w:val="28"/>
          <w:szCs w:val="28"/>
          <w:lang w:eastAsia="uk-UA" w:bidi="uk-UA"/>
        </w:rPr>
      </w:pPr>
    </w:p>
    <w:p w14:paraId="0D2BFDB0" w14:textId="77777777" w:rsidR="00300158" w:rsidRPr="00300158" w:rsidRDefault="00300158" w:rsidP="00300158">
      <w:pPr>
        <w:spacing w:after="0" w:line="360" w:lineRule="auto"/>
        <w:ind w:firstLine="709"/>
        <w:jc w:val="both"/>
        <w:rPr>
          <w:rFonts w:ascii="Times New Roman" w:eastAsia="Arial" w:hAnsi="Times New Roman" w:cs="Times New Roman"/>
          <w:b/>
          <w:sz w:val="28"/>
          <w:szCs w:val="28"/>
        </w:rPr>
      </w:pPr>
      <w:r w:rsidRPr="00300158">
        <w:rPr>
          <w:rFonts w:ascii="Times New Roman" w:eastAsia="Arial" w:hAnsi="Times New Roman" w:cs="Times New Roman"/>
          <w:b/>
          <w:sz w:val="28"/>
          <w:szCs w:val="28"/>
        </w:rPr>
        <w:t>Висновок до розділу 3</w:t>
      </w:r>
    </w:p>
    <w:p w14:paraId="5BBDA5CC"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У діяльності сучасного керівника функції управління тісно пов’язані між собою, причому кожна пов’язана з необхідністю приймати рішення на користь досягнення цілей, що стоять перед закладом.</w:t>
      </w:r>
      <w:r w:rsidRPr="00300158">
        <w:rPr>
          <w:rFonts w:ascii="Arial" w:eastAsia="Arial" w:hAnsi="Arial" w:cs="Times New Roman"/>
        </w:rPr>
        <w:t xml:space="preserve"> </w:t>
      </w:r>
      <w:r w:rsidRPr="00300158">
        <w:rPr>
          <w:rFonts w:ascii="Times New Roman" w:eastAsia="Arial" w:hAnsi="Times New Roman" w:cs="Times New Roman"/>
          <w:sz w:val="28"/>
          <w:szCs w:val="28"/>
        </w:rPr>
        <w:t>Управлінські рішення характеризуються масштабністю (охоплюють широке коло людей), психологічною специфікою та фінансовими наслідками.</w:t>
      </w:r>
    </w:p>
    <w:p w14:paraId="158E5FF3"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Вибір управлінського рішення неоднозначний, багато в чому залежить від особливостей «особистісного профілю» (сукупність якостей людини), менталітету, культурних відмінностей, що формує переваги у процесі управління різних країнах.</w:t>
      </w:r>
      <w:r w:rsidRPr="00300158">
        <w:rPr>
          <w:rFonts w:ascii="Arial" w:eastAsia="Arial" w:hAnsi="Arial" w:cs="Times New Roman"/>
        </w:rPr>
        <w:t xml:space="preserve"> </w:t>
      </w:r>
      <w:r w:rsidRPr="00300158">
        <w:rPr>
          <w:rFonts w:ascii="Times New Roman" w:eastAsia="Arial" w:hAnsi="Times New Roman" w:cs="Times New Roman"/>
          <w:sz w:val="28"/>
          <w:szCs w:val="28"/>
        </w:rPr>
        <w:t>Ефективність управлінських рішень залежить також від психосоціотипу, статі та віку керівника.</w:t>
      </w:r>
      <w:r w:rsidRPr="00300158">
        <w:rPr>
          <w:rFonts w:ascii="Arial" w:eastAsia="Arial" w:hAnsi="Arial" w:cs="Times New Roman"/>
        </w:rPr>
        <w:t xml:space="preserve"> </w:t>
      </w:r>
      <w:r w:rsidRPr="00300158">
        <w:rPr>
          <w:rFonts w:ascii="Times New Roman" w:eastAsia="Arial" w:hAnsi="Times New Roman" w:cs="Times New Roman"/>
          <w:sz w:val="28"/>
          <w:szCs w:val="28"/>
        </w:rPr>
        <w:t xml:space="preserve">Індивідуальні, розумові особливості, вік та стать управлінця впливають на тип прийняття рішень в умовах визначеності, невизначеності та ризику. </w:t>
      </w:r>
    </w:p>
    <w:p w14:paraId="1203A2C7"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Від особистісної системи цінностей залежить поведінка та дії керівника медичного закладу, безпосередній вплив на характер прийнятих ним рішень. Дуже важливими є такі особистісні риси, як: організаційна культура керівника, управлінські творчі здібності, індивідуальне мислення, професійний управлінський досвід, вміння доводити розпочату справу до кінця, психологічний стан, поведінкові обмеження особистісного характеру (ставлення до ризику, здатність до передбачення, вміння впливати на інших людей та співпрацювати з ними), освіта, досвід керівника (теоретичні знання, життєвий досвід, стереотипи, стандарти, що виправдали себе у минулому).</w:t>
      </w:r>
    </w:p>
    <w:p w14:paraId="30887A4B"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Дослідження останніх десятиліть дозволили виявити 4 стилі прийняття рішень: директивний, аналітичний, концептуальний та поведінковий.</w:t>
      </w:r>
    </w:p>
    <w:p w14:paraId="7EC86C74"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Найважливішим етапом управлінського рішення є виявлення управлінської проблеми. Умовно управлінські проблеми можна поділити на </w:t>
      </w:r>
      <w:r w:rsidRPr="00300158">
        <w:rPr>
          <w:rFonts w:ascii="Times New Roman" w:eastAsia="Arial" w:hAnsi="Times New Roman" w:cs="Times New Roman"/>
          <w:sz w:val="28"/>
          <w:szCs w:val="28"/>
        </w:rPr>
        <w:lastRenderedPageBreak/>
        <w:t>три категорії: відхилення від запланованої норми; ситуації ймовірного ризику, загрози;</w:t>
      </w:r>
      <w:r w:rsidRPr="00300158">
        <w:rPr>
          <w:rFonts w:ascii="Arial" w:eastAsia="Arial" w:hAnsi="Arial" w:cs="Times New Roman"/>
        </w:rPr>
        <w:t xml:space="preserve"> </w:t>
      </w:r>
      <w:r w:rsidRPr="00300158">
        <w:rPr>
          <w:rFonts w:ascii="Times New Roman" w:eastAsia="Arial" w:hAnsi="Times New Roman" w:cs="Times New Roman"/>
          <w:sz w:val="28"/>
          <w:szCs w:val="28"/>
        </w:rPr>
        <w:t>ситуації потенційної можливості.</w:t>
      </w:r>
    </w:p>
    <w:p w14:paraId="0E8EEA4E"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Особливу роль в процесі реалізації управлінського рішення відіграє доведення прийнятих рішень до виконавців, тому керівник повинен належну увагу приділити кадровому менеджменту.</w:t>
      </w:r>
    </w:p>
    <w:p w14:paraId="1BBF7207"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Таким чином, складність прийняття та реалізації ефективного управлінського рішення у сучасній охороні здоров’я зростає. Разом з тим, зростає й відповідальність керівників соціальної сфери, зростають вимоги до їхньої управлінської культури.</w:t>
      </w:r>
    </w:p>
    <w:p w14:paraId="1A863928"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У КНП «МКЛ №10» ОМР на основі відповідного управлінського рішення було створено робочу групу з формування структури та штатного розпису кластерного закладу охорони здоров’я. За результатами роботи визначено наступні напрямки розвитку лікарні:</w:t>
      </w:r>
    </w:p>
    <w:p w14:paraId="2A4B795E"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1.</w:t>
      </w:r>
      <w:r w:rsidRPr="00300158">
        <w:rPr>
          <w:rFonts w:ascii="Times New Roman" w:eastAsia="Arial" w:hAnsi="Times New Roman" w:cs="Times New Roman"/>
          <w:sz w:val="28"/>
          <w:szCs w:val="28"/>
        </w:rPr>
        <w:tab/>
        <w:t xml:space="preserve">Впровадження мінімального (базового) переліку медичних напрямів надання медичної допомоги населення, властивого для кластерного закладу охорони здоров’я. </w:t>
      </w:r>
    </w:p>
    <w:p w14:paraId="2C7BC9B7"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2.</w:t>
      </w:r>
      <w:r w:rsidRPr="00300158">
        <w:rPr>
          <w:rFonts w:ascii="Times New Roman" w:eastAsia="Arial" w:hAnsi="Times New Roman" w:cs="Times New Roman"/>
          <w:sz w:val="28"/>
          <w:szCs w:val="28"/>
        </w:rPr>
        <w:tab/>
        <w:t>Збереження існуючого потенціалу та забезпечення подальшого розвитку напрямків надання медичної допомоги, що не регламентовані базовим переліком у кластерній лікарні, проте вже здобули розвитку у КНП «МКЛ №10» ОМР.</w:t>
      </w:r>
    </w:p>
    <w:p w14:paraId="23F63EA9"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3.</w:t>
      </w:r>
      <w:r w:rsidRPr="00300158">
        <w:rPr>
          <w:rFonts w:ascii="Times New Roman" w:eastAsia="Arial" w:hAnsi="Times New Roman" w:cs="Times New Roman"/>
          <w:sz w:val="28"/>
          <w:szCs w:val="28"/>
        </w:rPr>
        <w:tab/>
        <w:t>Розвиток нових медичних напрямків та подальший розвиток сучасних технологій в рамках існуючої потреби у Одеській територіальній громаді за наявному джерелу фінансування (НСЗУ).</w:t>
      </w:r>
    </w:p>
    <w:p w14:paraId="38CE9051"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В результаті проведеної інфраструктурної реформи закладу КНП «МКЛ №10» ОМР отримало можливість функціонувати як повноцінна кластерна лікарня з надання медичної допомоги за всіма мінімальними базовими напрямами, збереже потенціал існуючих спеціалізованих напрямків та набуло перспективи розвитку за сучасними новими напрямами надання медичної допомоги, забезпечило відповідність до встановлених чинним законодавством вимог до кластерного закладу охорони здоров’я.</w:t>
      </w:r>
    </w:p>
    <w:p w14:paraId="678352BC"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lastRenderedPageBreak/>
        <w:t>Враховуючи стратегічні тенденції розвитку, існуючі можливості та інновації, побудовані на детальному аналізі SWOT-деталей, можна виділити наступні передумови розвитку:</w:t>
      </w:r>
    </w:p>
    <w:p w14:paraId="3409D1EF"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1.</w:t>
      </w:r>
      <w:r w:rsidRPr="00300158">
        <w:rPr>
          <w:rFonts w:ascii="Times New Roman" w:eastAsia="Arial" w:hAnsi="Times New Roman" w:cs="Times New Roman"/>
          <w:sz w:val="28"/>
          <w:szCs w:val="28"/>
        </w:rPr>
        <w:tab/>
        <w:t>Подальший розвиток госпітального кластеру, розвиток закладу як кластерної лікарні спроможної мережі Одеського госпітального округу.</w:t>
      </w:r>
    </w:p>
    <w:p w14:paraId="77C79D48"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2.</w:t>
      </w:r>
      <w:r w:rsidRPr="00300158">
        <w:rPr>
          <w:rFonts w:ascii="Times New Roman" w:eastAsia="Arial" w:hAnsi="Times New Roman" w:cs="Times New Roman"/>
          <w:sz w:val="28"/>
          <w:szCs w:val="28"/>
        </w:rPr>
        <w:tab/>
        <w:t>Забезпечення фінансової спроможності та сталого функціонування закладу через оптимізацію господарчої медичної, управлінської, комунікаційної стратегічної та інноваційної діяльності.</w:t>
      </w:r>
    </w:p>
    <w:p w14:paraId="3FE9BCBB"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3.</w:t>
      </w:r>
      <w:r w:rsidRPr="00300158">
        <w:rPr>
          <w:rFonts w:ascii="Times New Roman" w:eastAsia="Arial" w:hAnsi="Times New Roman" w:cs="Times New Roman"/>
          <w:sz w:val="28"/>
          <w:szCs w:val="28"/>
        </w:rPr>
        <w:tab/>
        <w:t>Дотримання виконання місії, цілі та завдань закладу, через забезпечення пацієнт-орієнтованого підходу закладу, дотримання принципів безбар’єрності та пацієнтоцентричної моделі надання медичних послуг.</w:t>
      </w:r>
    </w:p>
    <w:p w14:paraId="04FA293B"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4.</w:t>
      </w:r>
      <w:r w:rsidRPr="00300158">
        <w:rPr>
          <w:rFonts w:ascii="Times New Roman" w:eastAsia="Arial" w:hAnsi="Times New Roman" w:cs="Times New Roman"/>
          <w:sz w:val="28"/>
          <w:szCs w:val="28"/>
        </w:rPr>
        <w:tab/>
        <w:t>Забезпечення прозорого розвитку закладу за певною стратегію шляхом стратегічного планування із погодженням засновника закладу та дотримання чинного законодавства.</w:t>
      </w:r>
    </w:p>
    <w:p w14:paraId="0C0C6101"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5.</w:t>
      </w:r>
      <w:r w:rsidRPr="00300158">
        <w:rPr>
          <w:rFonts w:ascii="Times New Roman" w:eastAsia="Arial" w:hAnsi="Times New Roman" w:cs="Times New Roman"/>
          <w:sz w:val="28"/>
          <w:szCs w:val="28"/>
        </w:rPr>
        <w:tab/>
        <w:t>Створення наглядової ради на виконання наказу МОЗ України від 21 листопада 2023 р. № 1221 «Про наглядову раду закладу охорони здоров’я».</w:t>
      </w:r>
    </w:p>
    <w:p w14:paraId="51F2090D"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6. Подальша розробка та втілення інноваційних проектів у розвиток закладу, що демонструють інвестиційну привабливість та перспективність розвитку КНП «МКЛ №10» ОМР.</w:t>
      </w:r>
    </w:p>
    <w:p w14:paraId="4D521F93"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Аналіз основних аспектів діяльності КНП продемонстрував, що керівником закладу ведеться глибока, систематична та всеохоплююча робота з організації управління та розвитку лікарні, враховуючи необхідні стратегії та інновації для забезпечення сталого розвитку та щоденного функціонування КНП «МКЛ №10» ОМР.</w:t>
      </w:r>
    </w:p>
    <w:p w14:paraId="62921ACC"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Керівником визначені певні стратегії та перспективи подальшого розвитку КНП, що забезпечуватиме сталий розвиток закладу з урахуванням інтересів працівників КНП «МКЛ №10» ОМР і його засновника - Одеську міську раду.</w:t>
      </w:r>
    </w:p>
    <w:p w14:paraId="1A1B007E" w14:textId="77777777" w:rsidR="00300158" w:rsidRPr="00300158" w:rsidRDefault="00300158" w:rsidP="00300158">
      <w:pPr>
        <w:widowControl w:val="0"/>
        <w:spacing w:after="0" w:line="240" w:lineRule="auto"/>
        <w:rPr>
          <w:rFonts w:ascii="Microsoft YaHei" w:eastAsia="Microsoft YaHei" w:hAnsi="Microsoft YaHei" w:cs="Microsoft YaHei"/>
          <w:color w:val="000000"/>
          <w:sz w:val="24"/>
          <w:szCs w:val="24"/>
          <w:lang w:eastAsia="uk-UA" w:bidi="uk-UA"/>
        </w:rPr>
      </w:pPr>
    </w:p>
    <w:p w14:paraId="74582D1E" w14:textId="245FA62F" w:rsidR="00300158" w:rsidRDefault="00300158">
      <w:pPr>
        <w:widowControl w:val="0"/>
        <w:pBdr>
          <w:top w:val="none" w:sz="4" w:space="0" w:color="000000"/>
          <w:left w:val="none" w:sz="4" w:space="0" w:color="000000"/>
          <w:bottom w:val="none" w:sz="4" w:space="0" w:color="000000"/>
          <w:right w:val="none" w:sz="4" w:space="0" w:color="000000"/>
          <w:between w:val="none" w:sz="4" w:space="0" w:color="000000"/>
        </w:pBdr>
        <w:tabs>
          <w:tab w:val="left" w:pos="375"/>
        </w:tabs>
        <w:spacing w:after="0" w:line="360" w:lineRule="auto"/>
        <w:ind w:firstLine="709"/>
        <w:jc w:val="both"/>
        <w:rPr>
          <w:rFonts w:ascii="Times New Roman" w:eastAsia="Times New Roman" w:hAnsi="Times New Roman" w:cs="Times New Roman"/>
          <w:color w:val="000000"/>
          <w:sz w:val="28"/>
          <w:szCs w:val="28"/>
          <w:lang w:eastAsia="uk-UA" w:bidi="uk-UA"/>
        </w:rPr>
      </w:pPr>
    </w:p>
    <w:p w14:paraId="2FE6B753" w14:textId="77777777" w:rsidR="00471728" w:rsidRDefault="006415EC">
      <w:pPr>
        <w:spacing w:after="0" w:line="360" w:lineRule="auto"/>
        <w:ind w:firstLine="709"/>
        <w:jc w:val="center"/>
        <w:rPr>
          <w:rFonts w:ascii="Times New Roman" w:eastAsia="Arial" w:hAnsi="Times New Roman" w:cs="Times New Roman"/>
          <w:b/>
          <w:sz w:val="28"/>
          <w:szCs w:val="28"/>
        </w:rPr>
      </w:pPr>
      <w:r>
        <w:rPr>
          <w:rFonts w:ascii="Times New Roman" w:eastAsia="Arial" w:hAnsi="Times New Roman" w:cs="Times New Roman"/>
          <w:b/>
          <w:sz w:val="28"/>
          <w:szCs w:val="28"/>
        </w:rPr>
        <w:lastRenderedPageBreak/>
        <w:t>ВИСНОВКИ</w:t>
      </w:r>
    </w:p>
    <w:p w14:paraId="2FE6B754" w14:textId="77777777" w:rsidR="00471728" w:rsidRDefault="00471728">
      <w:pPr>
        <w:spacing w:after="0" w:line="360" w:lineRule="auto"/>
        <w:ind w:firstLine="709"/>
        <w:jc w:val="both"/>
        <w:rPr>
          <w:rFonts w:ascii="Times New Roman" w:eastAsia="Arial" w:hAnsi="Times New Roman" w:cs="Times New Roman"/>
          <w:b/>
          <w:sz w:val="28"/>
          <w:szCs w:val="28"/>
        </w:rPr>
      </w:pPr>
    </w:p>
    <w:p w14:paraId="2FE6B755"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Управлінська діяльність представляє собою системний процес, який об’єднує дії, спрямовані на планування, організацію, мотивацію та контроль задля досягнення визначених цілей організації. Вона передбачає цілеспрямовану взаємодію між суб’єктом і об’єктом управління, де центральне місце посідає робота з людьми, організація їхньої професійної діяльності, ефективне використання ресурсів та узгодження спільних зусиль для досягнення результату.</w:t>
      </w:r>
    </w:p>
    <w:p w14:paraId="2FE6B756"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У медичних закладах виділяють три рівні управління: стратегічний, тактичний та оперативний.</w:t>
      </w:r>
      <w:r>
        <w:rPr>
          <w:rFonts w:ascii="Arial" w:eastAsia="Arial" w:hAnsi="Arial" w:cs="Arial"/>
          <w:color w:val="000000"/>
          <w:szCs w:val="24"/>
          <w:lang w:eastAsia="uk-UA" w:bidi="uk-UA"/>
        </w:rPr>
        <w:t xml:space="preserve"> </w:t>
      </w:r>
      <w:r>
        <w:rPr>
          <w:rFonts w:ascii="Times New Roman" w:eastAsia="Times New Roman" w:hAnsi="Times New Roman" w:cs="Times New Roman"/>
          <w:color w:val="000000"/>
          <w:sz w:val="28"/>
          <w:szCs w:val="24"/>
          <w:lang w:eastAsia="uk-UA" w:bidi="uk-UA"/>
        </w:rPr>
        <w:t>На стратегічному рівні лежить відповідальність за наслідки прийнятих рішень, що визначають успіх організації у майбутньому. Тактичний рівень відповідальний за оптимальний розподіл наявних ресурсів згідно обраної стратегії, організацію та здійснення контролю за досягненням поточних результатів за окремими напрямками діяльності установи. Оперативний рівень спрямований на забезпечення найбільш ефективного виконання усіх виробничих процесів в окремих підрозділах відповідно з технологією та оптимальним використанням ресурсів.</w:t>
      </w:r>
    </w:p>
    <w:p w14:paraId="2FE6B757"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У менеджменті прийнято види управлінської діяльності називати функціями управління чи функціями менеджменту. Загальні функції управління притаманні суб’єктам управління будь-якого рівня. До них відносяться: планування, організація, координація, мотивація та контроль. Логічна послідовність управлінських функцій, поряд з рішеннями та комунікаціями утворюють єдиний процес управління.</w:t>
      </w:r>
    </w:p>
    <w:p w14:paraId="2FE6B758"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Одне з головних місць належить формуванню, ухваленню та реалізації управлінських рішень, які є ключовим інструментом впливу керівника.</w:t>
      </w:r>
      <w:r>
        <w:rPr>
          <w:rFonts w:ascii="Arial" w:eastAsia="Arial" w:hAnsi="Arial" w:cs="Arial"/>
          <w:color w:val="000000"/>
          <w:szCs w:val="24"/>
          <w:lang w:eastAsia="uk-UA" w:bidi="uk-UA"/>
        </w:rPr>
        <w:t xml:space="preserve"> </w:t>
      </w:r>
      <w:r>
        <w:rPr>
          <w:rFonts w:ascii="Times New Roman" w:eastAsia="Times New Roman" w:hAnsi="Times New Roman" w:cs="Times New Roman"/>
          <w:color w:val="000000"/>
          <w:sz w:val="28"/>
          <w:szCs w:val="24"/>
          <w:lang w:eastAsia="uk-UA" w:bidi="uk-UA"/>
        </w:rPr>
        <w:t xml:space="preserve">Процеси ухвалення управлінських рішень посідають провідне місце у системі менеджменту, оскільки саме вони визначають зміст управлінської діяльності та безпосередньо впливають на її кінцеві результати. </w:t>
      </w:r>
    </w:p>
    <w:p w14:paraId="2FE6B759"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 xml:space="preserve">Управлінське рішення - це результат аналізу, прогнозування, </w:t>
      </w:r>
      <w:r>
        <w:rPr>
          <w:rFonts w:ascii="Times New Roman" w:eastAsia="Times New Roman" w:hAnsi="Times New Roman" w:cs="Times New Roman"/>
          <w:color w:val="000000"/>
          <w:sz w:val="28"/>
          <w:szCs w:val="24"/>
          <w:lang w:eastAsia="uk-UA" w:bidi="uk-UA"/>
        </w:rPr>
        <w:lastRenderedPageBreak/>
        <w:t>оптимізації, економічного обґрунтування та вибору з безлічі варіантів альтернативних, найефективніших для досягнення заданої мети, який здійснений керівником закладу у межах його компетенції та службових повноважень. Мета управлінського рішення - забезпечення досягнення поставлених перед закладом завдань. Під ефективним управлінським рішенням розуміється    альтернатива, що дозволяє досягти поставленої мети найбільш економічним способом.</w:t>
      </w:r>
    </w:p>
    <w:p w14:paraId="2FE6B75A" w14:textId="77777777" w:rsidR="00471728" w:rsidRDefault="006415EC">
      <w:pPr>
        <w:widowControl w:val="0"/>
        <w:pBdr>
          <w:top w:val="none" w:sz="4" w:space="0" w:color="000000"/>
          <w:left w:val="none" w:sz="4" w:space="0" w:color="000000"/>
          <w:bottom w:val="none" w:sz="4" w:space="0" w:color="000000"/>
          <w:right w:val="none" w:sz="4" w:space="0" w:color="000000"/>
        </w:pBdr>
        <w:tabs>
          <w:tab w:val="left" w:pos="993"/>
        </w:tabs>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Комплексний характер управлінського рішення вимагає розуміння його сутності в контексті його основних аспектів: економічного,  соціального, психологічного, інформаційного, юридичного та організаційного.</w:t>
      </w:r>
    </w:p>
    <w:p w14:paraId="2FE6B75B" w14:textId="77777777" w:rsidR="00471728" w:rsidRDefault="006415EC">
      <w:pPr>
        <w:widowControl w:val="0"/>
        <w:pBdr>
          <w:top w:val="none" w:sz="4" w:space="0" w:color="000000"/>
          <w:left w:val="none" w:sz="4" w:space="0" w:color="000000"/>
          <w:bottom w:val="none" w:sz="4" w:space="0" w:color="000000"/>
          <w:right w:val="none" w:sz="4" w:space="0" w:color="000000"/>
        </w:pBdr>
        <w:tabs>
          <w:tab w:val="left" w:pos="993"/>
        </w:tabs>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Управлінські рішення з огляду на широку та багатогранну сферу застосування можуть бути класифіковані різними способами залежно від класифікаційних ознак. Кожному виду управлінського рішення притаманні свої специфічні особливості.</w:t>
      </w:r>
    </w:p>
    <w:p w14:paraId="2FE6B75C"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Багаточисленні негативні тенденції воєнного часу відбиваються на ефективності та стабільності функціонування медичної галузі, тому об’єктом управлінських рішень у медичному закладі можуть виступати різноманітні процеси та явища, що виникають у ході його господарської діяльності. Особливу увагу слід приділити питанню нормативно-правового забезпечення галузі охорони здоров’я, причому доцільно виокремити, по-перше, питання функціонування медичного закладу в цілому, по-друге, питання окремих напрямів функціональної діяльності, а саме: фінансування медичного закладу, питання прозорого та ефективного використання фінансових ресурсів, забезпечення соціального та правового захисту медичних працівників, впровадження уніфікованих протоколів лікування, а також організація ведення пацієнтської документації з одночасним використанням паперових і електронних форматів.</w:t>
      </w:r>
    </w:p>
    <w:p w14:paraId="2FE6B75D" w14:textId="77777777"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Microsoft YaHei" w:eastAsia="Microsoft YaHei" w:hAnsi="Microsoft YaHei" w:cs="Microsoft YaHei"/>
          <w:color w:val="000000"/>
          <w:sz w:val="24"/>
          <w:szCs w:val="24"/>
          <w:lang w:eastAsia="uk-UA" w:bidi="uk-UA"/>
        </w:rPr>
      </w:pPr>
      <w:r>
        <w:rPr>
          <w:rFonts w:ascii="Times New Roman" w:eastAsia="Times New Roman" w:hAnsi="Times New Roman" w:cs="Times New Roman"/>
          <w:color w:val="000000"/>
          <w:sz w:val="28"/>
          <w:szCs w:val="24"/>
          <w:lang w:eastAsia="uk-UA" w:bidi="uk-UA"/>
        </w:rPr>
        <w:t xml:space="preserve">Сучасними інструментами, що дозволяють закладам охорони здоров’я ухвалювати обґрунтовані управлінські рішення щодо фінансування своєї діяльності та застосовувати аналітичні підходи для зростання </w:t>
      </w:r>
      <w:r>
        <w:rPr>
          <w:rFonts w:ascii="Times New Roman" w:eastAsia="Times New Roman" w:hAnsi="Times New Roman" w:cs="Times New Roman"/>
          <w:color w:val="000000"/>
          <w:sz w:val="28"/>
          <w:szCs w:val="24"/>
          <w:lang w:eastAsia="uk-UA" w:bidi="uk-UA"/>
        </w:rPr>
        <w:lastRenderedPageBreak/>
        <w:t>результативності надання медичних послуг, стали запровадження механізмів співпраці з НСЗУ, виконання програми «Доступні ліки», впровадження e-Health, реформування систем первинної та спеціалізованої медичної допомоги.</w:t>
      </w:r>
    </w:p>
    <w:p w14:paraId="2FE6B75E" w14:textId="6B2E90CE" w:rsidR="00471728" w:rsidRDefault="006415EC">
      <w:pPr>
        <w:widowControl w:val="0"/>
        <w:pBdr>
          <w:top w:val="none" w:sz="4" w:space="0" w:color="000000"/>
          <w:left w:val="none" w:sz="4" w:space="0" w:color="000000"/>
          <w:bottom w:val="none" w:sz="4" w:space="0" w:color="000000"/>
          <w:right w:val="none" w:sz="4" w:space="0" w:color="000000"/>
        </w:pBdr>
        <w:spacing w:after="0" w:line="360" w:lineRule="auto"/>
        <w:ind w:firstLine="709"/>
        <w:jc w:val="both"/>
        <w:rPr>
          <w:rFonts w:ascii="Times New Roman" w:eastAsia="Times New Roman" w:hAnsi="Times New Roman" w:cs="Times New Roman"/>
          <w:color w:val="000000"/>
          <w:sz w:val="28"/>
          <w:szCs w:val="24"/>
          <w:lang w:eastAsia="uk-UA" w:bidi="uk-UA"/>
        </w:rPr>
      </w:pPr>
      <w:r>
        <w:rPr>
          <w:rFonts w:ascii="Times New Roman" w:eastAsia="Times New Roman" w:hAnsi="Times New Roman" w:cs="Times New Roman"/>
          <w:color w:val="000000"/>
          <w:sz w:val="28"/>
          <w:szCs w:val="24"/>
          <w:lang w:eastAsia="uk-UA" w:bidi="uk-UA"/>
        </w:rPr>
        <w:t>Ухвалення управлінських рішень у воєнний час перетворюється на процес, спрямований на оперативне реагування, досягнення максимальної ефективності та забезпечення захисту здоров’я населення в умовах постійної нестабільності.</w:t>
      </w:r>
    </w:p>
    <w:p w14:paraId="50B8ADD1" w14:textId="1F2B2129"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Дослідження системи управління медичним закладом здійснено на прикладі Комунального некомерційного підприємства «Міська клінічна лікарня №10» Одеської міської ради, що набуває свій розвиток як кластерна опорна багатопрофільна лікарня інтенсивного лікування. Сьогодні лікарня представляє собою заклад, спроможний надавати 15 сервісів.</w:t>
      </w:r>
    </w:p>
    <w:p w14:paraId="57F11074"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Організація управління КНП «МКЛ №10 ОМР визначається через його певну місію, цілі та завдання.</w:t>
      </w:r>
    </w:p>
    <w:p w14:paraId="561110B3"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Виходячи з місії та цінностей КНП «МКЛ №10» ОМР, основними стратегічними напрямками діяльності є:</w:t>
      </w:r>
    </w:p>
    <w:p w14:paraId="67BA85B5"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забезпечення фінансової стабільності та стійкості закладу;</w:t>
      </w:r>
    </w:p>
    <w:p w14:paraId="79A8530E"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 забезпечення доступності та якості медичних послуг; </w:t>
      </w:r>
    </w:p>
    <w:p w14:paraId="49874C47"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формування та розвиток команди висококваліфікованих кадрів;</w:t>
      </w:r>
    </w:p>
    <w:p w14:paraId="668613EF"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забезпечення ефективного менеджменту, зокрема контролю якості надання медичних послуг.</w:t>
      </w:r>
    </w:p>
    <w:p w14:paraId="40B7B75A"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Водночас саме у сфері охорони здоров’я виняткове значення мають комунікації, оскільки ефективне використання комунікаційних інструментів сприяє досягненню низки ключових цілей.</w:t>
      </w:r>
      <w:r w:rsidRPr="00300158">
        <w:rPr>
          <w:rFonts w:ascii="Arial" w:eastAsia="Arial" w:hAnsi="Arial" w:cs="Times New Roman"/>
        </w:rPr>
        <w:t xml:space="preserve"> </w:t>
      </w:r>
      <w:r w:rsidRPr="00300158">
        <w:rPr>
          <w:rFonts w:ascii="Times New Roman" w:eastAsia="Arial" w:hAnsi="Times New Roman" w:cs="Times New Roman"/>
          <w:sz w:val="28"/>
          <w:szCs w:val="28"/>
        </w:rPr>
        <w:t>З метою створення належної комунікаційної стратегії КНП «МКЛ №10» ОМР та впровадження ефективних заходів у закладі створено відділ безпеки, безпеки інформації та комунікацій, який підпорядкований заступнику генерального директора з розвитку та загальних питань.</w:t>
      </w:r>
    </w:p>
    <w:p w14:paraId="6301D760"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lastRenderedPageBreak/>
        <w:t>У закладі впроваджено цілісну систему управління та контролю якості й безпеки медичної діяльності, побудовану відповідно до вимог чинного законодавства. Її функціонування ґрунтується на безперервному моніторингу індикаторів і критеріїв, що відображають доступність, якість та безпечність медичної допомоги за відповідними напрямами. Такий підхід забезпечує ефективне управління процесами у КНП «МКЛ №10» ОМР і гарантує пацієнтам отримання медичної допомоги належного обсягу та високої якості.</w:t>
      </w:r>
    </w:p>
    <w:p w14:paraId="58B07C5A"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КНП «МКЛ №10» ОМР надає медичну допомогу постраждалим внаслідок військової агресії Російської Федерації проти України.</w:t>
      </w:r>
      <w:r w:rsidRPr="00300158">
        <w:rPr>
          <w:rFonts w:ascii="Arial" w:eastAsia="Arial" w:hAnsi="Arial" w:cs="Times New Roman"/>
        </w:rPr>
        <w:t xml:space="preserve"> </w:t>
      </w:r>
      <w:r w:rsidRPr="00300158">
        <w:rPr>
          <w:rFonts w:ascii="Times New Roman" w:eastAsia="Arial" w:hAnsi="Times New Roman" w:cs="Times New Roman"/>
          <w:sz w:val="28"/>
          <w:szCs w:val="28"/>
        </w:rPr>
        <w:t xml:space="preserve">Станом на теперішній час у КНП «МКЛ №10» ОМР проліковано більше 3000 пацієнтів - військовослужбовців ЗСУ. </w:t>
      </w:r>
    </w:p>
    <w:p w14:paraId="059F79EA"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Для оперативного реагування при надзвичайних станах у КНП «МКЛ №10» розроблено план реагування на надзвичайні стани, проведені тренінги з навчання персоналу при масовому надходженні, правила поводження персоналу у разі об’явлення сигналу «Повітряна тривога». </w:t>
      </w:r>
    </w:p>
    <w:p w14:paraId="5214CB17"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Заклад підготовлено до функціонування в умовах режиму воєнного стану: створені найпростіші укриття в підвальних приміщеннях корпусу літ. «П» та «Е» та «Д» задля забезпечення належних умов перебування пацієнтів та персоналу під час сигналів повітряної тривоги, створені умови у разі необхідності проведення оперативної діяльності та лікувально-діагностичних заходів під час перебування в укриттях, у разі довготривалого відключення від енергоресурсу та блекаутів на території лікарень Одеської територіальної громади проведено роботи з влаштування джерел артезіанського водопостачання.</w:t>
      </w:r>
    </w:p>
    <w:p w14:paraId="02C01D55"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Оцінка основних показників діяльності КНП «МКЛ №10» ОМР та напрями його подальшого розвитку здійснена за допомогою SWOT-аналізу, який дозволяє визначити сильні та слабкі сторони закладу, а також наявні можливості й потенційні загрози.</w:t>
      </w:r>
    </w:p>
    <w:p w14:paraId="1F31EF8B"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Аналіз основних виробничих показників закладу дозволив дійти висновку про позитивну динаміку напруженості виробничої діяльності, </w:t>
      </w:r>
      <w:r w:rsidRPr="00300158">
        <w:rPr>
          <w:rFonts w:ascii="Times New Roman" w:eastAsia="Arial" w:hAnsi="Times New Roman" w:cs="Times New Roman"/>
          <w:sz w:val="28"/>
          <w:szCs w:val="28"/>
        </w:rPr>
        <w:lastRenderedPageBreak/>
        <w:t>зокрема щорічну тенденцію щодо збільшення кількості госпіталізованих пацієнтів, оптимізацію середнього ліжко-дня та госпітальну летальність, збільшення кількості та видів діагностичних та ургентних і планових втручань тощо, що прогнозовано збільшує кількість лікувальних епізодів та виконання договорів з НСЗУ, і, відповідно, фінансування закладу.</w:t>
      </w:r>
    </w:p>
    <w:p w14:paraId="59BF5AAC"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Комунальне некомерційне підприємство «Міська клінічна лікарня №10» Одеської міської ради уклало договір з Національною Службою Здоров’я України про медичне обслуговування населення за програмою державних гарантій. Протягом 2025 року у закладі надаються безкоштовні медичні послуги згідно умов, специфікації та вимог програми державних гарантій за наступними напрямками</w:t>
      </w:r>
    </w:p>
    <w:p w14:paraId="1D066BA7"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Завдяки організаційно-управлінським рішенням та ефективному менеджменту КНП «МКЛ №10» ОМР має потенціал та можливості розвитку як кластерна лікарня - багатопрофільний опорний заклад охорони здоров’я на принципах організації спроможної мережі спеціалізованих медичних закладів, зокрема з організації медичної допомоги у надзвичайних станах та масовому надходженні пацієнтів, в т.ч. медичної допомоги постраждалих внаслідок військової агресії російської федерації проти України.</w:t>
      </w:r>
    </w:p>
    <w:p w14:paraId="1A5CA01D"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Таким чином, ефективні організаційно-управлінські технологічної рішення керівництва КНП «МКЛ №10» ОМР дозволили досягнути вимог лікарні інтенсивного лікування - опорного закладу госпітального округу Одеської області. Проте, щодо відповідності вимогам кластерної лікарні, необхідні наступні заходи: </w:t>
      </w:r>
    </w:p>
    <w:p w14:paraId="6E774615"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 впровадження перинатальної служби закладу; </w:t>
      </w:r>
    </w:p>
    <w:p w14:paraId="70C893C1"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розвиток надання медичної допомоги пацієнтам дитячого віку;</w:t>
      </w:r>
    </w:p>
    <w:p w14:paraId="59D94454"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 посилення реабілітаційної служби закладу; </w:t>
      </w:r>
    </w:p>
    <w:p w14:paraId="7F1F3609"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 посилення паліативної служби закладу; </w:t>
      </w:r>
    </w:p>
    <w:p w14:paraId="6B68EA35"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встановлення відповідності служб до сучасних медико-технологічних стандартів (лабораторна служба, гістологічна служба, мікробіологічна служба);</w:t>
      </w:r>
    </w:p>
    <w:p w14:paraId="32EDE5AC"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lastRenderedPageBreak/>
        <w:t>- впровадження нових та розвиток щойно створених служб, їх медико- технологічних стратегій (офтальмологічна служба, ЛОР-служба, репродуктивна служба, щелепно-лицьова служба, служба реабілітації, зокрема новонароджених, паліативна служба).</w:t>
      </w:r>
    </w:p>
    <w:p w14:paraId="30A84D43"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У діяльності сучасного керівника функції управління тісно пов’язані між собою, причому кожна пов’язана з необхідністю приймати рішення на користь досягнення цілей, що стоять перед закладом.</w:t>
      </w:r>
      <w:r w:rsidRPr="00300158">
        <w:rPr>
          <w:rFonts w:ascii="Arial" w:eastAsia="Arial" w:hAnsi="Arial" w:cs="Times New Roman"/>
        </w:rPr>
        <w:t xml:space="preserve"> </w:t>
      </w:r>
      <w:r w:rsidRPr="00300158">
        <w:rPr>
          <w:rFonts w:ascii="Times New Roman" w:eastAsia="Arial" w:hAnsi="Times New Roman" w:cs="Times New Roman"/>
          <w:sz w:val="28"/>
          <w:szCs w:val="28"/>
        </w:rPr>
        <w:t>Управлінські рішення характеризуються масштабністю (охоплюють широке коло людей), психологічною специфікою та фінансовими наслідками.</w:t>
      </w:r>
    </w:p>
    <w:p w14:paraId="43A8D131"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Вибір управлінського рішення неоднозначний, багато в чому залежить від особливостей «особистісного профілю» (сукупність якостей людини), менталітету, культурних відмінностей, що формує переваги у процесі управління різних країнах.</w:t>
      </w:r>
      <w:r w:rsidRPr="00300158">
        <w:rPr>
          <w:rFonts w:ascii="Arial" w:eastAsia="Arial" w:hAnsi="Arial" w:cs="Times New Roman"/>
        </w:rPr>
        <w:t xml:space="preserve"> </w:t>
      </w:r>
      <w:r w:rsidRPr="00300158">
        <w:rPr>
          <w:rFonts w:ascii="Times New Roman" w:eastAsia="Arial" w:hAnsi="Times New Roman" w:cs="Times New Roman"/>
          <w:sz w:val="28"/>
          <w:szCs w:val="28"/>
        </w:rPr>
        <w:t>Ефективність управлінських рішень залежить також від психосоціотипу, статі та віку керівника.</w:t>
      </w:r>
      <w:r w:rsidRPr="00300158">
        <w:rPr>
          <w:rFonts w:ascii="Arial" w:eastAsia="Arial" w:hAnsi="Arial" w:cs="Times New Roman"/>
        </w:rPr>
        <w:t xml:space="preserve"> </w:t>
      </w:r>
      <w:r w:rsidRPr="00300158">
        <w:rPr>
          <w:rFonts w:ascii="Times New Roman" w:eastAsia="Arial" w:hAnsi="Times New Roman" w:cs="Times New Roman"/>
          <w:sz w:val="28"/>
          <w:szCs w:val="28"/>
        </w:rPr>
        <w:t xml:space="preserve">Індивідуальні, розумові особливості, вік та стать управлінця впливають на тип прийняття рішень в умовах визначеності, невизначеності та ризику. </w:t>
      </w:r>
    </w:p>
    <w:p w14:paraId="3E6E1413"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Від особистісної системи цінностей залежить поведінка та дії керівника медичного закладу, безпосередній вплив на характер прийнятих ним рішень. Дуже важливими є такі особистісні риси, як: організаційна культура керівника, управлінські творчі здібності, індивідуальне мислення, професійний управлінський досвід, вміння доводити розпочату справу до кінця, психологічний стан, поведінкові обмеження особистісного характеру (ставлення до ризику, здатність до передбачення, вміння впливати на інших людей та співпрацювати з ними), освіта, досвід керівника (теоретичні знання, життєвий досвід, стереотипи, стандарти, що виправдали себе у минулому).</w:t>
      </w:r>
    </w:p>
    <w:p w14:paraId="2004FD7D"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Дослідження останніх десятиліть дозволили виявити 4 стилі прийняття рішень: директивний, аналітичний, концептуальний та поведінковий.</w:t>
      </w:r>
    </w:p>
    <w:p w14:paraId="7A7D5D0D"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Найважливішим етапом управлінського рішення є виявлення управлінської проблеми. Умовно управлінські проблеми можна поділити на </w:t>
      </w:r>
      <w:r w:rsidRPr="00300158">
        <w:rPr>
          <w:rFonts w:ascii="Times New Roman" w:eastAsia="Arial" w:hAnsi="Times New Roman" w:cs="Times New Roman"/>
          <w:sz w:val="28"/>
          <w:szCs w:val="28"/>
        </w:rPr>
        <w:lastRenderedPageBreak/>
        <w:t>три категорії: відхилення від запланованої норми; ситуації ймовірного ризику, загрози;</w:t>
      </w:r>
      <w:r w:rsidRPr="00300158">
        <w:rPr>
          <w:rFonts w:ascii="Arial" w:eastAsia="Arial" w:hAnsi="Arial" w:cs="Times New Roman"/>
        </w:rPr>
        <w:t xml:space="preserve"> </w:t>
      </w:r>
      <w:r w:rsidRPr="00300158">
        <w:rPr>
          <w:rFonts w:ascii="Times New Roman" w:eastAsia="Arial" w:hAnsi="Times New Roman" w:cs="Times New Roman"/>
          <w:sz w:val="28"/>
          <w:szCs w:val="28"/>
        </w:rPr>
        <w:t>ситуації потенційної можливості.</w:t>
      </w:r>
    </w:p>
    <w:p w14:paraId="3667C837"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Можливості ефективного управління керівника обмежені завантаженістю фінансовими питаннями, впливом зовнішнього середовища, взаємозалежністю факторів внутрішнього середовища організації.</w:t>
      </w:r>
    </w:p>
    <w:p w14:paraId="4678AFA3"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Особливу роль в процесі реалізації управлінського рішення відіграє доведення прийнятих рішень до виконавців, тому керівник повинен належну увагу приділити кадровому менеджменту.</w:t>
      </w:r>
    </w:p>
    <w:p w14:paraId="1EF6C8E6"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Таким чином, складність прийняття та реалізації ефективного управлінського рішення у сучасній охороні здоров’я зростає. Разом з тим, зростає й відповідальність керівників соціальної сфери, зростають вимоги до їхньої управлінської культури.</w:t>
      </w:r>
    </w:p>
    <w:p w14:paraId="7C85DA5F" w14:textId="77777777" w:rsidR="00300158" w:rsidRPr="00300158" w:rsidRDefault="00300158" w:rsidP="00300158">
      <w:pPr>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У КНП «МКЛ №10» ОМР на основі відповідного управлінського рішення було створено робочу групу з формування структури та штатного розпису кластерного закладу охорони здоров’я. За результатами роботи визначено наступні напрямки розвитку лікарні:</w:t>
      </w:r>
    </w:p>
    <w:p w14:paraId="36175EE8"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1.</w:t>
      </w:r>
      <w:r w:rsidRPr="00300158">
        <w:rPr>
          <w:rFonts w:ascii="Times New Roman" w:eastAsia="Arial" w:hAnsi="Times New Roman" w:cs="Times New Roman"/>
          <w:sz w:val="28"/>
          <w:szCs w:val="28"/>
        </w:rPr>
        <w:tab/>
        <w:t xml:space="preserve">Впровадження мінімального (базового) переліку медичних напрямів надання медичної допомоги населення, властивого для кластерного закладу охорони здоров’я. </w:t>
      </w:r>
    </w:p>
    <w:p w14:paraId="39A0AF71"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2.</w:t>
      </w:r>
      <w:r w:rsidRPr="00300158">
        <w:rPr>
          <w:rFonts w:ascii="Times New Roman" w:eastAsia="Arial" w:hAnsi="Times New Roman" w:cs="Times New Roman"/>
          <w:sz w:val="28"/>
          <w:szCs w:val="28"/>
        </w:rPr>
        <w:tab/>
        <w:t>Збереження існуючого потенціалу та забезпечення подальшого розвитку напрямків надання медичної допомоги, що не регламентовані базовим переліком у кластерній лікарні, проте вже здобули розвитку у КНП «МКЛ №10» ОМР.</w:t>
      </w:r>
    </w:p>
    <w:p w14:paraId="64774EA0"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3.</w:t>
      </w:r>
      <w:r w:rsidRPr="00300158">
        <w:rPr>
          <w:rFonts w:ascii="Times New Roman" w:eastAsia="Arial" w:hAnsi="Times New Roman" w:cs="Times New Roman"/>
          <w:sz w:val="28"/>
          <w:szCs w:val="28"/>
        </w:rPr>
        <w:tab/>
        <w:t>Розвиток нових медичних напрямків та подальший розвиток сучасних технологій в рамках існуючої потреби у Одеській територіальній громаді за наявному джерелу фінансування (НСЗУ).</w:t>
      </w:r>
    </w:p>
    <w:p w14:paraId="50104264"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 xml:space="preserve">В результаті проведеної інфраструктурної реформи закладу КНП «МКЛ №10» ОМР отримало можливість функціонувати як повноцінна кластерна лікарня з надання медичної допомоги за всіма мінімальними базовими напрямами, збереже потенціал існуючих спеціалізованих напрямків та набуло </w:t>
      </w:r>
      <w:r w:rsidRPr="00300158">
        <w:rPr>
          <w:rFonts w:ascii="Times New Roman" w:eastAsia="Arial" w:hAnsi="Times New Roman" w:cs="Times New Roman"/>
          <w:sz w:val="28"/>
          <w:szCs w:val="28"/>
        </w:rPr>
        <w:lastRenderedPageBreak/>
        <w:t>перспективи розвитку за сучасними новими напрямами надання медичної допомоги, забезпечило відповідність до встановлених чинним законодавством вимог до кластерного закладу охорони здоров’я.</w:t>
      </w:r>
    </w:p>
    <w:p w14:paraId="1ACFD03F"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Враховуючи стратегічні тенденції розвитку, існуючі можливості та інновації, побудовані на детальному аналізі SWOT-деталей, можна виділити наступні передумови розвитку:</w:t>
      </w:r>
    </w:p>
    <w:p w14:paraId="3174B32A"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1.</w:t>
      </w:r>
      <w:r w:rsidRPr="00300158">
        <w:rPr>
          <w:rFonts w:ascii="Times New Roman" w:eastAsia="Arial" w:hAnsi="Times New Roman" w:cs="Times New Roman"/>
          <w:sz w:val="28"/>
          <w:szCs w:val="28"/>
        </w:rPr>
        <w:tab/>
        <w:t>Подальший розвиток госпітального кластеру, розвиток закладу як кластерної лікарні спроможної мережі Одеського госпітального округу.</w:t>
      </w:r>
    </w:p>
    <w:p w14:paraId="650A2786"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2.</w:t>
      </w:r>
      <w:r w:rsidRPr="00300158">
        <w:rPr>
          <w:rFonts w:ascii="Times New Roman" w:eastAsia="Arial" w:hAnsi="Times New Roman" w:cs="Times New Roman"/>
          <w:sz w:val="28"/>
          <w:szCs w:val="28"/>
        </w:rPr>
        <w:tab/>
        <w:t>Забезпечення фінансової спроможності та сталого функціонування закладу через оптимізацію господарчої медичної, управлінської, комунікаційної стратегічної та інноваційної діяльності.</w:t>
      </w:r>
    </w:p>
    <w:p w14:paraId="519B34A4"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3.</w:t>
      </w:r>
      <w:r w:rsidRPr="00300158">
        <w:rPr>
          <w:rFonts w:ascii="Times New Roman" w:eastAsia="Arial" w:hAnsi="Times New Roman" w:cs="Times New Roman"/>
          <w:sz w:val="28"/>
          <w:szCs w:val="28"/>
        </w:rPr>
        <w:tab/>
        <w:t>Дотримання виконання місії, цілі та завдань закладу, через забезпечення пацієнт-орієнтованого підходу закладу, дотримання принципів безбар’єрності та пацієнтоцентричної моделі надання медичних послуг.</w:t>
      </w:r>
    </w:p>
    <w:p w14:paraId="4A3F662C"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4.</w:t>
      </w:r>
      <w:r w:rsidRPr="00300158">
        <w:rPr>
          <w:rFonts w:ascii="Times New Roman" w:eastAsia="Arial" w:hAnsi="Times New Roman" w:cs="Times New Roman"/>
          <w:sz w:val="28"/>
          <w:szCs w:val="28"/>
        </w:rPr>
        <w:tab/>
        <w:t>Забезпечення прозорого розвитку закладу за певною стратегію шляхом стратегічного планування із погодженням засновника закладу та дотримання чинного законодавства.</w:t>
      </w:r>
    </w:p>
    <w:p w14:paraId="7D3F83B7"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5.</w:t>
      </w:r>
      <w:r w:rsidRPr="00300158">
        <w:rPr>
          <w:rFonts w:ascii="Times New Roman" w:eastAsia="Arial" w:hAnsi="Times New Roman" w:cs="Times New Roman"/>
          <w:sz w:val="28"/>
          <w:szCs w:val="28"/>
        </w:rPr>
        <w:tab/>
        <w:t>Створення наглядової ради на виконання наказу МОЗ України від 21 листопада 2023 р. № 1221 «Про наглядову раду закладу охорони здоров’я».</w:t>
      </w:r>
    </w:p>
    <w:p w14:paraId="08AD0C9A" w14:textId="77777777" w:rsidR="00300158" w:rsidRPr="00300158" w:rsidRDefault="00300158" w:rsidP="00300158">
      <w:pPr>
        <w:tabs>
          <w:tab w:val="left" w:pos="993"/>
        </w:tabs>
        <w:spacing w:after="0" w:line="360" w:lineRule="auto"/>
        <w:ind w:firstLine="709"/>
        <w:jc w:val="both"/>
        <w:rPr>
          <w:rFonts w:ascii="Times New Roman" w:eastAsia="Arial" w:hAnsi="Times New Roman" w:cs="Times New Roman"/>
          <w:sz w:val="28"/>
          <w:szCs w:val="28"/>
        </w:rPr>
      </w:pPr>
      <w:r w:rsidRPr="00300158">
        <w:rPr>
          <w:rFonts w:ascii="Times New Roman" w:eastAsia="Arial" w:hAnsi="Times New Roman" w:cs="Times New Roman"/>
          <w:sz w:val="28"/>
          <w:szCs w:val="28"/>
        </w:rPr>
        <w:t>6. Подальша розробка та втілення інноваційних проектів у розвиток закладу, що демонструють інвестиційну привабливість та перспективність розвитку КНП «МКЛ №10» ОМР.</w:t>
      </w:r>
    </w:p>
    <w:p w14:paraId="0FD7A62F" w14:textId="6053AAF5" w:rsidR="00300158" w:rsidRDefault="00300158" w:rsidP="007C2BD3">
      <w:pPr>
        <w:tabs>
          <w:tab w:val="left" w:pos="993"/>
        </w:tabs>
        <w:spacing w:after="0" w:line="360" w:lineRule="auto"/>
        <w:ind w:firstLine="709"/>
        <w:jc w:val="both"/>
        <w:rPr>
          <w:rFonts w:ascii="Times New Roman" w:eastAsia="Arial" w:hAnsi="Times New Roman" w:cs="Times New Roman"/>
          <w:b/>
          <w:sz w:val="28"/>
          <w:szCs w:val="28"/>
        </w:rPr>
      </w:pPr>
      <w:r w:rsidRPr="00300158">
        <w:rPr>
          <w:rFonts w:ascii="Times New Roman" w:eastAsia="Arial" w:hAnsi="Times New Roman" w:cs="Times New Roman"/>
          <w:sz w:val="28"/>
          <w:szCs w:val="28"/>
        </w:rPr>
        <w:t>Аналіз основних аспектів діяльності КНП продемонстрував, що керівником закладу ведеться глибока, систематична та всеохоплююча робота з організації управління та розвитку лікарні, враховуючи необхідні стратегії та інновації для забезпечення сталого розвитку та щоденного функціонування КНП «МКЛ №10» ОМР.</w:t>
      </w:r>
      <w:r w:rsidR="007C2BD3">
        <w:rPr>
          <w:rFonts w:ascii="Times New Roman" w:eastAsia="Arial" w:hAnsi="Times New Roman" w:cs="Times New Roman"/>
          <w:sz w:val="28"/>
          <w:szCs w:val="28"/>
        </w:rPr>
        <w:t xml:space="preserve"> </w:t>
      </w:r>
      <w:r w:rsidRPr="00300158">
        <w:rPr>
          <w:rFonts w:ascii="Times New Roman" w:eastAsia="Arial" w:hAnsi="Times New Roman" w:cs="Times New Roman"/>
          <w:sz w:val="28"/>
          <w:szCs w:val="28"/>
        </w:rPr>
        <w:t xml:space="preserve">Керівником визначені певні стратегії та перспективи подальшого розвитку КНП, що забезпечуватиме сталий розвиток закладу </w:t>
      </w:r>
      <w:r w:rsidR="007C2BD3">
        <w:rPr>
          <w:rFonts w:ascii="Times New Roman" w:eastAsia="Arial" w:hAnsi="Times New Roman" w:cs="Times New Roman"/>
          <w:sz w:val="28"/>
          <w:szCs w:val="28"/>
        </w:rPr>
        <w:t xml:space="preserve">           </w:t>
      </w:r>
      <w:r w:rsidRPr="00300158">
        <w:rPr>
          <w:rFonts w:ascii="Times New Roman" w:eastAsia="Arial" w:hAnsi="Times New Roman" w:cs="Times New Roman"/>
          <w:sz w:val="28"/>
          <w:szCs w:val="28"/>
        </w:rPr>
        <w:t xml:space="preserve">з урахуванням інтересів працівників КНП «МКЛ №10» ОМР і його </w:t>
      </w:r>
      <w:r w:rsidR="007C2BD3">
        <w:rPr>
          <w:rFonts w:ascii="Times New Roman" w:eastAsia="Arial" w:hAnsi="Times New Roman" w:cs="Times New Roman"/>
          <w:sz w:val="28"/>
          <w:szCs w:val="28"/>
        </w:rPr>
        <w:t xml:space="preserve">              </w:t>
      </w:r>
      <w:r w:rsidRPr="00300158">
        <w:rPr>
          <w:rFonts w:ascii="Times New Roman" w:eastAsia="Arial" w:hAnsi="Times New Roman" w:cs="Times New Roman"/>
          <w:sz w:val="28"/>
          <w:szCs w:val="28"/>
        </w:rPr>
        <w:t>засновника - Одеську міську раду.</w:t>
      </w:r>
    </w:p>
    <w:p w14:paraId="2FE6B78B" w14:textId="150C319A" w:rsidR="00471728" w:rsidRDefault="006415EC">
      <w:pPr>
        <w:spacing w:after="0" w:line="360" w:lineRule="auto"/>
        <w:ind w:firstLine="709"/>
        <w:jc w:val="center"/>
        <w:rPr>
          <w:rFonts w:ascii="Times New Roman" w:eastAsia="Arial" w:hAnsi="Times New Roman" w:cs="Times New Roman"/>
          <w:b/>
          <w:sz w:val="28"/>
          <w:szCs w:val="28"/>
        </w:rPr>
      </w:pPr>
      <w:r>
        <w:rPr>
          <w:rFonts w:ascii="Times New Roman" w:eastAsia="Arial" w:hAnsi="Times New Roman" w:cs="Times New Roman"/>
          <w:b/>
          <w:sz w:val="28"/>
          <w:szCs w:val="28"/>
        </w:rPr>
        <w:lastRenderedPageBreak/>
        <w:t>СПИСОК ЛІТЕРАТУРИ</w:t>
      </w:r>
    </w:p>
    <w:p w14:paraId="2FE6B78C" w14:textId="77777777" w:rsidR="00471728" w:rsidRDefault="00471728">
      <w:pPr>
        <w:pStyle w:val="3"/>
        <w:pBdr>
          <w:top w:val="none" w:sz="4" w:space="0" w:color="000000"/>
          <w:left w:val="none" w:sz="4" w:space="0" w:color="000000"/>
          <w:bottom w:val="none" w:sz="4" w:space="0" w:color="000000"/>
          <w:right w:val="none" w:sz="4" w:space="0" w:color="000000"/>
        </w:pBdr>
        <w:shd w:val="clear" w:color="FFFFFF" w:fill="FFFFFF"/>
        <w:spacing w:before="0" w:after="0" w:line="360" w:lineRule="auto"/>
        <w:jc w:val="center"/>
        <w:rPr>
          <w:color w:val="auto"/>
        </w:rPr>
      </w:pPr>
    </w:p>
    <w:p w14:paraId="2FE6B78D" w14:textId="77777777" w:rsidR="00471728" w:rsidRDefault="006415EC">
      <w:pPr>
        <w:pStyle w:val="3"/>
        <w:pBdr>
          <w:top w:val="none" w:sz="4" w:space="0" w:color="000000"/>
          <w:left w:val="none" w:sz="4" w:space="0" w:color="000000"/>
          <w:bottom w:val="none" w:sz="4" w:space="0" w:color="000000"/>
          <w:right w:val="none" w:sz="4" w:space="0" w:color="000000"/>
        </w:pBdr>
        <w:shd w:val="clear" w:color="FFFFFF" w:fill="FFFFFF"/>
        <w:spacing w:before="0" w:after="0" w:line="360" w:lineRule="auto"/>
        <w:ind w:firstLine="709"/>
        <w:jc w:val="both"/>
        <w:rPr>
          <w:rFonts w:ascii="Times New Roman" w:hAnsi="Times New Roman" w:cs="Times New Roman"/>
          <w:color w:val="auto"/>
        </w:rPr>
      </w:pPr>
      <w:r>
        <w:rPr>
          <w:rFonts w:ascii="Times New Roman" w:eastAsia="Times New Roman" w:hAnsi="Times New Roman" w:cs="Times New Roman"/>
          <w:color w:val="auto"/>
        </w:rPr>
        <w:t xml:space="preserve">1. Алькема В. Теоретико-методичні засади прийняття рішень в розбудові системи управління закладом охорони здоров’я. Вчені записки Університету «КРОК». 2025. № 1(77). URL: </w:t>
      </w:r>
      <w:hyperlink r:id="rId20" w:tooltip="https://orcid.org/0000-0001-5997-7076" w:history="1">
        <w:r>
          <w:rPr>
            <w:rStyle w:val="afe"/>
            <w:rFonts w:ascii="Times New Roman" w:eastAsia="Times New Roman" w:hAnsi="Times New Roman" w:cs="Times New Roman"/>
            <w:color w:val="auto"/>
            <w:u w:val="none"/>
          </w:rPr>
          <w:t>https://orcid.org/0000-0001-5997-7076</w:t>
        </w:r>
      </w:hyperlink>
      <w:r>
        <w:rPr>
          <w:rStyle w:val="afe"/>
          <w:rFonts w:ascii="Times New Roman" w:eastAsia="Times New Roman" w:hAnsi="Times New Roman" w:cs="Times New Roman"/>
          <w:color w:val="auto"/>
          <w:u w:val="none"/>
        </w:rPr>
        <w:t xml:space="preserve">  </w:t>
      </w:r>
    </w:p>
    <w:p w14:paraId="2FE6B78E" w14:textId="77777777" w:rsidR="00471728" w:rsidRDefault="006415EC">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2. Стефанишин Л.С. Теоретико-методичні основи застосування партисипативного управління закладом охорони здоров’я. Держава та регіони. 2019 р., № 3 (108). С. 160-166. URL: </w:t>
      </w:r>
      <w:hyperlink r:id="rId21" w:tooltip="http://www.econom.stateandregions.zp.ua/journal/2019/3_2019/33.pdf" w:history="1">
        <w:r>
          <w:rPr>
            <w:rStyle w:val="afe"/>
            <w:rFonts w:ascii="Times New Roman" w:eastAsia="Times New Roman" w:hAnsi="Times New Roman" w:cs="Times New Roman"/>
            <w:color w:val="auto"/>
            <w:sz w:val="28"/>
            <w:szCs w:val="28"/>
            <w:u w:val="none"/>
          </w:rPr>
          <w:t>http://www.econom.stateandregions.zp.ua/journal/2019/3_2019/33.pdf</w:t>
        </w:r>
      </w:hyperlink>
    </w:p>
    <w:p w14:paraId="2FE6B78F"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3. Тодуров М. Теоретико-методичні засади розбудови системи управління закладами охорони здоров’я. Вчені записки Університету «КРОК». 2024. №  2(74). URL: </w:t>
      </w:r>
      <w:hyperlink r:id="rId22" w:tooltip="https://snku.krok.edu.ua/index.php/vcheni-zapiski-universitetu-krok/article/view/717" w:history="1">
        <w:r>
          <w:rPr>
            <w:rStyle w:val="afe"/>
            <w:rFonts w:ascii="Times New Roman" w:eastAsia="Times New Roman" w:hAnsi="Times New Roman" w:cs="Times New Roman"/>
            <w:color w:val="auto"/>
            <w:sz w:val="28"/>
            <w:szCs w:val="28"/>
            <w:u w:val="none"/>
          </w:rPr>
          <w:t xml:space="preserve">https://snku.krok.edu.ua/index.php/vcheni-zapiski-universitetu-krok/art4. icle/view/717     </w:t>
        </w:r>
      </w:hyperlink>
    </w:p>
    <w:p w14:paraId="2FE6B790"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4. Єрошкіна Т.В., Татаровський О.П., ПолішкоТ.М.,  Борисенко С.С. Основи менеджменту і маркетингу в медицині [Текст]: навч. посіб./ Т.В. Єрошкіна, О.П. Татаровський , Т.М. Полішко, С.С. Борисенко. Д.: РВВ ДНУ, 2012. 64с.</w:t>
      </w:r>
    </w:p>
    <w:p w14:paraId="2FE6B791"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Григорович В.Р.</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Удосконалення управлінських механізмів державної підтримки системи охорони здоров’я  в Україні. Електронний журнал «Державне управління: удосконалення та розвиток». URL: </w:t>
      </w:r>
      <w:hyperlink r:id="rId23" w:tooltip="http://www.dy.nayka.com.ua/?op=1&amp;z=93" w:history="1">
        <w:r>
          <w:rPr>
            <w:rStyle w:val="afe"/>
            <w:rFonts w:ascii="Times New Roman" w:eastAsia="Times New Roman" w:hAnsi="Times New Roman" w:cs="Times New Roman"/>
            <w:color w:val="auto"/>
            <w:sz w:val="28"/>
            <w:szCs w:val="28"/>
            <w:u w:val="none"/>
          </w:rPr>
          <w:t>http://www.dy.nayka.com.ua/?op=1&amp;z=93</w:t>
        </w:r>
      </w:hyperlink>
      <w:r>
        <w:rPr>
          <w:rFonts w:ascii="Times New Roman" w:eastAsia="Times New Roman" w:hAnsi="Times New Roman" w:cs="Times New Roman"/>
          <w:sz w:val="28"/>
          <w:szCs w:val="28"/>
        </w:rPr>
        <w:t xml:space="preserve"> </w:t>
      </w:r>
    </w:p>
    <w:p w14:paraId="2FE6B792"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Ваганова Л.В, Юричина І.А., Карпанасюк О.С. Управлінське рішення як форма реалізації організаційної функції державного управління. Вісник Хмельницького національного університету. 2022. № 1. С. 94-98.</w:t>
      </w:r>
    </w:p>
    <w:p w14:paraId="2FE6B793"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Грубяк С.В.  Сучасні аспекти розроблення і прийняття управлінських рішень. Економіка і суспільство. 2017. Випуск №11. С. 201-204. URL:    </w:t>
      </w:r>
      <w:hyperlink r:id="rId24" w:tooltip="https://economyandsociety.in.ua/journals/11_ukr/33.pdf" w:history="1">
        <w:r>
          <w:rPr>
            <w:rStyle w:val="afe"/>
            <w:rFonts w:ascii="Times New Roman" w:hAnsi="Times New Roman" w:cs="Times New Roman"/>
            <w:color w:val="auto"/>
            <w:sz w:val="28"/>
            <w:szCs w:val="28"/>
            <w:u w:val="none"/>
          </w:rPr>
          <w:t>https://economyandsociety.in.ua/journals/11_ukr/33.pdf</w:t>
        </w:r>
      </w:hyperlink>
    </w:p>
    <w:p w14:paraId="2FE6B794"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Бобак А.І., Шимечко О.С.. Інформаційно-технологічні аспекти формування та реалізації державної політики реформ у системі охорони здоров’я на сучасному етапі в Україні. Публічне управління та митне </w:t>
      </w:r>
      <w:r>
        <w:rPr>
          <w:rFonts w:ascii="Times New Roman" w:hAnsi="Times New Roman" w:cs="Times New Roman"/>
          <w:sz w:val="28"/>
          <w:szCs w:val="28"/>
        </w:rPr>
        <w:lastRenderedPageBreak/>
        <w:t xml:space="preserve">адміністрування. 2024. № 4 (43). С. 10-14. URL: </w:t>
      </w:r>
      <w:hyperlink r:id="rId25" w:tooltip="http://customs-admin.umsf.in.ua/archive/2024/4/4.pdf" w:history="1">
        <w:r>
          <w:rPr>
            <w:rStyle w:val="afe"/>
            <w:rFonts w:ascii="Times New Roman" w:hAnsi="Times New Roman" w:cs="Times New Roman"/>
            <w:color w:val="auto"/>
            <w:sz w:val="28"/>
            <w:szCs w:val="28"/>
            <w:u w:val="none"/>
          </w:rPr>
          <w:t>http://customs-admin.umsf.in.ua/archive/2024/4/4.pdf</w:t>
        </w:r>
      </w:hyperlink>
    </w:p>
    <w:p w14:paraId="2FE6B795"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Князькова В.Я., Семенюк М.М. Проблеми управління підприємством в сучасних умовах воєнного стану та допомога держави у їх вирішенні. Матеріали VI Міжнародної науково-практичної конференції «Сучасні тенденції розвитку фінансових та інноваційно-інвестиційних процесів в Україні». м. Вінниця, Україна. 02-03.03.2023. URL:  </w:t>
      </w:r>
      <w:hyperlink r:id="rId26" w:tooltip="https://conferences.vntu.edu.ua/index.php/fiip/fiip2023/paper/viewFile/17129/14271" w:history="1">
        <w:r>
          <w:rPr>
            <w:rStyle w:val="afe"/>
            <w:rFonts w:ascii="Times New Roman" w:hAnsi="Times New Roman" w:cs="Times New Roman"/>
            <w:color w:val="auto"/>
            <w:sz w:val="28"/>
            <w:szCs w:val="28"/>
            <w:u w:val="none"/>
          </w:rPr>
          <w:t>https://conferences.vntu.edu.ua/index.php/fiip/fiip2023/paper/viewFile/17129/14271</w:t>
        </w:r>
      </w:hyperlink>
    </w:p>
    <w:p w14:paraId="2FE6B796"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10. Мала Н.Т. Управлінські рішення: класифікація та процес прийняття. </w:t>
      </w:r>
      <w:r>
        <w:rPr>
          <w:rFonts w:ascii="Times New Roman" w:eastAsia="Times New Roman" w:hAnsi="Times New Roman" w:cs="Times New Roman"/>
          <w:sz w:val="28"/>
          <w:szCs w:val="28"/>
        </w:rPr>
        <w:t>URL:</w:t>
      </w:r>
      <w:r>
        <w:rPr>
          <w:rFonts w:ascii="Times New Roman" w:hAnsi="Times New Roman" w:cs="Times New Roman"/>
          <w:sz w:val="28"/>
          <w:szCs w:val="28"/>
        </w:rPr>
        <w:t xml:space="preserve"> </w:t>
      </w:r>
      <w:hyperlink r:id="rId27" w:tooltip="https://vlp.com.ua/files/04_31.pdf" w:history="1">
        <w:r>
          <w:rPr>
            <w:rStyle w:val="afe"/>
            <w:rFonts w:ascii="Times New Roman" w:hAnsi="Times New Roman" w:cs="Times New Roman"/>
            <w:color w:val="auto"/>
            <w:sz w:val="28"/>
            <w:szCs w:val="28"/>
            <w:u w:val="none"/>
          </w:rPr>
          <w:t>https://vlp.com.ua/files/04_31.pdf</w:t>
        </w:r>
      </w:hyperlink>
    </w:p>
    <w:p w14:paraId="2FE6B797"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Fonts w:ascii="Times New Roman" w:eastAsia="Times New Roman" w:hAnsi="Times New Roman" w:cs="Times New Roman"/>
          <w:sz w:val="28"/>
          <w:szCs w:val="28"/>
        </w:rPr>
        <w:t xml:space="preserve">11. Batyuk B., Voronuj I. Теорія прийняття управлінських рішень в менеджменті підприємства та їх класифікація.  </w:t>
      </w:r>
      <w:hyperlink r:id="rId28" w:tooltip="https://www.researchgate.net/journal/Scientific-Messenger-of-LNU-of-Veterinary-Medicine-and-Biotechnology-2518-1327?_tp=eyJjb250ZXh0Ijp7ImZpcnN0UGFnZSI6InB1YmxpY2F0aW9uIiwicGFnZSI6InB1YmxpY2F0aW9uIn19" w:history="1">
        <w:r>
          <w:rPr>
            <w:rStyle w:val="afe"/>
            <w:rFonts w:ascii="Times New Roman" w:eastAsia="Times New Roman" w:hAnsi="Times New Roman" w:cs="Times New Roman"/>
            <w:color w:val="auto"/>
            <w:sz w:val="28"/>
            <w:szCs w:val="28"/>
            <w:u w:val="none"/>
          </w:rPr>
          <w:t>Scientific Messenger of LNU of Veterinary Medicine and Biotechnology</w:t>
        </w:r>
      </w:hyperlink>
      <w:r>
        <w:rPr>
          <w:rFonts w:ascii="Times New Roman" w:eastAsia="Times New Roman" w:hAnsi="Times New Roman" w:cs="Times New Roman"/>
          <w:sz w:val="28"/>
          <w:szCs w:val="28"/>
        </w:rPr>
        <w:t> September 2016 18(2(69)):3-9. DOI:</w:t>
      </w:r>
      <w:hyperlink r:id="rId29" w:tooltip="https://doi.org/10.15421/nvlvet6901" w:history="1">
        <w:r>
          <w:rPr>
            <w:rStyle w:val="afe"/>
            <w:rFonts w:ascii="Times New Roman" w:eastAsia="Times New Roman" w:hAnsi="Times New Roman" w:cs="Times New Roman"/>
            <w:color w:val="auto"/>
            <w:sz w:val="28"/>
            <w:szCs w:val="28"/>
            <w:u w:val="none"/>
          </w:rPr>
          <w:t>10.15421/nvlvet6901</w:t>
        </w:r>
      </w:hyperlink>
    </w:p>
    <w:p w14:paraId="2FE6B798"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 xml:space="preserve">12. Сокуренко І. Класифікація методів прийняття управлінських рішень. Науковий вісник Одеського національного економічного університету. 2019. № 6 (269). URL: http://n-visnik.oneu.edu.ua/collections/2019/269/pdf/161-177.pdf </w:t>
      </w:r>
    </w:p>
    <w:p w14:paraId="2FE6B799"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 xml:space="preserve">13. Цюцюра С.В., Криворучко О.В., Цюцюра М.І.  Теоретичні основи та сутність управлінських рішень. моделі прийняття управлінських рішень.  Управління розвитком складних систем (9). URL: https://urss.knuba.edu.ua/files/zbirnyk-9/50-58.pdf </w:t>
      </w:r>
    </w:p>
    <w:p w14:paraId="2FE6B79A"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 xml:space="preserve">14. Борщ В. Менеджмент та маркетинг в охороні здоров’я : навчальний посібник / В. І. Борщ, О. В. Рудінська, Н. Л. Кусик. Одеса : Олді+, 2022. 264 с. URL: https://resource.odmu.edu.ua/chair/download/183909/fn5Xr0atgQdMUyjHV365bw/Менеджмент%20та%20маркетинг%20в%20охороні%20здоров%27я_сайт.pdf </w:t>
      </w:r>
    </w:p>
    <w:p w14:paraId="2FE6B79B"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 xml:space="preserve">15. Класифікація управлінських рішень. Про фінанси і не тільки. PVA. URL: </w:t>
      </w:r>
      <w:hyperlink r:id="rId30" w:tooltip="https://pva.com.ua/klasyfikacziya-upravlinskyh-rishen/" w:history="1">
        <w:r>
          <w:rPr>
            <w:rStyle w:val="afe"/>
            <w:rFonts w:ascii="Times New Roman" w:eastAsia="Times New Roman" w:hAnsi="Times New Roman" w:cs="Times New Roman"/>
            <w:color w:val="auto"/>
            <w:sz w:val="28"/>
            <w:szCs w:val="28"/>
            <w:u w:val="none"/>
          </w:rPr>
          <w:t>https://pva.com.ua/klasyfikacziya-upravlinskyh-rishen/</w:t>
        </w:r>
      </w:hyperlink>
    </w:p>
    <w:p w14:paraId="2FE6B79C"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lastRenderedPageBreak/>
        <w:t xml:space="preserve">16. Яремко О.Ф. Методи прийняття управлінських рішень. URL:    </w:t>
      </w:r>
      <w:hyperlink r:id="rId31" w:tooltip="https://msn.khnu.km.ua/course/view.php?id=4118" w:history="1">
        <w:r>
          <w:rPr>
            <w:rStyle w:val="afe"/>
            <w:rFonts w:ascii="Times New Roman" w:eastAsia="Times New Roman" w:hAnsi="Times New Roman" w:cs="Times New Roman"/>
            <w:color w:val="auto"/>
            <w:sz w:val="28"/>
            <w:szCs w:val="28"/>
            <w:u w:val="none"/>
          </w:rPr>
          <w:t>https://msn.khnu.km.ua/course/view.php?id=4118</w:t>
        </w:r>
      </w:hyperlink>
    </w:p>
    <w:p w14:paraId="2FE6B79D"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17. Конституція України.</w:t>
      </w:r>
      <w:r>
        <w:t xml:space="preserve"> </w:t>
      </w:r>
      <w:r>
        <w:rPr>
          <w:rStyle w:val="afe"/>
          <w:rFonts w:ascii="Times New Roman" w:eastAsia="Times New Roman" w:hAnsi="Times New Roman" w:cs="Times New Roman"/>
          <w:color w:val="auto"/>
          <w:sz w:val="28"/>
          <w:szCs w:val="28"/>
          <w:u w:val="none"/>
        </w:rPr>
        <w:t>Прийнята на п’ятій сесії Верховної Ради України 28.06.1996. URL:</w:t>
      </w:r>
      <w:r>
        <w:t xml:space="preserve"> </w:t>
      </w:r>
      <w:hyperlink r:id="rId32" w:anchor="Text" w:tooltip="https://zakon.rada.gov.ua/laws/show/254%D0%BA/96-%D0%B2%D1%80#Text" w:history="1">
        <w:r>
          <w:rPr>
            <w:rStyle w:val="afe"/>
            <w:rFonts w:ascii="Times New Roman" w:eastAsia="Times New Roman" w:hAnsi="Times New Roman" w:cs="Times New Roman"/>
            <w:color w:val="auto"/>
            <w:sz w:val="28"/>
            <w:szCs w:val="28"/>
            <w:u w:val="none"/>
          </w:rPr>
          <w:t>https://zakon.rada.gov.ua/laws/show/254%D0%BA/96-%D0%B2%D1%80#Text</w:t>
        </w:r>
      </w:hyperlink>
      <w:r>
        <w:rPr>
          <w:rStyle w:val="afe"/>
          <w:rFonts w:ascii="Times New Roman" w:eastAsia="Times New Roman" w:hAnsi="Times New Roman" w:cs="Times New Roman"/>
          <w:color w:val="auto"/>
          <w:sz w:val="28"/>
          <w:szCs w:val="28"/>
          <w:u w:val="none"/>
        </w:rPr>
        <w:t xml:space="preserve"> </w:t>
      </w:r>
    </w:p>
    <w:p w14:paraId="2FE6B79E"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 xml:space="preserve">18. </w:t>
      </w:r>
      <w:r>
        <w:rPr>
          <w:rFonts w:ascii="Times New Roman" w:eastAsia="Times New Roman" w:hAnsi="Times New Roman" w:cs="Times New Roman"/>
          <w:sz w:val="28"/>
          <w:szCs w:val="28"/>
        </w:rPr>
        <w:t xml:space="preserve">Сумець О. М. Оцінка результативності реалізації управлінського рішення в загальній системі менеджменту закладу охорони здоров’я. Вчені записки Університету «КРОК». 2024. № 1 (73). С. 147-157. URL: </w:t>
      </w:r>
      <w:hyperlink r:id="rId33" w:tooltip="https://doi.org/10.31732/2663-2209-2024-73-147-157" w:history="1">
        <w:r>
          <w:rPr>
            <w:rStyle w:val="afe"/>
            <w:rFonts w:ascii="Times New Roman" w:eastAsia="Times New Roman" w:hAnsi="Times New Roman" w:cs="Times New Roman"/>
            <w:color w:val="auto"/>
            <w:sz w:val="28"/>
            <w:szCs w:val="28"/>
            <w:u w:val="none"/>
          </w:rPr>
          <w:t>https://doi.org/10.31732/2663-2209-2024-73-147-157</w:t>
        </w:r>
      </w:hyperlink>
    </w:p>
    <w:p w14:paraId="2FE6B79F"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19. Прийняття управлінських рішень : навчальний посібник / [Ю.Є. Петруня, Б. В. Літовченко, Т. О. Пасічник та ін.] ; за ред. Ю. Є. Петруні. [4-те вид., переробл. і доп.]. Дніпро : Університет митної справи та фінансів. 2020. 276 с. URL: </w:t>
      </w:r>
      <w:hyperlink r:id="rId34" w:tooltip="http://biblio.umsf.dp.ua/jspui/bitstream/123456789/4070/1/%D0%9F%D1%80%D0%B8%D0%B9%D0%BD%D1%8F%D1%82%D1%82%D1%8F%20%D1%83%D0%BF%D1%80%20%D1%80%D1%96%D1%88%D0%B5%D0%BD%D1%8C%202020.pdf" w:history="1">
        <w:r>
          <w:rPr>
            <w:rStyle w:val="afe"/>
            <w:rFonts w:ascii="Times New Roman" w:hAnsi="Times New Roman" w:cs="Times New Roman"/>
            <w:color w:val="auto"/>
            <w:sz w:val="28"/>
            <w:szCs w:val="28"/>
            <w:u w:val="none"/>
          </w:rPr>
          <w:t>http://biblio.umsf.dp.ua/jspui/bitstream/123456789/4070/1/%D0%9F%D1%80%D0%B8%D0%B9%D0%BD%D1%8F%D1%82%D1%82%D1%8F%20%D1%83%D0%BF%D1%80%20%D1%80%D1%96%D1%88%D0%B5%D0%BD%D1%8C%202020.pdf</w:t>
        </w:r>
      </w:hyperlink>
    </w:p>
    <w:p w14:paraId="2FE6B7A0"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20. Закон України «Основи законодавства України про охорону здоров’я» від 19.11.1992. № 2801-XII.</w:t>
      </w:r>
      <w:r>
        <w:t xml:space="preserve"> </w:t>
      </w:r>
      <w:r>
        <w:rPr>
          <w:rFonts w:ascii="Times New Roman" w:hAnsi="Times New Roman" w:cs="Times New Roman"/>
          <w:sz w:val="28"/>
          <w:szCs w:val="28"/>
        </w:rPr>
        <w:t>URL:</w:t>
      </w:r>
      <w:r>
        <w:t xml:space="preserve"> </w:t>
      </w:r>
      <w:hyperlink r:id="rId35" w:anchor="Text" w:tooltip="https://zakon.rada.gov.ua/laws/show/2801-12#Text" w:history="1">
        <w:r>
          <w:rPr>
            <w:rStyle w:val="afe"/>
            <w:rFonts w:ascii="Times New Roman" w:hAnsi="Times New Roman" w:cs="Times New Roman"/>
            <w:color w:val="auto"/>
            <w:sz w:val="28"/>
            <w:szCs w:val="28"/>
            <w:u w:val="none"/>
          </w:rPr>
          <w:t>https://zakon.rada.gov.ua/laws/show/2801-12#Text</w:t>
        </w:r>
      </w:hyperlink>
      <w:r>
        <w:rPr>
          <w:rFonts w:ascii="Times New Roman" w:hAnsi="Times New Roman" w:cs="Times New Roman"/>
          <w:sz w:val="28"/>
          <w:szCs w:val="28"/>
        </w:rPr>
        <w:t xml:space="preserve"> </w:t>
      </w:r>
    </w:p>
    <w:p w14:paraId="2FE6B7A1"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21. Закон України «Про державні фінансові гарантії медичного обслуговування населення»  від 19.10.2017 № 2168-VIII. URL:</w:t>
      </w:r>
      <w:r>
        <w:t xml:space="preserve"> </w:t>
      </w:r>
      <w:r>
        <w:rPr>
          <w:rFonts w:ascii="Times New Roman" w:hAnsi="Times New Roman" w:cs="Times New Roman"/>
          <w:sz w:val="28"/>
          <w:szCs w:val="28"/>
        </w:rPr>
        <w:t>https://zakon.rada.gov.ua/laws/show/2168-19#Text</w:t>
      </w:r>
    </w:p>
    <w:p w14:paraId="2FE6B7A2"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hAnsi="Times New Roman" w:cs="Times New Roman"/>
          <w:color w:val="auto"/>
          <w:sz w:val="28"/>
          <w:szCs w:val="28"/>
          <w:u w:val="none"/>
        </w:rPr>
      </w:pPr>
      <w:r>
        <w:rPr>
          <w:rFonts w:ascii="Times New Roman" w:hAnsi="Times New Roman" w:cs="Times New Roman"/>
          <w:sz w:val="28"/>
          <w:szCs w:val="28"/>
        </w:rPr>
        <w:t xml:space="preserve">22. Скопенко Н.С., Шеремет О.О., Єрьомін М.В. Процес прийняття та реалізації управлінських рішень. Інвестиції: практика та досвід. 2024. № 18. С. 49-55. URL: </w:t>
      </w:r>
      <w:hyperlink r:id="rId36" w:tooltip="file:///D:/home/e200466kvy/Downloads/Inv+18-2024_St8.pdf" w:history="1">
        <w:r>
          <w:rPr>
            <w:rStyle w:val="afe"/>
            <w:rFonts w:ascii="Times New Roman" w:hAnsi="Times New Roman" w:cs="Times New Roman"/>
            <w:color w:val="auto"/>
            <w:sz w:val="28"/>
            <w:szCs w:val="28"/>
            <w:u w:val="none"/>
          </w:rPr>
          <w:t>file:///D:/home/e200466kvy/Downloads/Inv+18-2024_St8.pdf</w:t>
        </w:r>
      </w:hyperlink>
    </w:p>
    <w:p w14:paraId="2FE6B7A3"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hAnsi="Times New Roman" w:cs="Times New Roman"/>
          <w:color w:val="auto"/>
          <w:sz w:val="28"/>
          <w:szCs w:val="28"/>
          <w:u w:val="none"/>
        </w:rPr>
      </w:pPr>
      <w:r>
        <w:rPr>
          <w:rStyle w:val="afe"/>
          <w:rFonts w:ascii="Times New Roman" w:hAnsi="Times New Roman" w:cs="Times New Roman"/>
          <w:color w:val="auto"/>
          <w:sz w:val="28"/>
          <w:szCs w:val="28"/>
          <w:u w:val="none"/>
        </w:rPr>
        <w:t xml:space="preserve">23. Кураш О. В. Особливості прийняття управлінських рішень у системі охорони здоров’я на прикладі первинної медичної допомоги в сільській місцевості : робота на здобуття кваліфікаційного ступеня магістра : спец. 281 - публічне управління та адміністрування / наук. кер.: В. А. Сміянов, А. Ю. </w:t>
      </w:r>
      <w:r>
        <w:rPr>
          <w:rStyle w:val="afe"/>
          <w:rFonts w:ascii="Times New Roman" w:hAnsi="Times New Roman" w:cs="Times New Roman"/>
          <w:color w:val="auto"/>
          <w:sz w:val="28"/>
          <w:szCs w:val="28"/>
          <w:u w:val="none"/>
        </w:rPr>
        <w:lastRenderedPageBreak/>
        <w:t xml:space="preserve">Жулавський. Суми: СумДУ, 2022. 73 с. URL: </w:t>
      </w:r>
      <w:hyperlink r:id="rId37" w:tooltip="https://essuir.sumdu.edu.ua/handle/123456789/87752" w:history="1">
        <w:r>
          <w:rPr>
            <w:rStyle w:val="afe"/>
            <w:rFonts w:ascii="Times New Roman" w:hAnsi="Times New Roman" w:cs="Times New Roman"/>
            <w:color w:val="auto"/>
            <w:sz w:val="28"/>
            <w:szCs w:val="28"/>
            <w:u w:val="none"/>
          </w:rPr>
          <w:t>https://essuir.sumdu.edu.ua/handle/123456789/87752</w:t>
        </w:r>
      </w:hyperlink>
    </w:p>
    <w:p w14:paraId="2FE6B7A4" w14:textId="07D3D470"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hAnsi="Times New Roman" w:cs="Times New Roman"/>
          <w:color w:val="auto"/>
          <w:sz w:val="28"/>
          <w:szCs w:val="28"/>
          <w:u w:val="none"/>
        </w:rPr>
      </w:pPr>
      <w:r>
        <w:rPr>
          <w:rStyle w:val="afe"/>
          <w:rFonts w:ascii="Times New Roman" w:hAnsi="Times New Roman" w:cs="Times New Roman"/>
          <w:color w:val="auto"/>
          <w:sz w:val="28"/>
          <w:szCs w:val="28"/>
          <w:u w:val="none"/>
        </w:rPr>
        <w:t xml:space="preserve">24. Мельник А.О., Винокуров Р.В. Особливості прийняття управлінських рішень, їх оцінка та оцінювання в сучасних умовах. Економіка та суспільство. 2025. Випуск №71. URL: </w:t>
      </w:r>
      <w:hyperlink r:id="rId38" w:tooltip="https://economyandsociety.in.ua/index.php/journal/article/view/5631/5571" w:history="1">
        <w:r>
          <w:rPr>
            <w:rStyle w:val="afe"/>
            <w:rFonts w:ascii="Times New Roman" w:hAnsi="Times New Roman" w:cs="Times New Roman"/>
            <w:color w:val="auto"/>
            <w:sz w:val="28"/>
            <w:szCs w:val="28"/>
            <w:u w:val="none"/>
          </w:rPr>
          <w:t>https://economyandsociety.in.ua/index.php/journal/article/view/5631/5571</w:t>
        </w:r>
      </w:hyperlink>
    </w:p>
    <w:p w14:paraId="3785CA14" w14:textId="0F5EEE1A" w:rsidR="00492A6F" w:rsidRDefault="00492A6F" w:rsidP="00492A6F">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hAnsi="Times New Roman" w:cs="Times New Roman"/>
          <w:color w:val="auto"/>
          <w:sz w:val="28"/>
          <w:szCs w:val="28"/>
          <w:u w:val="none"/>
        </w:rPr>
        <w:t xml:space="preserve">25. </w:t>
      </w:r>
      <w:r>
        <w:rPr>
          <w:rStyle w:val="afe"/>
          <w:rFonts w:ascii="Times New Roman" w:eastAsia="Times New Roman" w:hAnsi="Times New Roman" w:cs="Times New Roman"/>
          <w:color w:val="auto"/>
          <w:sz w:val="28"/>
          <w:szCs w:val="28"/>
          <w:u w:val="none"/>
        </w:rPr>
        <w:t xml:space="preserve">Постанова Кабінету Міністрів України «Деякі питання організації спроможної мережі закладів охорони здоров’я» від 28.02.2023 № 174. URL:  </w:t>
      </w:r>
      <w:hyperlink r:id="rId39" w:anchor="Text" w:tooltip="https://zakon.rada.gov.ua/laws/show/174-2023-%D0%BF#Text" w:history="1">
        <w:r>
          <w:rPr>
            <w:rStyle w:val="afe"/>
            <w:rFonts w:ascii="Times New Roman" w:eastAsia="Times New Roman" w:hAnsi="Times New Roman" w:cs="Times New Roman"/>
            <w:color w:val="auto"/>
            <w:sz w:val="28"/>
            <w:szCs w:val="28"/>
            <w:u w:val="none"/>
          </w:rPr>
          <w:t>https://zakon.rada.gov.ua/laws/show/174-2023-%D0%BF#Text</w:t>
        </w:r>
      </w:hyperlink>
    </w:p>
    <w:p w14:paraId="22A6356A" w14:textId="2FCC9097" w:rsidR="00492A6F" w:rsidRDefault="00492A6F" w:rsidP="00492A6F">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 xml:space="preserve">26. Комунальне некомерційне підприємство «Міська клінічна лікарня №10» Одеської міської ради. URL: https://odmkl10.itmed.org/ </w:t>
      </w:r>
    </w:p>
    <w:p w14:paraId="5D5BD64F" w14:textId="40A89029" w:rsidR="00492A6F" w:rsidRDefault="00492A6F" w:rsidP="00492A6F">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 xml:space="preserve">27. КНП «Міська клінічна лікарня №10» ОМР. КНП охорони здоров’я. Комунальні підприємства. Міська влада. Головна. Офіційний сайт міста Одеса. URL: https://omr.gov.ua/ua/city/enterprises/kommunalnie-predpriyatiya-zdravoohraneniya/knp-gorodskaya-klinicheskaya-bolnica-10/ </w:t>
      </w:r>
    </w:p>
    <w:p w14:paraId="27397462" w14:textId="3FEE9714" w:rsidR="00492A6F" w:rsidRDefault="00492A6F" w:rsidP="00492A6F">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 xml:space="preserve">28. КНП «МКЛ 10» Одеської міської ради. Facebook. URL: </w:t>
      </w:r>
      <w:hyperlink r:id="rId40" w:tooltip="https://www.facebook.com/knpmkl10" w:history="1">
        <w:r>
          <w:rPr>
            <w:rStyle w:val="afe"/>
            <w:rFonts w:ascii="Times New Roman" w:eastAsia="Times New Roman" w:hAnsi="Times New Roman" w:cs="Times New Roman"/>
            <w:color w:val="auto"/>
            <w:sz w:val="28"/>
            <w:szCs w:val="28"/>
            <w:u w:val="none"/>
          </w:rPr>
          <w:t>https://www.facebook.com/knpmkl10</w:t>
        </w:r>
      </w:hyperlink>
    </w:p>
    <w:p w14:paraId="0802FF55" w14:textId="5FB5855B" w:rsidR="00492A6F" w:rsidRDefault="00492A6F" w:rsidP="00492A6F">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29. Звіт про діяльність з управління генерального директора Комунального Некомерційного Підприємства «Міська клінічна лікарня №10» Одеської міської ради Себова Дениса Михайловича за період терміну дії контракту від 30.09.2019 р. №182 ДК. 2024. URL:  </w:t>
      </w:r>
      <w:hyperlink r:id="rId41" w:tooltip="https://odmkl10.itmed.org/upload/product/1734393600/file_67618e0eaf49a.pdf" w:history="1">
        <w:r>
          <w:rPr>
            <w:rStyle w:val="afe"/>
            <w:rFonts w:ascii="Times New Roman" w:eastAsia="Times New Roman" w:hAnsi="Times New Roman" w:cs="Times New Roman"/>
            <w:color w:val="auto"/>
            <w:sz w:val="28"/>
            <w:szCs w:val="28"/>
            <w:u w:val="none"/>
          </w:rPr>
          <w:t>https://odmkl10.itmed.org/upload/product/1734393600/file_67618e0eaf49a.pdf</w:t>
        </w:r>
      </w:hyperlink>
    </w:p>
    <w:p w14:paraId="3DEA7556" w14:textId="4242B958" w:rsidR="00211D6B" w:rsidRDefault="00211D6B" w:rsidP="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 Комунальне некомерційне підприємство «Міська клінічна лікарня    № 10» Одеської міської ради. Департамент охорони здоров’я. URL: http://medportal.odessa.ua/institutions/detail/99</w:t>
      </w:r>
    </w:p>
    <w:p w14:paraId="66A42EDE" w14:textId="0CD2AB08" w:rsidR="00211D6B" w:rsidRDefault="00211D6B" w:rsidP="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Стратегічний план розвитку Комунального некомерційного підприємства «Міська клінічна лікарня № 10» Одеської міської ради. URL: </w:t>
      </w:r>
      <w:hyperlink r:id="rId42" w:tooltip="https://drive.google.com/file/d/1INBae1cw6Cpw7bIeBNwujpNq7m8upL2w/view" w:history="1">
        <w:r>
          <w:rPr>
            <w:rStyle w:val="afe"/>
            <w:rFonts w:ascii="Times New Roman" w:eastAsia="Times New Roman" w:hAnsi="Times New Roman" w:cs="Times New Roman"/>
            <w:color w:val="auto"/>
            <w:sz w:val="28"/>
            <w:szCs w:val="28"/>
            <w:u w:val="none"/>
          </w:rPr>
          <w:t>https://drive.google.com/file/d/1INBae1cw6Cpw7bIeBNwujpNq7m8upL2w/view</w:t>
        </w:r>
      </w:hyperlink>
    </w:p>
    <w:p w14:paraId="43A6F78E" w14:textId="498DF3B8" w:rsidR="00211D6B" w:rsidRDefault="00211D6B" w:rsidP="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 xml:space="preserve">32. Kniazkova V., Huz D., Rudinska O., Krylenko V. Формування кластерів медичних закладів як адміністративний засіб управління в галузі охорони </w:t>
      </w:r>
      <w:r>
        <w:rPr>
          <w:rStyle w:val="afe"/>
          <w:rFonts w:ascii="Times New Roman" w:eastAsia="Times New Roman" w:hAnsi="Times New Roman" w:cs="Times New Roman"/>
          <w:color w:val="auto"/>
          <w:sz w:val="28"/>
          <w:szCs w:val="28"/>
          <w:u w:val="none"/>
        </w:rPr>
        <w:lastRenderedPageBreak/>
        <w:t xml:space="preserve">здоров’я в умовах децентралізації. Economics. Management. Innovations. 2023.  №1(32). DOI 10.35433/ISSN2410-3748-2023-1(32)-4 URL: http://eui.zu.edu.ua/article/view/283043/277220  </w:t>
      </w:r>
    </w:p>
    <w:p w14:paraId="7773D48E" w14:textId="4156A6D0" w:rsidR="00211D6B" w:rsidRDefault="00211D6B" w:rsidP="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33. Рішення Одеської міської ради «Про затвердження статуту Комунального некомерційного підприємства «Міська клінічна лікарня №10» Одеської міської ради у новій редакції» від 24.04.2024 № 2085-VIII.  URL: https://omr.gov.ua/Files/2024/MISKRADA/SESII/24_04_24/2085-VIII.pdf</w:t>
      </w:r>
    </w:p>
    <w:p w14:paraId="31AE40DA" w14:textId="3A09B007" w:rsidR="00211D6B" w:rsidRDefault="00211D6B" w:rsidP="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 xml:space="preserve">34. Князькова В.Я. Криленко В.І, Хлібородова І.В. Актуальні аспекти організації спроможної мережі закладів охорони здоров’я. Матеріали VI Міжнародної науково-практичної конференції «The aspects of contemporary scientific research that encompass both theoretical and practical components». Венеція, Італія. 10-12 січня 2024. с. 166-169. URL: </w:t>
      </w:r>
      <w:hyperlink r:id="rId43" w:tooltip="https://isu-conference.com/wp-content/uploads/2024/01/The-aspects-of-contemporary-scientific-research-Jan-10-12-2024-Venice-Italy.pdf" w:history="1">
        <w:r>
          <w:rPr>
            <w:rStyle w:val="afe"/>
            <w:rFonts w:ascii="Times New Roman" w:eastAsia="Times New Roman" w:hAnsi="Times New Roman" w:cs="Times New Roman"/>
            <w:color w:val="auto"/>
            <w:sz w:val="28"/>
            <w:szCs w:val="28"/>
            <w:u w:val="none"/>
          </w:rPr>
          <w:t>https://isu-conference.com/wp-content/uploads/2024/01/The-aspects-of-contemporary-scientific-research-Jan-10-12-2024-Venice-Italy.pdf</w:t>
        </w:r>
      </w:hyperlink>
    </w:p>
    <w:p w14:paraId="54A0606F" w14:textId="14EB9940" w:rsidR="00211D6B" w:rsidRDefault="00211D6B" w:rsidP="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35. Наказ МОЗ України «Про організацію надання відновного лікування та реабілітаційної допомоги у сфері охорони здоров’я військовослужбовцям сил оборони» від 16.03.2022 № 495. URL: https://moz.gov.ua/uk/decrees/nakaz-moz-ukraini-vid-16032022--495-pro-organizaciju-nadannja-vidnovnogo-likuvannja-ta-reabilitacijnoi-dopomogi-u-sferi-ohoroni-zdorov%E2%80%99ja--vijskovosluzhbovcjam-sil-oboroni</w:t>
      </w:r>
    </w:p>
    <w:p w14:paraId="2FE6B7A5" w14:textId="5E52F03E"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hAnsi="Times New Roman" w:cs="Times New Roman"/>
          <w:color w:val="auto"/>
          <w:sz w:val="28"/>
          <w:szCs w:val="28"/>
          <w:u w:val="none"/>
        </w:rPr>
        <w:t>36</w:t>
      </w:r>
      <w:r w:rsidR="006415EC">
        <w:rPr>
          <w:rStyle w:val="afe"/>
          <w:rFonts w:ascii="Times New Roman" w:hAnsi="Times New Roman" w:cs="Times New Roman"/>
          <w:color w:val="auto"/>
          <w:sz w:val="28"/>
          <w:szCs w:val="28"/>
          <w:u w:val="none"/>
        </w:rPr>
        <w:t xml:space="preserve">. </w:t>
      </w:r>
      <w:r w:rsidR="006415EC">
        <w:rPr>
          <w:rFonts w:ascii="Times New Roman" w:eastAsia="Times New Roman" w:hAnsi="Times New Roman" w:cs="Times New Roman"/>
          <w:sz w:val="28"/>
          <w:szCs w:val="28"/>
        </w:rPr>
        <w:t xml:space="preserve">Музика А.  Особливості управління персоналом у закладах охорони здоров’я. URL: </w:t>
      </w:r>
      <w:hyperlink r:id="rId44" w:tooltip="https://ur.knute.edu.ua/server/api/core/bitstreams/fb697b29-49e4-4176-94b6-f52eb9d1c0c8/content" w:history="1">
        <w:r w:rsidR="006415EC">
          <w:rPr>
            <w:rStyle w:val="afe"/>
            <w:rFonts w:ascii="Times New Roman" w:eastAsia="Times New Roman" w:hAnsi="Times New Roman" w:cs="Times New Roman"/>
            <w:color w:val="auto"/>
            <w:sz w:val="28"/>
            <w:szCs w:val="28"/>
            <w:u w:val="none"/>
          </w:rPr>
          <w:t>https://ur.knute.edu.ua/server/api/core/bitstreams/fb697b29-49e4-4176-94b6-f52eb9d1c0c8/content</w:t>
        </w:r>
      </w:hyperlink>
    </w:p>
    <w:p w14:paraId="2FE6B7A6" w14:textId="4CCAB087"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37</w:t>
      </w:r>
      <w:r w:rsidR="006415EC">
        <w:rPr>
          <w:rStyle w:val="afe"/>
          <w:rFonts w:ascii="Times New Roman" w:eastAsia="Times New Roman" w:hAnsi="Times New Roman" w:cs="Times New Roman"/>
          <w:color w:val="auto"/>
          <w:sz w:val="28"/>
          <w:szCs w:val="28"/>
          <w:u w:val="none"/>
        </w:rPr>
        <w:t xml:space="preserve">. Солоненко І. М., Жаліло Л. І., Мартинюк О. І. Формування компетенцій за стандартами підготовки керівників з державного управління у сфері охорониздо ров’я. URL: </w:t>
      </w:r>
      <w:hyperlink r:id="rId45" w:tooltip="http://www.academy.gov.ua/ej/ej12/txts/10%20simsoz.pdf" w:history="1">
        <w:r w:rsidR="006415EC">
          <w:rPr>
            <w:rStyle w:val="afe"/>
            <w:rFonts w:ascii="Times New Roman" w:eastAsia="Times New Roman" w:hAnsi="Times New Roman" w:cs="Times New Roman"/>
            <w:color w:val="auto"/>
            <w:sz w:val="28"/>
            <w:szCs w:val="28"/>
            <w:u w:val="none"/>
          </w:rPr>
          <w:t>http://www.academy.gov.ua/ej/ej12/txts/10 simsoz.pdf</w:t>
        </w:r>
      </w:hyperlink>
    </w:p>
    <w:p w14:paraId="2FE6B7A7" w14:textId="290A0709"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38</w:t>
      </w:r>
      <w:r w:rsidR="006415EC">
        <w:rPr>
          <w:rStyle w:val="afe"/>
          <w:rFonts w:ascii="Times New Roman" w:eastAsia="Times New Roman" w:hAnsi="Times New Roman" w:cs="Times New Roman"/>
          <w:color w:val="auto"/>
          <w:sz w:val="28"/>
          <w:szCs w:val="28"/>
          <w:u w:val="none"/>
        </w:rPr>
        <w:t xml:space="preserve">. Євась Т.В., Вишневська А.Д. Управління персоналом медичної організації в сучасних умовах господарювання. Подільський науковий вісник. </w:t>
      </w:r>
      <w:r w:rsidR="006415EC">
        <w:rPr>
          <w:rStyle w:val="afe"/>
          <w:rFonts w:ascii="Times New Roman" w:eastAsia="Times New Roman" w:hAnsi="Times New Roman" w:cs="Times New Roman"/>
          <w:color w:val="auto"/>
          <w:sz w:val="28"/>
          <w:szCs w:val="28"/>
          <w:u w:val="none"/>
        </w:rPr>
        <w:lastRenderedPageBreak/>
        <w:t>2021. № 1 (17). С. 31-35. URL: https://journals.indexcopernicus.com/api/file/viewByFileId/1225715</w:t>
      </w:r>
    </w:p>
    <w:p w14:paraId="2FE6B7A8" w14:textId="6D70C8DC"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39</w:t>
      </w:r>
      <w:r w:rsidR="006415EC">
        <w:rPr>
          <w:rStyle w:val="afe"/>
          <w:rFonts w:ascii="Times New Roman" w:eastAsia="Times New Roman" w:hAnsi="Times New Roman" w:cs="Times New Roman"/>
          <w:color w:val="auto"/>
          <w:sz w:val="28"/>
          <w:szCs w:val="28"/>
          <w:u w:val="none"/>
        </w:rPr>
        <w:t xml:space="preserve">. Євась Т.В., Огороднік А.О. Підходи до удосконалення управління персоналом закладів охорони здоров’я. Подільський науковий вісник. 2021. № 1 (17). С. 35-40. URL: https://journals.indexcopernicus.com/api/file/viewByFileId/1225724 </w:t>
      </w:r>
    </w:p>
    <w:p w14:paraId="2FE6B7A9" w14:textId="7292B719"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40</w:t>
      </w:r>
      <w:r w:rsidR="006415EC">
        <w:rPr>
          <w:rStyle w:val="afe"/>
          <w:rFonts w:ascii="Times New Roman" w:eastAsia="Times New Roman" w:hAnsi="Times New Roman" w:cs="Times New Roman"/>
          <w:color w:val="auto"/>
          <w:sz w:val="28"/>
          <w:szCs w:val="28"/>
          <w:u w:val="none"/>
        </w:rPr>
        <w:t xml:space="preserve">. Кравчук І.І., Присяжнюк О.Ф., Веселовський О.Б. Удосконалення управління персоналом закладів охорони здоров’я. URL: </w:t>
      </w:r>
      <w:hyperlink r:id="rId46" w:tooltip="http://www.economy.nayka.com.ua/pdf/2_2020/3.pdf" w:history="1">
        <w:r w:rsidR="006415EC">
          <w:rPr>
            <w:rStyle w:val="afe"/>
            <w:rFonts w:ascii="Times New Roman" w:eastAsia="Times New Roman" w:hAnsi="Times New Roman" w:cs="Times New Roman"/>
            <w:color w:val="auto"/>
            <w:sz w:val="28"/>
            <w:szCs w:val="28"/>
            <w:u w:val="none"/>
          </w:rPr>
          <w:t>http://www.economy.nayka.com.ua/pdf/2_2020/3.pdf</w:t>
        </w:r>
      </w:hyperlink>
    </w:p>
    <w:p w14:paraId="2FE6B7AA" w14:textId="3BC1E9EE"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41</w:t>
      </w:r>
      <w:r w:rsidR="006415EC">
        <w:rPr>
          <w:rStyle w:val="afe"/>
          <w:rFonts w:ascii="Times New Roman" w:eastAsia="Times New Roman" w:hAnsi="Times New Roman" w:cs="Times New Roman"/>
          <w:color w:val="auto"/>
          <w:sz w:val="28"/>
          <w:szCs w:val="28"/>
          <w:u w:val="none"/>
        </w:rPr>
        <w:t>. Система охорони здоров’я потребує кваліфікованих управлінців. RSS Стрічка. Аптека online. URL: https://www.apteka.ua/article/367210</w:t>
      </w:r>
    </w:p>
    <w:p w14:paraId="2FE6B7AB" w14:textId="0D3C86BC"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42</w:t>
      </w:r>
      <w:r w:rsidR="006415EC">
        <w:rPr>
          <w:rStyle w:val="afe"/>
          <w:rFonts w:ascii="Times New Roman" w:eastAsia="Times New Roman" w:hAnsi="Times New Roman" w:cs="Times New Roman"/>
          <w:color w:val="auto"/>
          <w:sz w:val="28"/>
          <w:szCs w:val="28"/>
          <w:u w:val="none"/>
        </w:rPr>
        <w:t xml:space="preserve">. Як побудувати культуру управління у медичному закладі, щоб досягати найкращих результатів. Управління медичним персоналом. Статті. Медична справа.  URL: https://medplatforma.com.ua/article/1419-kervnik-medzakladu-pdvishchumo-kulturu-upravlntsv </w:t>
      </w:r>
    </w:p>
    <w:p w14:paraId="2FE6B7AC" w14:textId="14238E42"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43</w:t>
      </w:r>
      <w:r w:rsidR="006415EC">
        <w:rPr>
          <w:rStyle w:val="afe"/>
          <w:rFonts w:ascii="Times New Roman" w:eastAsia="Times New Roman" w:hAnsi="Times New Roman" w:cs="Times New Roman"/>
          <w:color w:val="auto"/>
          <w:sz w:val="28"/>
          <w:szCs w:val="28"/>
          <w:u w:val="none"/>
        </w:rPr>
        <w:t xml:space="preserve">. Кіращук Р.П., Пархоменко-Куцевіл О.І. Стилі керівництва та роль і місце керівника в управлінні закладом охорони здоров’я. Інвестиції: практика та досвід. 2021. № 5. С. 88-94. URL: </w:t>
      </w:r>
    </w:p>
    <w:p w14:paraId="2FE6B7AD" w14:textId="1C6DED20"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44</w:t>
      </w:r>
      <w:r w:rsidR="006415EC">
        <w:rPr>
          <w:rStyle w:val="afe"/>
          <w:rFonts w:ascii="Times New Roman" w:eastAsia="Times New Roman" w:hAnsi="Times New Roman" w:cs="Times New Roman"/>
          <w:color w:val="auto"/>
          <w:sz w:val="28"/>
          <w:szCs w:val="28"/>
          <w:u w:val="none"/>
        </w:rPr>
        <w:t xml:space="preserve">. Розподіл функцій головного лікаря: змінюємо шахи чи правила гри? Медицина сьогодні.  Головна. Ваше здоров’я. URL:  https://www.vz.kiev.ua/rozpodil-funktsij-golovnogo-likarya-zminyuyemo-shahy-chy-pravyla-gry/   </w:t>
      </w:r>
    </w:p>
    <w:p w14:paraId="2FE6B7AE" w14:textId="01E048BC"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45</w:t>
      </w:r>
      <w:r w:rsidR="006415EC">
        <w:rPr>
          <w:rStyle w:val="afe"/>
          <w:rFonts w:ascii="Times New Roman" w:eastAsia="Times New Roman" w:hAnsi="Times New Roman" w:cs="Times New Roman"/>
          <w:color w:val="auto"/>
          <w:sz w:val="28"/>
          <w:szCs w:val="28"/>
          <w:u w:val="none"/>
        </w:rPr>
        <w:t>. Тополенко О.О. Психологічна готовність керівників до прийняття управлінських рішень (теоретична модель). URL:  https://ela.kpi.ua/server/api/core/bitstreams/3ba4fdb7-c70f-4053-af06-ccff5948f52a/content</w:t>
      </w:r>
    </w:p>
    <w:p w14:paraId="2FE6B7AF" w14:textId="1C7427A5"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46</w:t>
      </w:r>
      <w:r w:rsidR="006415EC">
        <w:rPr>
          <w:rStyle w:val="afe"/>
          <w:rFonts w:ascii="Times New Roman" w:eastAsia="Times New Roman" w:hAnsi="Times New Roman" w:cs="Times New Roman"/>
          <w:color w:val="auto"/>
          <w:sz w:val="28"/>
          <w:szCs w:val="28"/>
          <w:u w:val="none"/>
        </w:rPr>
        <w:t xml:space="preserve">. Психологія управління : навчальний посібник / Когут Я.М., Пряхіна Н.О., Жидецький Ю.Ц., Кіржецький Ю.І., Поцюрко О.Ю. ; за ред. Я. М. Когута. Львів : Львівський державний університет внутрішніх справ, 2024. 210 с. URL:  </w:t>
      </w:r>
      <w:r w:rsidR="006415EC">
        <w:rPr>
          <w:rStyle w:val="afe"/>
          <w:rFonts w:ascii="Times New Roman" w:eastAsia="Times New Roman" w:hAnsi="Times New Roman" w:cs="Times New Roman"/>
          <w:color w:val="auto"/>
          <w:sz w:val="28"/>
          <w:szCs w:val="28"/>
          <w:u w:val="none"/>
        </w:rPr>
        <w:lastRenderedPageBreak/>
        <w:t>https://dspace.lvduvs.edu.ua/bitstream/1234567890/8591/1/Психологія%20управління.pdf</w:t>
      </w:r>
    </w:p>
    <w:p w14:paraId="2FE6B7B0" w14:textId="6CBC956C"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47</w:t>
      </w:r>
      <w:r w:rsidR="006415EC">
        <w:rPr>
          <w:rStyle w:val="afe"/>
          <w:rFonts w:ascii="Times New Roman" w:eastAsia="Times New Roman" w:hAnsi="Times New Roman" w:cs="Times New Roman"/>
          <w:color w:val="auto"/>
          <w:sz w:val="28"/>
          <w:szCs w:val="28"/>
          <w:u w:val="none"/>
        </w:rPr>
        <w:t>. Кісіль З. Р., Швець Д. В. Психологія управління: навчальний посібник. Університетська книга, 2022. 648 с.</w:t>
      </w:r>
    </w:p>
    <w:p w14:paraId="2FE6B7B1" w14:textId="09A0D967"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48</w:t>
      </w:r>
      <w:r w:rsidR="006415EC">
        <w:rPr>
          <w:rStyle w:val="afe"/>
          <w:rFonts w:ascii="Times New Roman" w:eastAsia="Times New Roman" w:hAnsi="Times New Roman" w:cs="Times New Roman"/>
          <w:color w:val="auto"/>
          <w:sz w:val="28"/>
          <w:szCs w:val="28"/>
          <w:u w:val="none"/>
        </w:rPr>
        <w:t>. Кісіль З. Р., Швець Д. В. Психологія управління : навчальний посібник у схемах, таблицях, коментарях. Одеса : Видавництво ОДУВС, 2023. 208 с.</w:t>
      </w:r>
    </w:p>
    <w:p w14:paraId="2FE6B7B2" w14:textId="27CD294D"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49</w:t>
      </w:r>
      <w:r w:rsidR="006415EC">
        <w:rPr>
          <w:rStyle w:val="afe"/>
          <w:rFonts w:ascii="Times New Roman" w:eastAsia="Times New Roman" w:hAnsi="Times New Roman" w:cs="Times New Roman"/>
          <w:color w:val="auto"/>
          <w:sz w:val="28"/>
          <w:szCs w:val="28"/>
          <w:u w:val="none"/>
        </w:rPr>
        <w:t xml:space="preserve">. Князькова В.Я., Рудінська О.В. Проблема збереження цілісності особистості лікаря в екстремальних умовах. Людина як цілісність: традиції та інновації. Матеріали V Міжнародної наукової конференції. Одеський національний медичний університет. м. Одеса. 20.10.2022. с. 232-235. URL:  </w:t>
      </w:r>
      <w:hyperlink r:id="rId47" w:tooltip="https://repo.odmu.edu.ua/xmlui/handle/123456789/12548" w:history="1">
        <w:r w:rsidR="006415EC">
          <w:rPr>
            <w:rStyle w:val="afe"/>
            <w:rFonts w:ascii="Times New Roman" w:eastAsia="Times New Roman" w:hAnsi="Times New Roman" w:cs="Times New Roman"/>
            <w:color w:val="auto"/>
            <w:sz w:val="28"/>
            <w:szCs w:val="28"/>
            <w:u w:val="none"/>
          </w:rPr>
          <w:t>https://repo.odmu.edu.ua/xmlui/handle/123456789/12548</w:t>
        </w:r>
      </w:hyperlink>
    </w:p>
    <w:p w14:paraId="2FE6B7B3" w14:textId="4DE61B10"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50</w:t>
      </w:r>
      <w:r w:rsidR="006415EC">
        <w:rPr>
          <w:rStyle w:val="afe"/>
          <w:rFonts w:ascii="Times New Roman" w:eastAsia="Times New Roman" w:hAnsi="Times New Roman" w:cs="Times New Roman"/>
          <w:color w:val="auto"/>
          <w:sz w:val="28"/>
          <w:szCs w:val="28"/>
          <w:u w:val="none"/>
        </w:rPr>
        <w:t>.</w:t>
      </w:r>
      <w:r w:rsidR="006415EC">
        <w:t xml:space="preserve"> </w:t>
      </w:r>
      <w:r w:rsidR="006415EC">
        <w:rPr>
          <w:rStyle w:val="afe"/>
          <w:rFonts w:ascii="Times New Roman" w:eastAsia="Times New Roman" w:hAnsi="Times New Roman" w:cs="Times New Roman"/>
          <w:color w:val="auto"/>
          <w:sz w:val="28"/>
          <w:szCs w:val="28"/>
          <w:u w:val="none"/>
        </w:rPr>
        <w:t xml:space="preserve">Князькова В.Я., Рудінська О.В. Формування професійної культури фахівців у медичній галузі. Забезпечення якості освіти у вищій медичній школі. Матеріали Науково-методичної міжуніверситетської конференції з міжнародною участю. Одеський національний медичний університет. м. Одеса. 18-20.01.2023. с. 551-554. URL:  </w:t>
      </w:r>
      <w:hyperlink r:id="rId48" w:tooltip="https://repo.odmu.edu.ua/xmlui/bitstream/handle/123456789/13302/Rudinska.pdf?sequence=1" w:history="1">
        <w:r w:rsidR="006415EC">
          <w:rPr>
            <w:rStyle w:val="afe"/>
            <w:rFonts w:ascii="Times New Roman" w:eastAsia="Times New Roman" w:hAnsi="Times New Roman" w:cs="Times New Roman"/>
            <w:color w:val="auto"/>
            <w:sz w:val="28"/>
            <w:szCs w:val="28"/>
            <w:u w:val="none"/>
          </w:rPr>
          <w:t>https://repo.odmu.edu.ua/xmlui/bitstream/handle/123456789/13302/Rudinska.pdf?sequence=1</w:t>
        </w:r>
      </w:hyperlink>
      <w:r w:rsidR="006415EC">
        <w:rPr>
          <w:rStyle w:val="afe"/>
          <w:rFonts w:ascii="Times New Roman" w:eastAsia="Times New Roman" w:hAnsi="Times New Roman" w:cs="Times New Roman"/>
          <w:color w:val="auto"/>
          <w:sz w:val="28"/>
          <w:szCs w:val="28"/>
          <w:u w:val="none"/>
        </w:rPr>
        <w:t xml:space="preserve"> </w:t>
      </w:r>
    </w:p>
    <w:p w14:paraId="2FE6B7B4" w14:textId="18D1720B"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eastAsia="Times New Roman" w:hAnsi="Times New Roman" w:cs="Times New Roman"/>
          <w:sz w:val="28"/>
          <w:szCs w:val="28"/>
        </w:rPr>
      </w:pPr>
      <w:r>
        <w:rPr>
          <w:rStyle w:val="afe"/>
          <w:rFonts w:ascii="Times New Roman" w:eastAsia="Times New Roman" w:hAnsi="Times New Roman" w:cs="Times New Roman"/>
          <w:color w:val="auto"/>
          <w:sz w:val="28"/>
          <w:szCs w:val="28"/>
          <w:u w:val="none"/>
        </w:rPr>
        <w:t>51</w:t>
      </w:r>
      <w:r w:rsidR="006415EC">
        <w:rPr>
          <w:rFonts w:ascii="Times New Roman" w:eastAsia="Times New Roman" w:hAnsi="Times New Roman" w:cs="Times New Roman"/>
          <w:sz w:val="28"/>
          <w:szCs w:val="28"/>
        </w:rPr>
        <w:t>. Пазєєва Г. Принципи розбудови системи управління закладом охорони здоров’я. Вчені записки Університету «КРОК». 2025. №1 (77). С. 273-280.  DOI: 10.31732/2663-2209-2025-77-273-280</w:t>
      </w:r>
    </w:p>
    <w:p w14:paraId="2FE6B7B5" w14:textId="78ACD58B"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52</w:t>
      </w:r>
      <w:r w:rsidR="006415EC">
        <w:rPr>
          <w:rFonts w:ascii="Times New Roman" w:eastAsia="Times New Roman" w:hAnsi="Times New Roman" w:cs="Times New Roman"/>
          <w:sz w:val="28"/>
          <w:szCs w:val="28"/>
        </w:rPr>
        <w:t>. Кіцела Є.О. Удосконалення процесу прийняття та реалізації управлінських рішень на підприємстві. URL: chrome-extension://mhjfbmdgcfjbbpaeojofohoefgiehjai/index.html</w:t>
      </w:r>
    </w:p>
    <w:p w14:paraId="2FE6B7B6" w14:textId="641894F0"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53</w:t>
      </w:r>
      <w:r w:rsidR="006415EC">
        <w:rPr>
          <w:rFonts w:ascii="Times New Roman" w:eastAsia="Times New Roman" w:hAnsi="Times New Roman" w:cs="Times New Roman"/>
          <w:sz w:val="28"/>
          <w:szCs w:val="28"/>
        </w:rPr>
        <w:t xml:space="preserve">. Ковальчук О.С. Особливості прийняття управлінських рішень  в умовах організаційного розвитку. URL: </w:t>
      </w:r>
      <w:hyperlink r:id="rId49" w:tooltip="https://lib.iitta.gov.ua//id/eprint/2500/1/Ковальчук30%281%29.pdf" w:history="1">
        <w:r w:rsidR="006415EC">
          <w:rPr>
            <w:rStyle w:val="afe"/>
            <w:rFonts w:ascii="Times New Roman" w:eastAsia="Times New Roman" w:hAnsi="Times New Roman" w:cs="Times New Roman"/>
            <w:color w:val="auto"/>
            <w:sz w:val="28"/>
            <w:szCs w:val="28"/>
            <w:u w:val="none"/>
          </w:rPr>
          <w:t>https://lib.iitta.gov.ua//id/eprint/2500/1/Ковальчук30%281%29.pdf</w:t>
        </w:r>
      </w:hyperlink>
      <w:r w:rsidR="006415EC">
        <w:rPr>
          <w:rFonts w:ascii="Times New Roman" w:eastAsia="Times New Roman" w:hAnsi="Times New Roman" w:cs="Times New Roman"/>
          <w:sz w:val="28"/>
          <w:szCs w:val="28"/>
        </w:rPr>
        <w:t xml:space="preserve"> </w:t>
      </w:r>
    </w:p>
    <w:p w14:paraId="2FE6B7B7" w14:textId="4F2B8712" w:rsidR="00471728" w:rsidRDefault="00211D6B">
      <w:pPr>
        <w:pBdr>
          <w:top w:val="none" w:sz="4" w:space="0" w:color="000000"/>
          <w:left w:val="none" w:sz="4" w:space="0" w:color="000000"/>
          <w:bottom w:val="none" w:sz="4" w:space="0" w:color="000000"/>
          <w:right w:val="none" w:sz="4" w:space="0" w:color="000000"/>
        </w:pBdr>
        <w:shd w:val="clear" w:color="FFFFFF" w:fill="FFFFFF"/>
        <w:tabs>
          <w:tab w:val="left" w:pos="1134"/>
        </w:tabs>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lastRenderedPageBreak/>
        <w:t>54</w:t>
      </w:r>
      <w:r w:rsidR="006415EC">
        <w:rPr>
          <w:rFonts w:ascii="Times New Roman" w:eastAsia="Times New Roman" w:hAnsi="Times New Roman" w:cs="Times New Roman"/>
          <w:sz w:val="28"/>
          <w:szCs w:val="28"/>
        </w:rPr>
        <w:t>.</w:t>
      </w:r>
      <w:r w:rsidR="006415EC">
        <w:rPr>
          <w:rFonts w:ascii="Times New Roman" w:hAnsi="Times New Roman" w:cs="Times New Roman"/>
          <w:sz w:val="28"/>
          <w:szCs w:val="28"/>
        </w:rPr>
        <w:t xml:space="preserve"> Серединська В.М., Загородна О.М. Напрями вдосконалення стратегічного управління на підприємстві. URL:  </w:t>
      </w:r>
      <w:hyperlink r:id="rId50" w:tooltip="https://economyandsociety.in.ua/journals/3_ukr/49.pdf" w:history="1">
        <w:r w:rsidR="006415EC">
          <w:rPr>
            <w:rStyle w:val="afe"/>
            <w:rFonts w:ascii="Times New Roman" w:hAnsi="Times New Roman" w:cs="Times New Roman"/>
            <w:color w:val="auto"/>
            <w:sz w:val="28"/>
            <w:szCs w:val="28"/>
            <w:u w:val="none"/>
          </w:rPr>
          <w:t>https://economyandsociety.in.ua/journals/3_ukr/49.pdf</w:t>
        </w:r>
      </w:hyperlink>
    </w:p>
    <w:p w14:paraId="2FE6B7B8" w14:textId="3B076CDA" w:rsidR="00471728" w:rsidRDefault="00211D6B">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55</w:t>
      </w:r>
      <w:r w:rsidR="006415EC">
        <w:rPr>
          <w:rFonts w:ascii="Times New Roman" w:hAnsi="Times New Roman" w:cs="Times New Roman"/>
          <w:sz w:val="28"/>
          <w:szCs w:val="28"/>
        </w:rPr>
        <w:t xml:space="preserve">. Мартинюк О.А., Князькова В.Я., Кравченко В.І. Удосконалення системи управлінських рішень в закладах охорони здоров’я. Міжнародна мультидисциплінарна наукова інтернет-конференція «Світ наукових досліджень». Випуск 45. С. 134-138. URL: </w:t>
      </w:r>
      <w:hyperlink r:id="rId51" w:tooltip="https://www.economy-confer.com.ua/full-article/6478/" w:history="1">
        <w:r w:rsidR="006415EC">
          <w:rPr>
            <w:rStyle w:val="afe"/>
            <w:rFonts w:ascii="Times New Roman" w:hAnsi="Times New Roman" w:cs="Times New Roman"/>
            <w:color w:val="auto"/>
            <w:sz w:val="28"/>
            <w:szCs w:val="28"/>
            <w:u w:val="none"/>
          </w:rPr>
          <w:t>https://www.economy-confer.com.ua/full-article/6478/</w:t>
        </w:r>
      </w:hyperlink>
      <w:r w:rsidR="006415EC">
        <w:rPr>
          <w:rFonts w:ascii="Times New Roman" w:hAnsi="Times New Roman" w:cs="Times New Roman"/>
          <w:sz w:val="28"/>
          <w:szCs w:val="28"/>
        </w:rPr>
        <w:t xml:space="preserve"> </w:t>
      </w:r>
    </w:p>
    <w:p w14:paraId="2FE6B7C4" w14:textId="77777777" w:rsidR="00471728" w:rsidRDefault="006415EC">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r>
        <w:rPr>
          <w:rStyle w:val="afe"/>
          <w:rFonts w:ascii="Times New Roman" w:eastAsia="Times New Roman" w:hAnsi="Times New Roman" w:cs="Times New Roman"/>
          <w:color w:val="auto"/>
          <w:sz w:val="28"/>
          <w:szCs w:val="28"/>
          <w:u w:val="none"/>
        </w:rPr>
        <w:t>56. Постанова Кабінету Міністрів України «Про наглядову раду закладу охорони здоров’я» від 21.11.2023 № 1221</w:t>
      </w:r>
      <w:r>
        <w:t xml:space="preserve"> </w:t>
      </w:r>
      <w:r>
        <w:rPr>
          <w:rStyle w:val="afe"/>
          <w:rFonts w:ascii="Times New Roman" w:eastAsia="Times New Roman" w:hAnsi="Times New Roman" w:cs="Times New Roman"/>
          <w:color w:val="auto"/>
          <w:sz w:val="28"/>
          <w:szCs w:val="28"/>
          <w:u w:val="none"/>
        </w:rPr>
        <w:t xml:space="preserve">URL: </w:t>
      </w:r>
      <w:hyperlink r:id="rId52" w:anchor="Text" w:tooltip="https://zakon.rada.gov.ua/laws/show/1221-2023-%D0%BF#Text" w:history="1">
        <w:r>
          <w:rPr>
            <w:rStyle w:val="afe"/>
            <w:rFonts w:ascii="Times New Roman" w:eastAsia="Times New Roman" w:hAnsi="Times New Roman" w:cs="Times New Roman"/>
            <w:color w:val="auto"/>
            <w:sz w:val="28"/>
            <w:szCs w:val="28"/>
            <w:u w:val="none"/>
          </w:rPr>
          <w:t>https://zakon.rada.gov.ua/laws/show/1221-2023-%D0%BF#Text</w:t>
        </w:r>
      </w:hyperlink>
      <w:r>
        <w:rPr>
          <w:rStyle w:val="afe"/>
          <w:rFonts w:ascii="Times New Roman" w:eastAsia="Times New Roman" w:hAnsi="Times New Roman" w:cs="Times New Roman"/>
          <w:color w:val="auto"/>
          <w:sz w:val="28"/>
          <w:szCs w:val="28"/>
          <w:u w:val="none"/>
        </w:rPr>
        <w:t xml:space="preserve">  </w:t>
      </w:r>
    </w:p>
    <w:p w14:paraId="2FE6B7C5" w14:textId="77777777" w:rsidR="00471728" w:rsidRDefault="00471728">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Style w:val="afe"/>
          <w:rFonts w:ascii="Times New Roman" w:eastAsia="Times New Roman" w:hAnsi="Times New Roman" w:cs="Times New Roman"/>
          <w:color w:val="auto"/>
          <w:sz w:val="28"/>
          <w:szCs w:val="28"/>
          <w:u w:val="none"/>
        </w:rPr>
      </w:pPr>
    </w:p>
    <w:p w14:paraId="2FE6B7C6" w14:textId="77777777" w:rsidR="00471728" w:rsidRDefault="00471728">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p>
    <w:p w14:paraId="2FE6B7C7" w14:textId="77777777" w:rsidR="00471728" w:rsidRDefault="00471728">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p>
    <w:p w14:paraId="2FE6B7C8" w14:textId="77777777" w:rsidR="00471728" w:rsidRDefault="00471728">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p>
    <w:p w14:paraId="2FE6B7C9" w14:textId="77777777" w:rsidR="00471728" w:rsidRDefault="00471728">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p>
    <w:p w14:paraId="2FE6B7CA" w14:textId="77777777" w:rsidR="00471728" w:rsidRDefault="00471728">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p>
    <w:p w14:paraId="2FE6B7CB" w14:textId="77777777" w:rsidR="00471728" w:rsidRDefault="00471728">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p>
    <w:p w14:paraId="2FE6B7CC" w14:textId="77777777" w:rsidR="00471728" w:rsidRDefault="00471728">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p>
    <w:p w14:paraId="2FE6B7CD" w14:textId="77777777" w:rsidR="00471728" w:rsidRDefault="00471728">
      <w:pPr>
        <w:pBdr>
          <w:top w:val="none" w:sz="4" w:space="0" w:color="000000"/>
          <w:left w:val="none" w:sz="4" w:space="0" w:color="000000"/>
          <w:bottom w:val="none" w:sz="4" w:space="0" w:color="000000"/>
          <w:right w:val="none" w:sz="4" w:space="0" w:color="000000"/>
        </w:pBdr>
        <w:shd w:val="clear" w:color="FFFFFF" w:fill="FFFFFF"/>
        <w:spacing w:after="0" w:line="360" w:lineRule="auto"/>
        <w:ind w:firstLine="709"/>
        <w:jc w:val="both"/>
        <w:rPr>
          <w:rFonts w:ascii="Times New Roman" w:hAnsi="Times New Roman" w:cs="Times New Roman"/>
          <w:sz w:val="28"/>
          <w:szCs w:val="28"/>
        </w:rPr>
      </w:pPr>
    </w:p>
    <w:p w14:paraId="2FE6B7CE" w14:textId="77777777" w:rsidR="00471728" w:rsidRDefault="00471728">
      <w:pPr>
        <w:spacing w:after="0" w:line="360" w:lineRule="auto"/>
        <w:ind w:firstLine="709"/>
        <w:jc w:val="both"/>
        <w:rPr>
          <w:rFonts w:ascii="Times New Roman" w:hAnsi="Times New Roman" w:cs="Times New Roman"/>
          <w:sz w:val="28"/>
          <w:szCs w:val="28"/>
        </w:rPr>
      </w:pPr>
    </w:p>
    <w:p w14:paraId="2FE6B7CF" w14:textId="77777777" w:rsidR="00471728" w:rsidRDefault="00471728">
      <w:pPr>
        <w:spacing w:after="0" w:line="360" w:lineRule="auto"/>
        <w:ind w:firstLine="709"/>
        <w:jc w:val="both"/>
        <w:rPr>
          <w:rFonts w:ascii="Times New Roman" w:hAnsi="Times New Roman" w:cs="Times New Roman"/>
          <w:sz w:val="28"/>
          <w:szCs w:val="28"/>
        </w:rPr>
      </w:pPr>
    </w:p>
    <w:p w14:paraId="2FE6B7D0" w14:textId="77777777" w:rsidR="00471728" w:rsidRDefault="00471728">
      <w:pPr>
        <w:ind w:firstLine="709"/>
      </w:pPr>
    </w:p>
    <w:p w14:paraId="2FE6B7D1" w14:textId="77777777" w:rsidR="00471728" w:rsidRDefault="00471728"/>
    <w:p w14:paraId="2FE6B7D2" w14:textId="77777777" w:rsidR="00471728" w:rsidRDefault="00471728"/>
    <w:p w14:paraId="2FE6B7D3" w14:textId="77777777" w:rsidR="00471728" w:rsidRDefault="00471728"/>
    <w:p w14:paraId="2FE6B7D4" w14:textId="77777777" w:rsidR="00471728" w:rsidRDefault="00471728"/>
    <w:p w14:paraId="2FE6B7D5" w14:textId="77777777" w:rsidR="00471728" w:rsidRDefault="00471728"/>
    <w:p w14:paraId="2FE6B7D6" w14:textId="77777777" w:rsidR="00471728" w:rsidRDefault="00471728"/>
    <w:p w14:paraId="2FE6B7D7" w14:textId="77777777" w:rsidR="00471728" w:rsidRDefault="00471728"/>
    <w:p w14:paraId="2FE6B7D8" w14:textId="77777777" w:rsidR="00471728" w:rsidRDefault="00471728"/>
    <w:p w14:paraId="2FE6B7D9" w14:textId="77777777" w:rsidR="00471728" w:rsidRDefault="00471728"/>
    <w:p w14:paraId="2FE6B7DA" w14:textId="77777777" w:rsidR="00471728" w:rsidRDefault="00471728"/>
    <w:p w14:paraId="2FE6B7DB" w14:textId="77777777" w:rsidR="00471728" w:rsidRDefault="00471728"/>
    <w:p w14:paraId="2FE6B7DC" w14:textId="77777777" w:rsidR="00471728" w:rsidRDefault="00471728"/>
    <w:p w14:paraId="2FE6B7DD" w14:textId="77777777" w:rsidR="00471728" w:rsidRDefault="00471728"/>
    <w:p w14:paraId="2FE6B7DE" w14:textId="77777777" w:rsidR="00471728" w:rsidRDefault="00471728"/>
    <w:p w14:paraId="2FE6B7DF" w14:textId="77777777" w:rsidR="00471728" w:rsidRDefault="00471728"/>
    <w:p w14:paraId="2FE6B7E0" w14:textId="77777777" w:rsidR="00471728" w:rsidRDefault="00471728"/>
    <w:p w14:paraId="2FE6B7E1" w14:textId="77777777" w:rsidR="00471728" w:rsidRDefault="00471728"/>
    <w:p w14:paraId="2FE6B7E2" w14:textId="77777777" w:rsidR="00471728" w:rsidRDefault="00471728"/>
    <w:p w14:paraId="2FE6B7E3" w14:textId="77777777" w:rsidR="00471728" w:rsidRDefault="00471728"/>
    <w:p w14:paraId="2FE6B7E4" w14:textId="77777777" w:rsidR="00471728" w:rsidRDefault="006415EC">
      <w:pPr>
        <w:jc w:val="center"/>
        <w:rPr>
          <w:rFonts w:ascii="Times New Roman" w:hAnsi="Times New Roman" w:cs="Times New Roman"/>
          <w:b/>
          <w:sz w:val="96"/>
          <w:szCs w:val="96"/>
        </w:rPr>
      </w:pPr>
      <w:r>
        <w:rPr>
          <w:rFonts w:ascii="Times New Roman" w:hAnsi="Times New Roman" w:cs="Times New Roman"/>
          <w:b/>
          <w:sz w:val="96"/>
          <w:szCs w:val="96"/>
        </w:rPr>
        <w:t>ДОДАТКИ</w:t>
      </w:r>
    </w:p>
    <w:p w14:paraId="2FE6B7E5" w14:textId="77777777" w:rsidR="00471728" w:rsidRDefault="00471728"/>
    <w:p w14:paraId="2FE6B7E6" w14:textId="77777777" w:rsidR="00471728" w:rsidRDefault="00471728"/>
    <w:p w14:paraId="2FE6B7E7" w14:textId="77777777" w:rsidR="00471728" w:rsidRDefault="00471728"/>
    <w:p w14:paraId="2FE6B7E8" w14:textId="77777777" w:rsidR="00471728" w:rsidRDefault="00471728"/>
    <w:p w14:paraId="2FE6B7E9" w14:textId="77777777" w:rsidR="00471728" w:rsidRDefault="00471728"/>
    <w:p w14:paraId="2FE6B7EA" w14:textId="77777777" w:rsidR="00471728" w:rsidRDefault="00471728"/>
    <w:p w14:paraId="2FE6B7EB" w14:textId="77777777" w:rsidR="00471728" w:rsidRDefault="00471728"/>
    <w:sectPr w:rsidR="00471728">
      <w:headerReference w:type="default" r:id="rId53"/>
      <w:pgSz w:w="11906" w:h="16838"/>
      <w:pgMar w:top="1134" w:right="851" w:bottom="1134" w:left="1701"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8A4B45" w14:textId="77777777" w:rsidR="006C10F4" w:rsidRDefault="006C10F4">
      <w:pPr>
        <w:spacing w:after="0" w:line="240" w:lineRule="auto"/>
      </w:pPr>
      <w:r>
        <w:separator/>
      </w:r>
    </w:p>
  </w:endnote>
  <w:endnote w:type="continuationSeparator" w:id="0">
    <w:p w14:paraId="1D85A472" w14:textId="77777777" w:rsidR="006C10F4" w:rsidRDefault="006C10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Bold">
    <w:altName w:val="Times New Roman"/>
    <w:charset w:val="00"/>
    <w:family w:val="auto"/>
    <w:pitch w:val="default"/>
  </w:font>
  <w:font w:name="TimesNewRoman">
    <w:altName w:val="Times New Roman"/>
    <w:charset w:val="00"/>
    <w:family w:val="auto"/>
    <w:pitch w:val="default"/>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00"/>
    <w:family w:val="auto"/>
    <w:pitch w:val="default"/>
  </w:font>
  <w:font w:name="Calibri">
    <w:panose1 w:val="020F0502020204030204"/>
    <w:charset w:val="CC"/>
    <w:family w:val="swiss"/>
    <w:pitch w:val="variable"/>
    <w:sig w:usb0="E4002EFF" w:usb1="C000247B" w:usb2="00000009" w:usb3="00000000" w:csb0="000001FF" w:csb1="00000000"/>
  </w:font>
  <w:font w:name="TimesNewRomanPSMT">
    <w:charset w:val="00"/>
    <w:family w:val="auto"/>
    <w:pitch w:val="default"/>
  </w:font>
  <w:font w:name="Times New Roman Полужирный">
    <w:altName w:val="Times New Roman"/>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86B460" w14:textId="77777777" w:rsidR="006C10F4" w:rsidRDefault="006C10F4">
      <w:pPr>
        <w:spacing w:after="0" w:line="240" w:lineRule="auto"/>
      </w:pPr>
      <w:r>
        <w:separator/>
      </w:r>
    </w:p>
  </w:footnote>
  <w:footnote w:type="continuationSeparator" w:id="0">
    <w:p w14:paraId="0A128FE0" w14:textId="77777777" w:rsidR="006C10F4" w:rsidRDefault="006C10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5816312"/>
      <w:docPartObj>
        <w:docPartGallery w:val="Page Numbers (Top of Page)"/>
        <w:docPartUnique/>
      </w:docPartObj>
    </w:sdtPr>
    <w:sdtEndPr/>
    <w:sdtContent>
      <w:p w14:paraId="2FE6B80E" w14:textId="644F98B5" w:rsidR="006C10F4" w:rsidRDefault="006C10F4">
        <w:pPr>
          <w:pStyle w:val="af3"/>
          <w:jc w:val="right"/>
        </w:pPr>
        <w:r>
          <w:fldChar w:fldCharType="begin"/>
        </w:r>
        <w:r>
          <w:instrText>PAGE   \* MERGEFORMAT</w:instrText>
        </w:r>
        <w:r>
          <w:fldChar w:fldCharType="separate"/>
        </w:r>
        <w:r w:rsidR="00DD172B">
          <w:rPr>
            <w:noProof/>
          </w:rPr>
          <w:t>4</w:t>
        </w:r>
        <w:r>
          <w:fldChar w:fldCharType="end"/>
        </w:r>
      </w:p>
    </w:sdtContent>
  </w:sdt>
  <w:p w14:paraId="2FE6B80F" w14:textId="77777777" w:rsidR="006C10F4" w:rsidRDefault="006C10F4">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A6FB2"/>
    <w:multiLevelType w:val="multilevel"/>
    <w:tmpl w:val="8052377A"/>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1" w15:restartNumberingAfterBreak="0">
    <w:nsid w:val="025B10F7"/>
    <w:multiLevelType w:val="multilevel"/>
    <w:tmpl w:val="B680DB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 w15:restartNumberingAfterBreak="0">
    <w:nsid w:val="0A273E68"/>
    <w:multiLevelType w:val="multilevel"/>
    <w:tmpl w:val="3DCC2BAE"/>
    <w:lvl w:ilvl="0">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 w15:restartNumberingAfterBreak="0">
    <w:nsid w:val="0A5A43FD"/>
    <w:multiLevelType w:val="multilevel"/>
    <w:tmpl w:val="28FA5FD2"/>
    <w:lvl w:ilvl="0">
      <w:start w:val="2"/>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4" w15:restartNumberingAfterBreak="0">
    <w:nsid w:val="0CA12C84"/>
    <w:multiLevelType w:val="multilevel"/>
    <w:tmpl w:val="7B003318"/>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D0528BA"/>
    <w:multiLevelType w:val="multilevel"/>
    <w:tmpl w:val="881AD980"/>
    <w:lvl w:ilvl="0">
      <w:start w:val="6"/>
      <w:numFmt w:val="decimal"/>
      <w:lvlText w:val="%1."/>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ru-RU" w:eastAsia="ru-RU" w:bidi="ru-RU"/>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uk-UA" w:eastAsia="uk-UA" w:bidi="uk-UA"/>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6" w15:restartNumberingAfterBreak="0">
    <w:nsid w:val="18B92697"/>
    <w:multiLevelType w:val="multilevel"/>
    <w:tmpl w:val="8A06A9E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7" w15:restartNumberingAfterBreak="0">
    <w:nsid w:val="18CA2367"/>
    <w:multiLevelType w:val="multilevel"/>
    <w:tmpl w:val="65DC23D2"/>
    <w:lvl w:ilvl="0">
      <w:start w:val="1"/>
      <w:numFmt w:val="bullet"/>
      <w:lvlText w:val="-"/>
      <w:lvlJc w:val="left"/>
      <w:pPr>
        <w:ind w:left="1069" w:hanging="360"/>
      </w:pPr>
      <w:rPr>
        <w:rFonts w:ascii="Times New Roman" w:eastAsia="Microsoft YaHei"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8" w15:restartNumberingAfterBreak="0">
    <w:nsid w:val="1D0404C7"/>
    <w:multiLevelType w:val="multilevel"/>
    <w:tmpl w:val="AC6406B8"/>
    <w:lvl w:ilvl="0">
      <w:start w:val="1"/>
      <w:numFmt w:val="bullet"/>
      <w:lvlText w:val="–"/>
      <w:lvlJc w:val="left"/>
      <w:pPr>
        <w:ind w:left="709" w:hanging="360"/>
      </w:pPr>
      <w:rPr>
        <w:rFonts w:ascii="Arial" w:eastAsia="Arial" w:hAnsi="Arial" w:cs="Arial" w:hint="default"/>
      </w:rPr>
    </w:lvl>
    <w:lvl w:ilvl="1">
      <w:start w:val="1"/>
      <w:numFmt w:val="bullet"/>
      <w:lvlText w:val="o"/>
      <w:lvlJc w:val="left"/>
      <w:pPr>
        <w:ind w:left="1429" w:hanging="360"/>
      </w:pPr>
      <w:rPr>
        <w:rFonts w:ascii="Courier New" w:eastAsia="Courier New" w:hAnsi="Courier New" w:cs="Courier New" w:hint="default"/>
      </w:rPr>
    </w:lvl>
    <w:lvl w:ilvl="2">
      <w:start w:val="1"/>
      <w:numFmt w:val="bullet"/>
      <w:lvlText w:val="§"/>
      <w:lvlJc w:val="left"/>
      <w:pPr>
        <w:ind w:left="2149" w:hanging="360"/>
      </w:pPr>
      <w:rPr>
        <w:rFonts w:ascii="Wingdings" w:eastAsia="Wingdings" w:hAnsi="Wingdings" w:cs="Wingdings"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o"/>
      <w:lvlJc w:val="left"/>
      <w:pPr>
        <w:ind w:left="3589" w:hanging="360"/>
      </w:pPr>
      <w:rPr>
        <w:rFonts w:ascii="Courier New" w:eastAsia="Courier New" w:hAnsi="Courier New" w:cs="Courier New" w:hint="default"/>
      </w:rPr>
    </w:lvl>
    <w:lvl w:ilvl="5">
      <w:start w:val="1"/>
      <w:numFmt w:val="bullet"/>
      <w:lvlText w:val="§"/>
      <w:lvlJc w:val="left"/>
      <w:pPr>
        <w:ind w:left="4309" w:hanging="360"/>
      </w:pPr>
      <w:rPr>
        <w:rFonts w:ascii="Wingdings" w:eastAsia="Wingdings" w:hAnsi="Wingdings" w:cs="Wingdings"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o"/>
      <w:lvlJc w:val="left"/>
      <w:pPr>
        <w:ind w:left="5749" w:hanging="360"/>
      </w:pPr>
      <w:rPr>
        <w:rFonts w:ascii="Courier New" w:eastAsia="Courier New" w:hAnsi="Courier New" w:cs="Courier New" w:hint="default"/>
      </w:rPr>
    </w:lvl>
    <w:lvl w:ilvl="8">
      <w:start w:val="1"/>
      <w:numFmt w:val="bullet"/>
      <w:lvlText w:val="§"/>
      <w:lvlJc w:val="left"/>
      <w:pPr>
        <w:ind w:left="6469" w:hanging="360"/>
      </w:pPr>
      <w:rPr>
        <w:rFonts w:ascii="Wingdings" w:eastAsia="Wingdings" w:hAnsi="Wingdings" w:cs="Wingdings" w:hint="default"/>
      </w:rPr>
    </w:lvl>
  </w:abstractNum>
  <w:abstractNum w:abstractNumId="9" w15:restartNumberingAfterBreak="0">
    <w:nsid w:val="1F397826"/>
    <w:multiLevelType w:val="multilevel"/>
    <w:tmpl w:val="294A7F40"/>
    <w:lvl w:ilvl="0">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0" w15:restartNumberingAfterBreak="0">
    <w:nsid w:val="1FE01BB4"/>
    <w:multiLevelType w:val="multilevel"/>
    <w:tmpl w:val="4B521CB2"/>
    <w:lvl w:ilvl="0">
      <w:start w:val="2"/>
      <w:numFmt w:val="decimal"/>
      <w:lvlText w:val="%1"/>
      <w:lvlJc w:val="left"/>
      <w:rPr>
        <w:rFonts w:ascii="Arial" w:eastAsia="Arial" w:hAnsi="Arial" w:cs="Arial"/>
        <w:b w:val="0"/>
        <w:bCs w:val="0"/>
        <w:i/>
        <w:iCs/>
        <w:smallCaps w:val="0"/>
        <w:strike w:val="0"/>
        <w:color w:val="000000"/>
        <w:spacing w:val="0"/>
        <w:position w:val="0"/>
        <w:sz w:val="13"/>
        <w:szCs w:val="13"/>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1" w15:restartNumberingAfterBreak="0">
    <w:nsid w:val="21AB5080"/>
    <w:multiLevelType w:val="multilevel"/>
    <w:tmpl w:val="2C8C4CF6"/>
    <w:lvl w:ilvl="0">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2" w15:restartNumberingAfterBreak="0">
    <w:nsid w:val="2697D66D"/>
    <w:multiLevelType w:val="multilevel"/>
    <w:tmpl w:val="D7A693C2"/>
    <w:lvl w:ilvl="0">
      <w:start w:val="1"/>
      <w:numFmt w:val="bullet"/>
      <w:lvlText w:val="-"/>
      <w:lvlJc w:val="left"/>
      <w:pPr>
        <w:ind w:left="1418" w:hanging="360"/>
      </w:pPr>
      <w:rPr>
        <w:rFonts w:ascii="Times New Roman" w:eastAsia="Times New Roman" w:hAnsi="Times New Roman" w:cs="Times New Roman"/>
        <w:b w:val="0"/>
        <w:bCs w:val="0"/>
        <w:i w:val="0"/>
        <w:iCs w:val="0"/>
        <w:smallCaps w:val="0"/>
        <w:strike w:val="0"/>
        <w:color w:val="000000"/>
        <w:spacing w:val="0"/>
        <w:position w:val="0"/>
        <w:u w:val="none"/>
        <w:shd w:val="clear" w:color="auto" w:fill="auto"/>
        <w:lang w:val="uk-UA" w:eastAsia="uk-UA" w:bidi="uk-UA"/>
      </w:rPr>
    </w:lvl>
    <w:lvl w:ilvl="1">
      <w:start w:val="1"/>
      <w:numFmt w:val="bullet"/>
      <w:lvlText w:val="o"/>
      <w:lvlJc w:val="left"/>
      <w:pPr>
        <w:ind w:left="2138" w:hanging="360"/>
      </w:pPr>
      <w:rPr>
        <w:rFonts w:ascii="Courier New" w:eastAsia="Courier New" w:hAnsi="Courier New" w:cs="Courier New" w:hint="default"/>
      </w:rPr>
    </w:lvl>
    <w:lvl w:ilvl="2">
      <w:start w:val="1"/>
      <w:numFmt w:val="bullet"/>
      <w:lvlText w:val="§"/>
      <w:lvlJc w:val="left"/>
      <w:pPr>
        <w:ind w:left="2858" w:hanging="360"/>
      </w:pPr>
      <w:rPr>
        <w:rFonts w:ascii="Wingdings" w:eastAsia="Wingdings" w:hAnsi="Wingdings" w:cs="Wingdings" w:hint="default"/>
      </w:rPr>
    </w:lvl>
    <w:lvl w:ilvl="3">
      <w:start w:val="1"/>
      <w:numFmt w:val="bullet"/>
      <w:lvlText w:val="·"/>
      <w:lvlJc w:val="left"/>
      <w:pPr>
        <w:ind w:left="3578" w:hanging="360"/>
      </w:pPr>
      <w:rPr>
        <w:rFonts w:ascii="Symbol" w:eastAsia="Symbol" w:hAnsi="Symbol" w:cs="Symbol" w:hint="default"/>
      </w:rPr>
    </w:lvl>
    <w:lvl w:ilvl="4">
      <w:start w:val="1"/>
      <w:numFmt w:val="bullet"/>
      <w:lvlText w:val="o"/>
      <w:lvlJc w:val="left"/>
      <w:pPr>
        <w:ind w:left="4298" w:hanging="360"/>
      </w:pPr>
      <w:rPr>
        <w:rFonts w:ascii="Courier New" w:eastAsia="Courier New" w:hAnsi="Courier New" w:cs="Courier New" w:hint="default"/>
      </w:rPr>
    </w:lvl>
    <w:lvl w:ilvl="5">
      <w:start w:val="1"/>
      <w:numFmt w:val="bullet"/>
      <w:lvlText w:val="§"/>
      <w:lvlJc w:val="left"/>
      <w:pPr>
        <w:ind w:left="5018" w:hanging="360"/>
      </w:pPr>
      <w:rPr>
        <w:rFonts w:ascii="Wingdings" w:eastAsia="Wingdings" w:hAnsi="Wingdings" w:cs="Wingdings" w:hint="default"/>
      </w:rPr>
    </w:lvl>
    <w:lvl w:ilvl="6">
      <w:start w:val="1"/>
      <w:numFmt w:val="bullet"/>
      <w:lvlText w:val="·"/>
      <w:lvlJc w:val="left"/>
      <w:pPr>
        <w:ind w:left="5738" w:hanging="360"/>
      </w:pPr>
      <w:rPr>
        <w:rFonts w:ascii="Symbol" w:eastAsia="Symbol" w:hAnsi="Symbol" w:cs="Symbol" w:hint="default"/>
      </w:rPr>
    </w:lvl>
    <w:lvl w:ilvl="7">
      <w:start w:val="1"/>
      <w:numFmt w:val="bullet"/>
      <w:lvlText w:val="o"/>
      <w:lvlJc w:val="left"/>
      <w:pPr>
        <w:ind w:left="6458" w:hanging="360"/>
      </w:pPr>
      <w:rPr>
        <w:rFonts w:ascii="Courier New" w:eastAsia="Courier New" w:hAnsi="Courier New" w:cs="Courier New" w:hint="default"/>
      </w:rPr>
    </w:lvl>
    <w:lvl w:ilvl="8">
      <w:start w:val="1"/>
      <w:numFmt w:val="bullet"/>
      <w:lvlText w:val="§"/>
      <w:lvlJc w:val="left"/>
      <w:pPr>
        <w:ind w:left="7178" w:hanging="360"/>
      </w:pPr>
      <w:rPr>
        <w:rFonts w:ascii="Wingdings" w:eastAsia="Wingdings" w:hAnsi="Wingdings" w:cs="Wingdings" w:hint="default"/>
      </w:rPr>
    </w:lvl>
  </w:abstractNum>
  <w:abstractNum w:abstractNumId="13" w15:restartNumberingAfterBreak="0">
    <w:nsid w:val="2BA93D41"/>
    <w:multiLevelType w:val="multilevel"/>
    <w:tmpl w:val="213A0AA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uk-UA" w:eastAsia="uk-UA" w:bidi="uk-UA"/>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4" w15:restartNumberingAfterBreak="0">
    <w:nsid w:val="2DE8689B"/>
    <w:multiLevelType w:val="multilevel"/>
    <w:tmpl w:val="C73E0EEA"/>
    <w:lvl w:ilvl="0">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5" w15:restartNumberingAfterBreak="0">
    <w:nsid w:val="2EFF28C7"/>
    <w:multiLevelType w:val="multilevel"/>
    <w:tmpl w:val="9194755A"/>
    <w:lvl w:ilvl="0">
      <w:start w:val="1"/>
      <w:numFmt w:val="decimal"/>
      <w:lvlText w:val="%1."/>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ru-RU" w:eastAsia="ru-RU" w:bidi="ru-RU"/>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uk-UA" w:eastAsia="uk-UA" w:bidi="uk-UA"/>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6" w15:restartNumberingAfterBreak="0">
    <w:nsid w:val="2F3C5E5F"/>
    <w:multiLevelType w:val="multilevel"/>
    <w:tmpl w:val="5F5CA958"/>
    <w:lvl w:ilvl="0">
      <w:start w:val="3"/>
      <w:numFmt w:val="decimal"/>
      <w:lvlText w:val="2.%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7" w15:restartNumberingAfterBreak="0">
    <w:nsid w:val="32FF228E"/>
    <w:multiLevelType w:val="multilevel"/>
    <w:tmpl w:val="31D8714E"/>
    <w:lvl w:ilvl="0">
      <w:start w:val="5"/>
      <w:numFmt w:val="decimal"/>
      <w:lvlText w:val="1.%1."/>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ru-RU" w:eastAsia="ru-RU" w:bidi="ru-RU"/>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8" w15:restartNumberingAfterBreak="0">
    <w:nsid w:val="36103643"/>
    <w:multiLevelType w:val="multilevel"/>
    <w:tmpl w:val="5670581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9" w15:restartNumberingAfterBreak="0">
    <w:nsid w:val="36D53FEB"/>
    <w:multiLevelType w:val="multilevel"/>
    <w:tmpl w:val="CE66B196"/>
    <w:lvl w:ilvl="0">
      <w:start w:val="3"/>
      <w:numFmt w:val="decimal"/>
      <w:lvlText w:val="2.%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0" w15:restartNumberingAfterBreak="0">
    <w:nsid w:val="375503DA"/>
    <w:multiLevelType w:val="multilevel"/>
    <w:tmpl w:val="42EA61E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1" w15:restartNumberingAfterBreak="0">
    <w:nsid w:val="38542D3D"/>
    <w:multiLevelType w:val="multilevel"/>
    <w:tmpl w:val="60284164"/>
    <w:lvl w:ilvl="0">
      <w:start w:val="6"/>
      <w:numFmt w:val="decimal"/>
      <w:lvlText w:val="%1."/>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ru-RU" w:eastAsia="ru-RU" w:bidi="ru-RU"/>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uk-UA" w:eastAsia="uk-UA" w:bidi="uk-UA"/>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2" w15:restartNumberingAfterBreak="0">
    <w:nsid w:val="3AE93BEA"/>
    <w:multiLevelType w:val="multilevel"/>
    <w:tmpl w:val="06D0A3FA"/>
    <w:lvl w:ilvl="0">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3" w15:restartNumberingAfterBreak="0">
    <w:nsid w:val="421E3DEF"/>
    <w:multiLevelType w:val="multilevel"/>
    <w:tmpl w:val="233875F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4" w15:restartNumberingAfterBreak="0">
    <w:nsid w:val="470C5F3B"/>
    <w:multiLevelType w:val="multilevel"/>
    <w:tmpl w:val="1CD0D04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5" w15:restartNumberingAfterBreak="0">
    <w:nsid w:val="485C3155"/>
    <w:multiLevelType w:val="multilevel"/>
    <w:tmpl w:val="669839AC"/>
    <w:lvl w:ilvl="0">
      <w:start w:val="2"/>
      <w:numFmt w:val="decimal"/>
      <w:lvlText w:val="3.%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6" w15:restartNumberingAfterBreak="0">
    <w:nsid w:val="48E1614E"/>
    <w:multiLevelType w:val="multilevel"/>
    <w:tmpl w:val="CF64EAB0"/>
    <w:lvl w:ilvl="0">
      <w:start w:val="1"/>
      <w:numFmt w:val="bullet"/>
      <w:lvlText w:val="–"/>
      <w:lvlJc w:val="left"/>
      <w:pPr>
        <w:ind w:left="1469" w:hanging="360"/>
      </w:pPr>
      <w:rPr>
        <w:rFonts w:ascii="Arial" w:eastAsia="Arial" w:hAnsi="Arial" w:cs="Arial" w:hint="default"/>
      </w:rPr>
    </w:lvl>
    <w:lvl w:ilvl="1">
      <w:start w:val="1"/>
      <w:numFmt w:val="bullet"/>
      <w:lvlText w:val="o"/>
      <w:lvlJc w:val="left"/>
      <w:pPr>
        <w:ind w:left="2189" w:hanging="360"/>
      </w:pPr>
      <w:rPr>
        <w:rFonts w:ascii="Courier New" w:eastAsia="Courier New" w:hAnsi="Courier New" w:cs="Courier New" w:hint="default"/>
      </w:rPr>
    </w:lvl>
    <w:lvl w:ilvl="2">
      <w:start w:val="1"/>
      <w:numFmt w:val="bullet"/>
      <w:lvlText w:val="§"/>
      <w:lvlJc w:val="left"/>
      <w:pPr>
        <w:ind w:left="2909" w:hanging="360"/>
      </w:pPr>
      <w:rPr>
        <w:rFonts w:ascii="Wingdings" w:eastAsia="Wingdings" w:hAnsi="Wingdings" w:cs="Wingdings" w:hint="default"/>
      </w:rPr>
    </w:lvl>
    <w:lvl w:ilvl="3">
      <w:start w:val="1"/>
      <w:numFmt w:val="bullet"/>
      <w:lvlText w:val="·"/>
      <w:lvlJc w:val="left"/>
      <w:pPr>
        <w:ind w:left="3629" w:hanging="360"/>
      </w:pPr>
      <w:rPr>
        <w:rFonts w:ascii="Symbol" w:eastAsia="Symbol" w:hAnsi="Symbol" w:cs="Symbol" w:hint="default"/>
      </w:rPr>
    </w:lvl>
    <w:lvl w:ilvl="4">
      <w:start w:val="1"/>
      <w:numFmt w:val="bullet"/>
      <w:lvlText w:val="o"/>
      <w:lvlJc w:val="left"/>
      <w:pPr>
        <w:ind w:left="4349" w:hanging="360"/>
      </w:pPr>
      <w:rPr>
        <w:rFonts w:ascii="Courier New" w:eastAsia="Courier New" w:hAnsi="Courier New" w:cs="Courier New" w:hint="default"/>
      </w:rPr>
    </w:lvl>
    <w:lvl w:ilvl="5">
      <w:start w:val="1"/>
      <w:numFmt w:val="bullet"/>
      <w:lvlText w:val="§"/>
      <w:lvlJc w:val="left"/>
      <w:pPr>
        <w:ind w:left="5069" w:hanging="360"/>
      </w:pPr>
      <w:rPr>
        <w:rFonts w:ascii="Wingdings" w:eastAsia="Wingdings" w:hAnsi="Wingdings" w:cs="Wingdings" w:hint="default"/>
      </w:rPr>
    </w:lvl>
    <w:lvl w:ilvl="6">
      <w:start w:val="1"/>
      <w:numFmt w:val="bullet"/>
      <w:lvlText w:val="·"/>
      <w:lvlJc w:val="left"/>
      <w:pPr>
        <w:ind w:left="5789" w:hanging="360"/>
      </w:pPr>
      <w:rPr>
        <w:rFonts w:ascii="Symbol" w:eastAsia="Symbol" w:hAnsi="Symbol" w:cs="Symbol" w:hint="default"/>
      </w:rPr>
    </w:lvl>
    <w:lvl w:ilvl="7">
      <w:start w:val="1"/>
      <w:numFmt w:val="bullet"/>
      <w:lvlText w:val="o"/>
      <w:lvlJc w:val="left"/>
      <w:pPr>
        <w:ind w:left="6509" w:hanging="360"/>
      </w:pPr>
      <w:rPr>
        <w:rFonts w:ascii="Courier New" w:eastAsia="Courier New" w:hAnsi="Courier New" w:cs="Courier New" w:hint="default"/>
      </w:rPr>
    </w:lvl>
    <w:lvl w:ilvl="8">
      <w:start w:val="1"/>
      <w:numFmt w:val="bullet"/>
      <w:lvlText w:val="§"/>
      <w:lvlJc w:val="left"/>
      <w:pPr>
        <w:ind w:left="7229" w:hanging="360"/>
      </w:pPr>
      <w:rPr>
        <w:rFonts w:ascii="Wingdings" w:eastAsia="Wingdings" w:hAnsi="Wingdings" w:cs="Wingdings" w:hint="default"/>
      </w:rPr>
    </w:lvl>
  </w:abstractNum>
  <w:abstractNum w:abstractNumId="27" w15:restartNumberingAfterBreak="0">
    <w:nsid w:val="497422E0"/>
    <w:multiLevelType w:val="multilevel"/>
    <w:tmpl w:val="F38E1B2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8" w15:restartNumberingAfterBreak="0">
    <w:nsid w:val="4B3D2D75"/>
    <w:multiLevelType w:val="multilevel"/>
    <w:tmpl w:val="D272DAD2"/>
    <w:lvl w:ilvl="0">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9" w15:restartNumberingAfterBreak="0">
    <w:nsid w:val="4CDD7953"/>
    <w:multiLevelType w:val="multilevel"/>
    <w:tmpl w:val="26FE2EDA"/>
    <w:lvl w:ilvl="0">
      <w:start w:val="1"/>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0" w15:restartNumberingAfterBreak="0">
    <w:nsid w:val="4E902252"/>
    <w:multiLevelType w:val="multilevel"/>
    <w:tmpl w:val="E000226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1" w15:restartNumberingAfterBreak="0">
    <w:nsid w:val="4EFE206D"/>
    <w:multiLevelType w:val="multilevel"/>
    <w:tmpl w:val="1CD6B97E"/>
    <w:lvl w:ilvl="0">
      <w:start w:val="2"/>
      <w:numFmt w:val="decimal"/>
      <w:lvlText w:val="1.%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2" w15:restartNumberingAfterBreak="0">
    <w:nsid w:val="517C3D1E"/>
    <w:multiLevelType w:val="multilevel"/>
    <w:tmpl w:val="8CDC5A96"/>
    <w:lvl w:ilvl="0">
      <w:start w:val="6"/>
      <w:numFmt w:val="decimal"/>
      <w:lvlText w:val="%1."/>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ru-RU" w:eastAsia="ru-RU" w:bidi="ru-RU"/>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uk-UA" w:eastAsia="uk-UA" w:bidi="uk-UA"/>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3" w15:restartNumberingAfterBreak="0">
    <w:nsid w:val="528925FD"/>
    <w:multiLevelType w:val="multilevel"/>
    <w:tmpl w:val="BABAF790"/>
    <w:lvl w:ilvl="0">
      <w:numFmt w:val="bullet"/>
      <w:lvlText w:val="-"/>
      <w:lvlJc w:val="left"/>
      <w:pPr>
        <w:ind w:left="1069" w:hanging="360"/>
      </w:pPr>
      <w:rPr>
        <w:rFonts w:ascii="Times New Roman" w:eastAsia="Microsoft YaHei"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34" w15:restartNumberingAfterBreak="0">
    <w:nsid w:val="556A003A"/>
    <w:multiLevelType w:val="multilevel"/>
    <w:tmpl w:val="144ADD5C"/>
    <w:lvl w:ilvl="0">
      <w:start w:val="2"/>
      <w:numFmt w:val="decimal"/>
      <w:lvlText w:val="3.%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5" w15:restartNumberingAfterBreak="0">
    <w:nsid w:val="59CE7697"/>
    <w:multiLevelType w:val="multilevel"/>
    <w:tmpl w:val="C68807C4"/>
    <w:lvl w:ilvl="0">
      <w:numFmt w:val="bullet"/>
      <w:lvlText w:val="-"/>
      <w:lvlJc w:val="left"/>
      <w:pPr>
        <w:ind w:left="2149" w:hanging="360"/>
      </w:pPr>
      <w:rPr>
        <w:rFonts w:ascii="Times New Roman" w:eastAsia="Microsoft YaHei" w:hAnsi="Times New Roman" w:cs="Times New Roman" w:hint="default"/>
      </w:rPr>
    </w:lvl>
    <w:lvl w:ilvl="1">
      <w:start w:val="1"/>
      <w:numFmt w:val="bullet"/>
      <w:lvlText w:val="o"/>
      <w:lvlJc w:val="left"/>
      <w:pPr>
        <w:ind w:left="2869" w:hanging="360"/>
      </w:pPr>
      <w:rPr>
        <w:rFonts w:ascii="Courier New" w:hAnsi="Courier New" w:cs="Courier New" w:hint="default"/>
      </w:rPr>
    </w:lvl>
    <w:lvl w:ilvl="2">
      <w:start w:val="1"/>
      <w:numFmt w:val="bullet"/>
      <w:lvlText w:val=""/>
      <w:lvlJc w:val="left"/>
      <w:pPr>
        <w:ind w:left="3589" w:hanging="360"/>
      </w:pPr>
      <w:rPr>
        <w:rFonts w:ascii="Wingdings" w:hAnsi="Wingdings" w:hint="default"/>
      </w:rPr>
    </w:lvl>
    <w:lvl w:ilvl="3">
      <w:start w:val="1"/>
      <w:numFmt w:val="bullet"/>
      <w:lvlText w:val=""/>
      <w:lvlJc w:val="left"/>
      <w:pPr>
        <w:ind w:left="4309" w:hanging="360"/>
      </w:pPr>
      <w:rPr>
        <w:rFonts w:ascii="Symbol" w:hAnsi="Symbol" w:hint="default"/>
      </w:rPr>
    </w:lvl>
    <w:lvl w:ilvl="4">
      <w:start w:val="1"/>
      <w:numFmt w:val="bullet"/>
      <w:lvlText w:val="o"/>
      <w:lvlJc w:val="left"/>
      <w:pPr>
        <w:ind w:left="5029" w:hanging="360"/>
      </w:pPr>
      <w:rPr>
        <w:rFonts w:ascii="Courier New" w:hAnsi="Courier New" w:cs="Courier New" w:hint="default"/>
      </w:rPr>
    </w:lvl>
    <w:lvl w:ilvl="5">
      <w:start w:val="1"/>
      <w:numFmt w:val="bullet"/>
      <w:lvlText w:val=""/>
      <w:lvlJc w:val="left"/>
      <w:pPr>
        <w:ind w:left="5749" w:hanging="360"/>
      </w:pPr>
      <w:rPr>
        <w:rFonts w:ascii="Wingdings" w:hAnsi="Wingdings" w:hint="default"/>
      </w:rPr>
    </w:lvl>
    <w:lvl w:ilvl="6">
      <w:start w:val="1"/>
      <w:numFmt w:val="bullet"/>
      <w:lvlText w:val=""/>
      <w:lvlJc w:val="left"/>
      <w:pPr>
        <w:ind w:left="6469" w:hanging="360"/>
      </w:pPr>
      <w:rPr>
        <w:rFonts w:ascii="Symbol" w:hAnsi="Symbol" w:hint="default"/>
      </w:rPr>
    </w:lvl>
    <w:lvl w:ilvl="7">
      <w:start w:val="1"/>
      <w:numFmt w:val="bullet"/>
      <w:lvlText w:val="o"/>
      <w:lvlJc w:val="left"/>
      <w:pPr>
        <w:ind w:left="7189" w:hanging="360"/>
      </w:pPr>
      <w:rPr>
        <w:rFonts w:ascii="Courier New" w:hAnsi="Courier New" w:cs="Courier New" w:hint="default"/>
      </w:rPr>
    </w:lvl>
    <w:lvl w:ilvl="8">
      <w:start w:val="1"/>
      <w:numFmt w:val="bullet"/>
      <w:lvlText w:val=""/>
      <w:lvlJc w:val="left"/>
      <w:pPr>
        <w:ind w:left="7909" w:hanging="360"/>
      </w:pPr>
      <w:rPr>
        <w:rFonts w:ascii="Wingdings" w:hAnsi="Wingdings" w:hint="default"/>
      </w:rPr>
    </w:lvl>
  </w:abstractNum>
  <w:abstractNum w:abstractNumId="36" w15:restartNumberingAfterBreak="0">
    <w:nsid w:val="5AA70C5E"/>
    <w:multiLevelType w:val="multilevel"/>
    <w:tmpl w:val="6B6A634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7" w15:restartNumberingAfterBreak="0">
    <w:nsid w:val="5DF41599"/>
    <w:multiLevelType w:val="multilevel"/>
    <w:tmpl w:val="6540C984"/>
    <w:lvl w:ilvl="0">
      <w:start w:val="1"/>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8" w15:restartNumberingAfterBreak="0">
    <w:nsid w:val="611474D3"/>
    <w:multiLevelType w:val="multilevel"/>
    <w:tmpl w:val="7040BEFA"/>
    <w:lvl w:ilvl="0">
      <w:start w:val="1"/>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9" w15:restartNumberingAfterBreak="0">
    <w:nsid w:val="65635D86"/>
    <w:multiLevelType w:val="multilevel"/>
    <w:tmpl w:val="018E12F2"/>
    <w:lvl w:ilvl="0">
      <w:start w:val="2"/>
      <w:numFmt w:val="decimal"/>
      <w:lvlText w:val="1.%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40" w15:restartNumberingAfterBreak="0">
    <w:nsid w:val="6B35248D"/>
    <w:multiLevelType w:val="multilevel"/>
    <w:tmpl w:val="0A1C3708"/>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position w:val="0"/>
        <w:sz w:val="26"/>
        <w:szCs w:val="26"/>
        <w:u w:val="none"/>
        <w:shd w:val="clear" w:color="auto" w:fill="auto"/>
        <w:lang w:val="uk-UA" w:eastAsia="uk-UA" w:bidi="uk-UA"/>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41" w15:restartNumberingAfterBreak="0">
    <w:nsid w:val="778B5F4E"/>
    <w:multiLevelType w:val="multilevel"/>
    <w:tmpl w:val="B0B0BD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42" w15:restartNumberingAfterBreak="0">
    <w:nsid w:val="78FC37C1"/>
    <w:multiLevelType w:val="multilevel"/>
    <w:tmpl w:val="FFE81AB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position w:val="0"/>
        <w:sz w:val="26"/>
        <w:szCs w:val="26"/>
        <w:u w:val="none"/>
        <w:shd w:val="clear" w:color="auto" w:fill="auto"/>
        <w:lang w:val="uk-UA" w:eastAsia="uk-UA" w:bidi="uk-UA"/>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43" w15:restartNumberingAfterBreak="0">
    <w:nsid w:val="7943446F"/>
    <w:multiLevelType w:val="multilevel"/>
    <w:tmpl w:val="E1B09D66"/>
    <w:lvl w:ilvl="0">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44" w15:restartNumberingAfterBreak="0">
    <w:nsid w:val="7B61FA7E"/>
    <w:multiLevelType w:val="multilevel"/>
    <w:tmpl w:val="C360ED30"/>
    <w:lvl w:ilvl="0">
      <w:start w:val="1"/>
      <w:numFmt w:val="bullet"/>
      <w:lvlText w:val="-"/>
      <w:lvlJc w:val="left"/>
      <w:pPr>
        <w:ind w:left="709" w:hanging="360"/>
      </w:pPr>
      <w:rPr>
        <w:rFonts w:ascii="Times New Roman" w:eastAsia="Times New Roman" w:hAnsi="Times New Roman" w:cs="Times New Roman"/>
        <w:b w:val="0"/>
        <w:bCs w:val="0"/>
        <w:i w:val="0"/>
        <w:iCs w:val="0"/>
        <w:smallCaps w:val="0"/>
        <w:strike w:val="0"/>
        <w:color w:val="000000"/>
        <w:spacing w:val="0"/>
        <w:position w:val="0"/>
        <w:u w:val="none"/>
        <w:shd w:val="clear" w:color="auto" w:fill="auto"/>
        <w:lang w:val="uk-UA" w:eastAsia="uk-UA" w:bidi="uk-UA"/>
      </w:rPr>
    </w:lvl>
    <w:lvl w:ilvl="1">
      <w:start w:val="1"/>
      <w:numFmt w:val="bullet"/>
      <w:lvlText w:val="o"/>
      <w:lvlJc w:val="left"/>
      <w:pPr>
        <w:ind w:left="1429" w:hanging="360"/>
      </w:pPr>
      <w:rPr>
        <w:rFonts w:ascii="Courier New" w:eastAsia="Courier New" w:hAnsi="Courier New" w:cs="Courier New" w:hint="default"/>
      </w:rPr>
    </w:lvl>
    <w:lvl w:ilvl="2">
      <w:start w:val="1"/>
      <w:numFmt w:val="bullet"/>
      <w:lvlText w:val="§"/>
      <w:lvlJc w:val="left"/>
      <w:pPr>
        <w:ind w:left="2149" w:hanging="360"/>
      </w:pPr>
      <w:rPr>
        <w:rFonts w:ascii="Wingdings" w:eastAsia="Wingdings" w:hAnsi="Wingdings" w:cs="Wingdings" w:hint="default"/>
      </w:rPr>
    </w:lvl>
    <w:lvl w:ilvl="3">
      <w:start w:val="1"/>
      <w:numFmt w:val="bullet"/>
      <w:lvlText w:val="·"/>
      <w:lvlJc w:val="left"/>
      <w:pPr>
        <w:ind w:left="2869" w:hanging="360"/>
      </w:pPr>
      <w:rPr>
        <w:rFonts w:ascii="Symbol" w:eastAsia="Symbol" w:hAnsi="Symbol" w:cs="Symbol" w:hint="default"/>
      </w:rPr>
    </w:lvl>
    <w:lvl w:ilvl="4">
      <w:start w:val="1"/>
      <w:numFmt w:val="bullet"/>
      <w:lvlText w:val="o"/>
      <w:lvlJc w:val="left"/>
      <w:pPr>
        <w:ind w:left="3589" w:hanging="360"/>
      </w:pPr>
      <w:rPr>
        <w:rFonts w:ascii="Courier New" w:eastAsia="Courier New" w:hAnsi="Courier New" w:cs="Courier New" w:hint="default"/>
      </w:rPr>
    </w:lvl>
    <w:lvl w:ilvl="5">
      <w:start w:val="1"/>
      <w:numFmt w:val="bullet"/>
      <w:lvlText w:val="§"/>
      <w:lvlJc w:val="left"/>
      <w:pPr>
        <w:ind w:left="4309" w:hanging="360"/>
      </w:pPr>
      <w:rPr>
        <w:rFonts w:ascii="Wingdings" w:eastAsia="Wingdings" w:hAnsi="Wingdings" w:cs="Wingdings" w:hint="default"/>
      </w:rPr>
    </w:lvl>
    <w:lvl w:ilvl="6">
      <w:start w:val="1"/>
      <w:numFmt w:val="bullet"/>
      <w:lvlText w:val="·"/>
      <w:lvlJc w:val="left"/>
      <w:pPr>
        <w:ind w:left="5029" w:hanging="360"/>
      </w:pPr>
      <w:rPr>
        <w:rFonts w:ascii="Symbol" w:eastAsia="Symbol" w:hAnsi="Symbol" w:cs="Symbol" w:hint="default"/>
      </w:rPr>
    </w:lvl>
    <w:lvl w:ilvl="7">
      <w:start w:val="1"/>
      <w:numFmt w:val="bullet"/>
      <w:lvlText w:val="o"/>
      <w:lvlJc w:val="left"/>
      <w:pPr>
        <w:ind w:left="5749" w:hanging="360"/>
      </w:pPr>
      <w:rPr>
        <w:rFonts w:ascii="Courier New" w:eastAsia="Courier New" w:hAnsi="Courier New" w:cs="Courier New" w:hint="default"/>
      </w:rPr>
    </w:lvl>
    <w:lvl w:ilvl="8">
      <w:start w:val="1"/>
      <w:numFmt w:val="bullet"/>
      <w:lvlText w:val="§"/>
      <w:lvlJc w:val="left"/>
      <w:pPr>
        <w:ind w:left="6469" w:hanging="360"/>
      </w:pPr>
      <w:rPr>
        <w:rFonts w:ascii="Wingdings" w:eastAsia="Wingdings" w:hAnsi="Wingdings" w:cs="Wingdings" w:hint="default"/>
      </w:rPr>
    </w:lvl>
  </w:abstractNum>
  <w:num w:numId="1">
    <w:abstractNumId w:val="0"/>
  </w:num>
  <w:num w:numId="2">
    <w:abstractNumId w:val="3"/>
  </w:num>
  <w:num w:numId="3">
    <w:abstractNumId w:val="4"/>
  </w:num>
  <w:num w:numId="4">
    <w:abstractNumId w:val="12"/>
  </w:num>
  <w:num w:numId="5">
    <w:abstractNumId w:val="7"/>
  </w:num>
  <w:num w:numId="6">
    <w:abstractNumId w:val="38"/>
  </w:num>
  <w:num w:numId="7">
    <w:abstractNumId w:val="29"/>
  </w:num>
  <w:num w:numId="8">
    <w:abstractNumId w:val="37"/>
  </w:num>
  <w:num w:numId="9">
    <w:abstractNumId w:val="33"/>
  </w:num>
  <w:num w:numId="10">
    <w:abstractNumId w:val="9"/>
  </w:num>
  <w:num w:numId="11">
    <w:abstractNumId w:val="2"/>
  </w:num>
  <w:num w:numId="12">
    <w:abstractNumId w:val="11"/>
  </w:num>
  <w:num w:numId="13">
    <w:abstractNumId w:val="28"/>
  </w:num>
  <w:num w:numId="14">
    <w:abstractNumId w:val="14"/>
  </w:num>
  <w:num w:numId="15">
    <w:abstractNumId w:val="35"/>
  </w:num>
  <w:num w:numId="16">
    <w:abstractNumId w:val="22"/>
  </w:num>
  <w:num w:numId="17">
    <w:abstractNumId w:val="43"/>
  </w:num>
  <w:num w:numId="18">
    <w:abstractNumId w:val="30"/>
  </w:num>
  <w:num w:numId="19">
    <w:abstractNumId w:val="20"/>
  </w:num>
  <w:num w:numId="20">
    <w:abstractNumId w:val="24"/>
  </w:num>
  <w:num w:numId="21">
    <w:abstractNumId w:val="42"/>
  </w:num>
  <w:num w:numId="22">
    <w:abstractNumId w:val="8"/>
  </w:num>
  <w:num w:numId="23">
    <w:abstractNumId w:val="15"/>
  </w:num>
  <w:num w:numId="24">
    <w:abstractNumId w:val="27"/>
  </w:num>
  <w:num w:numId="25">
    <w:abstractNumId w:val="39"/>
  </w:num>
  <w:num w:numId="26">
    <w:abstractNumId w:val="19"/>
  </w:num>
  <w:num w:numId="27">
    <w:abstractNumId w:val="34"/>
  </w:num>
  <w:num w:numId="28">
    <w:abstractNumId w:val="13"/>
  </w:num>
  <w:num w:numId="29">
    <w:abstractNumId w:val="26"/>
  </w:num>
  <w:num w:numId="30">
    <w:abstractNumId w:val="17"/>
  </w:num>
  <w:num w:numId="31">
    <w:abstractNumId w:val="23"/>
  </w:num>
  <w:num w:numId="32">
    <w:abstractNumId w:val="5"/>
  </w:num>
  <w:num w:numId="33">
    <w:abstractNumId w:val="1"/>
  </w:num>
  <w:num w:numId="34">
    <w:abstractNumId w:val="21"/>
  </w:num>
  <w:num w:numId="35">
    <w:abstractNumId w:val="32"/>
  </w:num>
  <w:num w:numId="36">
    <w:abstractNumId w:val="36"/>
  </w:num>
  <w:num w:numId="37">
    <w:abstractNumId w:val="31"/>
  </w:num>
  <w:num w:numId="38">
    <w:abstractNumId w:val="16"/>
  </w:num>
  <w:num w:numId="39">
    <w:abstractNumId w:val="25"/>
  </w:num>
  <w:num w:numId="40">
    <w:abstractNumId w:val="40"/>
  </w:num>
  <w:num w:numId="41">
    <w:abstractNumId w:val="41"/>
  </w:num>
  <w:num w:numId="42">
    <w:abstractNumId w:val="18"/>
  </w:num>
  <w:num w:numId="43">
    <w:abstractNumId w:val="10"/>
  </w:num>
  <w:num w:numId="44">
    <w:abstractNumId w:val="6"/>
  </w:num>
  <w:num w:numId="45">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1728"/>
    <w:rsid w:val="0005435F"/>
    <w:rsid w:val="00211D6B"/>
    <w:rsid w:val="002C06CC"/>
    <w:rsid w:val="00300158"/>
    <w:rsid w:val="003371B1"/>
    <w:rsid w:val="00471728"/>
    <w:rsid w:val="00492A6F"/>
    <w:rsid w:val="004D36C1"/>
    <w:rsid w:val="00574815"/>
    <w:rsid w:val="005D4712"/>
    <w:rsid w:val="006415EC"/>
    <w:rsid w:val="006507D0"/>
    <w:rsid w:val="006C10F4"/>
    <w:rsid w:val="006C4657"/>
    <w:rsid w:val="006D2299"/>
    <w:rsid w:val="00772EDE"/>
    <w:rsid w:val="007C2BD3"/>
    <w:rsid w:val="007F162F"/>
    <w:rsid w:val="008326E2"/>
    <w:rsid w:val="009E0818"/>
    <w:rsid w:val="00A45016"/>
    <w:rsid w:val="00A60D73"/>
    <w:rsid w:val="00A66BE9"/>
    <w:rsid w:val="00B70C39"/>
    <w:rsid w:val="00C06D45"/>
    <w:rsid w:val="00DD172B"/>
    <w:rsid w:val="00DD4C4A"/>
    <w:rsid w:val="00DD54F2"/>
    <w:rsid w:val="00E054E3"/>
    <w:rsid w:val="00F07F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6B13A"/>
  <w15:docId w15:val="{DB7CD11E-4C4B-4BC8-A63D-2A0E7D2AE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360" w:after="80"/>
      <w:outlineLvl w:val="0"/>
    </w:pPr>
    <w:rPr>
      <w:rFonts w:ascii="Arial" w:eastAsia="Arial" w:hAnsi="Arial" w:cs="Arial"/>
      <w:color w:val="548AB7" w:themeColor="accent1" w:themeShade="BF"/>
      <w:sz w:val="40"/>
      <w:szCs w:val="40"/>
    </w:rPr>
  </w:style>
  <w:style w:type="paragraph" w:styleId="2">
    <w:name w:val="heading 2"/>
    <w:basedOn w:val="a"/>
    <w:next w:val="a"/>
    <w:link w:val="20"/>
    <w:uiPriority w:val="9"/>
    <w:unhideWhenUsed/>
    <w:qFormat/>
    <w:pPr>
      <w:keepNext/>
      <w:keepLines/>
      <w:spacing w:before="160" w:after="80"/>
      <w:outlineLvl w:val="1"/>
    </w:pPr>
    <w:rPr>
      <w:rFonts w:ascii="Arial" w:eastAsia="Arial" w:hAnsi="Arial" w:cs="Arial"/>
      <w:color w:val="548AB7" w:themeColor="accent1" w:themeShade="BF"/>
      <w:sz w:val="32"/>
      <w:szCs w:val="32"/>
    </w:rPr>
  </w:style>
  <w:style w:type="paragraph" w:styleId="3">
    <w:name w:val="heading 3"/>
    <w:basedOn w:val="a"/>
    <w:next w:val="a"/>
    <w:link w:val="30"/>
    <w:uiPriority w:val="9"/>
    <w:unhideWhenUsed/>
    <w:qFormat/>
    <w:pPr>
      <w:keepNext/>
      <w:keepLines/>
      <w:spacing w:before="160" w:after="80"/>
      <w:outlineLvl w:val="2"/>
    </w:pPr>
    <w:rPr>
      <w:rFonts w:ascii="Arial" w:eastAsia="Arial" w:hAnsi="Arial" w:cs="Arial"/>
      <w:color w:val="548AB7" w:themeColor="accent1" w:themeShade="BF"/>
      <w:sz w:val="28"/>
      <w:szCs w:val="28"/>
    </w:rPr>
  </w:style>
  <w:style w:type="paragraph" w:styleId="4">
    <w:name w:val="heading 4"/>
    <w:basedOn w:val="a"/>
    <w:next w:val="a"/>
    <w:link w:val="40"/>
    <w:uiPriority w:val="9"/>
    <w:unhideWhenUsed/>
    <w:qFormat/>
    <w:pPr>
      <w:keepNext/>
      <w:keepLines/>
      <w:spacing w:before="80" w:after="40"/>
      <w:outlineLvl w:val="3"/>
    </w:pPr>
    <w:rPr>
      <w:rFonts w:ascii="Arial" w:eastAsia="Arial" w:hAnsi="Arial" w:cs="Arial"/>
      <w:i/>
      <w:iCs/>
      <w:color w:val="548AB7" w:themeColor="accent1" w:themeShade="BF"/>
    </w:rPr>
  </w:style>
  <w:style w:type="paragraph" w:styleId="5">
    <w:name w:val="heading 5"/>
    <w:basedOn w:val="a"/>
    <w:next w:val="a"/>
    <w:link w:val="50"/>
    <w:uiPriority w:val="9"/>
    <w:unhideWhenUsed/>
    <w:qFormat/>
    <w:pPr>
      <w:keepNext/>
      <w:keepLines/>
      <w:spacing w:before="80" w:after="40"/>
      <w:outlineLvl w:val="4"/>
    </w:pPr>
    <w:rPr>
      <w:rFonts w:ascii="Arial" w:eastAsia="Arial" w:hAnsi="Arial" w:cs="Arial"/>
      <w:color w:val="548AB7" w:themeColor="accent1" w:themeShade="BF"/>
    </w:rPr>
  </w:style>
  <w:style w:type="paragraph" w:styleId="6">
    <w:name w:val="heading 6"/>
    <w:basedOn w:val="a"/>
    <w:next w:val="a"/>
    <w:link w:val="60"/>
    <w:uiPriority w:val="9"/>
    <w:unhideWhenUsed/>
    <w:qFormat/>
    <w:pPr>
      <w:keepNext/>
      <w:keepLines/>
      <w:spacing w:before="40" w:after="0"/>
      <w:outlineLvl w:val="5"/>
    </w:pPr>
    <w:rPr>
      <w:rFonts w:ascii="Arial" w:eastAsia="Arial" w:hAnsi="Arial" w:cs="Arial"/>
      <w:i/>
      <w:iCs/>
      <w:color w:val="595959" w:themeColor="text1" w:themeTint="A6"/>
    </w:rPr>
  </w:style>
  <w:style w:type="paragraph" w:styleId="7">
    <w:name w:val="heading 7"/>
    <w:basedOn w:val="a"/>
    <w:next w:val="a"/>
    <w:link w:val="70"/>
    <w:uiPriority w:val="9"/>
    <w:unhideWhenUsed/>
    <w:qFormat/>
    <w:pPr>
      <w:keepNext/>
      <w:keepLines/>
      <w:spacing w:before="40" w:after="0"/>
      <w:outlineLvl w:val="6"/>
    </w:pPr>
    <w:rPr>
      <w:rFonts w:ascii="Arial" w:eastAsia="Arial" w:hAnsi="Arial" w:cs="Arial"/>
      <w:color w:val="595959" w:themeColor="text1" w:themeTint="A6"/>
    </w:rPr>
  </w:style>
  <w:style w:type="paragraph" w:styleId="8">
    <w:name w:val="heading 8"/>
    <w:basedOn w:val="a"/>
    <w:next w:val="a"/>
    <w:link w:val="80"/>
    <w:uiPriority w:val="9"/>
    <w:unhideWhenUsed/>
    <w:qFormat/>
    <w:pPr>
      <w:keepNext/>
      <w:keepLines/>
      <w:spacing w:after="0"/>
      <w:outlineLvl w:val="7"/>
    </w:pPr>
    <w:rPr>
      <w:rFonts w:ascii="Arial" w:eastAsia="Arial" w:hAnsi="Arial" w:cs="Arial"/>
      <w:i/>
      <w:iCs/>
      <w:color w:val="272727" w:themeColor="text1" w:themeTint="D8"/>
    </w:rPr>
  </w:style>
  <w:style w:type="paragraph" w:styleId="9">
    <w:name w:val="heading 9"/>
    <w:basedOn w:val="a"/>
    <w:next w:val="a"/>
    <w:link w:val="90"/>
    <w:uiPriority w:val="9"/>
    <w:unhideWhenUsed/>
    <w:qFormat/>
    <w:pPr>
      <w:keepNext/>
      <w:keepLines/>
      <w:spacing w:after="0"/>
      <w:outlineLvl w:val="8"/>
    </w:pPr>
    <w:rPr>
      <w:rFonts w:ascii="Arial" w:eastAsia="Arial" w:hAnsi="Arial" w:cs="Arial"/>
      <w:i/>
      <w:iCs/>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1">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2">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D3E1EC" w:themeColor="accent1" w:themeTint="67"/>
        <w:left w:val="single" w:sz="4" w:space="0" w:color="D3E1EC" w:themeColor="accent1" w:themeTint="67"/>
        <w:bottom w:val="single" w:sz="4" w:space="0" w:color="D3E1EC" w:themeColor="accent1" w:themeTint="67"/>
        <w:right w:val="single" w:sz="4" w:space="0" w:color="D3E1EC" w:themeColor="accent1" w:themeTint="67"/>
        <w:insideH w:val="single" w:sz="4" w:space="0" w:color="D3E1EC" w:themeColor="accent1" w:themeTint="67"/>
        <w:insideV w:val="single" w:sz="4" w:space="0" w:color="D3E1EC" w:themeColor="accent1" w:themeTint="67"/>
      </w:tblBorders>
    </w:tblPr>
    <w:tblStylePr w:type="firstRow">
      <w:rPr>
        <w:b/>
        <w:color w:val="404040"/>
      </w:rPr>
      <w:tblPr/>
      <w:tcPr>
        <w:tcBorders>
          <w:bottom w:val="single" w:sz="12" w:space="0" w:color="C0D4E4"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3E1EC" w:themeColor="accent1" w:themeTint="67"/>
          <w:left w:val="single" w:sz="4" w:space="0" w:color="D3E1EC" w:themeColor="accent1" w:themeTint="67"/>
          <w:bottom w:val="single" w:sz="4" w:space="0" w:color="D3E1EC" w:themeColor="accent1" w:themeTint="67"/>
          <w:right w:val="single" w:sz="4" w:space="0" w:color="D3E1EC"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1CBB4" w:themeColor="accent2" w:themeTint="67"/>
        <w:left w:val="single" w:sz="4" w:space="0" w:color="F1CBB4" w:themeColor="accent2" w:themeTint="67"/>
        <w:bottom w:val="single" w:sz="4" w:space="0" w:color="F1CBB4" w:themeColor="accent2" w:themeTint="67"/>
        <w:right w:val="single" w:sz="4" w:space="0" w:color="F1CBB4" w:themeColor="accent2" w:themeTint="67"/>
        <w:insideH w:val="single" w:sz="4" w:space="0" w:color="F1CBB4" w:themeColor="accent2" w:themeTint="67"/>
        <w:insideV w:val="single" w:sz="4" w:space="0" w:color="F1CBB4" w:themeColor="accent2" w:themeTint="67"/>
      </w:tblBorders>
    </w:tblPr>
    <w:tblStylePr w:type="firstRow">
      <w:rPr>
        <w:b/>
        <w:color w:val="404040"/>
      </w:rPr>
      <w:tblPr/>
      <w:tcPr>
        <w:tcBorders>
          <w:bottom w:val="single" w:sz="12" w:space="0" w:color="EBB493"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1CBB4" w:themeColor="accent2" w:themeTint="67"/>
          <w:left w:val="single" w:sz="4" w:space="0" w:color="F1CBB4" w:themeColor="accent2" w:themeTint="67"/>
          <w:bottom w:val="single" w:sz="4" w:space="0" w:color="F1CBB4" w:themeColor="accent2" w:themeTint="67"/>
          <w:right w:val="single" w:sz="4" w:space="0" w:color="F1CBB4"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DCC" w:themeColor="accent3" w:themeTint="67"/>
        <w:left w:val="single" w:sz="4" w:space="0" w:color="DADDCC" w:themeColor="accent3" w:themeTint="67"/>
        <w:bottom w:val="single" w:sz="4" w:space="0" w:color="DADDCC" w:themeColor="accent3" w:themeTint="67"/>
        <w:right w:val="single" w:sz="4" w:space="0" w:color="DADDCC" w:themeColor="accent3" w:themeTint="67"/>
        <w:insideH w:val="single" w:sz="4" w:space="0" w:color="DADDCC" w:themeColor="accent3" w:themeTint="67"/>
        <w:insideV w:val="single" w:sz="4" w:space="0" w:color="DADDCC" w:themeColor="accent3" w:themeTint="67"/>
      </w:tblBorders>
    </w:tblPr>
    <w:tblStylePr w:type="firstRow">
      <w:rPr>
        <w:b/>
        <w:color w:val="404040"/>
      </w:rPr>
      <w:tblPr/>
      <w:tcPr>
        <w:tcBorders>
          <w:bottom w:val="single" w:sz="12" w:space="0" w:color="CACDB5"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DCC" w:themeColor="accent3" w:themeTint="67"/>
          <w:left w:val="single" w:sz="4" w:space="0" w:color="DADDCC" w:themeColor="accent3" w:themeTint="67"/>
          <w:bottom w:val="single" w:sz="4" w:space="0" w:color="DADDCC" w:themeColor="accent3" w:themeTint="67"/>
          <w:right w:val="single" w:sz="4" w:space="0" w:color="DADDCC"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EFDFBD" w:themeColor="accent4" w:themeTint="67"/>
        <w:left w:val="single" w:sz="4" w:space="0" w:color="EFDFBD" w:themeColor="accent4" w:themeTint="67"/>
        <w:bottom w:val="single" w:sz="4" w:space="0" w:color="EFDFBD" w:themeColor="accent4" w:themeTint="67"/>
        <w:right w:val="single" w:sz="4" w:space="0" w:color="EFDFBD" w:themeColor="accent4" w:themeTint="67"/>
        <w:insideH w:val="single" w:sz="4" w:space="0" w:color="EFDFBD" w:themeColor="accent4" w:themeTint="67"/>
        <w:insideV w:val="single" w:sz="4" w:space="0" w:color="EFDFBD" w:themeColor="accent4" w:themeTint="67"/>
      </w:tblBorders>
    </w:tblPr>
    <w:tblStylePr w:type="firstRow">
      <w:rPr>
        <w:b/>
        <w:color w:val="404040"/>
      </w:rPr>
      <w:tblPr/>
      <w:tcPr>
        <w:tcBorders>
          <w:bottom w:val="single" w:sz="12" w:space="0" w:color="E8D19F"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FDFBD" w:themeColor="accent4" w:themeTint="67"/>
          <w:left w:val="single" w:sz="4" w:space="0" w:color="EFDFBD" w:themeColor="accent4" w:themeTint="67"/>
          <w:bottom w:val="single" w:sz="4" w:space="0" w:color="EFDFBD" w:themeColor="accent4" w:themeTint="67"/>
          <w:right w:val="single" w:sz="4" w:space="0" w:color="EFDFBD"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C9DBD7" w:themeColor="accent5" w:themeTint="67"/>
        <w:left w:val="single" w:sz="4" w:space="0" w:color="C9DBD7" w:themeColor="accent5" w:themeTint="67"/>
        <w:bottom w:val="single" w:sz="4" w:space="0" w:color="C9DBD7" w:themeColor="accent5" w:themeTint="67"/>
        <w:right w:val="single" w:sz="4" w:space="0" w:color="C9DBD7" w:themeColor="accent5" w:themeTint="67"/>
        <w:insideH w:val="single" w:sz="4" w:space="0" w:color="C9DBD7" w:themeColor="accent5" w:themeTint="67"/>
        <w:insideV w:val="single" w:sz="4" w:space="0" w:color="C9DBD7" w:themeColor="accent5" w:themeTint="67"/>
      </w:tblBorders>
    </w:tblPr>
    <w:tblStylePr w:type="firstRow">
      <w:rPr>
        <w:b/>
        <w:color w:val="404040"/>
      </w:rPr>
      <w:tblPr/>
      <w:tcPr>
        <w:tcBorders>
          <w:bottom w:val="single" w:sz="12" w:space="0" w:color="B1CBC5"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9DBD7" w:themeColor="accent5" w:themeTint="67"/>
          <w:left w:val="single" w:sz="4" w:space="0" w:color="C9DBD7" w:themeColor="accent5" w:themeTint="67"/>
          <w:bottom w:val="single" w:sz="4" w:space="0" w:color="C9DBD7" w:themeColor="accent5" w:themeTint="67"/>
          <w:right w:val="single" w:sz="4" w:space="0" w:color="C9DBD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D4D0D0" w:themeColor="accent6" w:themeTint="67"/>
        <w:left w:val="single" w:sz="4" w:space="0" w:color="D4D0D0" w:themeColor="accent6" w:themeTint="67"/>
        <w:bottom w:val="single" w:sz="4" w:space="0" w:color="D4D0D0" w:themeColor="accent6" w:themeTint="67"/>
        <w:right w:val="single" w:sz="4" w:space="0" w:color="D4D0D0" w:themeColor="accent6" w:themeTint="67"/>
        <w:insideH w:val="single" w:sz="4" w:space="0" w:color="D4D0D0" w:themeColor="accent6" w:themeTint="67"/>
        <w:insideV w:val="single" w:sz="4" w:space="0" w:color="D4D0D0" w:themeColor="accent6" w:themeTint="67"/>
      </w:tblBorders>
    </w:tblPr>
    <w:tblStylePr w:type="firstRow">
      <w:rPr>
        <w:b/>
        <w:color w:val="404040"/>
      </w:rPr>
      <w:tblPr/>
      <w:tcPr>
        <w:tcBorders>
          <w:bottom w:val="single" w:sz="12" w:space="0" w:color="C1BBBB"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4D0D0" w:themeColor="accent6" w:themeTint="67"/>
          <w:left w:val="single" w:sz="4" w:space="0" w:color="D4D0D0" w:themeColor="accent6" w:themeTint="67"/>
          <w:bottom w:val="single" w:sz="4" w:space="0" w:color="D4D0D0" w:themeColor="accent6" w:themeTint="67"/>
          <w:right w:val="single" w:sz="4" w:space="0" w:color="D4D0D0"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9CBBD5" w:themeColor="accent1" w:themeTint="EA"/>
        <w:insideH w:val="single" w:sz="4" w:space="0" w:color="9CBBD5" w:themeColor="accent1" w:themeTint="EA"/>
        <w:insideV w:val="single" w:sz="4" w:space="0" w:color="9CBBD5" w:themeColor="accent1" w:themeTint="EA"/>
      </w:tblBorders>
    </w:tblPr>
    <w:tblStylePr w:type="firstRow">
      <w:rPr>
        <w:b/>
        <w:color w:val="404040"/>
      </w:rPr>
      <w:tblPr/>
      <w:tcPr>
        <w:tcBorders>
          <w:top w:val="none" w:sz="4" w:space="0" w:color="000000"/>
          <w:left w:val="none" w:sz="4" w:space="0" w:color="000000"/>
          <w:bottom w:val="single" w:sz="12" w:space="0" w:color="9CBBD5" w:themeColor="accent1" w:themeTint="EA"/>
          <w:right w:val="none" w:sz="4" w:space="0" w:color="000000"/>
        </w:tcBorders>
        <w:shd w:val="clear" w:color="FFFFFF" w:fill="auto"/>
      </w:tcPr>
    </w:tblStylePr>
    <w:tblStylePr w:type="lastRow">
      <w:rPr>
        <w:b/>
        <w:color w:val="404040"/>
      </w:rPr>
      <w:tblPr/>
      <w:tcPr>
        <w:tcBorders>
          <w:top w:val="single" w:sz="4" w:space="0" w:color="9CBBD5"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9F0F5" w:themeColor="accent1" w:themeTint="34" w:fill="E9F0F5" w:themeFill="accent1" w:themeFillTint="34"/>
      </w:tcPr>
    </w:tblStylePr>
    <w:tblStylePr w:type="band1Horz">
      <w:rPr>
        <w:rFonts w:ascii="Arial" w:hAnsi="Arial"/>
        <w:color w:val="404040"/>
        <w:sz w:val="22"/>
      </w:rPr>
      <w:tblPr/>
      <w:tcPr>
        <w:shd w:val="clear" w:color="E9F0F5" w:themeColor="accent1" w:themeTint="34" w:fill="E9F0F5"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EAB391" w:themeColor="accent2" w:themeTint="97"/>
        <w:insideH w:val="single" w:sz="4" w:space="0" w:color="EAB391" w:themeColor="accent2" w:themeTint="97"/>
        <w:insideV w:val="single" w:sz="4" w:space="0" w:color="EAB391" w:themeColor="accent2" w:themeTint="97"/>
      </w:tblBorders>
    </w:tblPr>
    <w:tblStylePr w:type="firstRow">
      <w:rPr>
        <w:b/>
        <w:color w:val="404040"/>
      </w:rPr>
      <w:tblPr/>
      <w:tcPr>
        <w:tcBorders>
          <w:top w:val="none" w:sz="4" w:space="0" w:color="000000"/>
          <w:left w:val="none" w:sz="4" w:space="0" w:color="000000"/>
          <w:bottom w:val="single" w:sz="12" w:space="0" w:color="EAB391" w:themeColor="accent2" w:themeTint="97"/>
          <w:right w:val="none" w:sz="4" w:space="0" w:color="000000"/>
        </w:tcBorders>
        <w:shd w:val="clear" w:color="FFFFFF" w:fill="auto"/>
      </w:tcPr>
    </w:tblStylePr>
    <w:tblStylePr w:type="lastRow">
      <w:rPr>
        <w:b/>
        <w:color w:val="404040"/>
      </w:rPr>
      <w:tblPr/>
      <w:tcPr>
        <w:tcBorders>
          <w:top w:val="single" w:sz="4" w:space="0" w:color="EAB391"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8E5DA" w:themeColor="accent2" w:themeTint="32" w:fill="F8E5DA" w:themeFill="accent2" w:themeFillTint="32"/>
      </w:tcPr>
    </w:tblStylePr>
    <w:tblStylePr w:type="band1Horz">
      <w:rPr>
        <w:rFonts w:ascii="Arial" w:hAnsi="Arial"/>
        <w:color w:val="404040"/>
        <w:sz w:val="22"/>
      </w:rPr>
      <w:tblPr/>
      <w:tcPr>
        <w:shd w:val="clear" w:color="F8E5DA" w:themeColor="accent2" w:themeTint="32" w:fill="F8E5DA"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B81" w:themeColor="accent3" w:themeTint="FE"/>
        <w:insideH w:val="single" w:sz="4" w:space="0" w:color="A5AB81" w:themeColor="accent3" w:themeTint="FE"/>
        <w:insideV w:val="single" w:sz="4" w:space="0" w:color="A5AB81" w:themeColor="accent3" w:themeTint="FE"/>
      </w:tblBorders>
    </w:tblPr>
    <w:tblStylePr w:type="firstRow">
      <w:rPr>
        <w:b/>
        <w:color w:val="404040"/>
      </w:rPr>
      <w:tblPr/>
      <w:tcPr>
        <w:tcBorders>
          <w:top w:val="none" w:sz="4" w:space="0" w:color="000000"/>
          <w:left w:val="none" w:sz="4" w:space="0" w:color="000000"/>
          <w:bottom w:val="single" w:sz="12" w:space="0" w:color="A5AB81" w:themeColor="accent3" w:themeTint="FE"/>
          <w:right w:val="none" w:sz="4" w:space="0" w:color="000000"/>
        </w:tcBorders>
        <w:shd w:val="clear" w:color="FFFFFF" w:fill="auto"/>
      </w:tcPr>
    </w:tblStylePr>
    <w:tblStylePr w:type="lastRow">
      <w:rPr>
        <w:b/>
        <w:color w:val="404040"/>
      </w:rPr>
      <w:tblPr/>
      <w:tcPr>
        <w:tcBorders>
          <w:top w:val="single" w:sz="4" w:space="0" w:color="A5AB81"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DE5" w:themeColor="accent3" w:themeTint="34" w:fill="ECEDE5" w:themeFill="accent3" w:themeFillTint="34"/>
      </w:tcPr>
    </w:tblStylePr>
    <w:tblStylePr w:type="band1Horz">
      <w:rPr>
        <w:rFonts w:ascii="Arial" w:hAnsi="Arial"/>
        <w:color w:val="404040"/>
        <w:sz w:val="22"/>
      </w:rPr>
      <w:tblPr/>
      <w:tcPr>
        <w:shd w:val="clear" w:color="ECEDE5" w:themeColor="accent3" w:themeTint="34" w:fill="ECEDE5"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E7D09C" w:themeColor="accent4" w:themeTint="9A"/>
        <w:insideH w:val="single" w:sz="4" w:space="0" w:color="E7D09C" w:themeColor="accent4" w:themeTint="9A"/>
        <w:insideV w:val="single" w:sz="4" w:space="0" w:color="E7D09C" w:themeColor="accent4" w:themeTint="9A"/>
      </w:tblBorders>
    </w:tblPr>
    <w:tblStylePr w:type="firstRow">
      <w:rPr>
        <w:b/>
        <w:color w:val="404040"/>
      </w:rPr>
      <w:tblPr/>
      <w:tcPr>
        <w:tcBorders>
          <w:top w:val="none" w:sz="4" w:space="0" w:color="000000"/>
          <w:left w:val="none" w:sz="4" w:space="0" w:color="000000"/>
          <w:bottom w:val="single" w:sz="12" w:space="0" w:color="E7D09C" w:themeColor="accent4" w:themeTint="9A"/>
          <w:right w:val="none" w:sz="4" w:space="0" w:color="000000"/>
        </w:tcBorders>
        <w:shd w:val="clear" w:color="FFFFFF" w:fill="auto"/>
      </w:tcPr>
    </w:tblStylePr>
    <w:tblStylePr w:type="lastRow">
      <w:rPr>
        <w:b/>
        <w:color w:val="404040"/>
      </w:rPr>
      <w:tblPr/>
      <w:tcPr>
        <w:tcBorders>
          <w:top w:val="single" w:sz="4" w:space="0" w:color="E7D09C"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7EFDD" w:themeColor="accent4" w:themeTint="34" w:fill="F7EFDD" w:themeFill="accent4" w:themeFillTint="34"/>
      </w:tcPr>
    </w:tblStylePr>
    <w:tblStylePr w:type="band1Horz">
      <w:rPr>
        <w:rFonts w:ascii="Arial" w:hAnsi="Arial"/>
        <w:color w:val="404040"/>
        <w:sz w:val="22"/>
      </w:rPr>
      <w:tblPr/>
      <w:tcPr>
        <w:shd w:val="clear" w:color="F7EFDD" w:themeColor="accent4" w:themeTint="34" w:fill="F7EFDD"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7BA79D" w:themeColor="accent5"/>
        <w:insideH w:val="single" w:sz="4" w:space="0" w:color="7BA79D" w:themeColor="accent5"/>
        <w:insideV w:val="single" w:sz="4" w:space="0" w:color="7BA79D" w:themeColor="accent5"/>
      </w:tblBorders>
    </w:tblPr>
    <w:tblStylePr w:type="firstRow">
      <w:rPr>
        <w:b/>
        <w:color w:val="404040"/>
      </w:rPr>
      <w:tblPr/>
      <w:tcPr>
        <w:tcBorders>
          <w:top w:val="none" w:sz="4" w:space="0" w:color="000000"/>
          <w:left w:val="none" w:sz="4" w:space="0" w:color="000000"/>
          <w:bottom w:val="single" w:sz="12" w:space="0" w:color="7BA79D" w:themeColor="accent5"/>
          <w:right w:val="none" w:sz="4" w:space="0" w:color="000000"/>
        </w:tcBorders>
        <w:shd w:val="clear" w:color="FFFFFF" w:fill="auto"/>
      </w:tcPr>
    </w:tblStylePr>
    <w:tblStylePr w:type="lastRow">
      <w:rPr>
        <w:b/>
        <w:color w:val="404040"/>
      </w:rPr>
      <w:tblPr/>
      <w:tcPr>
        <w:tcBorders>
          <w:top w:val="single" w:sz="4" w:space="0" w:color="7BA79D"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4EDEA" w:themeColor="accent5" w:themeTint="34" w:fill="E4EDEA" w:themeFill="accent5" w:themeFillTint="34"/>
      </w:tcPr>
    </w:tblStylePr>
    <w:tblStylePr w:type="band1Horz">
      <w:rPr>
        <w:rFonts w:ascii="Arial" w:hAnsi="Arial"/>
        <w:color w:val="404040"/>
        <w:sz w:val="22"/>
      </w:rPr>
      <w:tblPr/>
      <w:tcPr>
        <w:shd w:val="clear" w:color="E4EDEA" w:themeColor="accent5" w:themeTint="34" w:fill="E4EDEA"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968C8C" w:themeColor="accent6"/>
        <w:insideH w:val="single" w:sz="4" w:space="0" w:color="968C8C" w:themeColor="accent6"/>
        <w:insideV w:val="single" w:sz="4" w:space="0" w:color="968C8C" w:themeColor="accent6"/>
      </w:tblBorders>
    </w:tblPr>
    <w:tblStylePr w:type="firstRow">
      <w:rPr>
        <w:b/>
        <w:color w:val="404040"/>
      </w:rPr>
      <w:tblPr/>
      <w:tcPr>
        <w:tcBorders>
          <w:top w:val="none" w:sz="4" w:space="0" w:color="000000"/>
          <w:left w:val="none" w:sz="4" w:space="0" w:color="000000"/>
          <w:bottom w:val="single" w:sz="12" w:space="0" w:color="968C8C" w:themeColor="accent6"/>
          <w:right w:val="none" w:sz="4" w:space="0" w:color="000000"/>
        </w:tcBorders>
        <w:shd w:val="clear" w:color="FFFFFF" w:fill="auto"/>
      </w:tcPr>
    </w:tblStylePr>
    <w:tblStylePr w:type="lastRow">
      <w:rPr>
        <w:b/>
        <w:color w:val="404040"/>
      </w:rPr>
      <w:tblPr/>
      <w:tcPr>
        <w:tcBorders>
          <w:top w:val="single" w:sz="4" w:space="0" w:color="968C8C"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9E7E7" w:themeColor="accent6" w:themeTint="34" w:fill="E9E7E7" w:themeFill="accent6" w:themeFillTint="34"/>
      </w:tcPr>
    </w:tblStylePr>
    <w:tblStylePr w:type="band1Horz">
      <w:rPr>
        <w:rFonts w:ascii="Arial" w:hAnsi="Arial"/>
        <w:color w:val="404040"/>
        <w:sz w:val="22"/>
      </w:rPr>
      <w:tblPr/>
      <w:tcPr>
        <w:shd w:val="clear" w:color="E9E7E7" w:themeColor="accent6" w:themeTint="34" w:fill="E9E7E7"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9CBBD5" w:themeColor="accent1" w:themeTint="EA"/>
        <w:insideH w:val="single" w:sz="4" w:space="0" w:color="9CBBD5" w:themeColor="accent1" w:themeTint="EA"/>
        <w:insideV w:val="single" w:sz="4" w:space="0" w:color="9CBBD5"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9F0F5" w:themeColor="accent1" w:themeTint="34" w:fill="E9F0F5" w:themeFill="accent1" w:themeFillTint="34"/>
      </w:tcPr>
    </w:tblStylePr>
    <w:tblStylePr w:type="band1Horz">
      <w:rPr>
        <w:rFonts w:ascii="Arial" w:hAnsi="Arial"/>
        <w:color w:val="404040"/>
        <w:sz w:val="22"/>
      </w:rPr>
      <w:tblPr/>
      <w:tcPr>
        <w:shd w:val="clear" w:color="E9F0F5" w:themeColor="accent1" w:themeTint="34" w:fill="E9F0F5"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EAB391" w:themeColor="accent2" w:themeTint="97"/>
        <w:insideH w:val="single" w:sz="4" w:space="0" w:color="EAB391" w:themeColor="accent2" w:themeTint="97"/>
        <w:insideV w:val="single" w:sz="4" w:space="0" w:color="EAB391"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8E5DA" w:themeColor="accent2" w:themeTint="32" w:fill="F8E5DA" w:themeFill="accent2" w:themeFillTint="32"/>
      </w:tcPr>
    </w:tblStylePr>
    <w:tblStylePr w:type="band1Horz">
      <w:rPr>
        <w:rFonts w:ascii="Arial" w:hAnsi="Arial"/>
        <w:color w:val="404040"/>
        <w:sz w:val="22"/>
      </w:rPr>
      <w:tblPr/>
      <w:tcPr>
        <w:shd w:val="clear" w:color="F8E5DA" w:themeColor="accent2" w:themeTint="32" w:fill="F8E5DA"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B81" w:themeColor="accent3" w:themeTint="FE"/>
        <w:insideH w:val="single" w:sz="4" w:space="0" w:color="A5AB81" w:themeColor="accent3" w:themeTint="FE"/>
        <w:insideV w:val="single" w:sz="4" w:space="0" w:color="A5AB81"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DE5" w:themeColor="accent3" w:themeTint="34" w:fill="ECEDE5" w:themeFill="accent3" w:themeFillTint="34"/>
      </w:tcPr>
    </w:tblStylePr>
    <w:tblStylePr w:type="band1Horz">
      <w:rPr>
        <w:rFonts w:ascii="Arial" w:hAnsi="Arial"/>
        <w:color w:val="404040"/>
        <w:sz w:val="22"/>
      </w:rPr>
      <w:tblPr/>
      <w:tcPr>
        <w:shd w:val="clear" w:color="ECEDE5" w:themeColor="accent3" w:themeTint="34" w:fill="ECEDE5"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E7D09C" w:themeColor="accent4" w:themeTint="9A"/>
        <w:insideH w:val="single" w:sz="4" w:space="0" w:color="E7D09C" w:themeColor="accent4" w:themeTint="9A"/>
        <w:insideV w:val="single" w:sz="4" w:space="0" w:color="E7D09C"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7EFDD" w:themeColor="accent4" w:themeTint="34" w:fill="F7EFDD" w:themeFill="accent4" w:themeFillTint="34"/>
      </w:tcPr>
    </w:tblStylePr>
    <w:tblStylePr w:type="band1Horz">
      <w:rPr>
        <w:rFonts w:ascii="Arial" w:hAnsi="Arial"/>
        <w:color w:val="404040"/>
        <w:sz w:val="22"/>
      </w:rPr>
      <w:tblPr/>
      <w:tcPr>
        <w:shd w:val="clear" w:color="F7EFDD" w:themeColor="accent4" w:themeTint="34" w:fill="F7EFDD"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7BA79D" w:themeColor="accent5"/>
        <w:insideH w:val="single" w:sz="4" w:space="0" w:color="7BA79D" w:themeColor="accent5"/>
        <w:insideV w:val="single" w:sz="4" w:space="0" w:color="7BA79D"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4EDEA" w:themeColor="accent5" w:themeTint="34" w:fill="E4EDEA" w:themeFill="accent5" w:themeFillTint="34"/>
      </w:tcPr>
    </w:tblStylePr>
    <w:tblStylePr w:type="band1Horz">
      <w:rPr>
        <w:rFonts w:ascii="Arial" w:hAnsi="Arial"/>
        <w:color w:val="404040"/>
        <w:sz w:val="22"/>
      </w:rPr>
      <w:tblPr/>
      <w:tcPr>
        <w:shd w:val="clear" w:color="E4EDEA" w:themeColor="accent5" w:themeTint="34" w:fill="E4EDEA"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968C8C" w:themeColor="accent6"/>
        <w:insideH w:val="single" w:sz="4" w:space="0" w:color="968C8C" w:themeColor="accent6"/>
        <w:insideV w:val="single" w:sz="4" w:space="0" w:color="968C8C"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9E7E7" w:themeColor="accent6" w:themeTint="34" w:fill="E9E7E7" w:themeFill="accent6" w:themeFillTint="34"/>
      </w:tcPr>
    </w:tblStylePr>
    <w:tblStylePr w:type="band1Horz">
      <w:rPr>
        <w:rFonts w:ascii="Arial" w:hAnsi="Arial"/>
        <w:color w:val="404040"/>
        <w:sz w:val="22"/>
      </w:rPr>
      <w:tblPr/>
      <w:tcPr>
        <w:shd w:val="clear" w:color="E9E7E7" w:themeColor="accent6" w:themeTint="34" w:fill="E9E7E7"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C2D5E5" w:themeColor="accent1" w:themeTint="90"/>
        <w:left w:val="single" w:sz="4" w:space="0" w:color="C2D5E5" w:themeColor="accent1" w:themeTint="90"/>
        <w:bottom w:val="single" w:sz="4" w:space="0" w:color="C2D5E5" w:themeColor="accent1" w:themeTint="90"/>
        <w:right w:val="single" w:sz="4" w:space="0" w:color="C2D5E5" w:themeColor="accent1" w:themeTint="90"/>
        <w:insideH w:val="single" w:sz="4" w:space="0" w:color="C2D5E5" w:themeColor="accent1" w:themeTint="90"/>
        <w:insideV w:val="single" w:sz="4" w:space="0" w:color="C2D5E5" w:themeColor="accent1" w:themeTint="90"/>
      </w:tblBorders>
    </w:tblPr>
    <w:tblStylePr w:type="firstRow">
      <w:rPr>
        <w:rFonts w:ascii="Arial" w:hAnsi="Arial"/>
        <w:b/>
        <w:color w:val="FFFFFF"/>
        <w:sz w:val="22"/>
      </w:rPr>
      <w:tblPr/>
      <w:tcPr>
        <w:tcBorders>
          <w:top w:val="single" w:sz="4" w:space="0" w:color="9CBBD5" w:themeColor="accent1" w:themeTint="EA"/>
          <w:left w:val="single" w:sz="4" w:space="0" w:color="9CBBD5" w:themeColor="accent1" w:themeTint="EA"/>
          <w:bottom w:val="single" w:sz="4" w:space="0" w:color="9CBBD5" w:themeColor="accent1" w:themeTint="EA"/>
          <w:right w:val="single" w:sz="4" w:space="0" w:color="9CBBD5" w:themeColor="accent1" w:themeTint="EA"/>
        </w:tcBorders>
        <w:shd w:val="clear" w:color="9CBBD5" w:themeColor="accent1" w:themeTint="EA" w:fill="9CBBD5" w:themeFill="accent1" w:themeFillTint="EA"/>
      </w:tcPr>
    </w:tblStylePr>
    <w:tblStylePr w:type="lastRow">
      <w:rPr>
        <w:b/>
        <w:color w:val="404040"/>
      </w:rPr>
      <w:tblPr/>
      <w:tcPr>
        <w:tcBorders>
          <w:top w:val="single" w:sz="4" w:space="0" w:color="9CBBD5"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9F0F6" w:themeColor="accent1" w:themeTint="32" w:fill="E9F0F6" w:themeFill="accent1" w:themeFillTint="32"/>
      </w:tcPr>
    </w:tblStylePr>
    <w:tblStylePr w:type="band1Horz">
      <w:rPr>
        <w:rFonts w:ascii="Arial" w:hAnsi="Arial"/>
        <w:color w:val="404040"/>
        <w:sz w:val="22"/>
      </w:rPr>
      <w:tblPr/>
      <w:tcPr>
        <w:shd w:val="clear" w:color="E9F0F6" w:themeColor="accent1" w:themeTint="32" w:fill="E9F0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EBB696" w:themeColor="accent2" w:themeTint="90"/>
        <w:left w:val="single" w:sz="4" w:space="0" w:color="EBB696" w:themeColor="accent2" w:themeTint="90"/>
        <w:bottom w:val="single" w:sz="4" w:space="0" w:color="EBB696" w:themeColor="accent2" w:themeTint="90"/>
        <w:right w:val="single" w:sz="4" w:space="0" w:color="EBB696" w:themeColor="accent2" w:themeTint="90"/>
        <w:insideH w:val="single" w:sz="4" w:space="0" w:color="EBB696" w:themeColor="accent2" w:themeTint="90"/>
        <w:insideV w:val="single" w:sz="4" w:space="0" w:color="EBB696" w:themeColor="accent2" w:themeTint="90"/>
      </w:tblBorders>
    </w:tblPr>
    <w:tblStylePr w:type="firstRow">
      <w:rPr>
        <w:rFonts w:ascii="Arial" w:hAnsi="Arial"/>
        <w:b/>
        <w:color w:val="FFFFFF"/>
        <w:sz w:val="22"/>
      </w:rPr>
      <w:tblPr/>
      <w:tcPr>
        <w:tcBorders>
          <w:top w:val="single" w:sz="4" w:space="0" w:color="EAB391" w:themeColor="accent2" w:themeTint="97"/>
          <w:left w:val="single" w:sz="4" w:space="0" w:color="EAB391" w:themeColor="accent2" w:themeTint="97"/>
          <w:bottom w:val="single" w:sz="4" w:space="0" w:color="EAB391" w:themeColor="accent2" w:themeTint="97"/>
          <w:right w:val="single" w:sz="4" w:space="0" w:color="EAB391" w:themeColor="accent2" w:themeTint="97"/>
        </w:tcBorders>
        <w:shd w:val="clear" w:color="EAB391" w:themeColor="accent2" w:themeTint="97" w:fill="EAB391" w:themeFill="accent2" w:themeFillTint="97"/>
      </w:tcPr>
    </w:tblStylePr>
    <w:tblStylePr w:type="lastRow">
      <w:rPr>
        <w:b/>
        <w:color w:val="404040"/>
      </w:rPr>
      <w:tblPr/>
      <w:tcPr>
        <w:tcBorders>
          <w:top w:val="single" w:sz="4" w:space="0" w:color="EAB391"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8E5DA" w:themeColor="accent2" w:themeTint="32" w:fill="F8E5DA" w:themeFill="accent2" w:themeFillTint="32"/>
      </w:tcPr>
    </w:tblStylePr>
    <w:tblStylePr w:type="band1Horz">
      <w:rPr>
        <w:rFonts w:ascii="Arial" w:hAnsi="Arial"/>
        <w:color w:val="404040"/>
        <w:sz w:val="22"/>
      </w:rPr>
      <w:tblPr/>
      <w:tcPr>
        <w:shd w:val="clear" w:color="F8E5DA" w:themeColor="accent2" w:themeTint="32" w:fill="F8E5DA"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FB7" w:themeColor="accent3" w:themeTint="90"/>
        <w:left w:val="single" w:sz="4" w:space="0" w:color="CCCFB7" w:themeColor="accent3" w:themeTint="90"/>
        <w:bottom w:val="single" w:sz="4" w:space="0" w:color="CCCFB7" w:themeColor="accent3" w:themeTint="90"/>
        <w:right w:val="single" w:sz="4" w:space="0" w:color="CCCFB7" w:themeColor="accent3" w:themeTint="90"/>
        <w:insideH w:val="single" w:sz="4" w:space="0" w:color="CCCFB7" w:themeColor="accent3" w:themeTint="90"/>
        <w:insideV w:val="single" w:sz="4" w:space="0" w:color="CCCFB7" w:themeColor="accent3" w:themeTint="90"/>
      </w:tblBorders>
    </w:tblPr>
    <w:tblStylePr w:type="firstRow">
      <w:rPr>
        <w:rFonts w:ascii="Arial" w:hAnsi="Arial"/>
        <w:b/>
        <w:color w:val="FFFFFF"/>
        <w:sz w:val="22"/>
      </w:rPr>
      <w:tblPr/>
      <w:tcPr>
        <w:tcBorders>
          <w:top w:val="single" w:sz="4" w:space="0" w:color="A5AB81" w:themeColor="accent3" w:themeTint="FE"/>
          <w:left w:val="single" w:sz="4" w:space="0" w:color="A5AB81" w:themeColor="accent3" w:themeTint="FE"/>
          <w:bottom w:val="single" w:sz="4" w:space="0" w:color="A5AB81" w:themeColor="accent3" w:themeTint="FE"/>
          <w:right w:val="single" w:sz="4" w:space="0" w:color="A5AB81" w:themeColor="accent3" w:themeTint="FE"/>
        </w:tcBorders>
        <w:shd w:val="clear" w:color="A5AB81" w:themeColor="accent3" w:themeTint="FE" w:fill="A5AB81" w:themeFill="accent3" w:themeFillTint="FE"/>
      </w:tcPr>
    </w:tblStylePr>
    <w:tblStylePr w:type="lastRow">
      <w:rPr>
        <w:b/>
        <w:color w:val="404040"/>
      </w:rPr>
      <w:tblPr/>
      <w:tcPr>
        <w:tcBorders>
          <w:top w:val="single" w:sz="4" w:space="0" w:color="A5AB81"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DE5" w:themeColor="accent3" w:themeTint="34" w:fill="ECEDE5" w:themeFill="accent3" w:themeFillTint="34"/>
      </w:tcPr>
    </w:tblStylePr>
    <w:tblStylePr w:type="band1Horz">
      <w:rPr>
        <w:rFonts w:ascii="Arial" w:hAnsi="Arial"/>
        <w:color w:val="404040"/>
        <w:sz w:val="22"/>
      </w:rPr>
      <w:tblPr/>
      <w:tcPr>
        <w:shd w:val="clear" w:color="ECEDE5" w:themeColor="accent3" w:themeTint="34" w:fill="ECEDE5"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E9D3A2" w:themeColor="accent4" w:themeTint="90"/>
        <w:left w:val="single" w:sz="4" w:space="0" w:color="E9D3A2" w:themeColor="accent4" w:themeTint="90"/>
        <w:bottom w:val="single" w:sz="4" w:space="0" w:color="E9D3A2" w:themeColor="accent4" w:themeTint="90"/>
        <w:right w:val="single" w:sz="4" w:space="0" w:color="E9D3A2" w:themeColor="accent4" w:themeTint="90"/>
        <w:insideH w:val="single" w:sz="4" w:space="0" w:color="E9D3A2" w:themeColor="accent4" w:themeTint="90"/>
        <w:insideV w:val="single" w:sz="4" w:space="0" w:color="E9D3A2" w:themeColor="accent4" w:themeTint="90"/>
      </w:tblBorders>
    </w:tblPr>
    <w:tblStylePr w:type="firstRow">
      <w:rPr>
        <w:rFonts w:ascii="Arial" w:hAnsi="Arial"/>
        <w:b/>
        <w:color w:val="FFFFFF"/>
        <w:sz w:val="22"/>
      </w:rPr>
      <w:tblPr/>
      <w:tcPr>
        <w:tcBorders>
          <w:top w:val="single" w:sz="4" w:space="0" w:color="E7D09C" w:themeColor="accent4" w:themeTint="9A"/>
          <w:left w:val="single" w:sz="4" w:space="0" w:color="E7D09C" w:themeColor="accent4" w:themeTint="9A"/>
          <w:bottom w:val="single" w:sz="4" w:space="0" w:color="E7D09C" w:themeColor="accent4" w:themeTint="9A"/>
          <w:right w:val="single" w:sz="4" w:space="0" w:color="E7D09C" w:themeColor="accent4" w:themeTint="9A"/>
        </w:tcBorders>
        <w:shd w:val="clear" w:color="E7D09C" w:themeColor="accent4" w:themeTint="9A" w:fill="E7D09C" w:themeFill="accent4" w:themeFillTint="9A"/>
      </w:tcPr>
    </w:tblStylePr>
    <w:tblStylePr w:type="lastRow">
      <w:rPr>
        <w:b/>
        <w:color w:val="404040"/>
      </w:rPr>
      <w:tblPr/>
      <w:tcPr>
        <w:tcBorders>
          <w:top w:val="single" w:sz="4" w:space="0" w:color="E7D09C"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7EFDD" w:themeColor="accent4" w:themeTint="34" w:fill="F7EFDD" w:themeFill="accent4" w:themeFillTint="34"/>
      </w:tcPr>
    </w:tblStylePr>
    <w:tblStylePr w:type="band1Horz">
      <w:rPr>
        <w:rFonts w:ascii="Arial" w:hAnsi="Arial"/>
        <w:color w:val="404040"/>
        <w:sz w:val="22"/>
      </w:rPr>
      <w:tblPr/>
      <w:tcPr>
        <w:shd w:val="clear" w:color="F7EFDD" w:themeColor="accent4" w:themeTint="34" w:fill="F7EFDD"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B4CDC7" w:themeColor="accent5" w:themeTint="90"/>
        <w:left w:val="single" w:sz="4" w:space="0" w:color="B4CDC7" w:themeColor="accent5" w:themeTint="90"/>
        <w:bottom w:val="single" w:sz="4" w:space="0" w:color="B4CDC7" w:themeColor="accent5" w:themeTint="90"/>
        <w:right w:val="single" w:sz="4" w:space="0" w:color="B4CDC7" w:themeColor="accent5" w:themeTint="90"/>
        <w:insideH w:val="single" w:sz="4" w:space="0" w:color="B4CDC7" w:themeColor="accent5" w:themeTint="90"/>
        <w:insideV w:val="single" w:sz="4" w:space="0" w:color="B4CDC7" w:themeColor="accent5" w:themeTint="90"/>
      </w:tblBorders>
    </w:tblPr>
    <w:tblStylePr w:type="firstRow">
      <w:rPr>
        <w:rFonts w:ascii="Arial" w:hAnsi="Arial"/>
        <w:b/>
        <w:color w:val="FFFFFF"/>
        <w:sz w:val="22"/>
      </w:rPr>
      <w:tblPr/>
      <w:tcPr>
        <w:tcBorders>
          <w:top w:val="single" w:sz="4" w:space="0" w:color="7BA79D" w:themeColor="accent5"/>
          <w:left w:val="single" w:sz="4" w:space="0" w:color="7BA79D" w:themeColor="accent5"/>
          <w:bottom w:val="single" w:sz="4" w:space="0" w:color="7BA79D" w:themeColor="accent5"/>
          <w:right w:val="single" w:sz="4" w:space="0" w:color="7BA79D" w:themeColor="accent5"/>
        </w:tcBorders>
        <w:shd w:val="clear" w:color="7BA79D" w:themeColor="accent5" w:fill="7BA79D" w:themeFill="accent5"/>
      </w:tcPr>
    </w:tblStylePr>
    <w:tblStylePr w:type="lastRow">
      <w:rPr>
        <w:b/>
        <w:color w:val="404040"/>
      </w:rPr>
      <w:tblPr/>
      <w:tcPr>
        <w:tcBorders>
          <w:top w:val="single" w:sz="4" w:space="0" w:color="7BA79D"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4EDEA" w:themeColor="accent5" w:themeTint="34" w:fill="E4EDEA" w:themeFill="accent5" w:themeFillTint="34"/>
      </w:tcPr>
    </w:tblStylePr>
    <w:tblStylePr w:type="band1Horz">
      <w:rPr>
        <w:rFonts w:ascii="Arial" w:hAnsi="Arial"/>
        <w:color w:val="404040"/>
        <w:sz w:val="22"/>
      </w:rPr>
      <w:tblPr/>
      <w:tcPr>
        <w:shd w:val="clear" w:color="E4EDEA" w:themeColor="accent5" w:themeTint="34" w:fill="E4EDEA"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C3BEBE" w:themeColor="accent6" w:themeTint="90"/>
        <w:left w:val="single" w:sz="4" w:space="0" w:color="C3BEBE" w:themeColor="accent6" w:themeTint="90"/>
        <w:bottom w:val="single" w:sz="4" w:space="0" w:color="C3BEBE" w:themeColor="accent6" w:themeTint="90"/>
        <w:right w:val="single" w:sz="4" w:space="0" w:color="C3BEBE" w:themeColor="accent6" w:themeTint="90"/>
        <w:insideH w:val="single" w:sz="4" w:space="0" w:color="C3BEBE" w:themeColor="accent6" w:themeTint="90"/>
        <w:insideV w:val="single" w:sz="4" w:space="0" w:color="C3BEBE" w:themeColor="accent6" w:themeTint="90"/>
      </w:tblBorders>
    </w:tblPr>
    <w:tblStylePr w:type="firstRow">
      <w:rPr>
        <w:rFonts w:ascii="Arial" w:hAnsi="Arial"/>
        <w:b/>
        <w:color w:val="FFFFFF"/>
        <w:sz w:val="22"/>
      </w:rPr>
      <w:tblPr/>
      <w:tcPr>
        <w:tcBorders>
          <w:top w:val="single" w:sz="4" w:space="0" w:color="968C8C" w:themeColor="accent6"/>
          <w:left w:val="single" w:sz="4" w:space="0" w:color="968C8C" w:themeColor="accent6"/>
          <w:bottom w:val="single" w:sz="4" w:space="0" w:color="968C8C" w:themeColor="accent6"/>
          <w:right w:val="single" w:sz="4" w:space="0" w:color="968C8C" w:themeColor="accent6"/>
        </w:tcBorders>
        <w:shd w:val="clear" w:color="968C8C" w:themeColor="accent6" w:fill="968C8C" w:themeFill="accent6"/>
      </w:tcPr>
    </w:tblStylePr>
    <w:tblStylePr w:type="lastRow">
      <w:rPr>
        <w:b/>
        <w:color w:val="404040"/>
      </w:rPr>
      <w:tblPr/>
      <w:tcPr>
        <w:tcBorders>
          <w:top w:val="single" w:sz="4" w:space="0" w:color="968C8C"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9E7E7" w:themeColor="accent6" w:themeTint="34" w:fill="E9E7E7" w:themeFill="accent6" w:themeFillTint="34"/>
      </w:tcPr>
    </w:tblStylePr>
    <w:tblStylePr w:type="band1Horz">
      <w:rPr>
        <w:rFonts w:ascii="Arial" w:hAnsi="Arial"/>
        <w:color w:val="404040"/>
        <w:sz w:val="22"/>
      </w:rPr>
      <w:tblPr/>
      <w:tcPr>
        <w:shd w:val="clear" w:color="E9E7E7" w:themeColor="accent6" w:themeTint="34" w:fill="E9E7E7" w:themeFill="accent6" w:themeFillTint="34"/>
      </w:tcPr>
    </w:tblStylePr>
  </w:style>
  <w:style w:type="table" w:styleId="52">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9F0F5" w:themeColor="accent1" w:themeTint="34" w:fill="E9F0F5" w:themeFill="accent1" w:themeFillTint="34"/>
    </w:tblPr>
    <w:tblStylePr w:type="firstRow">
      <w:rPr>
        <w:rFonts w:ascii="Arial" w:hAnsi="Arial"/>
        <w:b/>
        <w:color w:val="FFFFFF"/>
        <w:sz w:val="22"/>
      </w:rPr>
      <w:tblPr/>
      <w:tcPr>
        <w:shd w:val="clear" w:color="94B6D2" w:themeColor="accent1" w:fill="94B6D2" w:themeFill="accent1"/>
      </w:tcPr>
    </w:tblStylePr>
    <w:tblStylePr w:type="lastRow">
      <w:rPr>
        <w:rFonts w:ascii="Arial" w:hAnsi="Arial"/>
        <w:b/>
        <w:color w:val="FFFFFF"/>
        <w:sz w:val="22"/>
      </w:rPr>
      <w:tblPr/>
      <w:tcPr>
        <w:tcBorders>
          <w:top w:val="single" w:sz="4" w:space="0" w:color="FFFFFF" w:themeColor="light1"/>
        </w:tcBorders>
        <w:shd w:val="clear" w:color="94B6D2" w:themeColor="accent1" w:fill="94B6D2" w:themeFill="accent1"/>
      </w:tcPr>
    </w:tblStylePr>
    <w:tblStylePr w:type="firstCol">
      <w:rPr>
        <w:rFonts w:ascii="Arial" w:hAnsi="Arial"/>
        <w:b/>
        <w:color w:val="FFFFFF"/>
        <w:sz w:val="22"/>
      </w:rPr>
      <w:tblPr/>
      <w:tcPr>
        <w:shd w:val="clear" w:color="94B6D2" w:themeColor="accent1" w:fill="94B6D2" w:themeFill="accent1"/>
      </w:tcPr>
    </w:tblStylePr>
    <w:tblStylePr w:type="lastCol">
      <w:rPr>
        <w:rFonts w:ascii="Arial" w:hAnsi="Arial"/>
        <w:b/>
        <w:color w:val="FFFFFF"/>
        <w:sz w:val="22"/>
      </w:rPr>
      <w:tblPr/>
      <w:tcPr>
        <w:shd w:val="clear" w:color="94B6D2" w:themeColor="accent1" w:fill="94B6D2" w:themeFill="accent1"/>
      </w:tcPr>
    </w:tblStylePr>
    <w:tblStylePr w:type="band1Vert">
      <w:tblPr/>
      <w:tcPr>
        <w:shd w:val="clear" w:color="CDDDEA" w:themeColor="accent1" w:themeTint="75" w:fill="CDDDEA" w:themeFill="accent1" w:themeFillTint="75"/>
      </w:tcPr>
    </w:tblStylePr>
    <w:tblStylePr w:type="band1Horz">
      <w:tblPr/>
      <w:tcPr>
        <w:shd w:val="clear" w:color="CDDDEA" w:themeColor="accent1" w:themeTint="75" w:fill="CDDDEA"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8E5DA" w:themeColor="accent2" w:themeTint="32" w:fill="F8E5DA" w:themeFill="accent2" w:themeFillTint="32"/>
    </w:tblPr>
    <w:tblStylePr w:type="firstRow">
      <w:rPr>
        <w:rFonts w:ascii="Arial" w:hAnsi="Arial"/>
        <w:b/>
        <w:color w:val="FFFFFF"/>
        <w:sz w:val="22"/>
      </w:rPr>
      <w:tblPr/>
      <w:tcPr>
        <w:shd w:val="clear" w:color="DD8047" w:themeColor="accent2" w:fill="DD8047" w:themeFill="accent2"/>
      </w:tcPr>
    </w:tblStylePr>
    <w:tblStylePr w:type="lastRow">
      <w:rPr>
        <w:rFonts w:ascii="Arial" w:hAnsi="Arial"/>
        <w:b/>
        <w:color w:val="FFFFFF"/>
        <w:sz w:val="22"/>
      </w:rPr>
      <w:tblPr/>
      <w:tcPr>
        <w:tcBorders>
          <w:top w:val="single" w:sz="4" w:space="0" w:color="FFFFFF" w:themeColor="light1"/>
        </w:tcBorders>
        <w:shd w:val="clear" w:color="DD8047" w:themeColor="accent2" w:fill="DD8047" w:themeFill="accent2"/>
      </w:tcPr>
    </w:tblStylePr>
    <w:tblStylePr w:type="firstCol">
      <w:rPr>
        <w:rFonts w:ascii="Arial" w:hAnsi="Arial"/>
        <w:b/>
        <w:color w:val="FFFFFF"/>
        <w:sz w:val="22"/>
      </w:rPr>
      <w:tblPr/>
      <w:tcPr>
        <w:shd w:val="clear" w:color="DD8047" w:themeColor="accent2" w:fill="DD8047" w:themeFill="accent2"/>
      </w:tcPr>
    </w:tblStylePr>
    <w:tblStylePr w:type="lastCol">
      <w:rPr>
        <w:rFonts w:ascii="Arial" w:hAnsi="Arial"/>
        <w:b/>
        <w:color w:val="FFFFFF"/>
        <w:sz w:val="22"/>
      </w:rPr>
      <w:tblPr/>
      <w:tcPr>
        <w:shd w:val="clear" w:color="DD8047" w:themeColor="accent2" w:fill="DD8047" w:themeFill="accent2"/>
      </w:tcPr>
    </w:tblStylePr>
    <w:tblStylePr w:type="band1Vert">
      <w:tblPr/>
      <w:tcPr>
        <w:shd w:val="clear" w:color="EFC4AA" w:themeColor="accent2" w:themeTint="75" w:fill="EFC4AA" w:themeFill="accent2" w:themeFillTint="75"/>
      </w:tcPr>
    </w:tblStylePr>
    <w:tblStylePr w:type="band1Horz">
      <w:tblPr/>
      <w:tcPr>
        <w:shd w:val="clear" w:color="EFC4AA" w:themeColor="accent2" w:themeTint="75" w:fill="EFC4AA"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DE5" w:themeColor="accent3" w:themeTint="34" w:fill="ECEDE5" w:themeFill="accent3" w:themeFillTint="34"/>
    </w:tblPr>
    <w:tblStylePr w:type="firstRow">
      <w:rPr>
        <w:rFonts w:ascii="Arial" w:hAnsi="Arial"/>
        <w:b/>
        <w:color w:val="FFFFFF"/>
        <w:sz w:val="22"/>
      </w:rPr>
      <w:tblPr/>
      <w:tcPr>
        <w:shd w:val="clear" w:color="A5AB81" w:themeColor="accent3" w:fill="A5AB81" w:themeFill="accent3"/>
      </w:tcPr>
    </w:tblStylePr>
    <w:tblStylePr w:type="lastRow">
      <w:rPr>
        <w:rFonts w:ascii="Arial" w:hAnsi="Arial"/>
        <w:b/>
        <w:color w:val="FFFFFF"/>
        <w:sz w:val="22"/>
      </w:rPr>
      <w:tblPr/>
      <w:tcPr>
        <w:tcBorders>
          <w:top w:val="single" w:sz="4" w:space="0" w:color="FFFFFF" w:themeColor="light1"/>
        </w:tcBorders>
        <w:shd w:val="clear" w:color="A5AB81" w:themeColor="accent3" w:fill="A5AB81" w:themeFill="accent3"/>
      </w:tcPr>
    </w:tblStylePr>
    <w:tblStylePr w:type="firstCol">
      <w:rPr>
        <w:rFonts w:ascii="Arial" w:hAnsi="Arial"/>
        <w:b/>
        <w:color w:val="FFFFFF"/>
        <w:sz w:val="22"/>
      </w:rPr>
      <w:tblPr/>
      <w:tcPr>
        <w:shd w:val="clear" w:color="A5AB81" w:themeColor="accent3" w:fill="A5AB81" w:themeFill="accent3"/>
      </w:tcPr>
    </w:tblStylePr>
    <w:tblStylePr w:type="lastCol">
      <w:rPr>
        <w:rFonts w:ascii="Arial" w:hAnsi="Arial"/>
        <w:b/>
        <w:color w:val="FFFFFF"/>
        <w:sz w:val="22"/>
      </w:rPr>
      <w:tblPr/>
      <w:tcPr>
        <w:shd w:val="clear" w:color="A5AB81" w:themeColor="accent3" w:fill="A5AB81" w:themeFill="accent3"/>
      </w:tcPr>
    </w:tblStylePr>
    <w:tblStylePr w:type="band1Vert">
      <w:tblPr/>
      <w:tcPr>
        <w:shd w:val="clear" w:color="D5D8C5" w:themeColor="accent3" w:themeTint="75" w:fill="D5D8C5" w:themeFill="accent3" w:themeFillTint="75"/>
      </w:tcPr>
    </w:tblStylePr>
    <w:tblStylePr w:type="band1Horz">
      <w:tblPr/>
      <w:tcPr>
        <w:shd w:val="clear" w:color="D5D8C5" w:themeColor="accent3" w:themeTint="75" w:fill="D5D8C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7EFDD" w:themeColor="accent4" w:themeTint="34" w:fill="F7EFDD" w:themeFill="accent4" w:themeFillTint="34"/>
    </w:tblPr>
    <w:tblStylePr w:type="firstRow">
      <w:rPr>
        <w:rFonts w:ascii="Arial" w:hAnsi="Arial"/>
        <w:b/>
        <w:color w:val="FFFFFF"/>
        <w:sz w:val="22"/>
      </w:rPr>
      <w:tblPr/>
      <w:tcPr>
        <w:shd w:val="clear" w:color="D8B25C" w:themeColor="accent4" w:fill="D8B25C" w:themeFill="accent4"/>
      </w:tcPr>
    </w:tblStylePr>
    <w:tblStylePr w:type="lastRow">
      <w:rPr>
        <w:rFonts w:ascii="Arial" w:hAnsi="Arial"/>
        <w:b/>
        <w:color w:val="FFFFFF"/>
        <w:sz w:val="22"/>
      </w:rPr>
      <w:tblPr/>
      <w:tcPr>
        <w:tcBorders>
          <w:top w:val="single" w:sz="4" w:space="0" w:color="FFFFFF" w:themeColor="light1"/>
        </w:tcBorders>
        <w:shd w:val="clear" w:color="D8B25C" w:themeColor="accent4" w:fill="D8B25C" w:themeFill="accent4"/>
      </w:tcPr>
    </w:tblStylePr>
    <w:tblStylePr w:type="firstCol">
      <w:rPr>
        <w:rFonts w:ascii="Arial" w:hAnsi="Arial"/>
        <w:b/>
        <w:color w:val="FFFFFF"/>
        <w:sz w:val="22"/>
      </w:rPr>
      <w:tblPr/>
      <w:tcPr>
        <w:shd w:val="clear" w:color="D8B25C" w:themeColor="accent4" w:fill="D8B25C" w:themeFill="accent4"/>
      </w:tcPr>
    </w:tblStylePr>
    <w:tblStylePr w:type="lastCol">
      <w:rPr>
        <w:rFonts w:ascii="Arial" w:hAnsi="Arial"/>
        <w:b/>
        <w:color w:val="FFFFFF"/>
        <w:sz w:val="22"/>
      </w:rPr>
      <w:tblPr/>
      <w:tcPr>
        <w:shd w:val="clear" w:color="D8B25C" w:themeColor="accent4" w:fill="D8B25C" w:themeFill="accent4"/>
      </w:tcPr>
    </w:tblStylePr>
    <w:tblStylePr w:type="band1Vert">
      <w:tblPr/>
      <w:tcPr>
        <w:shd w:val="clear" w:color="EDDBB3" w:themeColor="accent4" w:themeTint="75" w:fill="EDDBB3" w:themeFill="accent4" w:themeFillTint="75"/>
      </w:tcPr>
    </w:tblStylePr>
    <w:tblStylePr w:type="band1Horz">
      <w:tblPr/>
      <w:tcPr>
        <w:shd w:val="clear" w:color="EDDBB3" w:themeColor="accent4" w:themeTint="75" w:fill="EDDBB3"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4EDEA" w:themeColor="accent5" w:themeTint="34" w:fill="E4EDEA" w:themeFill="accent5" w:themeFillTint="34"/>
    </w:tblPr>
    <w:tblStylePr w:type="firstRow">
      <w:rPr>
        <w:rFonts w:ascii="Arial" w:hAnsi="Arial"/>
        <w:b/>
        <w:color w:val="FFFFFF"/>
        <w:sz w:val="22"/>
      </w:rPr>
      <w:tblPr/>
      <w:tcPr>
        <w:shd w:val="clear" w:color="7BA79D" w:themeColor="accent5" w:fill="7BA79D" w:themeFill="accent5"/>
      </w:tcPr>
    </w:tblStylePr>
    <w:tblStylePr w:type="lastRow">
      <w:rPr>
        <w:rFonts w:ascii="Arial" w:hAnsi="Arial"/>
        <w:b/>
        <w:color w:val="FFFFFF"/>
        <w:sz w:val="22"/>
      </w:rPr>
      <w:tblPr/>
      <w:tcPr>
        <w:tcBorders>
          <w:top w:val="single" w:sz="4" w:space="0" w:color="FFFFFF" w:themeColor="light1"/>
        </w:tcBorders>
        <w:shd w:val="clear" w:color="7BA79D" w:themeColor="accent5" w:fill="7BA79D" w:themeFill="accent5"/>
      </w:tcPr>
    </w:tblStylePr>
    <w:tblStylePr w:type="firstCol">
      <w:rPr>
        <w:rFonts w:ascii="Arial" w:hAnsi="Arial"/>
        <w:b/>
        <w:color w:val="FFFFFF"/>
        <w:sz w:val="22"/>
      </w:rPr>
      <w:tblPr/>
      <w:tcPr>
        <w:shd w:val="clear" w:color="7BA79D" w:themeColor="accent5" w:fill="7BA79D" w:themeFill="accent5"/>
      </w:tcPr>
    </w:tblStylePr>
    <w:tblStylePr w:type="lastCol">
      <w:rPr>
        <w:rFonts w:ascii="Arial" w:hAnsi="Arial"/>
        <w:b/>
        <w:color w:val="FFFFFF"/>
        <w:sz w:val="22"/>
      </w:rPr>
      <w:tblPr/>
      <w:tcPr>
        <w:shd w:val="clear" w:color="7BA79D" w:themeColor="accent5" w:fill="7BA79D" w:themeFill="accent5"/>
      </w:tcPr>
    </w:tblStylePr>
    <w:tblStylePr w:type="band1Vert">
      <w:tblPr/>
      <w:tcPr>
        <w:shd w:val="clear" w:color="C2D6D2" w:themeColor="accent5" w:themeTint="75" w:fill="C2D6D2" w:themeFill="accent5" w:themeFillTint="75"/>
      </w:tcPr>
    </w:tblStylePr>
    <w:tblStylePr w:type="band1Horz">
      <w:tblPr/>
      <w:tcPr>
        <w:shd w:val="clear" w:color="C2D6D2" w:themeColor="accent5" w:themeTint="75" w:fill="C2D6D2"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9E7E7" w:themeColor="accent6" w:themeTint="34" w:fill="E9E7E7" w:themeFill="accent6" w:themeFillTint="34"/>
    </w:tblPr>
    <w:tblStylePr w:type="firstRow">
      <w:rPr>
        <w:rFonts w:ascii="Arial" w:hAnsi="Arial"/>
        <w:b/>
        <w:color w:val="FFFFFF"/>
        <w:sz w:val="22"/>
      </w:rPr>
      <w:tblPr/>
      <w:tcPr>
        <w:shd w:val="clear" w:color="968C8C" w:themeColor="accent6" w:fill="968C8C" w:themeFill="accent6"/>
      </w:tcPr>
    </w:tblStylePr>
    <w:tblStylePr w:type="lastRow">
      <w:rPr>
        <w:rFonts w:ascii="Arial" w:hAnsi="Arial"/>
        <w:b/>
        <w:color w:val="FFFFFF"/>
        <w:sz w:val="22"/>
      </w:rPr>
      <w:tblPr/>
      <w:tcPr>
        <w:tcBorders>
          <w:top w:val="single" w:sz="4" w:space="0" w:color="FFFFFF" w:themeColor="light1"/>
        </w:tcBorders>
        <w:shd w:val="clear" w:color="968C8C" w:themeColor="accent6" w:fill="968C8C" w:themeFill="accent6"/>
      </w:tcPr>
    </w:tblStylePr>
    <w:tblStylePr w:type="firstCol">
      <w:rPr>
        <w:rFonts w:ascii="Arial" w:hAnsi="Arial"/>
        <w:b/>
        <w:color w:val="FFFFFF"/>
        <w:sz w:val="22"/>
      </w:rPr>
      <w:tblPr/>
      <w:tcPr>
        <w:shd w:val="clear" w:color="968C8C" w:themeColor="accent6" w:fill="968C8C" w:themeFill="accent6"/>
      </w:tcPr>
    </w:tblStylePr>
    <w:tblStylePr w:type="lastCol">
      <w:rPr>
        <w:rFonts w:ascii="Arial" w:hAnsi="Arial"/>
        <w:b/>
        <w:color w:val="FFFFFF"/>
        <w:sz w:val="22"/>
      </w:rPr>
      <w:tblPr/>
      <w:tcPr>
        <w:shd w:val="clear" w:color="968C8C" w:themeColor="accent6" w:fill="968C8C" w:themeFill="accent6"/>
      </w:tcPr>
    </w:tblStylePr>
    <w:tblStylePr w:type="band1Vert">
      <w:tblPr/>
      <w:tcPr>
        <w:shd w:val="clear" w:color="CECACA" w:themeColor="accent6" w:themeTint="75" w:fill="CECACA" w:themeFill="accent6" w:themeFillTint="75"/>
      </w:tcPr>
    </w:tblStylePr>
    <w:tblStylePr w:type="band1Horz">
      <w:tblPr/>
      <w:tcPr>
        <w:shd w:val="clear" w:color="CECACA" w:themeColor="accent6" w:themeTint="75" w:fill="CECACA" w:themeFill="accent6" w:themeFillTint="75"/>
      </w:tcPr>
    </w:tblStylePr>
  </w:style>
  <w:style w:type="table" w:styleId="61">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C9DAE8" w:themeColor="accent1" w:themeTint="80"/>
        <w:left w:val="single" w:sz="4" w:space="0" w:color="C9DAE8" w:themeColor="accent1" w:themeTint="80"/>
        <w:bottom w:val="single" w:sz="4" w:space="0" w:color="C9DAE8" w:themeColor="accent1" w:themeTint="80"/>
        <w:right w:val="single" w:sz="4" w:space="0" w:color="C9DAE8" w:themeColor="accent1" w:themeTint="80"/>
        <w:insideH w:val="single" w:sz="4" w:space="0" w:color="C9DAE8" w:themeColor="accent1" w:themeTint="80"/>
        <w:insideV w:val="single" w:sz="4" w:space="0" w:color="C9DAE8" w:themeColor="accent1" w:themeTint="80"/>
      </w:tblBorders>
    </w:tblPr>
    <w:tblStylePr w:type="firstRow">
      <w:rPr>
        <w:b/>
        <w:color w:val="C9DAE8" w:themeColor="accent1" w:themeTint="80" w:themeShade="95"/>
      </w:rPr>
      <w:tblPr/>
      <w:tcPr>
        <w:tcBorders>
          <w:bottom w:val="single" w:sz="12" w:space="0" w:color="C9DAE8" w:themeColor="accent1" w:themeTint="80"/>
        </w:tcBorders>
      </w:tcPr>
    </w:tblStylePr>
    <w:tblStylePr w:type="lastRow">
      <w:rPr>
        <w:b/>
        <w:color w:val="C9DAE8" w:themeColor="accent1" w:themeTint="80" w:themeShade="95"/>
      </w:rPr>
    </w:tblStylePr>
    <w:tblStylePr w:type="firstCol">
      <w:rPr>
        <w:b/>
        <w:color w:val="C9DAE8" w:themeColor="accent1" w:themeTint="80" w:themeShade="95"/>
      </w:rPr>
    </w:tblStylePr>
    <w:tblStylePr w:type="lastCol">
      <w:rPr>
        <w:b/>
        <w:color w:val="C9DAE8" w:themeColor="accent1" w:themeTint="80" w:themeShade="95"/>
      </w:rPr>
    </w:tblStylePr>
    <w:tblStylePr w:type="band1Vert">
      <w:tblPr/>
      <w:tcPr>
        <w:shd w:val="clear" w:color="E9F0F5" w:themeColor="accent1" w:themeTint="34" w:fill="E9F0F5" w:themeFill="accent1" w:themeFillTint="34"/>
      </w:tcPr>
    </w:tblStylePr>
    <w:tblStylePr w:type="band1Horz">
      <w:rPr>
        <w:rFonts w:ascii="Arial" w:hAnsi="Arial"/>
        <w:color w:val="C9DAE8" w:themeColor="accent1" w:themeTint="80" w:themeShade="95"/>
        <w:sz w:val="22"/>
      </w:rPr>
      <w:tblPr/>
      <w:tcPr>
        <w:shd w:val="clear" w:color="E9F0F5" w:themeColor="accent1" w:themeTint="34" w:fill="E9F0F5" w:themeFill="accent1" w:themeFillTint="34"/>
      </w:tcPr>
    </w:tblStylePr>
    <w:tblStylePr w:type="band2Horz">
      <w:rPr>
        <w:rFonts w:ascii="Arial" w:hAnsi="Arial"/>
        <w:color w:val="C9DAE8"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EAB391" w:themeColor="accent2" w:themeTint="97"/>
        <w:left w:val="single" w:sz="4" w:space="0" w:color="EAB391" w:themeColor="accent2" w:themeTint="97"/>
        <w:bottom w:val="single" w:sz="4" w:space="0" w:color="EAB391" w:themeColor="accent2" w:themeTint="97"/>
        <w:right w:val="single" w:sz="4" w:space="0" w:color="EAB391" w:themeColor="accent2" w:themeTint="97"/>
        <w:insideH w:val="single" w:sz="4" w:space="0" w:color="EAB391" w:themeColor="accent2" w:themeTint="97"/>
        <w:insideV w:val="single" w:sz="4" w:space="0" w:color="EAB391" w:themeColor="accent2" w:themeTint="97"/>
      </w:tblBorders>
    </w:tblPr>
    <w:tblStylePr w:type="firstRow">
      <w:rPr>
        <w:b/>
        <w:color w:val="EAB391" w:themeColor="accent2" w:themeTint="97" w:themeShade="95"/>
      </w:rPr>
      <w:tblPr/>
      <w:tcPr>
        <w:tcBorders>
          <w:bottom w:val="single" w:sz="12" w:space="0" w:color="EAB391" w:themeColor="accent2" w:themeTint="97"/>
        </w:tcBorders>
      </w:tcPr>
    </w:tblStylePr>
    <w:tblStylePr w:type="lastRow">
      <w:rPr>
        <w:b/>
        <w:color w:val="EAB391" w:themeColor="accent2" w:themeTint="97" w:themeShade="95"/>
      </w:rPr>
    </w:tblStylePr>
    <w:tblStylePr w:type="firstCol">
      <w:rPr>
        <w:b/>
        <w:color w:val="EAB391" w:themeColor="accent2" w:themeTint="97" w:themeShade="95"/>
      </w:rPr>
    </w:tblStylePr>
    <w:tblStylePr w:type="lastCol">
      <w:rPr>
        <w:b/>
        <w:color w:val="EAB391" w:themeColor="accent2" w:themeTint="97" w:themeShade="95"/>
      </w:rPr>
    </w:tblStylePr>
    <w:tblStylePr w:type="band1Vert">
      <w:tblPr/>
      <w:tcPr>
        <w:shd w:val="clear" w:color="F8E5DA" w:themeColor="accent2" w:themeTint="32" w:fill="F8E5DA" w:themeFill="accent2" w:themeFillTint="32"/>
      </w:tcPr>
    </w:tblStylePr>
    <w:tblStylePr w:type="band1Horz">
      <w:rPr>
        <w:rFonts w:ascii="Arial" w:hAnsi="Arial"/>
        <w:color w:val="EAB391" w:themeColor="accent2" w:themeTint="97" w:themeShade="95"/>
        <w:sz w:val="22"/>
      </w:rPr>
      <w:tblPr/>
      <w:tcPr>
        <w:shd w:val="clear" w:color="F8E5DA" w:themeColor="accent2" w:themeTint="32" w:fill="F8E5DA" w:themeFill="accent2" w:themeFillTint="32"/>
      </w:tcPr>
    </w:tblStylePr>
    <w:tblStylePr w:type="band2Horz">
      <w:rPr>
        <w:rFonts w:ascii="Arial" w:hAnsi="Arial"/>
        <w:color w:val="EAB391"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B81" w:themeColor="accent3" w:themeTint="FE"/>
        <w:left w:val="single" w:sz="4" w:space="0" w:color="A5AB81" w:themeColor="accent3" w:themeTint="FE"/>
        <w:bottom w:val="single" w:sz="4" w:space="0" w:color="A5AB81" w:themeColor="accent3" w:themeTint="FE"/>
        <w:right w:val="single" w:sz="4" w:space="0" w:color="A5AB81" w:themeColor="accent3" w:themeTint="FE"/>
        <w:insideH w:val="single" w:sz="4" w:space="0" w:color="A5AB81" w:themeColor="accent3" w:themeTint="FE"/>
        <w:insideV w:val="single" w:sz="4" w:space="0" w:color="A5AB81" w:themeColor="accent3" w:themeTint="FE"/>
      </w:tblBorders>
    </w:tblPr>
    <w:tblStylePr w:type="firstRow">
      <w:rPr>
        <w:b/>
        <w:color w:val="A5AB81" w:themeColor="accent3" w:themeTint="FE" w:themeShade="95"/>
      </w:rPr>
      <w:tblPr/>
      <w:tcPr>
        <w:tcBorders>
          <w:bottom w:val="single" w:sz="12" w:space="0" w:color="A5AB81" w:themeColor="accent3" w:themeTint="FE"/>
        </w:tcBorders>
      </w:tcPr>
    </w:tblStylePr>
    <w:tblStylePr w:type="lastRow">
      <w:rPr>
        <w:b/>
        <w:color w:val="A5AB81" w:themeColor="accent3" w:themeTint="FE" w:themeShade="95"/>
      </w:rPr>
    </w:tblStylePr>
    <w:tblStylePr w:type="firstCol">
      <w:rPr>
        <w:b/>
        <w:color w:val="A5AB81" w:themeColor="accent3" w:themeTint="FE" w:themeShade="95"/>
      </w:rPr>
    </w:tblStylePr>
    <w:tblStylePr w:type="lastCol">
      <w:rPr>
        <w:b/>
        <w:color w:val="A5AB81" w:themeColor="accent3" w:themeTint="FE" w:themeShade="95"/>
      </w:rPr>
    </w:tblStylePr>
    <w:tblStylePr w:type="band1Vert">
      <w:tblPr/>
      <w:tcPr>
        <w:shd w:val="clear" w:color="ECEDE5" w:themeColor="accent3" w:themeTint="34" w:fill="ECEDE5" w:themeFill="accent3" w:themeFillTint="34"/>
      </w:tcPr>
    </w:tblStylePr>
    <w:tblStylePr w:type="band1Horz">
      <w:rPr>
        <w:rFonts w:ascii="Arial" w:hAnsi="Arial"/>
        <w:color w:val="A5AB81" w:themeColor="accent3" w:themeTint="FE" w:themeShade="95"/>
        <w:sz w:val="22"/>
      </w:rPr>
      <w:tblPr/>
      <w:tcPr>
        <w:shd w:val="clear" w:color="ECEDE5" w:themeColor="accent3" w:themeTint="34" w:fill="ECEDE5" w:themeFill="accent3" w:themeFillTint="34"/>
      </w:tcPr>
    </w:tblStylePr>
    <w:tblStylePr w:type="band2Horz">
      <w:rPr>
        <w:rFonts w:ascii="Arial" w:hAnsi="Arial"/>
        <w:color w:val="A5AB81"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E7D09C" w:themeColor="accent4" w:themeTint="9A"/>
        <w:left w:val="single" w:sz="4" w:space="0" w:color="E7D09C" w:themeColor="accent4" w:themeTint="9A"/>
        <w:bottom w:val="single" w:sz="4" w:space="0" w:color="E7D09C" w:themeColor="accent4" w:themeTint="9A"/>
        <w:right w:val="single" w:sz="4" w:space="0" w:color="E7D09C" w:themeColor="accent4" w:themeTint="9A"/>
        <w:insideH w:val="single" w:sz="4" w:space="0" w:color="E7D09C" w:themeColor="accent4" w:themeTint="9A"/>
        <w:insideV w:val="single" w:sz="4" w:space="0" w:color="E7D09C" w:themeColor="accent4" w:themeTint="9A"/>
      </w:tblBorders>
    </w:tblPr>
    <w:tblStylePr w:type="firstRow">
      <w:rPr>
        <w:b/>
        <w:color w:val="E7D09C" w:themeColor="accent4" w:themeTint="9A" w:themeShade="95"/>
      </w:rPr>
      <w:tblPr/>
      <w:tcPr>
        <w:tcBorders>
          <w:bottom w:val="single" w:sz="12" w:space="0" w:color="E7D09C" w:themeColor="accent4" w:themeTint="9A"/>
        </w:tcBorders>
      </w:tcPr>
    </w:tblStylePr>
    <w:tblStylePr w:type="lastRow">
      <w:rPr>
        <w:b/>
        <w:color w:val="E7D09C" w:themeColor="accent4" w:themeTint="9A" w:themeShade="95"/>
      </w:rPr>
    </w:tblStylePr>
    <w:tblStylePr w:type="firstCol">
      <w:rPr>
        <w:b/>
        <w:color w:val="E7D09C" w:themeColor="accent4" w:themeTint="9A" w:themeShade="95"/>
      </w:rPr>
    </w:tblStylePr>
    <w:tblStylePr w:type="lastCol">
      <w:rPr>
        <w:b/>
        <w:color w:val="E7D09C" w:themeColor="accent4" w:themeTint="9A" w:themeShade="95"/>
      </w:rPr>
    </w:tblStylePr>
    <w:tblStylePr w:type="band1Vert">
      <w:tblPr/>
      <w:tcPr>
        <w:shd w:val="clear" w:color="F7EFDD" w:themeColor="accent4" w:themeTint="34" w:fill="F7EFDD" w:themeFill="accent4" w:themeFillTint="34"/>
      </w:tcPr>
    </w:tblStylePr>
    <w:tblStylePr w:type="band1Horz">
      <w:rPr>
        <w:rFonts w:ascii="Arial" w:hAnsi="Arial"/>
        <w:color w:val="E7D09C" w:themeColor="accent4" w:themeTint="9A" w:themeShade="95"/>
        <w:sz w:val="22"/>
      </w:rPr>
      <w:tblPr/>
      <w:tcPr>
        <w:shd w:val="clear" w:color="F7EFDD" w:themeColor="accent4" w:themeTint="34" w:fill="F7EFDD" w:themeFill="accent4" w:themeFillTint="34"/>
      </w:tcPr>
    </w:tblStylePr>
    <w:tblStylePr w:type="band2Horz">
      <w:rPr>
        <w:rFonts w:ascii="Arial" w:hAnsi="Arial"/>
        <w:color w:val="E7D09C"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7BA79D" w:themeColor="accent5"/>
        <w:left w:val="single" w:sz="4" w:space="0" w:color="7BA79D" w:themeColor="accent5"/>
        <w:bottom w:val="single" w:sz="4" w:space="0" w:color="7BA79D" w:themeColor="accent5"/>
        <w:right w:val="single" w:sz="4" w:space="0" w:color="7BA79D" w:themeColor="accent5"/>
        <w:insideH w:val="single" w:sz="4" w:space="0" w:color="7BA79D" w:themeColor="accent5"/>
        <w:insideV w:val="single" w:sz="4" w:space="0" w:color="7BA79D" w:themeColor="accent5"/>
      </w:tblBorders>
    </w:tblPr>
    <w:tblStylePr w:type="firstRow">
      <w:rPr>
        <w:b/>
        <w:color w:val="43655D" w:themeColor="accent5" w:themeShade="95"/>
      </w:rPr>
      <w:tblPr/>
      <w:tcPr>
        <w:tcBorders>
          <w:bottom w:val="single" w:sz="12" w:space="0" w:color="7BA79D" w:themeColor="accent5"/>
        </w:tcBorders>
      </w:tcPr>
    </w:tblStylePr>
    <w:tblStylePr w:type="lastRow">
      <w:rPr>
        <w:b/>
        <w:color w:val="43655D" w:themeColor="accent5" w:themeShade="95"/>
      </w:rPr>
    </w:tblStylePr>
    <w:tblStylePr w:type="firstCol">
      <w:rPr>
        <w:b/>
        <w:color w:val="43655D" w:themeColor="accent5" w:themeShade="95"/>
      </w:rPr>
    </w:tblStylePr>
    <w:tblStylePr w:type="lastCol">
      <w:rPr>
        <w:b/>
        <w:color w:val="43655D" w:themeColor="accent5" w:themeShade="95"/>
      </w:rPr>
    </w:tblStylePr>
    <w:tblStylePr w:type="band1Vert">
      <w:tblPr/>
      <w:tcPr>
        <w:shd w:val="clear" w:color="E4EDEA" w:themeColor="accent5" w:themeTint="34" w:fill="E4EDEA" w:themeFill="accent5" w:themeFillTint="34"/>
      </w:tcPr>
    </w:tblStylePr>
    <w:tblStylePr w:type="band1Horz">
      <w:rPr>
        <w:rFonts w:ascii="Arial" w:hAnsi="Arial"/>
        <w:color w:val="43655D" w:themeColor="accent5" w:themeShade="95"/>
        <w:sz w:val="22"/>
      </w:rPr>
      <w:tblPr/>
      <w:tcPr>
        <w:shd w:val="clear" w:color="E4EDEA" w:themeColor="accent5" w:themeTint="34" w:fill="E4EDEA" w:themeFill="accent5" w:themeFillTint="34"/>
      </w:tcPr>
    </w:tblStylePr>
    <w:tblStylePr w:type="band2Horz">
      <w:rPr>
        <w:rFonts w:ascii="Arial" w:hAnsi="Arial"/>
        <w:color w:val="43655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968C8C" w:themeColor="accent6"/>
        <w:left w:val="single" w:sz="4" w:space="0" w:color="968C8C" w:themeColor="accent6"/>
        <w:bottom w:val="single" w:sz="4" w:space="0" w:color="968C8C" w:themeColor="accent6"/>
        <w:right w:val="single" w:sz="4" w:space="0" w:color="968C8C" w:themeColor="accent6"/>
        <w:insideH w:val="single" w:sz="4" w:space="0" w:color="968C8C" w:themeColor="accent6"/>
        <w:insideV w:val="single" w:sz="4" w:space="0" w:color="968C8C" w:themeColor="accent6"/>
      </w:tblBorders>
    </w:tblPr>
    <w:tblStylePr w:type="firstRow">
      <w:rPr>
        <w:b/>
        <w:color w:val="43655D" w:themeColor="accent5" w:themeShade="95"/>
      </w:rPr>
      <w:tblPr/>
      <w:tcPr>
        <w:tcBorders>
          <w:bottom w:val="single" w:sz="12" w:space="0" w:color="968C8C" w:themeColor="accent6"/>
        </w:tcBorders>
      </w:tcPr>
    </w:tblStylePr>
    <w:tblStylePr w:type="lastRow">
      <w:rPr>
        <w:b/>
        <w:color w:val="43655D" w:themeColor="accent5" w:themeShade="95"/>
      </w:rPr>
    </w:tblStylePr>
    <w:tblStylePr w:type="firstCol">
      <w:rPr>
        <w:b/>
        <w:color w:val="43655D" w:themeColor="accent5" w:themeShade="95"/>
      </w:rPr>
    </w:tblStylePr>
    <w:tblStylePr w:type="lastCol">
      <w:rPr>
        <w:b/>
        <w:color w:val="43655D" w:themeColor="accent5" w:themeShade="95"/>
      </w:rPr>
    </w:tblStylePr>
    <w:tblStylePr w:type="band1Vert">
      <w:tblPr/>
      <w:tcPr>
        <w:shd w:val="clear" w:color="E9E7E7" w:themeColor="accent6" w:themeTint="34" w:fill="E9E7E7" w:themeFill="accent6" w:themeFillTint="34"/>
      </w:tcPr>
    </w:tblStylePr>
    <w:tblStylePr w:type="band1Horz">
      <w:rPr>
        <w:rFonts w:ascii="Arial" w:hAnsi="Arial"/>
        <w:color w:val="43655D" w:themeColor="accent5" w:themeShade="95"/>
        <w:sz w:val="22"/>
      </w:rPr>
      <w:tblPr/>
      <w:tcPr>
        <w:shd w:val="clear" w:color="E9E7E7" w:themeColor="accent6" w:themeTint="34" w:fill="E9E7E7" w:themeFill="accent6" w:themeFillTint="34"/>
      </w:tcPr>
    </w:tblStylePr>
    <w:tblStylePr w:type="band2Horz">
      <w:rPr>
        <w:rFonts w:ascii="Arial" w:hAnsi="Arial"/>
        <w:color w:val="43655D" w:themeColor="accent5" w:themeShade="95"/>
        <w:sz w:val="22"/>
      </w:rPr>
    </w:tblStylePr>
  </w:style>
  <w:style w:type="table" w:styleId="71">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000000"/>
          <w:left w:val="none" w:sz="0" w:space="0" w:color="000000"/>
          <w:bottom w:val="single" w:sz="4" w:space="0" w:color="7F7F7F" w:themeColor="text1" w:themeTint="80"/>
          <w:right w:val="none" w:sz="0"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000000"/>
          <w:left w:val="none" w:sz="0" w:space="0" w:color="000000"/>
          <w:bottom w:val="none" w:sz="0"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000000"/>
          <w:left w:val="single" w:sz="4" w:space="0" w:color="7F7F7F" w:themeColor="text1" w:themeTint="80"/>
          <w:bottom w:val="none" w:sz="0" w:space="0" w:color="000000"/>
          <w:right w:val="none" w:sz="0"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C9DAE8" w:themeColor="accent1" w:themeTint="80"/>
        <w:right w:val="single" w:sz="4" w:space="0" w:color="C9DAE8" w:themeColor="accent1" w:themeTint="80"/>
        <w:insideH w:val="single" w:sz="4" w:space="0" w:color="C9DAE8" w:themeColor="accent1" w:themeTint="80"/>
        <w:insideV w:val="single" w:sz="4" w:space="0" w:color="C9DAE8" w:themeColor="accent1" w:themeTint="80"/>
      </w:tblBorders>
    </w:tblPr>
    <w:tblStylePr w:type="firstRow">
      <w:rPr>
        <w:rFonts w:ascii="Arial" w:hAnsi="Arial"/>
        <w:b/>
        <w:color w:val="C9DAE8" w:themeColor="accent1" w:themeTint="80" w:themeShade="95"/>
        <w:sz w:val="22"/>
      </w:rPr>
      <w:tblPr/>
      <w:tcPr>
        <w:tcBorders>
          <w:top w:val="none" w:sz="0" w:space="0" w:color="000000"/>
          <w:left w:val="none" w:sz="0" w:space="0" w:color="000000"/>
          <w:bottom w:val="single" w:sz="4" w:space="0" w:color="C9DAE8" w:themeColor="accent1" w:themeTint="80"/>
          <w:right w:val="none" w:sz="0" w:space="0" w:color="000000"/>
        </w:tcBorders>
        <w:shd w:val="clear" w:color="FFFFFF" w:themeColor="light1" w:fill="FFFFFF" w:themeFill="light1"/>
      </w:tcPr>
    </w:tblStylePr>
    <w:tblStylePr w:type="lastRow">
      <w:rPr>
        <w:rFonts w:ascii="Arial" w:hAnsi="Arial"/>
        <w:b/>
        <w:color w:val="C9DAE8" w:themeColor="accent1" w:themeTint="80" w:themeShade="95"/>
        <w:sz w:val="22"/>
      </w:rPr>
      <w:tblPr/>
      <w:tcPr>
        <w:tcBorders>
          <w:top w:val="single" w:sz="4" w:space="0" w:color="C9DAE8" w:themeColor="accen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C9DAE8" w:themeColor="accent1" w:themeTint="80" w:themeShade="95"/>
        <w:sz w:val="22"/>
      </w:rPr>
      <w:tblPr/>
      <w:tcPr>
        <w:tcBorders>
          <w:top w:val="none" w:sz="0" w:space="0" w:color="000000"/>
          <w:left w:val="none" w:sz="0" w:space="0" w:color="000000"/>
          <w:bottom w:val="none" w:sz="0" w:space="0" w:color="000000"/>
          <w:right w:val="single" w:sz="4" w:space="0" w:color="C9DAE8" w:themeColor="accent1" w:themeTint="80"/>
        </w:tcBorders>
        <w:shd w:val="clear" w:color="FFFFFF" w:fill="auto"/>
      </w:tcPr>
    </w:tblStylePr>
    <w:tblStylePr w:type="lastCol">
      <w:rPr>
        <w:rFonts w:ascii="Arial" w:hAnsi="Arial"/>
        <w:i/>
        <w:color w:val="C9DAE8" w:themeColor="accent1" w:themeTint="80" w:themeShade="95"/>
        <w:sz w:val="22"/>
      </w:rPr>
      <w:tblPr/>
      <w:tcPr>
        <w:tcBorders>
          <w:top w:val="none" w:sz="0" w:space="0" w:color="000000"/>
          <w:left w:val="single" w:sz="4" w:space="0" w:color="C9DAE8" w:themeColor="accent1" w:themeTint="80"/>
          <w:bottom w:val="none" w:sz="0" w:space="0" w:color="000000"/>
          <w:right w:val="none" w:sz="0" w:space="0" w:color="000000"/>
        </w:tcBorders>
        <w:shd w:val="clear" w:color="FFFFFF" w:fill="auto"/>
      </w:tcPr>
    </w:tblStylePr>
    <w:tblStylePr w:type="band1Vert">
      <w:tblPr/>
      <w:tcPr>
        <w:shd w:val="clear" w:color="E9F0F5" w:themeColor="accent1" w:themeTint="34" w:fill="E9F0F5" w:themeFill="accent1" w:themeFillTint="34"/>
      </w:tcPr>
    </w:tblStylePr>
    <w:tblStylePr w:type="band1Horz">
      <w:rPr>
        <w:rFonts w:ascii="Arial" w:hAnsi="Arial"/>
        <w:color w:val="C9DAE8" w:themeColor="accent1" w:themeTint="80" w:themeShade="95"/>
        <w:sz w:val="22"/>
      </w:rPr>
      <w:tblPr/>
      <w:tcPr>
        <w:shd w:val="clear" w:color="E9F0F5" w:themeColor="accent1" w:themeTint="34" w:fill="E9F0F5" w:themeFill="accent1" w:themeFillTint="34"/>
      </w:tcPr>
    </w:tblStylePr>
    <w:tblStylePr w:type="band2Horz">
      <w:rPr>
        <w:rFonts w:ascii="Arial" w:hAnsi="Arial"/>
        <w:color w:val="C9DAE8"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EAB391" w:themeColor="accent2" w:themeTint="97"/>
        <w:right w:val="single" w:sz="4" w:space="0" w:color="EAB391" w:themeColor="accent2" w:themeTint="97"/>
        <w:insideH w:val="single" w:sz="4" w:space="0" w:color="EAB391" w:themeColor="accent2" w:themeTint="97"/>
        <w:insideV w:val="single" w:sz="4" w:space="0" w:color="EAB391" w:themeColor="accent2" w:themeTint="97"/>
      </w:tblBorders>
    </w:tblPr>
    <w:tblStylePr w:type="firstRow">
      <w:rPr>
        <w:rFonts w:ascii="Arial" w:hAnsi="Arial"/>
        <w:b/>
        <w:color w:val="EAB391" w:themeColor="accent2" w:themeTint="97" w:themeShade="95"/>
        <w:sz w:val="22"/>
      </w:rPr>
      <w:tblPr/>
      <w:tcPr>
        <w:tcBorders>
          <w:top w:val="none" w:sz="0" w:space="0" w:color="000000"/>
          <w:left w:val="none" w:sz="0" w:space="0" w:color="000000"/>
          <w:bottom w:val="single" w:sz="4" w:space="0" w:color="EAB391" w:themeColor="accent2" w:themeTint="97"/>
          <w:right w:val="none" w:sz="0" w:space="0" w:color="000000"/>
        </w:tcBorders>
        <w:shd w:val="clear" w:color="FFFFFF" w:themeColor="light1" w:fill="FFFFFF" w:themeFill="light1"/>
      </w:tcPr>
    </w:tblStylePr>
    <w:tblStylePr w:type="lastRow">
      <w:rPr>
        <w:rFonts w:ascii="Arial" w:hAnsi="Arial"/>
        <w:b/>
        <w:color w:val="EAB391" w:themeColor="accent2" w:themeTint="97" w:themeShade="95"/>
        <w:sz w:val="22"/>
      </w:rPr>
      <w:tblPr/>
      <w:tcPr>
        <w:tcBorders>
          <w:top w:val="single" w:sz="4" w:space="0" w:color="EAB391" w:themeColor="accent2" w:themeTint="97"/>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EAB391" w:themeColor="accent2" w:themeTint="97" w:themeShade="95"/>
        <w:sz w:val="22"/>
      </w:rPr>
      <w:tblPr/>
      <w:tcPr>
        <w:tcBorders>
          <w:top w:val="none" w:sz="0" w:space="0" w:color="000000"/>
          <w:left w:val="none" w:sz="0" w:space="0" w:color="000000"/>
          <w:bottom w:val="none" w:sz="0" w:space="0" w:color="000000"/>
          <w:right w:val="single" w:sz="4" w:space="0" w:color="EAB391" w:themeColor="accent2" w:themeTint="97"/>
        </w:tcBorders>
        <w:shd w:val="clear" w:color="FFFFFF" w:fill="auto"/>
      </w:tcPr>
    </w:tblStylePr>
    <w:tblStylePr w:type="lastCol">
      <w:rPr>
        <w:rFonts w:ascii="Arial" w:hAnsi="Arial"/>
        <w:i/>
        <w:color w:val="EAB391" w:themeColor="accent2" w:themeTint="97" w:themeShade="95"/>
        <w:sz w:val="22"/>
      </w:rPr>
      <w:tblPr/>
      <w:tcPr>
        <w:tcBorders>
          <w:top w:val="none" w:sz="0" w:space="0" w:color="000000"/>
          <w:left w:val="single" w:sz="4" w:space="0" w:color="EAB391" w:themeColor="accent2" w:themeTint="97"/>
          <w:bottom w:val="none" w:sz="0" w:space="0" w:color="000000"/>
          <w:right w:val="none" w:sz="0" w:space="0" w:color="000000"/>
        </w:tcBorders>
        <w:shd w:val="clear" w:color="FFFFFF" w:fill="auto"/>
      </w:tcPr>
    </w:tblStylePr>
    <w:tblStylePr w:type="band1Vert">
      <w:tblPr/>
      <w:tcPr>
        <w:shd w:val="clear" w:color="F8E5DA" w:themeColor="accent2" w:themeTint="32" w:fill="F8E5DA" w:themeFill="accent2" w:themeFillTint="32"/>
      </w:tcPr>
    </w:tblStylePr>
    <w:tblStylePr w:type="band1Horz">
      <w:rPr>
        <w:rFonts w:ascii="Arial" w:hAnsi="Arial"/>
        <w:color w:val="EAB391" w:themeColor="accent2" w:themeTint="97" w:themeShade="95"/>
        <w:sz w:val="22"/>
      </w:rPr>
      <w:tblPr/>
      <w:tcPr>
        <w:shd w:val="clear" w:color="F8E5DA" w:themeColor="accent2" w:themeTint="32" w:fill="F8E5DA" w:themeFill="accent2" w:themeFillTint="32"/>
      </w:tcPr>
    </w:tblStylePr>
    <w:tblStylePr w:type="band2Horz">
      <w:rPr>
        <w:rFonts w:ascii="Arial" w:hAnsi="Arial"/>
        <w:color w:val="EAB391"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B81" w:themeColor="accent3" w:themeTint="FE"/>
        <w:right w:val="single" w:sz="4" w:space="0" w:color="A5AB81" w:themeColor="accent3" w:themeTint="FE"/>
        <w:insideH w:val="single" w:sz="4" w:space="0" w:color="A5AB81" w:themeColor="accent3" w:themeTint="FE"/>
        <w:insideV w:val="single" w:sz="4" w:space="0" w:color="A5AB81" w:themeColor="accent3" w:themeTint="FE"/>
      </w:tblBorders>
    </w:tblPr>
    <w:tblStylePr w:type="firstRow">
      <w:rPr>
        <w:rFonts w:ascii="Arial" w:hAnsi="Arial"/>
        <w:b/>
        <w:color w:val="A5AB81" w:themeColor="accent3" w:themeTint="FE" w:themeShade="95"/>
        <w:sz w:val="22"/>
      </w:rPr>
      <w:tblPr/>
      <w:tcPr>
        <w:tcBorders>
          <w:top w:val="none" w:sz="0" w:space="0" w:color="000000"/>
          <w:left w:val="none" w:sz="0" w:space="0" w:color="000000"/>
          <w:bottom w:val="single" w:sz="4" w:space="0" w:color="A5AB81" w:themeColor="accent3" w:themeTint="FE"/>
          <w:right w:val="none" w:sz="0" w:space="0" w:color="000000"/>
        </w:tcBorders>
        <w:shd w:val="clear" w:color="FFFFFF" w:themeColor="light1" w:fill="FFFFFF" w:themeFill="light1"/>
      </w:tcPr>
    </w:tblStylePr>
    <w:tblStylePr w:type="lastRow">
      <w:rPr>
        <w:rFonts w:ascii="Arial" w:hAnsi="Arial"/>
        <w:b/>
        <w:color w:val="A5AB81" w:themeColor="accent3" w:themeTint="FE" w:themeShade="95"/>
        <w:sz w:val="22"/>
      </w:rPr>
      <w:tblPr/>
      <w:tcPr>
        <w:tcBorders>
          <w:top w:val="single" w:sz="4" w:space="0" w:color="A5AB81" w:themeColor="accent3" w:themeTint="FE"/>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A5AB81" w:themeColor="accent3" w:themeTint="FE" w:themeShade="95"/>
        <w:sz w:val="22"/>
      </w:rPr>
      <w:tblPr/>
      <w:tcPr>
        <w:tcBorders>
          <w:top w:val="none" w:sz="0" w:space="0" w:color="000000"/>
          <w:left w:val="none" w:sz="0" w:space="0" w:color="000000"/>
          <w:bottom w:val="none" w:sz="0" w:space="0" w:color="000000"/>
          <w:right w:val="single" w:sz="4" w:space="0" w:color="A5AB81" w:themeColor="accent3" w:themeTint="FE"/>
        </w:tcBorders>
        <w:shd w:val="clear" w:color="FFFFFF" w:fill="auto"/>
      </w:tcPr>
    </w:tblStylePr>
    <w:tblStylePr w:type="lastCol">
      <w:rPr>
        <w:rFonts w:ascii="Arial" w:hAnsi="Arial"/>
        <w:i/>
        <w:color w:val="A5AB81" w:themeColor="accent3" w:themeTint="FE" w:themeShade="95"/>
        <w:sz w:val="22"/>
      </w:rPr>
      <w:tblPr/>
      <w:tcPr>
        <w:tcBorders>
          <w:top w:val="none" w:sz="0" w:space="0" w:color="000000"/>
          <w:left w:val="single" w:sz="4" w:space="0" w:color="A5AB81" w:themeColor="accent3" w:themeTint="FE"/>
          <w:bottom w:val="none" w:sz="0" w:space="0" w:color="000000"/>
          <w:right w:val="none" w:sz="0" w:space="0" w:color="000000"/>
        </w:tcBorders>
        <w:shd w:val="clear" w:color="FFFFFF" w:fill="auto"/>
      </w:tcPr>
    </w:tblStylePr>
    <w:tblStylePr w:type="band1Vert">
      <w:tblPr/>
      <w:tcPr>
        <w:shd w:val="clear" w:color="ECEDE5" w:themeColor="accent3" w:themeTint="34" w:fill="ECEDE5" w:themeFill="accent3" w:themeFillTint="34"/>
      </w:tcPr>
    </w:tblStylePr>
    <w:tblStylePr w:type="band1Horz">
      <w:rPr>
        <w:rFonts w:ascii="Arial" w:hAnsi="Arial"/>
        <w:color w:val="A5AB81" w:themeColor="accent3" w:themeTint="FE" w:themeShade="95"/>
        <w:sz w:val="22"/>
      </w:rPr>
      <w:tblPr/>
      <w:tcPr>
        <w:shd w:val="clear" w:color="ECEDE5" w:themeColor="accent3" w:themeTint="34" w:fill="ECEDE5" w:themeFill="accent3" w:themeFillTint="34"/>
      </w:tcPr>
    </w:tblStylePr>
    <w:tblStylePr w:type="band2Horz">
      <w:rPr>
        <w:rFonts w:ascii="Arial" w:hAnsi="Arial"/>
        <w:color w:val="A5AB81"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E7D09C" w:themeColor="accent4" w:themeTint="9A"/>
        <w:right w:val="single" w:sz="4" w:space="0" w:color="E7D09C" w:themeColor="accent4" w:themeTint="9A"/>
        <w:insideH w:val="single" w:sz="4" w:space="0" w:color="E7D09C" w:themeColor="accent4" w:themeTint="9A"/>
        <w:insideV w:val="single" w:sz="4" w:space="0" w:color="E7D09C" w:themeColor="accent4" w:themeTint="9A"/>
      </w:tblBorders>
    </w:tblPr>
    <w:tblStylePr w:type="firstRow">
      <w:rPr>
        <w:rFonts w:ascii="Arial" w:hAnsi="Arial"/>
        <w:b/>
        <w:color w:val="E7D09C" w:themeColor="accent4" w:themeTint="9A" w:themeShade="95"/>
        <w:sz w:val="22"/>
      </w:rPr>
      <w:tblPr/>
      <w:tcPr>
        <w:tcBorders>
          <w:top w:val="none" w:sz="0" w:space="0" w:color="000000"/>
          <w:left w:val="none" w:sz="0" w:space="0" w:color="000000"/>
          <w:bottom w:val="single" w:sz="4" w:space="0" w:color="E7D09C" w:themeColor="accent4" w:themeTint="9A"/>
          <w:right w:val="none" w:sz="0" w:space="0" w:color="000000"/>
        </w:tcBorders>
        <w:shd w:val="clear" w:color="FFFFFF" w:themeColor="light1" w:fill="FFFFFF" w:themeFill="light1"/>
      </w:tcPr>
    </w:tblStylePr>
    <w:tblStylePr w:type="lastRow">
      <w:rPr>
        <w:rFonts w:ascii="Arial" w:hAnsi="Arial"/>
        <w:b/>
        <w:color w:val="E7D09C" w:themeColor="accent4" w:themeTint="9A" w:themeShade="95"/>
        <w:sz w:val="22"/>
      </w:rPr>
      <w:tblPr/>
      <w:tcPr>
        <w:tcBorders>
          <w:top w:val="single" w:sz="4" w:space="0" w:color="E7D09C" w:themeColor="accent4"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E7D09C" w:themeColor="accent4" w:themeTint="9A" w:themeShade="95"/>
        <w:sz w:val="22"/>
      </w:rPr>
      <w:tblPr/>
      <w:tcPr>
        <w:tcBorders>
          <w:top w:val="none" w:sz="0" w:space="0" w:color="000000"/>
          <w:left w:val="none" w:sz="0" w:space="0" w:color="000000"/>
          <w:bottom w:val="none" w:sz="0" w:space="0" w:color="000000"/>
          <w:right w:val="single" w:sz="4" w:space="0" w:color="E7D09C" w:themeColor="accent4" w:themeTint="9A"/>
        </w:tcBorders>
        <w:shd w:val="clear" w:color="FFFFFF" w:fill="auto"/>
      </w:tcPr>
    </w:tblStylePr>
    <w:tblStylePr w:type="lastCol">
      <w:rPr>
        <w:rFonts w:ascii="Arial" w:hAnsi="Arial"/>
        <w:i/>
        <w:color w:val="E7D09C" w:themeColor="accent4" w:themeTint="9A" w:themeShade="95"/>
        <w:sz w:val="22"/>
      </w:rPr>
      <w:tblPr/>
      <w:tcPr>
        <w:tcBorders>
          <w:top w:val="none" w:sz="0" w:space="0" w:color="000000"/>
          <w:left w:val="single" w:sz="4" w:space="0" w:color="E7D09C" w:themeColor="accent4" w:themeTint="9A"/>
          <w:bottom w:val="none" w:sz="0" w:space="0" w:color="000000"/>
          <w:right w:val="none" w:sz="0" w:space="0" w:color="000000"/>
        </w:tcBorders>
        <w:shd w:val="clear" w:color="FFFFFF" w:fill="auto"/>
      </w:tcPr>
    </w:tblStylePr>
    <w:tblStylePr w:type="band1Vert">
      <w:tblPr/>
      <w:tcPr>
        <w:shd w:val="clear" w:color="F7EFDD" w:themeColor="accent4" w:themeTint="34" w:fill="F7EFDD" w:themeFill="accent4" w:themeFillTint="34"/>
      </w:tcPr>
    </w:tblStylePr>
    <w:tblStylePr w:type="band1Horz">
      <w:rPr>
        <w:rFonts w:ascii="Arial" w:hAnsi="Arial"/>
        <w:color w:val="E7D09C" w:themeColor="accent4" w:themeTint="9A" w:themeShade="95"/>
        <w:sz w:val="22"/>
      </w:rPr>
      <w:tblPr/>
      <w:tcPr>
        <w:shd w:val="clear" w:color="F7EFDD" w:themeColor="accent4" w:themeTint="34" w:fill="F7EFDD" w:themeFill="accent4" w:themeFillTint="34"/>
      </w:tcPr>
    </w:tblStylePr>
    <w:tblStylePr w:type="band2Horz">
      <w:rPr>
        <w:rFonts w:ascii="Arial" w:hAnsi="Arial"/>
        <w:color w:val="E7D09C"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B4CDC7" w:themeColor="accent5" w:themeTint="90"/>
        <w:right w:val="single" w:sz="4" w:space="0" w:color="B4CDC7" w:themeColor="accent5" w:themeTint="90"/>
        <w:insideH w:val="single" w:sz="4" w:space="0" w:color="B4CDC7" w:themeColor="accent5" w:themeTint="90"/>
        <w:insideV w:val="single" w:sz="4" w:space="0" w:color="B4CDC7" w:themeColor="accent5" w:themeTint="90"/>
      </w:tblBorders>
    </w:tblPr>
    <w:tblStylePr w:type="firstRow">
      <w:rPr>
        <w:rFonts w:ascii="Arial" w:hAnsi="Arial"/>
        <w:b/>
        <w:color w:val="43655D" w:themeColor="accent5" w:themeShade="95"/>
        <w:sz w:val="22"/>
      </w:rPr>
      <w:tblPr/>
      <w:tcPr>
        <w:tcBorders>
          <w:top w:val="none" w:sz="0" w:space="0" w:color="000000"/>
          <w:left w:val="none" w:sz="0" w:space="0" w:color="000000"/>
          <w:bottom w:val="single" w:sz="4" w:space="0" w:color="B4CDC7" w:themeColor="accent5" w:themeTint="90"/>
          <w:right w:val="none" w:sz="0" w:space="0" w:color="000000"/>
        </w:tcBorders>
        <w:shd w:val="clear" w:color="FFFFFF" w:themeColor="light1" w:fill="FFFFFF" w:themeFill="light1"/>
      </w:tcPr>
    </w:tblStylePr>
    <w:tblStylePr w:type="lastRow">
      <w:rPr>
        <w:rFonts w:ascii="Arial" w:hAnsi="Arial"/>
        <w:b/>
        <w:color w:val="43655D" w:themeColor="accent5" w:themeShade="95"/>
        <w:sz w:val="22"/>
      </w:rPr>
      <w:tblPr/>
      <w:tcPr>
        <w:tcBorders>
          <w:top w:val="single" w:sz="4" w:space="0" w:color="B4CDC7" w:themeColor="accent5" w:themeTint="9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43655D" w:themeColor="accent5" w:themeShade="95"/>
        <w:sz w:val="22"/>
      </w:rPr>
      <w:tblPr/>
      <w:tcPr>
        <w:tcBorders>
          <w:top w:val="none" w:sz="0" w:space="0" w:color="000000"/>
          <w:left w:val="none" w:sz="0" w:space="0" w:color="000000"/>
          <w:bottom w:val="none" w:sz="0" w:space="0" w:color="000000"/>
          <w:right w:val="single" w:sz="4" w:space="0" w:color="B4CDC7" w:themeColor="accent5" w:themeTint="90"/>
        </w:tcBorders>
        <w:shd w:val="clear" w:color="FFFFFF" w:fill="auto"/>
      </w:tcPr>
    </w:tblStylePr>
    <w:tblStylePr w:type="lastCol">
      <w:rPr>
        <w:rFonts w:ascii="Arial" w:hAnsi="Arial"/>
        <w:i/>
        <w:color w:val="43655D" w:themeColor="accent5" w:themeShade="95"/>
        <w:sz w:val="22"/>
      </w:rPr>
      <w:tblPr/>
      <w:tcPr>
        <w:tcBorders>
          <w:top w:val="none" w:sz="0" w:space="0" w:color="000000"/>
          <w:left w:val="single" w:sz="4" w:space="0" w:color="B4CDC7" w:themeColor="accent5" w:themeTint="90"/>
          <w:bottom w:val="none" w:sz="0" w:space="0" w:color="000000"/>
          <w:right w:val="none" w:sz="0" w:space="0" w:color="000000"/>
        </w:tcBorders>
        <w:shd w:val="clear" w:color="FFFFFF" w:fill="auto"/>
      </w:tcPr>
    </w:tblStylePr>
    <w:tblStylePr w:type="band1Vert">
      <w:tblPr/>
      <w:tcPr>
        <w:shd w:val="clear" w:color="E4EDEA" w:themeColor="accent5" w:themeTint="34" w:fill="E4EDEA" w:themeFill="accent5" w:themeFillTint="34"/>
      </w:tcPr>
    </w:tblStylePr>
    <w:tblStylePr w:type="band1Horz">
      <w:rPr>
        <w:rFonts w:ascii="Arial" w:hAnsi="Arial"/>
        <w:color w:val="43655D" w:themeColor="accent5" w:themeShade="95"/>
        <w:sz w:val="22"/>
      </w:rPr>
      <w:tblPr/>
      <w:tcPr>
        <w:shd w:val="clear" w:color="E4EDEA" w:themeColor="accent5" w:themeTint="34" w:fill="E4EDEA" w:themeFill="accent5" w:themeFillTint="34"/>
      </w:tcPr>
    </w:tblStylePr>
    <w:tblStylePr w:type="band2Horz">
      <w:rPr>
        <w:rFonts w:ascii="Arial" w:hAnsi="Arial"/>
        <w:color w:val="43655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C3BEBE" w:themeColor="accent6" w:themeTint="90"/>
        <w:right w:val="single" w:sz="4" w:space="0" w:color="C3BEBE" w:themeColor="accent6" w:themeTint="90"/>
        <w:insideH w:val="single" w:sz="4" w:space="0" w:color="C3BEBE" w:themeColor="accent6" w:themeTint="90"/>
        <w:insideV w:val="single" w:sz="4" w:space="0" w:color="C3BEBE" w:themeColor="accent6" w:themeTint="90"/>
      </w:tblBorders>
    </w:tblPr>
    <w:tblStylePr w:type="firstRow">
      <w:rPr>
        <w:rFonts w:ascii="Arial" w:hAnsi="Arial"/>
        <w:b/>
        <w:color w:val="585151" w:themeColor="accent6" w:themeShade="95"/>
        <w:sz w:val="22"/>
      </w:rPr>
      <w:tblPr/>
      <w:tcPr>
        <w:tcBorders>
          <w:top w:val="none" w:sz="0" w:space="0" w:color="000000"/>
          <w:left w:val="none" w:sz="0" w:space="0" w:color="000000"/>
          <w:bottom w:val="single" w:sz="4" w:space="0" w:color="C3BEBE" w:themeColor="accent6" w:themeTint="90"/>
          <w:right w:val="none" w:sz="0" w:space="0" w:color="000000"/>
        </w:tcBorders>
        <w:shd w:val="clear" w:color="FFFFFF" w:themeColor="light1" w:fill="FFFFFF" w:themeFill="light1"/>
      </w:tcPr>
    </w:tblStylePr>
    <w:tblStylePr w:type="lastRow">
      <w:rPr>
        <w:rFonts w:ascii="Arial" w:hAnsi="Arial"/>
        <w:b/>
        <w:color w:val="585151" w:themeColor="accent6" w:themeShade="95"/>
        <w:sz w:val="22"/>
      </w:rPr>
      <w:tblPr/>
      <w:tcPr>
        <w:tcBorders>
          <w:top w:val="single" w:sz="4" w:space="0" w:color="C3BEBE" w:themeColor="accent6" w:themeTint="9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585151" w:themeColor="accent6" w:themeShade="95"/>
        <w:sz w:val="22"/>
      </w:rPr>
      <w:tblPr/>
      <w:tcPr>
        <w:tcBorders>
          <w:top w:val="none" w:sz="0" w:space="0" w:color="000000"/>
          <w:left w:val="none" w:sz="0" w:space="0" w:color="000000"/>
          <w:bottom w:val="none" w:sz="0" w:space="0" w:color="000000"/>
          <w:right w:val="single" w:sz="4" w:space="0" w:color="C3BEBE" w:themeColor="accent6" w:themeTint="90"/>
        </w:tcBorders>
        <w:shd w:val="clear" w:color="FFFFFF" w:fill="auto"/>
      </w:tcPr>
    </w:tblStylePr>
    <w:tblStylePr w:type="lastCol">
      <w:rPr>
        <w:rFonts w:ascii="Arial" w:hAnsi="Arial"/>
        <w:i/>
        <w:color w:val="585151" w:themeColor="accent6" w:themeShade="95"/>
        <w:sz w:val="22"/>
      </w:rPr>
      <w:tblPr/>
      <w:tcPr>
        <w:tcBorders>
          <w:top w:val="none" w:sz="0" w:space="0" w:color="000000"/>
          <w:left w:val="single" w:sz="4" w:space="0" w:color="C3BEBE" w:themeColor="accent6" w:themeTint="90"/>
          <w:bottom w:val="none" w:sz="0" w:space="0" w:color="000000"/>
          <w:right w:val="none" w:sz="0" w:space="0" w:color="000000"/>
        </w:tcBorders>
        <w:shd w:val="clear" w:color="FFFFFF" w:fill="auto"/>
      </w:tcPr>
    </w:tblStylePr>
    <w:tblStylePr w:type="band1Vert">
      <w:tblPr/>
      <w:tcPr>
        <w:shd w:val="clear" w:color="E9E7E7" w:themeColor="accent6" w:themeTint="34" w:fill="E9E7E7" w:themeFill="accent6" w:themeFillTint="34"/>
      </w:tcPr>
    </w:tblStylePr>
    <w:tblStylePr w:type="band1Horz">
      <w:rPr>
        <w:rFonts w:ascii="Arial" w:hAnsi="Arial"/>
        <w:color w:val="585151" w:themeColor="accent6" w:themeShade="95"/>
        <w:sz w:val="22"/>
      </w:rPr>
      <w:tblPr/>
      <w:tcPr>
        <w:shd w:val="clear" w:color="E9E7E7" w:themeColor="accent6" w:themeTint="34" w:fill="E9E7E7" w:themeFill="accent6" w:themeFillTint="34"/>
      </w:tcPr>
    </w:tblStylePr>
    <w:tblStylePr w:type="band2Horz">
      <w:rPr>
        <w:rFonts w:ascii="Arial" w:hAnsi="Arial"/>
        <w:color w:val="585151" w:themeColor="accent6" w:themeShade="95"/>
        <w:sz w:val="22"/>
      </w:rPr>
    </w:tblStylePr>
  </w:style>
  <w:style w:type="table" w:styleId="13">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4B6D2" w:themeColor="accent1"/>
          <w:right w:val="none" w:sz="4" w:space="0" w:color="000000"/>
        </w:tcBorders>
      </w:tcPr>
    </w:tblStylePr>
    <w:tblStylePr w:type="lastRow">
      <w:rPr>
        <w:b/>
        <w:color w:val="404040"/>
      </w:rPr>
      <w:tblPr/>
      <w:tcPr>
        <w:tcBorders>
          <w:top w:val="single" w:sz="4" w:space="0" w:color="94B6D2"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4ECF3" w:themeColor="accent1" w:themeTint="40" w:fill="E4ECF3" w:themeFill="accent1" w:themeFillTint="40"/>
      </w:tcPr>
    </w:tblStylePr>
    <w:tblStylePr w:type="band1Horz">
      <w:tblPr/>
      <w:tcPr>
        <w:shd w:val="clear" w:color="E4ECF3" w:themeColor="accent1" w:themeTint="40" w:fill="E4ECF3"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DD8047" w:themeColor="accent2"/>
          <w:right w:val="none" w:sz="4" w:space="0" w:color="000000"/>
        </w:tcBorders>
      </w:tcPr>
    </w:tblStylePr>
    <w:tblStylePr w:type="lastRow">
      <w:rPr>
        <w:b/>
        <w:color w:val="404040"/>
      </w:rPr>
      <w:tblPr/>
      <w:tcPr>
        <w:tcBorders>
          <w:top w:val="single" w:sz="4" w:space="0" w:color="DD8047"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6DED0" w:themeColor="accent2" w:themeTint="40" w:fill="F6DED0" w:themeFill="accent2" w:themeFillTint="40"/>
      </w:tcPr>
    </w:tblStylePr>
    <w:tblStylePr w:type="band1Horz">
      <w:tblPr/>
      <w:tcPr>
        <w:shd w:val="clear" w:color="F6DED0" w:themeColor="accent2" w:themeTint="40" w:fill="F6DED0"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B81" w:themeColor="accent3"/>
          <w:right w:val="none" w:sz="4" w:space="0" w:color="000000"/>
        </w:tcBorders>
      </w:tcPr>
    </w:tblStylePr>
    <w:tblStylePr w:type="lastRow">
      <w:rPr>
        <w:b/>
        <w:color w:val="404040"/>
      </w:rPr>
      <w:tblPr/>
      <w:tcPr>
        <w:tcBorders>
          <w:top w:val="single" w:sz="4" w:space="0" w:color="A5AB81"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9DF" w:themeColor="accent3" w:themeTint="40" w:fill="E8E9DF" w:themeFill="accent3" w:themeFillTint="40"/>
      </w:tcPr>
    </w:tblStylePr>
    <w:tblStylePr w:type="band1Horz">
      <w:tblPr/>
      <w:tcPr>
        <w:shd w:val="clear" w:color="E8E9DF" w:themeColor="accent3" w:themeTint="40" w:fill="E8E9DF"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D8B25C" w:themeColor="accent4"/>
          <w:right w:val="none" w:sz="4" w:space="0" w:color="000000"/>
        </w:tcBorders>
      </w:tcPr>
    </w:tblStylePr>
    <w:tblStylePr w:type="lastRow">
      <w:rPr>
        <w:b/>
        <w:color w:val="404040"/>
      </w:rPr>
      <w:tblPr/>
      <w:tcPr>
        <w:tcBorders>
          <w:top w:val="single" w:sz="4" w:space="0" w:color="D8B25C"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5EBD5" w:themeColor="accent4" w:themeTint="40" w:fill="F5EBD5" w:themeFill="accent4" w:themeFillTint="40"/>
      </w:tcPr>
    </w:tblStylePr>
    <w:tblStylePr w:type="band1Horz">
      <w:tblPr/>
      <w:tcPr>
        <w:shd w:val="clear" w:color="F5EBD5" w:themeColor="accent4" w:themeTint="40" w:fill="F5EBD5"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BA79D" w:themeColor="accent5"/>
          <w:right w:val="none" w:sz="4" w:space="0" w:color="000000"/>
        </w:tcBorders>
      </w:tcPr>
    </w:tblStylePr>
    <w:tblStylePr w:type="lastRow">
      <w:rPr>
        <w:b/>
        <w:color w:val="404040"/>
      </w:rPr>
      <w:tblPr/>
      <w:tcPr>
        <w:tcBorders>
          <w:top w:val="single" w:sz="4" w:space="0" w:color="7BA79D"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DE9E6" w:themeColor="accent5" w:themeTint="40" w:fill="DDE9E6" w:themeFill="accent5" w:themeFillTint="40"/>
      </w:tcPr>
    </w:tblStylePr>
    <w:tblStylePr w:type="band1Horz">
      <w:tblPr/>
      <w:tcPr>
        <w:shd w:val="clear" w:color="DDE9E6" w:themeColor="accent5" w:themeTint="40" w:fill="DDE9E6"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68C8C" w:themeColor="accent6"/>
          <w:right w:val="none" w:sz="4" w:space="0" w:color="000000"/>
        </w:tcBorders>
      </w:tcPr>
    </w:tblStylePr>
    <w:tblStylePr w:type="lastRow">
      <w:rPr>
        <w:b/>
        <w:color w:val="404040"/>
      </w:rPr>
      <w:tblPr/>
      <w:tcPr>
        <w:tcBorders>
          <w:top w:val="single" w:sz="4" w:space="0" w:color="968C8C"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4E2E2" w:themeColor="accent6" w:themeTint="40" w:fill="E4E2E2" w:themeFill="accent6" w:themeFillTint="40"/>
      </w:tcPr>
    </w:tblStylePr>
    <w:tblStylePr w:type="band1Horz">
      <w:tblPr/>
      <w:tcPr>
        <w:shd w:val="clear" w:color="E4E2E2" w:themeColor="accent6" w:themeTint="40" w:fill="E4E2E2" w:themeFill="accent6" w:themeFillTint="40"/>
      </w:tcPr>
    </w:tblStylePr>
  </w:style>
  <w:style w:type="table" w:styleId="22">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C2D5E5" w:themeColor="accent1" w:themeTint="90"/>
        <w:bottom w:val="single" w:sz="4" w:space="0" w:color="C2D5E5" w:themeColor="accent1" w:themeTint="90"/>
        <w:insideH w:val="single" w:sz="4" w:space="0" w:color="C2D5E5" w:themeColor="accent1" w:themeTint="90"/>
      </w:tblBorders>
    </w:tblPr>
    <w:tblStylePr w:type="firstRow">
      <w:rPr>
        <w:rFonts w:ascii="Arial" w:hAnsi="Arial"/>
        <w:b/>
        <w:color w:val="404040"/>
        <w:sz w:val="22"/>
      </w:rPr>
      <w:tblPr/>
      <w:tcPr>
        <w:tcBorders>
          <w:top w:val="single" w:sz="4" w:space="0" w:color="C2D5E5" w:themeColor="accent1" w:themeTint="90"/>
          <w:left w:val="none" w:sz="4" w:space="0" w:color="000000"/>
          <w:bottom w:val="single" w:sz="4" w:space="0" w:color="C2D5E5" w:themeColor="accent1" w:themeTint="90"/>
          <w:right w:val="none" w:sz="4" w:space="0" w:color="000000"/>
        </w:tcBorders>
      </w:tcPr>
    </w:tblStylePr>
    <w:tblStylePr w:type="lastRow">
      <w:rPr>
        <w:rFonts w:ascii="Arial" w:hAnsi="Arial"/>
        <w:b/>
        <w:color w:val="404040"/>
        <w:sz w:val="22"/>
      </w:rPr>
      <w:tblPr/>
      <w:tcPr>
        <w:tcBorders>
          <w:top w:val="single" w:sz="4" w:space="0" w:color="C2D5E5" w:themeColor="accent1" w:themeTint="90"/>
          <w:left w:val="none" w:sz="4" w:space="0" w:color="000000"/>
          <w:bottom w:val="single" w:sz="4" w:space="0" w:color="C2D5E5"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4ECF3" w:themeColor="accent1" w:themeTint="40" w:fill="E4ECF3" w:themeFill="accent1" w:themeFillTint="40"/>
      </w:tcPr>
    </w:tblStylePr>
    <w:tblStylePr w:type="band1Horz">
      <w:rPr>
        <w:rFonts w:ascii="Arial" w:hAnsi="Arial"/>
        <w:color w:val="404040"/>
        <w:sz w:val="22"/>
      </w:rPr>
      <w:tblPr/>
      <w:tcPr>
        <w:shd w:val="clear" w:color="E4ECF3" w:themeColor="accent1" w:themeTint="40" w:fill="E4ECF3"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EBB696" w:themeColor="accent2" w:themeTint="90"/>
        <w:bottom w:val="single" w:sz="4" w:space="0" w:color="EBB696" w:themeColor="accent2" w:themeTint="90"/>
        <w:insideH w:val="single" w:sz="4" w:space="0" w:color="EBB696" w:themeColor="accent2" w:themeTint="90"/>
      </w:tblBorders>
    </w:tblPr>
    <w:tblStylePr w:type="firstRow">
      <w:rPr>
        <w:rFonts w:ascii="Arial" w:hAnsi="Arial"/>
        <w:b/>
        <w:color w:val="404040"/>
        <w:sz w:val="22"/>
      </w:rPr>
      <w:tblPr/>
      <w:tcPr>
        <w:tcBorders>
          <w:top w:val="single" w:sz="4" w:space="0" w:color="EBB696" w:themeColor="accent2" w:themeTint="90"/>
          <w:left w:val="none" w:sz="4" w:space="0" w:color="000000"/>
          <w:bottom w:val="single" w:sz="4" w:space="0" w:color="EBB696" w:themeColor="accent2" w:themeTint="90"/>
          <w:right w:val="none" w:sz="4" w:space="0" w:color="000000"/>
        </w:tcBorders>
      </w:tcPr>
    </w:tblStylePr>
    <w:tblStylePr w:type="lastRow">
      <w:rPr>
        <w:rFonts w:ascii="Arial" w:hAnsi="Arial"/>
        <w:b/>
        <w:color w:val="404040"/>
        <w:sz w:val="22"/>
      </w:rPr>
      <w:tblPr/>
      <w:tcPr>
        <w:tcBorders>
          <w:top w:val="single" w:sz="4" w:space="0" w:color="EBB696" w:themeColor="accent2" w:themeTint="90"/>
          <w:left w:val="none" w:sz="4" w:space="0" w:color="000000"/>
          <w:bottom w:val="single" w:sz="4" w:space="0" w:color="EBB696"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6DED0" w:themeColor="accent2" w:themeTint="40" w:fill="F6DED0" w:themeFill="accent2" w:themeFillTint="40"/>
      </w:tcPr>
    </w:tblStylePr>
    <w:tblStylePr w:type="band1Horz">
      <w:rPr>
        <w:rFonts w:ascii="Arial" w:hAnsi="Arial"/>
        <w:color w:val="404040"/>
        <w:sz w:val="22"/>
      </w:rPr>
      <w:tblPr/>
      <w:tcPr>
        <w:shd w:val="clear" w:color="F6DED0" w:themeColor="accent2" w:themeTint="40" w:fill="F6DED0"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FB7" w:themeColor="accent3" w:themeTint="90"/>
        <w:bottom w:val="single" w:sz="4" w:space="0" w:color="CCCFB7" w:themeColor="accent3" w:themeTint="90"/>
        <w:insideH w:val="single" w:sz="4" w:space="0" w:color="CCCFB7" w:themeColor="accent3" w:themeTint="90"/>
      </w:tblBorders>
    </w:tblPr>
    <w:tblStylePr w:type="firstRow">
      <w:rPr>
        <w:rFonts w:ascii="Arial" w:hAnsi="Arial"/>
        <w:b/>
        <w:color w:val="404040"/>
        <w:sz w:val="22"/>
      </w:rPr>
      <w:tblPr/>
      <w:tcPr>
        <w:tcBorders>
          <w:top w:val="single" w:sz="4" w:space="0" w:color="CCCFB7" w:themeColor="accent3" w:themeTint="90"/>
          <w:left w:val="none" w:sz="4" w:space="0" w:color="000000"/>
          <w:bottom w:val="single" w:sz="4" w:space="0" w:color="CCCFB7" w:themeColor="accent3" w:themeTint="90"/>
          <w:right w:val="none" w:sz="4" w:space="0" w:color="000000"/>
        </w:tcBorders>
      </w:tcPr>
    </w:tblStylePr>
    <w:tblStylePr w:type="lastRow">
      <w:rPr>
        <w:rFonts w:ascii="Arial" w:hAnsi="Arial"/>
        <w:b/>
        <w:color w:val="404040"/>
        <w:sz w:val="22"/>
      </w:rPr>
      <w:tblPr/>
      <w:tcPr>
        <w:tcBorders>
          <w:top w:val="single" w:sz="4" w:space="0" w:color="CCCFB7" w:themeColor="accent3" w:themeTint="90"/>
          <w:left w:val="none" w:sz="4" w:space="0" w:color="000000"/>
          <w:bottom w:val="single" w:sz="4" w:space="0" w:color="CCCFB7"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9DF" w:themeColor="accent3" w:themeTint="40" w:fill="E8E9DF" w:themeFill="accent3" w:themeFillTint="40"/>
      </w:tcPr>
    </w:tblStylePr>
    <w:tblStylePr w:type="band1Horz">
      <w:rPr>
        <w:rFonts w:ascii="Arial" w:hAnsi="Arial"/>
        <w:color w:val="404040"/>
        <w:sz w:val="22"/>
      </w:rPr>
      <w:tblPr/>
      <w:tcPr>
        <w:shd w:val="clear" w:color="E8E9DF" w:themeColor="accent3" w:themeTint="40" w:fill="E8E9DF"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E9D3A2" w:themeColor="accent4" w:themeTint="90"/>
        <w:bottom w:val="single" w:sz="4" w:space="0" w:color="E9D3A2" w:themeColor="accent4" w:themeTint="90"/>
        <w:insideH w:val="single" w:sz="4" w:space="0" w:color="E9D3A2" w:themeColor="accent4" w:themeTint="90"/>
      </w:tblBorders>
    </w:tblPr>
    <w:tblStylePr w:type="firstRow">
      <w:rPr>
        <w:rFonts w:ascii="Arial" w:hAnsi="Arial"/>
        <w:b/>
        <w:color w:val="404040"/>
        <w:sz w:val="22"/>
      </w:rPr>
      <w:tblPr/>
      <w:tcPr>
        <w:tcBorders>
          <w:top w:val="single" w:sz="4" w:space="0" w:color="E9D3A2" w:themeColor="accent4" w:themeTint="90"/>
          <w:left w:val="none" w:sz="4" w:space="0" w:color="000000"/>
          <w:bottom w:val="single" w:sz="4" w:space="0" w:color="E9D3A2" w:themeColor="accent4" w:themeTint="90"/>
          <w:right w:val="none" w:sz="4" w:space="0" w:color="000000"/>
        </w:tcBorders>
      </w:tcPr>
    </w:tblStylePr>
    <w:tblStylePr w:type="lastRow">
      <w:rPr>
        <w:rFonts w:ascii="Arial" w:hAnsi="Arial"/>
        <w:b/>
        <w:color w:val="404040"/>
        <w:sz w:val="22"/>
      </w:rPr>
      <w:tblPr/>
      <w:tcPr>
        <w:tcBorders>
          <w:top w:val="single" w:sz="4" w:space="0" w:color="E9D3A2" w:themeColor="accent4" w:themeTint="90"/>
          <w:left w:val="none" w:sz="4" w:space="0" w:color="000000"/>
          <w:bottom w:val="single" w:sz="4" w:space="0" w:color="E9D3A2"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5EBD5" w:themeColor="accent4" w:themeTint="40" w:fill="F5EBD5" w:themeFill="accent4" w:themeFillTint="40"/>
      </w:tcPr>
    </w:tblStylePr>
    <w:tblStylePr w:type="band1Horz">
      <w:rPr>
        <w:rFonts w:ascii="Arial" w:hAnsi="Arial"/>
        <w:color w:val="404040"/>
        <w:sz w:val="22"/>
      </w:rPr>
      <w:tblPr/>
      <w:tcPr>
        <w:shd w:val="clear" w:color="F5EBD5" w:themeColor="accent4" w:themeTint="40" w:fill="F5EBD5"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B4CDC7" w:themeColor="accent5" w:themeTint="90"/>
        <w:bottom w:val="single" w:sz="4" w:space="0" w:color="B4CDC7" w:themeColor="accent5" w:themeTint="90"/>
        <w:insideH w:val="single" w:sz="4" w:space="0" w:color="B4CDC7" w:themeColor="accent5" w:themeTint="90"/>
      </w:tblBorders>
    </w:tblPr>
    <w:tblStylePr w:type="firstRow">
      <w:rPr>
        <w:rFonts w:ascii="Arial" w:hAnsi="Arial"/>
        <w:b/>
        <w:color w:val="404040"/>
        <w:sz w:val="22"/>
      </w:rPr>
      <w:tblPr/>
      <w:tcPr>
        <w:tcBorders>
          <w:top w:val="single" w:sz="4" w:space="0" w:color="B4CDC7" w:themeColor="accent5" w:themeTint="90"/>
          <w:left w:val="none" w:sz="4" w:space="0" w:color="000000"/>
          <w:bottom w:val="single" w:sz="4" w:space="0" w:color="B4CDC7" w:themeColor="accent5" w:themeTint="90"/>
          <w:right w:val="none" w:sz="4" w:space="0" w:color="000000"/>
        </w:tcBorders>
      </w:tcPr>
    </w:tblStylePr>
    <w:tblStylePr w:type="lastRow">
      <w:rPr>
        <w:rFonts w:ascii="Arial" w:hAnsi="Arial"/>
        <w:b/>
        <w:color w:val="404040"/>
        <w:sz w:val="22"/>
      </w:rPr>
      <w:tblPr/>
      <w:tcPr>
        <w:tcBorders>
          <w:top w:val="single" w:sz="4" w:space="0" w:color="B4CDC7" w:themeColor="accent5" w:themeTint="90"/>
          <w:left w:val="none" w:sz="4" w:space="0" w:color="000000"/>
          <w:bottom w:val="single" w:sz="4" w:space="0" w:color="B4CDC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DE9E6" w:themeColor="accent5" w:themeTint="40" w:fill="DDE9E6" w:themeFill="accent5" w:themeFillTint="40"/>
      </w:tcPr>
    </w:tblStylePr>
    <w:tblStylePr w:type="band1Horz">
      <w:rPr>
        <w:rFonts w:ascii="Arial" w:hAnsi="Arial"/>
        <w:color w:val="404040"/>
        <w:sz w:val="22"/>
      </w:rPr>
      <w:tblPr/>
      <w:tcPr>
        <w:shd w:val="clear" w:color="DDE9E6" w:themeColor="accent5" w:themeTint="40" w:fill="DDE9E6"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C3BEBE" w:themeColor="accent6" w:themeTint="90"/>
        <w:bottom w:val="single" w:sz="4" w:space="0" w:color="C3BEBE" w:themeColor="accent6" w:themeTint="90"/>
        <w:insideH w:val="single" w:sz="4" w:space="0" w:color="C3BEBE" w:themeColor="accent6" w:themeTint="90"/>
      </w:tblBorders>
    </w:tblPr>
    <w:tblStylePr w:type="firstRow">
      <w:rPr>
        <w:rFonts w:ascii="Arial" w:hAnsi="Arial"/>
        <w:b/>
        <w:color w:val="404040"/>
        <w:sz w:val="22"/>
      </w:rPr>
      <w:tblPr/>
      <w:tcPr>
        <w:tcBorders>
          <w:top w:val="single" w:sz="4" w:space="0" w:color="C3BEBE" w:themeColor="accent6" w:themeTint="90"/>
          <w:left w:val="none" w:sz="4" w:space="0" w:color="000000"/>
          <w:bottom w:val="single" w:sz="4" w:space="0" w:color="C3BEBE" w:themeColor="accent6" w:themeTint="90"/>
          <w:right w:val="none" w:sz="4" w:space="0" w:color="000000"/>
        </w:tcBorders>
      </w:tcPr>
    </w:tblStylePr>
    <w:tblStylePr w:type="lastRow">
      <w:rPr>
        <w:rFonts w:ascii="Arial" w:hAnsi="Arial"/>
        <w:b/>
        <w:color w:val="404040"/>
        <w:sz w:val="22"/>
      </w:rPr>
      <w:tblPr/>
      <w:tcPr>
        <w:tcBorders>
          <w:top w:val="single" w:sz="4" w:space="0" w:color="C3BEBE" w:themeColor="accent6" w:themeTint="90"/>
          <w:left w:val="none" w:sz="4" w:space="0" w:color="000000"/>
          <w:bottom w:val="single" w:sz="4" w:space="0" w:color="C3BEBE"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4E2E2" w:themeColor="accent6" w:themeTint="40" w:fill="E4E2E2" w:themeFill="accent6" w:themeFillTint="40"/>
      </w:tcPr>
    </w:tblStylePr>
    <w:tblStylePr w:type="band1Horz">
      <w:rPr>
        <w:rFonts w:ascii="Arial" w:hAnsi="Arial"/>
        <w:color w:val="404040"/>
        <w:sz w:val="22"/>
      </w:rPr>
      <w:tblPr/>
      <w:tcPr>
        <w:shd w:val="clear" w:color="E4E2E2" w:themeColor="accent6" w:themeTint="40" w:fill="E4E2E2" w:themeFill="accent6" w:themeFillTint="40"/>
      </w:tcPr>
    </w:tblStylePr>
  </w:style>
  <w:style w:type="table" w:styleId="32">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94B6D2" w:themeColor="accent1"/>
        <w:left w:val="single" w:sz="4" w:space="0" w:color="94B6D2" w:themeColor="accent1"/>
        <w:bottom w:val="single" w:sz="4" w:space="0" w:color="94B6D2" w:themeColor="accent1"/>
        <w:right w:val="single" w:sz="4" w:space="0" w:color="94B6D2" w:themeColor="accent1"/>
      </w:tblBorders>
    </w:tblPr>
    <w:tblStylePr w:type="firstRow">
      <w:rPr>
        <w:rFonts w:ascii="Arial" w:hAnsi="Arial"/>
        <w:b/>
        <w:color w:val="FFFFFF"/>
        <w:sz w:val="22"/>
      </w:rPr>
      <w:tblPr/>
      <w:tcPr>
        <w:shd w:val="clear" w:color="94B6D2" w:themeColor="accent1" w:fill="94B6D2"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4B6D2" w:themeColor="accent1"/>
          <w:right w:val="single" w:sz="4" w:space="0" w:color="94B6D2" w:themeColor="accent1"/>
        </w:tcBorders>
      </w:tcPr>
    </w:tblStylePr>
    <w:tblStylePr w:type="band1Horz">
      <w:rPr>
        <w:rFonts w:ascii="Arial" w:hAnsi="Arial"/>
        <w:color w:val="404040"/>
        <w:sz w:val="22"/>
      </w:rPr>
      <w:tblPr/>
      <w:tcPr>
        <w:tcBorders>
          <w:top w:val="single" w:sz="4" w:space="0" w:color="94B6D2" w:themeColor="accent1"/>
          <w:bottom w:val="single" w:sz="4" w:space="0" w:color="94B6D2"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EAB391" w:themeColor="accent2" w:themeTint="97"/>
        <w:left w:val="single" w:sz="4" w:space="0" w:color="EAB391" w:themeColor="accent2" w:themeTint="97"/>
        <w:bottom w:val="single" w:sz="4" w:space="0" w:color="EAB391" w:themeColor="accent2" w:themeTint="97"/>
        <w:right w:val="single" w:sz="4" w:space="0" w:color="EAB391" w:themeColor="accent2" w:themeTint="97"/>
      </w:tblBorders>
    </w:tblPr>
    <w:tblStylePr w:type="firstRow">
      <w:rPr>
        <w:rFonts w:ascii="Arial" w:hAnsi="Arial"/>
        <w:b/>
        <w:color w:val="FFFFFF"/>
        <w:sz w:val="22"/>
      </w:rPr>
      <w:tblPr/>
      <w:tcPr>
        <w:shd w:val="clear" w:color="EAB391" w:themeColor="accent2" w:themeTint="97" w:fill="EAB391"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EAB391" w:themeColor="accent2" w:themeTint="97"/>
          <w:right w:val="single" w:sz="4" w:space="0" w:color="EAB391" w:themeColor="accent2" w:themeTint="97"/>
        </w:tcBorders>
      </w:tcPr>
    </w:tblStylePr>
    <w:tblStylePr w:type="band1Horz">
      <w:rPr>
        <w:rFonts w:ascii="Arial" w:hAnsi="Arial"/>
        <w:color w:val="404040"/>
        <w:sz w:val="22"/>
      </w:rPr>
      <w:tblPr/>
      <w:tcPr>
        <w:tcBorders>
          <w:top w:val="single" w:sz="4" w:space="0" w:color="EAB391" w:themeColor="accent2" w:themeTint="97"/>
          <w:bottom w:val="single" w:sz="4" w:space="0" w:color="EAB391"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DB3" w:themeColor="accent3" w:themeTint="98"/>
        <w:left w:val="single" w:sz="4" w:space="0" w:color="C9CDB3" w:themeColor="accent3" w:themeTint="98"/>
        <w:bottom w:val="single" w:sz="4" w:space="0" w:color="C9CDB3" w:themeColor="accent3" w:themeTint="98"/>
        <w:right w:val="single" w:sz="4" w:space="0" w:color="C9CDB3" w:themeColor="accent3" w:themeTint="98"/>
      </w:tblBorders>
    </w:tblPr>
    <w:tblStylePr w:type="firstRow">
      <w:rPr>
        <w:rFonts w:ascii="Arial" w:hAnsi="Arial"/>
        <w:b/>
        <w:color w:val="FFFFFF"/>
        <w:sz w:val="22"/>
      </w:rPr>
      <w:tblPr/>
      <w:tcPr>
        <w:shd w:val="clear" w:color="C9CDB3" w:themeColor="accent3" w:themeTint="98" w:fill="C9CDB3"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DB3" w:themeColor="accent3" w:themeTint="98"/>
          <w:right w:val="single" w:sz="4" w:space="0" w:color="C9CDB3" w:themeColor="accent3" w:themeTint="98"/>
        </w:tcBorders>
      </w:tcPr>
    </w:tblStylePr>
    <w:tblStylePr w:type="band1Horz">
      <w:rPr>
        <w:rFonts w:ascii="Arial" w:hAnsi="Arial"/>
        <w:color w:val="404040"/>
        <w:sz w:val="22"/>
      </w:rPr>
      <w:tblPr/>
      <w:tcPr>
        <w:tcBorders>
          <w:top w:val="single" w:sz="4" w:space="0" w:color="C9CDB3" w:themeColor="accent3" w:themeTint="98"/>
          <w:bottom w:val="single" w:sz="4" w:space="0" w:color="C9CDB3"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E7D09C" w:themeColor="accent4" w:themeTint="9A"/>
        <w:left w:val="single" w:sz="4" w:space="0" w:color="E7D09C" w:themeColor="accent4" w:themeTint="9A"/>
        <w:bottom w:val="single" w:sz="4" w:space="0" w:color="E7D09C" w:themeColor="accent4" w:themeTint="9A"/>
        <w:right w:val="single" w:sz="4" w:space="0" w:color="E7D09C" w:themeColor="accent4" w:themeTint="9A"/>
      </w:tblBorders>
    </w:tblPr>
    <w:tblStylePr w:type="firstRow">
      <w:rPr>
        <w:rFonts w:ascii="Arial" w:hAnsi="Arial"/>
        <w:b/>
        <w:color w:val="FFFFFF"/>
        <w:sz w:val="22"/>
      </w:rPr>
      <w:tblPr/>
      <w:tcPr>
        <w:shd w:val="clear" w:color="E7D09C" w:themeColor="accent4" w:themeTint="9A" w:fill="E7D09C"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E7D09C" w:themeColor="accent4" w:themeTint="9A"/>
          <w:right w:val="single" w:sz="4" w:space="0" w:color="E7D09C" w:themeColor="accent4" w:themeTint="9A"/>
        </w:tcBorders>
      </w:tcPr>
    </w:tblStylePr>
    <w:tblStylePr w:type="band1Horz">
      <w:rPr>
        <w:rFonts w:ascii="Arial" w:hAnsi="Arial"/>
        <w:color w:val="404040"/>
        <w:sz w:val="22"/>
      </w:rPr>
      <w:tblPr/>
      <w:tcPr>
        <w:tcBorders>
          <w:top w:val="single" w:sz="4" w:space="0" w:color="E7D09C" w:themeColor="accent4" w:themeTint="9A"/>
          <w:bottom w:val="single" w:sz="4" w:space="0" w:color="E7D09C"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AFC9C3" w:themeColor="accent5" w:themeTint="9A"/>
        <w:left w:val="single" w:sz="4" w:space="0" w:color="AFC9C3" w:themeColor="accent5" w:themeTint="9A"/>
        <w:bottom w:val="single" w:sz="4" w:space="0" w:color="AFC9C3" w:themeColor="accent5" w:themeTint="9A"/>
        <w:right w:val="single" w:sz="4" w:space="0" w:color="AFC9C3" w:themeColor="accent5" w:themeTint="9A"/>
      </w:tblBorders>
    </w:tblPr>
    <w:tblStylePr w:type="firstRow">
      <w:rPr>
        <w:rFonts w:ascii="Arial" w:hAnsi="Arial"/>
        <w:b/>
        <w:color w:val="FFFFFF"/>
        <w:sz w:val="22"/>
      </w:rPr>
      <w:tblPr/>
      <w:tcPr>
        <w:shd w:val="clear" w:color="AFC9C3" w:themeColor="accent5" w:themeTint="9A" w:fill="AFC9C3"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FC9C3" w:themeColor="accent5" w:themeTint="9A"/>
          <w:right w:val="single" w:sz="4" w:space="0" w:color="AFC9C3" w:themeColor="accent5" w:themeTint="9A"/>
        </w:tcBorders>
      </w:tcPr>
    </w:tblStylePr>
    <w:tblStylePr w:type="band1Horz">
      <w:rPr>
        <w:rFonts w:ascii="Arial" w:hAnsi="Arial"/>
        <w:color w:val="404040"/>
        <w:sz w:val="22"/>
      </w:rPr>
      <w:tblPr/>
      <w:tcPr>
        <w:tcBorders>
          <w:top w:val="single" w:sz="4" w:space="0" w:color="AFC9C3" w:themeColor="accent5" w:themeTint="9A"/>
          <w:bottom w:val="single" w:sz="4" w:space="0" w:color="AFC9C3"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C0BABA" w:themeColor="accent6" w:themeTint="98"/>
        <w:left w:val="single" w:sz="4" w:space="0" w:color="C0BABA" w:themeColor="accent6" w:themeTint="98"/>
        <w:bottom w:val="single" w:sz="4" w:space="0" w:color="C0BABA" w:themeColor="accent6" w:themeTint="98"/>
        <w:right w:val="single" w:sz="4" w:space="0" w:color="C0BABA" w:themeColor="accent6" w:themeTint="98"/>
      </w:tblBorders>
    </w:tblPr>
    <w:tblStylePr w:type="firstRow">
      <w:rPr>
        <w:rFonts w:ascii="Arial" w:hAnsi="Arial"/>
        <w:b/>
        <w:color w:val="FFFFFF"/>
        <w:sz w:val="22"/>
      </w:rPr>
      <w:tblPr/>
      <w:tcPr>
        <w:shd w:val="clear" w:color="C0BABA" w:themeColor="accent6" w:themeTint="98" w:fill="C0BABA"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0BABA" w:themeColor="accent6" w:themeTint="98"/>
          <w:right w:val="single" w:sz="4" w:space="0" w:color="C0BABA" w:themeColor="accent6" w:themeTint="98"/>
        </w:tcBorders>
      </w:tcPr>
    </w:tblStylePr>
    <w:tblStylePr w:type="band1Horz">
      <w:rPr>
        <w:rFonts w:ascii="Arial" w:hAnsi="Arial"/>
        <w:color w:val="404040"/>
        <w:sz w:val="22"/>
      </w:rPr>
      <w:tblPr/>
      <w:tcPr>
        <w:tcBorders>
          <w:top w:val="single" w:sz="4" w:space="0" w:color="C0BABA" w:themeColor="accent6" w:themeTint="98"/>
          <w:bottom w:val="single" w:sz="4" w:space="0" w:color="C0BABA" w:themeColor="accent6" w:themeTint="98"/>
        </w:tcBorders>
      </w:tcPr>
    </w:tblStylePr>
  </w:style>
  <w:style w:type="table" w:styleId="42">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C2D5E5" w:themeColor="accent1" w:themeTint="90"/>
        <w:left w:val="single" w:sz="4" w:space="0" w:color="C2D5E5" w:themeColor="accent1" w:themeTint="90"/>
        <w:bottom w:val="single" w:sz="4" w:space="0" w:color="C2D5E5" w:themeColor="accent1" w:themeTint="90"/>
        <w:right w:val="single" w:sz="4" w:space="0" w:color="C2D5E5" w:themeColor="accent1" w:themeTint="90"/>
        <w:insideH w:val="single" w:sz="4" w:space="0" w:color="C2D5E5" w:themeColor="accent1" w:themeTint="90"/>
      </w:tblBorders>
    </w:tblPr>
    <w:tblStylePr w:type="firstRow">
      <w:rPr>
        <w:rFonts w:ascii="Arial" w:hAnsi="Arial"/>
        <w:b/>
        <w:color w:val="FFFFFF"/>
        <w:sz w:val="22"/>
      </w:rPr>
      <w:tblPr/>
      <w:tcPr>
        <w:shd w:val="clear" w:color="94B6D2" w:themeColor="accent1" w:fill="94B6D2"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4ECF3" w:themeColor="accent1" w:themeTint="40" w:fill="E4ECF3" w:themeFill="accent1" w:themeFillTint="40"/>
      </w:tcPr>
    </w:tblStylePr>
    <w:tblStylePr w:type="band1Horz">
      <w:rPr>
        <w:rFonts w:ascii="Arial" w:hAnsi="Arial"/>
        <w:color w:val="404040"/>
        <w:sz w:val="22"/>
      </w:rPr>
      <w:tblPr/>
      <w:tcPr>
        <w:shd w:val="clear" w:color="E4ECF3" w:themeColor="accent1" w:themeTint="40" w:fill="E4ECF3"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EBB696" w:themeColor="accent2" w:themeTint="90"/>
        <w:left w:val="single" w:sz="4" w:space="0" w:color="EBB696" w:themeColor="accent2" w:themeTint="90"/>
        <w:bottom w:val="single" w:sz="4" w:space="0" w:color="EBB696" w:themeColor="accent2" w:themeTint="90"/>
        <w:right w:val="single" w:sz="4" w:space="0" w:color="EBB696" w:themeColor="accent2" w:themeTint="90"/>
        <w:insideH w:val="single" w:sz="4" w:space="0" w:color="EBB696" w:themeColor="accent2" w:themeTint="90"/>
      </w:tblBorders>
    </w:tblPr>
    <w:tblStylePr w:type="firstRow">
      <w:rPr>
        <w:rFonts w:ascii="Arial" w:hAnsi="Arial"/>
        <w:b/>
        <w:color w:val="FFFFFF"/>
        <w:sz w:val="22"/>
      </w:rPr>
      <w:tblPr/>
      <w:tcPr>
        <w:shd w:val="clear" w:color="DD8047" w:themeColor="accent2" w:fill="DD8047"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6DED0" w:themeColor="accent2" w:themeTint="40" w:fill="F6DED0" w:themeFill="accent2" w:themeFillTint="40"/>
      </w:tcPr>
    </w:tblStylePr>
    <w:tblStylePr w:type="band1Horz">
      <w:rPr>
        <w:rFonts w:ascii="Arial" w:hAnsi="Arial"/>
        <w:color w:val="404040"/>
        <w:sz w:val="22"/>
      </w:rPr>
      <w:tblPr/>
      <w:tcPr>
        <w:shd w:val="clear" w:color="F6DED0" w:themeColor="accent2" w:themeTint="40" w:fill="F6DED0"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FB7" w:themeColor="accent3" w:themeTint="90"/>
        <w:left w:val="single" w:sz="4" w:space="0" w:color="CCCFB7" w:themeColor="accent3" w:themeTint="90"/>
        <w:bottom w:val="single" w:sz="4" w:space="0" w:color="CCCFB7" w:themeColor="accent3" w:themeTint="90"/>
        <w:right w:val="single" w:sz="4" w:space="0" w:color="CCCFB7" w:themeColor="accent3" w:themeTint="90"/>
        <w:insideH w:val="single" w:sz="4" w:space="0" w:color="CCCFB7" w:themeColor="accent3" w:themeTint="90"/>
      </w:tblBorders>
    </w:tblPr>
    <w:tblStylePr w:type="firstRow">
      <w:rPr>
        <w:rFonts w:ascii="Arial" w:hAnsi="Arial"/>
        <w:b/>
        <w:color w:val="FFFFFF"/>
        <w:sz w:val="22"/>
      </w:rPr>
      <w:tblPr/>
      <w:tcPr>
        <w:shd w:val="clear" w:color="A5AB81" w:themeColor="accent3" w:fill="A5AB81"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9DF" w:themeColor="accent3" w:themeTint="40" w:fill="E8E9DF" w:themeFill="accent3" w:themeFillTint="40"/>
      </w:tcPr>
    </w:tblStylePr>
    <w:tblStylePr w:type="band1Horz">
      <w:rPr>
        <w:rFonts w:ascii="Arial" w:hAnsi="Arial"/>
        <w:color w:val="404040"/>
        <w:sz w:val="22"/>
      </w:rPr>
      <w:tblPr/>
      <w:tcPr>
        <w:shd w:val="clear" w:color="E8E9DF" w:themeColor="accent3" w:themeTint="40" w:fill="E8E9DF"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E9D3A2" w:themeColor="accent4" w:themeTint="90"/>
        <w:left w:val="single" w:sz="4" w:space="0" w:color="E9D3A2" w:themeColor="accent4" w:themeTint="90"/>
        <w:bottom w:val="single" w:sz="4" w:space="0" w:color="E9D3A2" w:themeColor="accent4" w:themeTint="90"/>
        <w:right w:val="single" w:sz="4" w:space="0" w:color="E9D3A2" w:themeColor="accent4" w:themeTint="90"/>
        <w:insideH w:val="single" w:sz="4" w:space="0" w:color="E9D3A2" w:themeColor="accent4" w:themeTint="90"/>
      </w:tblBorders>
    </w:tblPr>
    <w:tblStylePr w:type="firstRow">
      <w:rPr>
        <w:rFonts w:ascii="Arial" w:hAnsi="Arial"/>
        <w:b/>
        <w:color w:val="FFFFFF"/>
        <w:sz w:val="22"/>
      </w:rPr>
      <w:tblPr/>
      <w:tcPr>
        <w:shd w:val="clear" w:color="D8B25C" w:themeColor="accent4" w:fill="D8B25C"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5EBD5" w:themeColor="accent4" w:themeTint="40" w:fill="F5EBD5" w:themeFill="accent4" w:themeFillTint="40"/>
      </w:tcPr>
    </w:tblStylePr>
    <w:tblStylePr w:type="band1Horz">
      <w:rPr>
        <w:rFonts w:ascii="Arial" w:hAnsi="Arial"/>
        <w:color w:val="404040"/>
        <w:sz w:val="22"/>
      </w:rPr>
      <w:tblPr/>
      <w:tcPr>
        <w:shd w:val="clear" w:color="F5EBD5" w:themeColor="accent4" w:themeTint="40" w:fill="F5EBD5"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B4CDC7" w:themeColor="accent5" w:themeTint="90"/>
        <w:left w:val="single" w:sz="4" w:space="0" w:color="B4CDC7" w:themeColor="accent5" w:themeTint="90"/>
        <w:bottom w:val="single" w:sz="4" w:space="0" w:color="B4CDC7" w:themeColor="accent5" w:themeTint="90"/>
        <w:right w:val="single" w:sz="4" w:space="0" w:color="B4CDC7" w:themeColor="accent5" w:themeTint="90"/>
        <w:insideH w:val="single" w:sz="4" w:space="0" w:color="B4CDC7" w:themeColor="accent5" w:themeTint="90"/>
      </w:tblBorders>
    </w:tblPr>
    <w:tblStylePr w:type="firstRow">
      <w:rPr>
        <w:rFonts w:ascii="Arial" w:hAnsi="Arial"/>
        <w:b/>
        <w:color w:val="FFFFFF"/>
        <w:sz w:val="22"/>
      </w:rPr>
      <w:tblPr/>
      <w:tcPr>
        <w:shd w:val="clear" w:color="7BA79D" w:themeColor="accent5" w:fill="7BA79D"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9E6" w:themeColor="accent5" w:themeTint="40" w:fill="DDE9E6" w:themeFill="accent5" w:themeFillTint="40"/>
      </w:tcPr>
    </w:tblStylePr>
    <w:tblStylePr w:type="band1Horz">
      <w:rPr>
        <w:rFonts w:ascii="Arial" w:hAnsi="Arial"/>
        <w:color w:val="404040"/>
        <w:sz w:val="22"/>
      </w:rPr>
      <w:tblPr/>
      <w:tcPr>
        <w:shd w:val="clear" w:color="DDE9E6" w:themeColor="accent5" w:themeTint="40" w:fill="DDE9E6"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C3BEBE" w:themeColor="accent6" w:themeTint="90"/>
        <w:left w:val="single" w:sz="4" w:space="0" w:color="C3BEBE" w:themeColor="accent6" w:themeTint="90"/>
        <w:bottom w:val="single" w:sz="4" w:space="0" w:color="C3BEBE" w:themeColor="accent6" w:themeTint="90"/>
        <w:right w:val="single" w:sz="4" w:space="0" w:color="C3BEBE" w:themeColor="accent6" w:themeTint="90"/>
        <w:insideH w:val="single" w:sz="4" w:space="0" w:color="C3BEBE" w:themeColor="accent6" w:themeTint="90"/>
      </w:tblBorders>
    </w:tblPr>
    <w:tblStylePr w:type="firstRow">
      <w:rPr>
        <w:rFonts w:ascii="Arial" w:hAnsi="Arial"/>
        <w:b/>
        <w:color w:val="FFFFFF"/>
        <w:sz w:val="22"/>
      </w:rPr>
      <w:tblPr/>
      <w:tcPr>
        <w:shd w:val="clear" w:color="968C8C" w:themeColor="accent6" w:fill="968C8C"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4E2E2" w:themeColor="accent6" w:themeTint="40" w:fill="E4E2E2" w:themeFill="accent6" w:themeFillTint="40"/>
      </w:tcPr>
    </w:tblStylePr>
    <w:tblStylePr w:type="band1Horz">
      <w:rPr>
        <w:rFonts w:ascii="Arial" w:hAnsi="Arial"/>
        <w:color w:val="404040"/>
        <w:sz w:val="22"/>
      </w:rPr>
      <w:tblPr/>
      <w:tcPr>
        <w:shd w:val="clear" w:color="E4E2E2" w:themeColor="accent6" w:themeTint="40" w:fill="E4E2E2" w:themeFill="accent6" w:themeFillTint="40"/>
      </w:tcPr>
    </w:tblStylePr>
  </w:style>
  <w:style w:type="table" w:styleId="53">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94B6D2" w:themeColor="accent1"/>
        <w:left w:val="single" w:sz="32" w:space="0" w:color="94B6D2" w:themeColor="accent1"/>
        <w:bottom w:val="single" w:sz="32" w:space="0" w:color="94B6D2" w:themeColor="accent1"/>
        <w:right w:val="single" w:sz="32" w:space="0" w:color="94B6D2" w:themeColor="accent1"/>
      </w:tblBorders>
      <w:shd w:val="clear" w:color="94B6D2" w:themeColor="accent1" w:fill="94B6D2" w:themeFill="accent1"/>
    </w:tblPr>
    <w:tblStylePr w:type="firstRow">
      <w:rPr>
        <w:rFonts w:ascii="Arial" w:hAnsi="Arial"/>
        <w:b/>
        <w:color w:val="FFFFFF" w:themeColor="light1"/>
        <w:sz w:val="22"/>
      </w:rPr>
      <w:tblPr/>
      <w:tcPr>
        <w:tcBorders>
          <w:top w:val="single" w:sz="32" w:space="0" w:color="94B6D2" w:themeColor="accent1"/>
          <w:bottom w:val="single" w:sz="12" w:space="0" w:color="FFFFFF" w:themeColor="light1"/>
        </w:tcBorders>
        <w:shd w:val="clear" w:color="94B6D2" w:themeColor="accent1" w:fill="94B6D2"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4B6D2" w:themeColor="accent1"/>
          <w:right w:val="single" w:sz="4" w:space="0" w:color="FFFFFF" w:themeColor="light1"/>
        </w:tcBorders>
      </w:tcPr>
    </w:tblStylePr>
    <w:tblStylePr w:type="lastCol">
      <w:tblPr/>
      <w:tcPr>
        <w:tcBorders>
          <w:left w:val="single" w:sz="4" w:space="0" w:color="FFFFFF" w:themeColor="light1"/>
          <w:right w:val="single" w:sz="32" w:space="0" w:color="94B6D2" w:themeColor="accent1"/>
        </w:tcBorders>
      </w:tcPr>
    </w:tblStylePr>
    <w:tblStylePr w:type="band1Vert">
      <w:tblPr/>
      <w:tcPr>
        <w:tcBorders>
          <w:left w:val="single" w:sz="4" w:space="0" w:color="FFFFFF" w:themeColor="light1"/>
          <w:right w:val="single" w:sz="4" w:space="0" w:color="FFFFFF" w:themeColor="light1"/>
        </w:tcBorders>
        <w:shd w:val="clear" w:color="94B6D2" w:themeColor="accent1" w:fill="94B6D2"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4B6D2" w:themeColor="accent1" w:fill="94B6D2" w:themeFill="accent1"/>
      </w:tcPr>
    </w:tblStylePr>
    <w:tblStylePr w:type="band2Horz">
      <w:tblPr/>
      <w:tcPr>
        <w:tcBorders>
          <w:top w:val="single" w:sz="4" w:space="0" w:color="FFFFFF" w:themeColor="light1"/>
          <w:bottom w:val="single" w:sz="4" w:space="0" w:color="FFFFFF" w:themeColor="light1"/>
        </w:tcBorders>
        <w:shd w:val="clear" w:color="94B6D2" w:themeColor="accent1" w:fill="94B6D2"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EAB391" w:themeColor="accent2" w:themeTint="97"/>
        <w:left w:val="single" w:sz="32" w:space="0" w:color="EAB391" w:themeColor="accent2" w:themeTint="97"/>
        <w:bottom w:val="single" w:sz="32" w:space="0" w:color="EAB391" w:themeColor="accent2" w:themeTint="97"/>
        <w:right w:val="single" w:sz="32" w:space="0" w:color="EAB391" w:themeColor="accent2" w:themeTint="97"/>
      </w:tblBorders>
      <w:shd w:val="clear" w:color="EAB391" w:themeColor="accent2" w:themeTint="97" w:fill="EAB391" w:themeFill="accent2" w:themeFillTint="97"/>
    </w:tblPr>
    <w:tblStylePr w:type="firstRow">
      <w:rPr>
        <w:rFonts w:ascii="Arial" w:hAnsi="Arial"/>
        <w:b/>
        <w:color w:val="FFFFFF" w:themeColor="light1"/>
        <w:sz w:val="22"/>
      </w:rPr>
      <w:tblPr/>
      <w:tcPr>
        <w:tcBorders>
          <w:top w:val="single" w:sz="32" w:space="0" w:color="EAB391" w:themeColor="accent2" w:themeTint="97"/>
          <w:bottom w:val="single" w:sz="12" w:space="0" w:color="FFFFFF" w:themeColor="light1"/>
        </w:tcBorders>
        <w:shd w:val="clear" w:color="EAB391" w:themeColor="accent2" w:themeTint="97" w:fill="EAB391"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EAB391" w:themeColor="accent2" w:themeTint="97"/>
          <w:right w:val="single" w:sz="4" w:space="0" w:color="FFFFFF" w:themeColor="light1"/>
        </w:tcBorders>
      </w:tcPr>
    </w:tblStylePr>
    <w:tblStylePr w:type="lastCol">
      <w:tblPr/>
      <w:tcPr>
        <w:tcBorders>
          <w:left w:val="single" w:sz="4" w:space="0" w:color="FFFFFF" w:themeColor="light1"/>
          <w:right w:val="single" w:sz="32" w:space="0" w:color="EAB391" w:themeColor="accent2" w:themeTint="97"/>
        </w:tcBorders>
      </w:tcPr>
    </w:tblStylePr>
    <w:tblStylePr w:type="band1Vert">
      <w:tblPr/>
      <w:tcPr>
        <w:tcBorders>
          <w:left w:val="single" w:sz="4" w:space="0" w:color="FFFFFF" w:themeColor="light1"/>
          <w:right w:val="single" w:sz="4" w:space="0" w:color="FFFFFF" w:themeColor="light1"/>
        </w:tcBorders>
        <w:shd w:val="clear" w:color="EAB391" w:themeColor="accent2" w:themeTint="97" w:fill="EAB391"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EAB391" w:themeColor="accent2" w:themeTint="97" w:fill="EAB391" w:themeFill="accent2" w:themeFillTint="97"/>
      </w:tcPr>
    </w:tblStylePr>
    <w:tblStylePr w:type="band2Horz">
      <w:tblPr/>
      <w:tcPr>
        <w:tcBorders>
          <w:top w:val="single" w:sz="4" w:space="0" w:color="FFFFFF" w:themeColor="light1"/>
          <w:bottom w:val="single" w:sz="4" w:space="0" w:color="FFFFFF" w:themeColor="light1"/>
        </w:tcBorders>
        <w:shd w:val="clear" w:color="EAB391" w:themeColor="accent2" w:themeTint="97" w:fill="EAB391"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DB3" w:themeColor="accent3" w:themeTint="98"/>
        <w:left w:val="single" w:sz="32" w:space="0" w:color="C9CDB3" w:themeColor="accent3" w:themeTint="98"/>
        <w:bottom w:val="single" w:sz="32" w:space="0" w:color="C9CDB3" w:themeColor="accent3" w:themeTint="98"/>
        <w:right w:val="single" w:sz="32" w:space="0" w:color="C9CDB3" w:themeColor="accent3" w:themeTint="98"/>
      </w:tblBorders>
      <w:shd w:val="clear" w:color="C9CDB3" w:themeColor="accent3" w:themeTint="98" w:fill="C9CDB3" w:themeFill="accent3" w:themeFillTint="98"/>
    </w:tblPr>
    <w:tblStylePr w:type="firstRow">
      <w:rPr>
        <w:rFonts w:ascii="Arial" w:hAnsi="Arial"/>
        <w:b/>
        <w:color w:val="FFFFFF" w:themeColor="light1"/>
        <w:sz w:val="22"/>
      </w:rPr>
      <w:tblPr/>
      <w:tcPr>
        <w:tcBorders>
          <w:top w:val="single" w:sz="32" w:space="0" w:color="C9CDB3" w:themeColor="accent3" w:themeTint="98"/>
          <w:bottom w:val="single" w:sz="12" w:space="0" w:color="FFFFFF" w:themeColor="light1"/>
        </w:tcBorders>
        <w:shd w:val="clear" w:color="C9CDB3" w:themeColor="accent3" w:themeTint="98" w:fill="C9CDB3"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DB3" w:themeColor="accent3" w:themeTint="98"/>
          <w:right w:val="single" w:sz="4" w:space="0" w:color="FFFFFF" w:themeColor="light1"/>
        </w:tcBorders>
      </w:tcPr>
    </w:tblStylePr>
    <w:tblStylePr w:type="lastCol">
      <w:tblPr/>
      <w:tcPr>
        <w:tcBorders>
          <w:left w:val="single" w:sz="4" w:space="0" w:color="FFFFFF" w:themeColor="light1"/>
          <w:right w:val="single" w:sz="32" w:space="0" w:color="C9CDB3" w:themeColor="accent3" w:themeTint="98"/>
        </w:tcBorders>
      </w:tcPr>
    </w:tblStylePr>
    <w:tblStylePr w:type="band1Vert">
      <w:tblPr/>
      <w:tcPr>
        <w:tcBorders>
          <w:left w:val="single" w:sz="4" w:space="0" w:color="FFFFFF" w:themeColor="light1"/>
          <w:right w:val="single" w:sz="4" w:space="0" w:color="FFFFFF" w:themeColor="light1"/>
        </w:tcBorders>
        <w:shd w:val="clear" w:color="C9CDB3" w:themeColor="accent3" w:themeTint="98" w:fill="C9CDB3"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DB3" w:themeColor="accent3" w:themeTint="98" w:fill="C9CDB3" w:themeFill="accent3" w:themeFillTint="98"/>
      </w:tcPr>
    </w:tblStylePr>
    <w:tblStylePr w:type="band2Horz">
      <w:tblPr/>
      <w:tcPr>
        <w:tcBorders>
          <w:top w:val="single" w:sz="4" w:space="0" w:color="FFFFFF" w:themeColor="light1"/>
          <w:bottom w:val="single" w:sz="4" w:space="0" w:color="FFFFFF" w:themeColor="light1"/>
        </w:tcBorders>
        <w:shd w:val="clear" w:color="C9CDB3" w:themeColor="accent3" w:themeTint="98" w:fill="C9CDB3"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E7D09C" w:themeColor="accent4" w:themeTint="9A"/>
        <w:left w:val="single" w:sz="32" w:space="0" w:color="E7D09C" w:themeColor="accent4" w:themeTint="9A"/>
        <w:bottom w:val="single" w:sz="32" w:space="0" w:color="E7D09C" w:themeColor="accent4" w:themeTint="9A"/>
        <w:right w:val="single" w:sz="32" w:space="0" w:color="E7D09C" w:themeColor="accent4" w:themeTint="9A"/>
      </w:tblBorders>
      <w:shd w:val="clear" w:color="E7D09C" w:themeColor="accent4" w:themeTint="9A" w:fill="E7D09C" w:themeFill="accent4" w:themeFillTint="9A"/>
    </w:tblPr>
    <w:tblStylePr w:type="firstRow">
      <w:rPr>
        <w:rFonts w:ascii="Arial" w:hAnsi="Arial"/>
        <w:b/>
        <w:color w:val="FFFFFF" w:themeColor="light1"/>
        <w:sz w:val="22"/>
      </w:rPr>
      <w:tblPr/>
      <w:tcPr>
        <w:tcBorders>
          <w:top w:val="single" w:sz="32" w:space="0" w:color="E7D09C" w:themeColor="accent4" w:themeTint="9A"/>
          <w:bottom w:val="single" w:sz="12" w:space="0" w:color="FFFFFF" w:themeColor="light1"/>
        </w:tcBorders>
        <w:shd w:val="clear" w:color="E7D09C" w:themeColor="accent4" w:themeTint="9A" w:fill="E7D09C"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E7D09C" w:themeColor="accent4" w:themeTint="9A"/>
          <w:right w:val="single" w:sz="4" w:space="0" w:color="FFFFFF" w:themeColor="light1"/>
        </w:tcBorders>
      </w:tcPr>
    </w:tblStylePr>
    <w:tblStylePr w:type="lastCol">
      <w:tblPr/>
      <w:tcPr>
        <w:tcBorders>
          <w:left w:val="single" w:sz="4" w:space="0" w:color="FFFFFF" w:themeColor="light1"/>
          <w:right w:val="single" w:sz="32" w:space="0" w:color="E7D09C" w:themeColor="accent4" w:themeTint="9A"/>
        </w:tcBorders>
      </w:tcPr>
    </w:tblStylePr>
    <w:tblStylePr w:type="band1Vert">
      <w:tblPr/>
      <w:tcPr>
        <w:tcBorders>
          <w:left w:val="single" w:sz="4" w:space="0" w:color="FFFFFF" w:themeColor="light1"/>
          <w:right w:val="single" w:sz="4" w:space="0" w:color="FFFFFF" w:themeColor="light1"/>
        </w:tcBorders>
        <w:shd w:val="clear" w:color="E7D09C" w:themeColor="accent4" w:themeTint="9A" w:fill="E7D09C"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E7D09C" w:themeColor="accent4" w:themeTint="9A" w:fill="E7D09C" w:themeFill="accent4" w:themeFillTint="9A"/>
      </w:tcPr>
    </w:tblStylePr>
    <w:tblStylePr w:type="band2Horz">
      <w:tblPr/>
      <w:tcPr>
        <w:tcBorders>
          <w:top w:val="single" w:sz="4" w:space="0" w:color="FFFFFF" w:themeColor="light1"/>
          <w:bottom w:val="single" w:sz="4" w:space="0" w:color="FFFFFF" w:themeColor="light1"/>
        </w:tcBorders>
        <w:shd w:val="clear" w:color="E7D09C" w:themeColor="accent4" w:themeTint="9A" w:fill="E7D09C"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AFC9C3" w:themeColor="accent5" w:themeTint="9A"/>
        <w:left w:val="single" w:sz="32" w:space="0" w:color="AFC9C3" w:themeColor="accent5" w:themeTint="9A"/>
        <w:bottom w:val="single" w:sz="32" w:space="0" w:color="AFC9C3" w:themeColor="accent5" w:themeTint="9A"/>
        <w:right w:val="single" w:sz="32" w:space="0" w:color="AFC9C3" w:themeColor="accent5" w:themeTint="9A"/>
      </w:tblBorders>
      <w:shd w:val="clear" w:color="AFC9C3" w:themeColor="accent5" w:themeTint="9A" w:fill="AFC9C3" w:themeFill="accent5" w:themeFillTint="9A"/>
    </w:tblPr>
    <w:tblStylePr w:type="firstRow">
      <w:rPr>
        <w:rFonts w:ascii="Arial" w:hAnsi="Arial"/>
        <w:b/>
        <w:color w:val="FFFFFF" w:themeColor="light1"/>
        <w:sz w:val="22"/>
      </w:rPr>
      <w:tblPr/>
      <w:tcPr>
        <w:tcBorders>
          <w:top w:val="single" w:sz="32" w:space="0" w:color="AFC9C3" w:themeColor="accent5" w:themeTint="9A"/>
          <w:bottom w:val="single" w:sz="12" w:space="0" w:color="FFFFFF" w:themeColor="light1"/>
        </w:tcBorders>
        <w:shd w:val="clear" w:color="AFC9C3" w:themeColor="accent5" w:themeTint="9A" w:fill="AFC9C3"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FC9C3" w:themeColor="accent5" w:themeTint="9A"/>
          <w:right w:val="single" w:sz="4" w:space="0" w:color="FFFFFF" w:themeColor="light1"/>
        </w:tcBorders>
      </w:tcPr>
    </w:tblStylePr>
    <w:tblStylePr w:type="lastCol">
      <w:tblPr/>
      <w:tcPr>
        <w:tcBorders>
          <w:left w:val="single" w:sz="4" w:space="0" w:color="FFFFFF" w:themeColor="light1"/>
          <w:right w:val="single" w:sz="32" w:space="0" w:color="AFC9C3" w:themeColor="accent5" w:themeTint="9A"/>
        </w:tcBorders>
      </w:tcPr>
    </w:tblStylePr>
    <w:tblStylePr w:type="band1Vert">
      <w:tblPr/>
      <w:tcPr>
        <w:tcBorders>
          <w:left w:val="single" w:sz="4" w:space="0" w:color="FFFFFF" w:themeColor="light1"/>
          <w:right w:val="single" w:sz="4" w:space="0" w:color="FFFFFF" w:themeColor="light1"/>
        </w:tcBorders>
        <w:shd w:val="clear" w:color="AFC9C3" w:themeColor="accent5" w:themeTint="9A" w:fill="AFC9C3"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FC9C3" w:themeColor="accent5" w:themeTint="9A" w:fill="AFC9C3" w:themeFill="accent5" w:themeFillTint="9A"/>
      </w:tcPr>
    </w:tblStylePr>
    <w:tblStylePr w:type="band2Horz">
      <w:tblPr/>
      <w:tcPr>
        <w:tcBorders>
          <w:top w:val="single" w:sz="4" w:space="0" w:color="FFFFFF" w:themeColor="light1"/>
          <w:bottom w:val="single" w:sz="4" w:space="0" w:color="FFFFFF" w:themeColor="light1"/>
        </w:tcBorders>
        <w:shd w:val="clear" w:color="AFC9C3" w:themeColor="accent5" w:themeTint="9A" w:fill="AFC9C3"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C0BABA" w:themeColor="accent6" w:themeTint="98"/>
        <w:left w:val="single" w:sz="32" w:space="0" w:color="C0BABA" w:themeColor="accent6" w:themeTint="98"/>
        <w:bottom w:val="single" w:sz="32" w:space="0" w:color="C0BABA" w:themeColor="accent6" w:themeTint="98"/>
        <w:right w:val="single" w:sz="32" w:space="0" w:color="C0BABA" w:themeColor="accent6" w:themeTint="98"/>
      </w:tblBorders>
      <w:shd w:val="clear" w:color="C0BABA" w:themeColor="accent6" w:themeTint="98" w:fill="C0BABA" w:themeFill="accent6" w:themeFillTint="98"/>
    </w:tblPr>
    <w:tblStylePr w:type="firstRow">
      <w:rPr>
        <w:rFonts w:ascii="Arial" w:hAnsi="Arial"/>
        <w:b/>
        <w:color w:val="FFFFFF" w:themeColor="light1"/>
        <w:sz w:val="22"/>
      </w:rPr>
      <w:tblPr/>
      <w:tcPr>
        <w:tcBorders>
          <w:top w:val="single" w:sz="32" w:space="0" w:color="C0BABA" w:themeColor="accent6" w:themeTint="98"/>
          <w:bottom w:val="single" w:sz="12" w:space="0" w:color="FFFFFF" w:themeColor="light1"/>
        </w:tcBorders>
        <w:shd w:val="clear" w:color="C0BABA" w:themeColor="accent6" w:themeTint="98" w:fill="C0BABA"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0BABA" w:themeColor="accent6" w:themeTint="98"/>
          <w:right w:val="single" w:sz="4" w:space="0" w:color="FFFFFF" w:themeColor="light1"/>
        </w:tcBorders>
      </w:tcPr>
    </w:tblStylePr>
    <w:tblStylePr w:type="lastCol">
      <w:tblPr/>
      <w:tcPr>
        <w:tcBorders>
          <w:left w:val="single" w:sz="4" w:space="0" w:color="FFFFFF" w:themeColor="light1"/>
          <w:right w:val="single" w:sz="32" w:space="0" w:color="C0BABA" w:themeColor="accent6" w:themeTint="98"/>
        </w:tcBorders>
      </w:tcPr>
    </w:tblStylePr>
    <w:tblStylePr w:type="band1Vert">
      <w:tblPr/>
      <w:tcPr>
        <w:tcBorders>
          <w:left w:val="single" w:sz="4" w:space="0" w:color="FFFFFF" w:themeColor="light1"/>
          <w:right w:val="single" w:sz="4" w:space="0" w:color="FFFFFF" w:themeColor="light1"/>
        </w:tcBorders>
        <w:shd w:val="clear" w:color="C0BABA" w:themeColor="accent6" w:themeTint="98" w:fill="C0BABA"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0BABA" w:themeColor="accent6" w:themeTint="98" w:fill="C0BABA" w:themeFill="accent6" w:themeFillTint="98"/>
      </w:tcPr>
    </w:tblStylePr>
    <w:tblStylePr w:type="band2Horz">
      <w:tblPr/>
      <w:tcPr>
        <w:tcBorders>
          <w:top w:val="single" w:sz="4" w:space="0" w:color="FFFFFF" w:themeColor="light1"/>
          <w:bottom w:val="single" w:sz="4" w:space="0" w:color="FFFFFF" w:themeColor="light1"/>
        </w:tcBorders>
        <w:shd w:val="clear" w:color="C0BABA" w:themeColor="accent6" w:themeTint="98" w:fill="C0BABA" w:themeFill="accent6" w:themeFillTint="98"/>
      </w:tcPr>
    </w:tblStylePr>
  </w:style>
  <w:style w:type="table" w:styleId="62">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94B6D2" w:themeColor="accent1"/>
        <w:bottom w:val="single" w:sz="4" w:space="0" w:color="94B6D2" w:themeColor="accent1"/>
      </w:tblBorders>
    </w:tblPr>
    <w:tblStylePr w:type="firstRow">
      <w:rPr>
        <w:b/>
        <w:color w:val="3E6C93" w:themeColor="accent1" w:themeShade="95"/>
      </w:rPr>
      <w:tblPr/>
      <w:tcPr>
        <w:tcBorders>
          <w:bottom w:val="single" w:sz="4" w:space="0" w:color="94B6D2" w:themeColor="accent1"/>
        </w:tcBorders>
      </w:tcPr>
    </w:tblStylePr>
    <w:tblStylePr w:type="lastRow">
      <w:rPr>
        <w:b/>
        <w:color w:val="3E6C93" w:themeColor="accent1" w:themeShade="95"/>
      </w:rPr>
      <w:tblPr/>
      <w:tcPr>
        <w:tcBorders>
          <w:top w:val="single" w:sz="4" w:space="0" w:color="94B6D2" w:themeColor="accent1"/>
        </w:tcBorders>
      </w:tcPr>
    </w:tblStylePr>
    <w:tblStylePr w:type="firstCol">
      <w:rPr>
        <w:b/>
        <w:color w:val="3E6C93" w:themeColor="accent1" w:themeShade="95"/>
      </w:rPr>
    </w:tblStylePr>
    <w:tblStylePr w:type="lastCol">
      <w:rPr>
        <w:b/>
        <w:color w:val="3E6C93" w:themeColor="accent1" w:themeShade="95"/>
      </w:rPr>
    </w:tblStylePr>
    <w:tblStylePr w:type="band1Vert">
      <w:tblPr/>
      <w:tcPr>
        <w:shd w:val="clear" w:color="E4ECF3" w:themeColor="accent1" w:themeTint="40" w:fill="E4ECF3" w:themeFill="accent1" w:themeFillTint="40"/>
      </w:tcPr>
    </w:tblStylePr>
    <w:tblStylePr w:type="band1Horz">
      <w:rPr>
        <w:rFonts w:ascii="Arial" w:hAnsi="Arial"/>
        <w:color w:val="3E6C93" w:themeColor="accent1" w:themeShade="95"/>
        <w:sz w:val="22"/>
      </w:rPr>
      <w:tblPr/>
      <w:tcPr>
        <w:shd w:val="clear" w:color="E4ECF3" w:themeColor="accent1" w:themeTint="40" w:fill="E4ECF3" w:themeFill="accent1" w:themeFillTint="40"/>
      </w:tcPr>
    </w:tblStylePr>
    <w:tblStylePr w:type="band2Horz">
      <w:rPr>
        <w:rFonts w:ascii="Arial" w:hAnsi="Arial"/>
        <w:color w:val="3E6C93"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EAB391" w:themeColor="accent2" w:themeTint="97"/>
        <w:bottom w:val="single" w:sz="4" w:space="0" w:color="EAB391" w:themeColor="accent2" w:themeTint="97"/>
      </w:tblBorders>
    </w:tblPr>
    <w:tblStylePr w:type="firstRow">
      <w:rPr>
        <w:b/>
        <w:color w:val="EAB391" w:themeColor="accent2" w:themeTint="97" w:themeShade="95"/>
      </w:rPr>
      <w:tblPr/>
      <w:tcPr>
        <w:tcBorders>
          <w:bottom w:val="single" w:sz="4" w:space="0" w:color="EAB391" w:themeColor="accent2" w:themeTint="97"/>
        </w:tcBorders>
      </w:tcPr>
    </w:tblStylePr>
    <w:tblStylePr w:type="lastRow">
      <w:rPr>
        <w:b/>
        <w:color w:val="EAB391" w:themeColor="accent2" w:themeTint="97" w:themeShade="95"/>
      </w:rPr>
      <w:tblPr/>
      <w:tcPr>
        <w:tcBorders>
          <w:top w:val="single" w:sz="4" w:space="0" w:color="EAB391" w:themeColor="accent2" w:themeTint="97"/>
        </w:tcBorders>
      </w:tcPr>
    </w:tblStylePr>
    <w:tblStylePr w:type="firstCol">
      <w:rPr>
        <w:b/>
        <w:color w:val="EAB391" w:themeColor="accent2" w:themeTint="97" w:themeShade="95"/>
      </w:rPr>
    </w:tblStylePr>
    <w:tblStylePr w:type="lastCol">
      <w:rPr>
        <w:b/>
        <w:color w:val="EAB391" w:themeColor="accent2" w:themeTint="97" w:themeShade="95"/>
      </w:rPr>
    </w:tblStylePr>
    <w:tblStylePr w:type="band1Vert">
      <w:tblPr/>
      <w:tcPr>
        <w:shd w:val="clear" w:color="F6DED0" w:themeColor="accent2" w:themeTint="40" w:fill="F6DED0" w:themeFill="accent2" w:themeFillTint="40"/>
      </w:tcPr>
    </w:tblStylePr>
    <w:tblStylePr w:type="band1Horz">
      <w:rPr>
        <w:rFonts w:ascii="Arial" w:hAnsi="Arial"/>
        <w:color w:val="EAB391" w:themeColor="accent2" w:themeTint="97" w:themeShade="95"/>
        <w:sz w:val="22"/>
      </w:rPr>
      <w:tblPr/>
      <w:tcPr>
        <w:shd w:val="clear" w:color="F6DED0" w:themeColor="accent2" w:themeTint="40" w:fill="F6DED0" w:themeFill="accent2" w:themeFillTint="40"/>
      </w:tcPr>
    </w:tblStylePr>
    <w:tblStylePr w:type="band2Horz">
      <w:rPr>
        <w:rFonts w:ascii="Arial" w:hAnsi="Arial"/>
        <w:color w:val="EAB391"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DB3" w:themeColor="accent3" w:themeTint="98"/>
        <w:bottom w:val="single" w:sz="4" w:space="0" w:color="C9CDB3" w:themeColor="accent3" w:themeTint="98"/>
      </w:tblBorders>
    </w:tblPr>
    <w:tblStylePr w:type="firstRow">
      <w:rPr>
        <w:b/>
        <w:color w:val="C9CDB3" w:themeColor="accent3" w:themeTint="98" w:themeShade="95"/>
      </w:rPr>
      <w:tblPr/>
      <w:tcPr>
        <w:tcBorders>
          <w:bottom w:val="single" w:sz="4" w:space="0" w:color="C9CDB3" w:themeColor="accent3" w:themeTint="98"/>
        </w:tcBorders>
      </w:tcPr>
    </w:tblStylePr>
    <w:tblStylePr w:type="lastRow">
      <w:rPr>
        <w:b/>
        <w:color w:val="C9CDB3" w:themeColor="accent3" w:themeTint="98" w:themeShade="95"/>
      </w:rPr>
      <w:tblPr/>
      <w:tcPr>
        <w:tcBorders>
          <w:top w:val="single" w:sz="4" w:space="0" w:color="C9CDB3" w:themeColor="accent3" w:themeTint="98"/>
        </w:tcBorders>
      </w:tcPr>
    </w:tblStylePr>
    <w:tblStylePr w:type="firstCol">
      <w:rPr>
        <w:b/>
        <w:color w:val="C9CDB3" w:themeColor="accent3" w:themeTint="98" w:themeShade="95"/>
      </w:rPr>
    </w:tblStylePr>
    <w:tblStylePr w:type="lastCol">
      <w:rPr>
        <w:b/>
        <w:color w:val="C9CDB3" w:themeColor="accent3" w:themeTint="98" w:themeShade="95"/>
      </w:rPr>
    </w:tblStylePr>
    <w:tblStylePr w:type="band1Vert">
      <w:tblPr/>
      <w:tcPr>
        <w:shd w:val="clear" w:color="E8E9DF" w:themeColor="accent3" w:themeTint="40" w:fill="E8E9DF" w:themeFill="accent3" w:themeFillTint="40"/>
      </w:tcPr>
    </w:tblStylePr>
    <w:tblStylePr w:type="band1Horz">
      <w:rPr>
        <w:rFonts w:ascii="Arial" w:hAnsi="Arial"/>
        <w:color w:val="C9CDB3" w:themeColor="accent3" w:themeTint="98" w:themeShade="95"/>
        <w:sz w:val="22"/>
      </w:rPr>
      <w:tblPr/>
      <w:tcPr>
        <w:shd w:val="clear" w:color="E8E9DF" w:themeColor="accent3" w:themeTint="40" w:fill="E8E9DF" w:themeFill="accent3" w:themeFillTint="40"/>
      </w:tcPr>
    </w:tblStylePr>
    <w:tblStylePr w:type="band2Horz">
      <w:rPr>
        <w:rFonts w:ascii="Arial" w:hAnsi="Arial"/>
        <w:color w:val="C9CDB3"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E7D09C" w:themeColor="accent4" w:themeTint="9A"/>
        <w:bottom w:val="single" w:sz="4" w:space="0" w:color="E7D09C" w:themeColor="accent4" w:themeTint="9A"/>
      </w:tblBorders>
    </w:tblPr>
    <w:tblStylePr w:type="firstRow">
      <w:rPr>
        <w:b/>
        <w:color w:val="E7D09C" w:themeColor="accent4" w:themeTint="9A" w:themeShade="95"/>
      </w:rPr>
      <w:tblPr/>
      <w:tcPr>
        <w:tcBorders>
          <w:bottom w:val="single" w:sz="4" w:space="0" w:color="E7D09C" w:themeColor="accent4" w:themeTint="9A"/>
        </w:tcBorders>
      </w:tcPr>
    </w:tblStylePr>
    <w:tblStylePr w:type="lastRow">
      <w:rPr>
        <w:b/>
        <w:color w:val="E7D09C" w:themeColor="accent4" w:themeTint="9A" w:themeShade="95"/>
      </w:rPr>
      <w:tblPr/>
      <w:tcPr>
        <w:tcBorders>
          <w:top w:val="single" w:sz="4" w:space="0" w:color="E7D09C" w:themeColor="accent4" w:themeTint="9A"/>
        </w:tcBorders>
      </w:tcPr>
    </w:tblStylePr>
    <w:tblStylePr w:type="firstCol">
      <w:rPr>
        <w:b/>
        <w:color w:val="E7D09C" w:themeColor="accent4" w:themeTint="9A" w:themeShade="95"/>
      </w:rPr>
    </w:tblStylePr>
    <w:tblStylePr w:type="lastCol">
      <w:rPr>
        <w:b/>
        <w:color w:val="E7D09C" w:themeColor="accent4" w:themeTint="9A" w:themeShade="95"/>
      </w:rPr>
    </w:tblStylePr>
    <w:tblStylePr w:type="band1Vert">
      <w:tblPr/>
      <w:tcPr>
        <w:shd w:val="clear" w:color="F5EBD5" w:themeColor="accent4" w:themeTint="40" w:fill="F5EBD5" w:themeFill="accent4" w:themeFillTint="40"/>
      </w:tcPr>
    </w:tblStylePr>
    <w:tblStylePr w:type="band1Horz">
      <w:rPr>
        <w:rFonts w:ascii="Arial" w:hAnsi="Arial"/>
        <w:color w:val="E7D09C" w:themeColor="accent4" w:themeTint="9A" w:themeShade="95"/>
        <w:sz w:val="22"/>
      </w:rPr>
      <w:tblPr/>
      <w:tcPr>
        <w:shd w:val="clear" w:color="F5EBD5" w:themeColor="accent4" w:themeTint="40" w:fill="F5EBD5" w:themeFill="accent4" w:themeFillTint="40"/>
      </w:tcPr>
    </w:tblStylePr>
    <w:tblStylePr w:type="band2Horz">
      <w:rPr>
        <w:rFonts w:ascii="Arial" w:hAnsi="Arial"/>
        <w:color w:val="E7D09C"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AFC9C3" w:themeColor="accent5" w:themeTint="9A"/>
        <w:bottom w:val="single" w:sz="4" w:space="0" w:color="AFC9C3" w:themeColor="accent5" w:themeTint="9A"/>
      </w:tblBorders>
    </w:tblPr>
    <w:tblStylePr w:type="firstRow">
      <w:rPr>
        <w:b/>
        <w:color w:val="AFC9C3" w:themeColor="accent5" w:themeTint="9A" w:themeShade="95"/>
      </w:rPr>
      <w:tblPr/>
      <w:tcPr>
        <w:tcBorders>
          <w:bottom w:val="single" w:sz="4" w:space="0" w:color="AFC9C3" w:themeColor="accent5" w:themeTint="9A"/>
        </w:tcBorders>
      </w:tcPr>
    </w:tblStylePr>
    <w:tblStylePr w:type="lastRow">
      <w:rPr>
        <w:b/>
        <w:color w:val="AFC9C3" w:themeColor="accent5" w:themeTint="9A" w:themeShade="95"/>
      </w:rPr>
      <w:tblPr/>
      <w:tcPr>
        <w:tcBorders>
          <w:top w:val="single" w:sz="4" w:space="0" w:color="AFC9C3" w:themeColor="accent5" w:themeTint="9A"/>
        </w:tcBorders>
      </w:tcPr>
    </w:tblStylePr>
    <w:tblStylePr w:type="firstCol">
      <w:rPr>
        <w:b/>
        <w:color w:val="AFC9C3" w:themeColor="accent5" w:themeTint="9A" w:themeShade="95"/>
      </w:rPr>
    </w:tblStylePr>
    <w:tblStylePr w:type="lastCol">
      <w:rPr>
        <w:b/>
        <w:color w:val="AFC9C3" w:themeColor="accent5" w:themeTint="9A" w:themeShade="95"/>
      </w:rPr>
    </w:tblStylePr>
    <w:tblStylePr w:type="band1Vert">
      <w:tblPr/>
      <w:tcPr>
        <w:shd w:val="clear" w:color="DDE9E6" w:themeColor="accent5" w:themeTint="40" w:fill="DDE9E6" w:themeFill="accent5" w:themeFillTint="40"/>
      </w:tcPr>
    </w:tblStylePr>
    <w:tblStylePr w:type="band1Horz">
      <w:rPr>
        <w:rFonts w:ascii="Arial" w:hAnsi="Arial"/>
        <w:color w:val="AFC9C3" w:themeColor="accent5" w:themeTint="9A" w:themeShade="95"/>
        <w:sz w:val="22"/>
      </w:rPr>
      <w:tblPr/>
      <w:tcPr>
        <w:shd w:val="clear" w:color="DDE9E6" w:themeColor="accent5" w:themeTint="40" w:fill="DDE9E6" w:themeFill="accent5" w:themeFillTint="40"/>
      </w:tcPr>
    </w:tblStylePr>
    <w:tblStylePr w:type="band2Horz">
      <w:rPr>
        <w:rFonts w:ascii="Arial" w:hAnsi="Arial"/>
        <w:color w:val="AFC9C3"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C0BABA" w:themeColor="accent6" w:themeTint="98"/>
        <w:bottom w:val="single" w:sz="4" w:space="0" w:color="C0BABA" w:themeColor="accent6" w:themeTint="98"/>
      </w:tblBorders>
    </w:tblPr>
    <w:tblStylePr w:type="firstRow">
      <w:rPr>
        <w:b/>
        <w:color w:val="C0BABA" w:themeColor="accent6" w:themeTint="98" w:themeShade="95"/>
      </w:rPr>
      <w:tblPr/>
      <w:tcPr>
        <w:tcBorders>
          <w:bottom w:val="single" w:sz="4" w:space="0" w:color="C0BABA" w:themeColor="accent6" w:themeTint="98"/>
        </w:tcBorders>
      </w:tcPr>
    </w:tblStylePr>
    <w:tblStylePr w:type="lastRow">
      <w:rPr>
        <w:b/>
        <w:color w:val="C0BABA" w:themeColor="accent6" w:themeTint="98" w:themeShade="95"/>
      </w:rPr>
      <w:tblPr/>
      <w:tcPr>
        <w:tcBorders>
          <w:top w:val="single" w:sz="4" w:space="0" w:color="C0BABA" w:themeColor="accent6" w:themeTint="98"/>
        </w:tcBorders>
      </w:tcPr>
    </w:tblStylePr>
    <w:tblStylePr w:type="firstCol">
      <w:rPr>
        <w:b/>
        <w:color w:val="C0BABA" w:themeColor="accent6" w:themeTint="98" w:themeShade="95"/>
      </w:rPr>
    </w:tblStylePr>
    <w:tblStylePr w:type="lastCol">
      <w:rPr>
        <w:b/>
        <w:color w:val="C0BABA" w:themeColor="accent6" w:themeTint="98" w:themeShade="95"/>
      </w:rPr>
    </w:tblStylePr>
    <w:tblStylePr w:type="band1Vert">
      <w:tblPr/>
      <w:tcPr>
        <w:shd w:val="clear" w:color="E4E2E2" w:themeColor="accent6" w:themeTint="40" w:fill="E4E2E2" w:themeFill="accent6" w:themeFillTint="40"/>
      </w:tcPr>
    </w:tblStylePr>
    <w:tblStylePr w:type="band1Horz">
      <w:rPr>
        <w:rFonts w:ascii="Arial" w:hAnsi="Arial"/>
        <w:color w:val="C0BABA" w:themeColor="accent6" w:themeTint="98" w:themeShade="95"/>
        <w:sz w:val="22"/>
      </w:rPr>
      <w:tblPr/>
      <w:tcPr>
        <w:shd w:val="clear" w:color="E4E2E2" w:themeColor="accent6" w:themeTint="40" w:fill="E4E2E2" w:themeFill="accent6" w:themeFillTint="40"/>
      </w:tcPr>
    </w:tblStylePr>
    <w:tblStylePr w:type="band2Horz">
      <w:rPr>
        <w:rFonts w:ascii="Arial" w:hAnsi="Arial"/>
        <w:color w:val="C0BABA" w:themeColor="accent6" w:themeTint="98" w:themeShade="95"/>
        <w:sz w:val="22"/>
      </w:rPr>
    </w:tblStylePr>
  </w:style>
  <w:style w:type="table" w:styleId="72">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000000"/>
          <w:left w:val="none" w:sz="0" w:space="0" w:color="000000"/>
          <w:bottom w:val="single" w:sz="4" w:space="0" w:color="7F7F7F" w:themeColor="text1" w:themeTint="80"/>
          <w:right w:val="none" w:sz="0"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000000"/>
          <w:left w:val="none" w:sz="0" w:space="0" w:color="000000"/>
          <w:bottom w:val="none" w:sz="0"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000000"/>
          <w:left w:val="single" w:sz="4" w:space="0" w:color="7F7F7F" w:themeColor="text1" w:themeTint="80"/>
          <w:bottom w:val="none" w:sz="0" w:space="0" w:color="000000"/>
          <w:right w:val="none" w:sz="0"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94B6D2" w:themeColor="accent1"/>
      </w:tblBorders>
    </w:tblPr>
    <w:tblStylePr w:type="firstRow">
      <w:rPr>
        <w:rFonts w:ascii="Arial" w:hAnsi="Arial"/>
        <w:i/>
        <w:color w:val="3E6C93" w:themeColor="accent1" w:themeShade="95"/>
        <w:sz w:val="22"/>
      </w:rPr>
      <w:tblPr/>
      <w:tcPr>
        <w:tcBorders>
          <w:top w:val="none" w:sz="0" w:space="0" w:color="000000"/>
          <w:left w:val="none" w:sz="0" w:space="0" w:color="000000"/>
          <w:bottom w:val="single" w:sz="4" w:space="0" w:color="94B6D2" w:themeColor="accent1"/>
          <w:right w:val="none" w:sz="0" w:space="0" w:color="000000"/>
        </w:tcBorders>
        <w:shd w:val="clear" w:color="FFFFFF" w:themeColor="light1" w:fill="FFFFFF" w:themeFill="light1"/>
      </w:tcPr>
    </w:tblStylePr>
    <w:tblStylePr w:type="lastRow">
      <w:rPr>
        <w:rFonts w:ascii="Arial" w:hAnsi="Arial"/>
        <w:i/>
        <w:color w:val="3E6C93" w:themeColor="accent1" w:themeShade="95"/>
        <w:sz w:val="22"/>
      </w:rPr>
      <w:tblPr/>
      <w:tcPr>
        <w:tcBorders>
          <w:top w:val="single" w:sz="4" w:space="0" w:color="94B6D2" w:themeColor="accent1"/>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3E6C93" w:themeColor="accent1" w:themeShade="95"/>
        <w:sz w:val="22"/>
      </w:rPr>
      <w:tblPr/>
      <w:tcPr>
        <w:tcBorders>
          <w:top w:val="none" w:sz="0" w:space="0" w:color="000000"/>
          <w:left w:val="none" w:sz="0" w:space="0" w:color="000000"/>
          <w:bottom w:val="none" w:sz="0" w:space="0" w:color="000000"/>
          <w:right w:val="single" w:sz="4" w:space="0" w:color="94B6D2" w:themeColor="accent1"/>
        </w:tcBorders>
        <w:shd w:val="clear" w:color="FFFFFF" w:fill="auto"/>
      </w:tcPr>
    </w:tblStylePr>
    <w:tblStylePr w:type="lastCol">
      <w:rPr>
        <w:rFonts w:ascii="Arial" w:hAnsi="Arial"/>
        <w:i/>
        <w:color w:val="3E6C93" w:themeColor="accent1" w:themeShade="95"/>
        <w:sz w:val="22"/>
      </w:rPr>
      <w:tblPr/>
      <w:tcPr>
        <w:tcBorders>
          <w:top w:val="none" w:sz="0" w:space="0" w:color="000000"/>
          <w:left w:val="single" w:sz="4" w:space="0" w:color="94B6D2" w:themeColor="accent1"/>
          <w:bottom w:val="none" w:sz="0" w:space="0" w:color="000000"/>
          <w:right w:val="none" w:sz="0" w:space="0" w:color="000000"/>
        </w:tcBorders>
        <w:shd w:val="clear" w:color="FFFFFF" w:fill="auto"/>
      </w:tcPr>
    </w:tblStylePr>
    <w:tblStylePr w:type="band1Vert">
      <w:tblPr/>
      <w:tcPr>
        <w:shd w:val="clear" w:color="E4ECF3" w:themeColor="accent1" w:themeTint="40" w:fill="E4ECF3" w:themeFill="accent1" w:themeFillTint="40"/>
      </w:tcPr>
    </w:tblStylePr>
    <w:tblStylePr w:type="band1Horz">
      <w:rPr>
        <w:rFonts w:ascii="Arial" w:hAnsi="Arial"/>
        <w:color w:val="3E6C93" w:themeColor="accent1" w:themeShade="95"/>
        <w:sz w:val="22"/>
      </w:rPr>
      <w:tblPr/>
      <w:tcPr>
        <w:shd w:val="clear" w:color="E4ECF3" w:themeColor="accent1" w:themeTint="40" w:fill="E4ECF3" w:themeFill="accent1" w:themeFillTint="40"/>
      </w:tcPr>
    </w:tblStylePr>
    <w:tblStylePr w:type="band2Horz">
      <w:rPr>
        <w:rFonts w:ascii="Arial" w:hAnsi="Arial"/>
        <w:color w:val="3E6C93"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EAB391" w:themeColor="accent2" w:themeTint="97"/>
      </w:tblBorders>
    </w:tblPr>
    <w:tblStylePr w:type="firstRow">
      <w:rPr>
        <w:rFonts w:ascii="Arial" w:hAnsi="Arial"/>
        <w:i/>
        <w:color w:val="EAB391" w:themeColor="accent2" w:themeTint="97" w:themeShade="95"/>
        <w:sz w:val="22"/>
      </w:rPr>
      <w:tblPr/>
      <w:tcPr>
        <w:tcBorders>
          <w:top w:val="none" w:sz="0" w:space="0" w:color="000000"/>
          <w:left w:val="none" w:sz="0" w:space="0" w:color="000000"/>
          <w:bottom w:val="single" w:sz="4" w:space="0" w:color="EAB391" w:themeColor="accent2" w:themeTint="97"/>
          <w:right w:val="none" w:sz="0" w:space="0" w:color="000000"/>
        </w:tcBorders>
        <w:shd w:val="clear" w:color="FFFFFF" w:themeColor="light1" w:fill="FFFFFF" w:themeFill="light1"/>
      </w:tcPr>
    </w:tblStylePr>
    <w:tblStylePr w:type="lastRow">
      <w:rPr>
        <w:rFonts w:ascii="Arial" w:hAnsi="Arial"/>
        <w:i/>
        <w:color w:val="EAB391" w:themeColor="accent2" w:themeTint="97" w:themeShade="95"/>
        <w:sz w:val="22"/>
      </w:rPr>
      <w:tblPr/>
      <w:tcPr>
        <w:tcBorders>
          <w:top w:val="single" w:sz="4" w:space="0" w:color="EAB391" w:themeColor="accent2" w:themeTint="97"/>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EAB391" w:themeColor="accent2" w:themeTint="97" w:themeShade="95"/>
        <w:sz w:val="22"/>
      </w:rPr>
      <w:tblPr/>
      <w:tcPr>
        <w:tcBorders>
          <w:top w:val="none" w:sz="0" w:space="0" w:color="000000"/>
          <w:left w:val="none" w:sz="0" w:space="0" w:color="000000"/>
          <w:bottom w:val="none" w:sz="0" w:space="0" w:color="000000"/>
          <w:right w:val="single" w:sz="4" w:space="0" w:color="EAB391" w:themeColor="accent2" w:themeTint="97"/>
        </w:tcBorders>
        <w:shd w:val="clear" w:color="FFFFFF" w:fill="auto"/>
      </w:tcPr>
    </w:tblStylePr>
    <w:tblStylePr w:type="lastCol">
      <w:rPr>
        <w:rFonts w:ascii="Arial" w:hAnsi="Arial"/>
        <w:i/>
        <w:color w:val="EAB391" w:themeColor="accent2" w:themeTint="97" w:themeShade="95"/>
        <w:sz w:val="22"/>
      </w:rPr>
      <w:tblPr/>
      <w:tcPr>
        <w:tcBorders>
          <w:top w:val="none" w:sz="0" w:space="0" w:color="000000"/>
          <w:left w:val="single" w:sz="4" w:space="0" w:color="EAB391" w:themeColor="accent2" w:themeTint="97"/>
          <w:bottom w:val="none" w:sz="0" w:space="0" w:color="000000"/>
          <w:right w:val="none" w:sz="0" w:space="0" w:color="000000"/>
        </w:tcBorders>
        <w:shd w:val="clear" w:color="FFFFFF" w:fill="auto"/>
      </w:tcPr>
    </w:tblStylePr>
    <w:tblStylePr w:type="band1Vert">
      <w:tblPr/>
      <w:tcPr>
        <w:shd w:val="clear" w:color="F6DED0" w:themeColor="accent2" w:themeTint="40" w:fill="F6DED0" w:themeFill="accent2" w:themeFillTint="40"/>
      </w:tcPr>
    </w:tblStylePr>
    <w:tblStylePr w:type="band1Horz">
      <w:rPr>
        <w:rFonts w:ascii="Arial" w:hAnsi="Arial"/>
        <w:color w:val="EAB391" w:themeColor="accent2" w:themeTint="97" w:themeShade="95"/>
        <w:sz w:val="22"/>
      </w:rPr>
      <w:tblPr/>
      <w:tcPr>
        <w:shd w:val="clear" w:color="F6DED0" w:themeColor="accent2" w:themeTint="40" w:fill="F6DED0" w:themeFill="accent2" w:themeFillTint="40"/>
      </w:tcPr>
    </w:tblStylePr>
    <w:tblStylePr w:type="band2Horz">
      <w:rPr>
        <w:rFonts w:ascii="Arial" w:hAnsi="Arial"/>
        <w:color w:val="EAB391"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DB3" w:themeColor="accent3" w:themeTint="98"/>
      </w:tblBorders>
    </w:tblPr>
    <w:tblStylePr w:type="firstRow">
      <w:rPr>
        <w:rFonts w:ascii="Arial" w:hAnsi="Arial"/>
        <w:i/>
        <w:color w:val="C9CDB3" w:themeColor="accent3" w:themeTint="98" w:themeShade="95"/>
        <w:sz w:val="22"/>
      </w:rPr>
      <w:tblPr/>
      <w:tcPr>
        <w:tcBorders>
          <w:top w:val="none" w:sz="0" w:space="0" w:color="000000"/>
          <w:left w:val="none" w:sz="0" w:space="0" w:color="000000"/>
          <w:bottom w:val="single" w:sz="4" w:space="0" w:color="C9CDB3" w:themeColor="accent3" w:themeTint="98"/>
          <w:right w:val="none" w:sz="0" w:space="0" w:color="000000"/>
        </w:tcBorders>
        <w:shd w:val="clear" w:color="FFFFFF" w:themeColor="light1" w:fill="FFFFFF" w:themeFill="light1"/>
      </w:tcPr>
    </w:tblStylePr>
    <w:tblStylePr w:type="lastRow">
      <w:rPr>
        <w:rFonts w:ascii="Arial" w:hAnsi="Arial"/>
        <w:i/>
        <w:color w:val="C9CDB3" w:themeColor="accent3" w:themeTint="98" w:themeShade="95"/>
        <w:sz w:val="22"/>
      </w:rPr>
      <w:tblPr/>
      <w:tcPr>
        <w:tcBorders>
          <w:top w:val="single" w:sz="4" w:space="0" w:color="C9CDB3" w:themeColor="accent3" w:themeTint="98"/>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C9CDB3" w:themeColor="accent3" w:themeTint="98" w:themeShade="95"/>
        <w:sz w:val="22"/>
      </w:rPr>
      <w:tblPr/>
      <w:tcPr>
        <w:tcBorders>
          <w:top w:val="none" w:sz="0" w:space="0" w:color="000000"/>
          <w:left w:val="none" w:sz="0" w:space="0" w:color="000000"/>
          <w:bottom w:val="none" w:sz="0" w:space="0" w:color="000000"/>
          <w:right w:val="single" w:sz="4" w:space="0" w:color="C9CDB3" w:themeColor="accent3" w:themeTint="98"/>
        </w:tcBorders>
        <w:shd w:val="clear" w:color="FFFFFF" w:fill="auto"/>
      </w:tcPr>
    </w:tblStylePr>
    <w:tblStylePr w:type="lastCol">
      <w:rPr>
        <w:rFonts w:ascii="Arial" w:hAnsi="Arial"/>
        <w:i/>
        <w:color w:val="C9CDB3" w:themeColor="accent3" w:themeTint="98" w:themeShade="95"/>
        <w:sz w:val="22"/>
      </w:rPr>
      <w:tblPr/>
      <w:tcPr>
        <w:tcBorders>
          <w:top w:val="none" w:sz="0" w:space="0" w:color="000000"/>
          <w:left w:val="single" w:sz="4" w:space="0" w:color="C9CDB3" w:themeColor="accent3" w:themeTint="98"/>
          <w:bottom w:val="none" w:sz="0" w:space="0" w:color="000000"/>
          <w:right w:val="none" w:sz="0" w:space="0" w:color="000000"/>
        </w:tcBorders>
        <w:shd w:val="clear" w:color="FFFFFF" w:fill="auto"/>
      </w:tcPr>
    </w:tblStylePr>
    <w:tblStylePr w:type="band1Vert">
      <w:tblPr/>
      <w:tcPr>
        <w:shd w:val="clear" w:color="E8E9DF" w:themeColor="accent3" w:themeTint="40" w:fill="E8E9DF" w:themeFill="accent3" w:themeFillTint="40"/>
      </w:tcPr>
    </w:tblStylePr>
    <w:tblStylePr w:type="band1Horz">
      <w:rPr>
        <w:rFonts w:ascii="Arial" w:hAnsi="Arial"/>
        <w:color w:val="C9CDB3" w:themeColor="accent3" w:themeTint="98" w:themeShade="95"/>
        <w:sz w:val="22"/>
      </w:rPr>
      <w:tblPr/>
      <w:tcPr>
        <w:shd w:val="clear" w:color="E8E9DF" w:themeColor="accent3" w:themeTint="40" w:fill="E8E9DF" w:themeFill="accent3" w:themeFillTint="40"/>
      </w:tcPr>
    </w:tblStylePr>
    <w:tblStylePr w:type="band2Horz">
      <w:rPr>
        <w:rFonts w:ascii="Arial" w:hAnsi="Arial"/>
        <w:color w:val="C9CDB3"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E7D09C" w:themeColor="accent4" w:themeTint="9A"/>
      </w:tblBorders>
    </w:tblPr>
    <w:tblStylePr w:type="firstRow">
      <w:rPr>
        <w:rFonts w:ascii="Arial" w:hAnsi="Arial"/>
        <w:i/>
        <w:color w:val="E7D09C" w:themeColor="accent4" w:themeTint="9A" w:themeShade="95"/>
        <w:sz w:val="22"/>
      </w:rPr>
      <w:tblPr/>
      <w:tcPr>
        <w:tcBorders>
          <w:top w:val="none" w:sz="0" w:space="0" w:color="000000"/>
          <w:left w:val="none" w:sz="0" w:space="0" w:color="000000"/>
          <w:bottom w:val="single" w:sz="4" w:space="0" w:color="E7D09C" w:themeColor="accent4" w:themeTint="9A"/>
          <w:right w:val="none" w:sz="0" w:space="0" w:color="000000"/>
        </w:tcBorders>
        <w:shd w:val="clear" w:color="FFFFFF" w:themeColor="light1" w:fill="FFFFFF" w:themeFill="light1"/>
      </w:tcPr>
    </w:tblStylePr>
    <w:tblStylePr w:type="lastRow">
      <w:rPr>
        <w:rFonts w:ascii="Arial" w:hAnsi="Arial"/>
        <w:i/>
        <w:color w:val="E7D09C" w:themeColor="accent4" w:themeTint="9A" w:themeShade="95"/>
        <w:sz w:val="22"/>
      </w:rPr>
      <w:tblPr/>
      <w:tcPr>
        <w:tcBorders>
          <w:top w:val="single" w:sz="4" w:space="0" w:color="E7D09C" w:themeColor="accent4"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E7D09C" w:themeColor="accent4" w:themeTint="9A" w:themeShade="95"/>
        <w:sz w:val="22"/>
      </w:rPr>
      <w:tblPr/>
      <w:tcPr>
        <w:tcBorders>
          <w:top w:val="none" w:sz="0" w:space="0" w:color="000000"/>
          <w:left w:val="none" w:sz="0" w:space="0" w:color="000000"/>
          <w:bottom w:val="none" w:sz="0" w:space="0" w:color="000000"/>
          <w:right w:val="single" w:sz="4" w:space="0" w:color="E7D09C" w:themeColor="accent4" w:themeTint="9A"/>
        </w:tcBorders>
        <w:shd w:val="clear" w:color="FFFFFF" w:fill="auto"/>
      </w:tcPr>
    </w:tblStylePr>
    <w:tblStylePr w:type="lastCol">
      <w:rPr>
        <w:rFonts w:ascii="Arial" w:hAnsi="Arial"/>
        <w:i/>
        <w:color w:val="E7D09C" w:themeColor="accent4" w:themeTint="9A" w:themeShade="95"/>
        <w:sz w:val="22"/>
      </w:rPr>
      <w:tblPr/>
      <w:tcPr>
        <w:tcBorders>
          <w:top w:val="none" w:sz="0" w:space="0" w:color="000000"/>
          <w:left w:val="single" w:sz="4" w:space="0" w:color="E7D09C" w:themeColor="accent4" w:themeTint="9A"/>
          <w:bottom w:val="none" w:sz="0" w:space="0" w:color="000000"/>
          <w:right w:val="none" w:sz="0" w:space="0" w:color="000000"/>
        </w:tcBorders>
        <w:shd w:val="clear" w:color="FFFFFF" w:fill="auto"/>
      </w:tcPr>
    </w:tblStylePr>
    <w:tblStylePr w:type="band1Vert">
      <w:tblPr/>
      <w:tcPr>
        <w:shd w:val="clear" w:color="F5EBD5" w:themeColor="accent4" w:themeTint="40" w:fill="F5EBD5" w:themeFill="accent4" w:themeFillTint="40"/>
      </w:tcPr>
    </w:tblStylePr>
    <w:tblStylePr w:type="band1Horz">
      <w:rPr>
        <w:rFonts w:ascii="Arial" w:hAnsi="Arial"/>
        <w:color w:val="E7D09C" w:themeColor="accent4" w:themeTint="9A" w:themeShade="95"/>
        <w:sz w:val="22"/>
      </w:rPr>
      <w:tblPr/>
      <w:tcPr>
        <w:shd w:val="clear" w:color="F5EBD5" w:themeColor="accent4" w:themeTint="40" w:fill="F5EBD5" w:themeFill="accent4" w:themeFillTint="40"/>
      </w:tcPr>
    </w:tblStylePr>
    <w:tblStylePr w:type="band2Horz">
      <w:rPr>
        <w:rFonts w:ascii="Arial" w:hAnsi="Arial"/>
        <w:color w:val="E7D09C"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AFC9C3" w:themeColor="accent5" w:themeTint="9A"/>
      </w:tblBorders>
    </w:tblPr>
    <w:tblStylePr w:type="firstRow">
      <w:rPr>
        <w:rFonts w:ascii="Arial" w:hAnsi="Arial"/>
        <w:i/>
        <w:color w:val="AFC9C3" w:themeColor="accent5" w:themeTint="9A" w:themeShade="95"/>
        <w:sz w:val="22"/>
      </w:rPr>
      <w:tblPr/>
      <w:tcPr>
        <w:tcBorders>
          <w:top w:val="none" w:sz="0" w:space="0" w:color="000000"/>
          <w:left w:val="none" w:sz="0" w:space="0" w:color="000000"/>
          <w:bottom w:val="single" w:sz="4" w:space="0" w:color="AFC9C3" w:themeColor="accent5" w:themeTint="9A"/>
          <w:right w:val="none" w:sz="0" w:space="0" w:color="000000"/>
        </w:tcBorders>
        <w:shd w:val="clear" w:color="FFFFFF" w:themeColor="light1" w:fill="FFFFFF" w:themeFill="light1"/>
      </w:tcPr>
    </w:tblStylePr>
    <w:tblStylePr w:type="lastRow">
      <w:rPr>
        <w:rFonts w:ascii="Arial" w:hAnsi="Arial"/>
        <w:i/>
        <w:color w:val="AFC9C3" w:themeColor="accent5" w:themeTint="9A" w:themeShade="95"/>
        <w:sz w:val="22"/>
      </w:rPr>
      <w:tblPr/>
      <w:tcPr>
        <w:tcBorders>
          <w:top w:val="single" w:sz="4" w:space="0" w:color="AFC9C3" w:themeColor="accent5" w:themeTint="9A"/>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AFC9C3" w:themeColor="accent5" w:themeTint="9A" w:themeShade="95"/>
        <w:sz w:val="22"/>
      </w:rPr>
      <w:tblPr/>
      <w:tcPr>
        <w:tcBorders>
          <w:top w:val="none" w:sz="0" w:space="0" w:color="000000"/>
          <w:left w:val="none" w:sz="0" w:space="0" w:color="000000"/>
          <w:bottom w:val="none" w:sz="0" w:space="0" w:color="000000"/>
          <w:right w:val="single" w:sz="4" w:space="0" w:color="AFC9C3" w:themeColor="accent5" w:themeTint="9A"/>
        </w:tcBorders>
        <w:shd w:val="clear" w:color="FFFFFF" w:fill="auto"/>
      </w:tcPr>
    </w:tblStylePr>
    <w:tblStylePr w:type="lastCol">
      <w:rPr>
        <w:rFonts w:ascii="Arial" w:hAnsi="Arial"/>
        <w:i/>
        <w:color w:val="AFC9C3" w:themeColor="accent5" w:themeTint="9A" w:themeShade="95"/>
        <w:sz w:val="22"/>
      </w:rPr>
      <w:tblPr/>
      <w:tcPr>
        <w:tcBorders>
          <w:top w:val="none" w:sz="0" w:space="0" w:color="000000"/>
          <w:left w:val="single" w:sz="4" w:space="0" w:color="AFC9C3" w:themeColor="accent5" w:themeTint="9A"/>
          <w:bottom w:val="none" w:sz="0" w:space="0" w:color="000000"/>
          <w:right w:val="none" w:sz="0" w:space="0" w:color="000000"/>
        </w:tcBorders>
        <w:shd w:val="clear" w:color="FFFFFF" w:fill="auto"/>
      </w:tcPr>
    </w:tblStylePr>
    <w:tblStylePr w:type="band1Vert">
      <w:tblPr/>
      <w:tcPr>
        <w:shd w:val="clear" w:color="DDE9E6" w:themeColor="accent5" w:themeTint="40" w:fill="DDE9E6" w:themeFill="accent5" w:themeFillTint="40"/>
      </w:tcPr>
    </w:tblStylePr>
    <w:tblStylePr w:type="band1Horz">
      <w:rPr>
        <w:rFonts w:ascii="Arial" w:hAnsi="Arial"/>
        <w:color w:val="AFC9C3" w:themeColor="accent5" w:themeTint="9A" w:themeShade="95"/>
        <w:sz w:val="22"/>
      </w:rPr>
      <w:tblPr/>
      <w:tcPr>
        <w:shd w:val="clear" w:color="DDE9E6" w:themeColor="accent5" w:themeTint="40" w:fill="DDE9E6" w:themeFill="accent5" w:themeFillTint="40"/>
      </w:tcPr>
    </w:tblStylePr>
    <w:tblStylePr w:type="band2Horz">
      <w:rPr>
        <w:rFonts w:ascii="Arial" w:hAnsi="Arial"/>
        <w:color w:val="AFC9C3"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C0BABA" w:themeColor="accent6" w:themeTint="98"/>
      </w:tblBorders>
    </w:tblPr>
    <w:tblStylePr w:type="firstRow">
      <w:rPr>
        <w:rFonts w:ascii="Arial" w:hAnsi="Arial"/>
        <w:i/>
        <w:color w:val="C0BABA" w:themeColor="accent6" w:themeTint="98" w:themeShade="95"/>
        <w:sz w:val="22"/>
      </w:rPr>
      <w:tblPr/>
      <w:tcPr>
        <w:tcBorders>
          <w:top w:val="none" w:sz="0" w:space="0" w:color="000000"/>
          <w:left w:val="none" w:sz="0" w:space="0" w:color="000000"/>
          <w:bottom w:val="single" w:sz="4" w:space="0" w:color="C0BABA" w:themeColor="accent6" w:themeTint="98"/>
          <w:right w:val="none" w:sz="0" w:space="0" w:color="000000"/>
        </w:tcBorders>
        <w:shd w:val="clear" w:color="FFFFFF" w:themeColor="light1" w:fill="FFFFFF" w:themeFill="light1"/>
      </w:tcPr>
    </w:tblStylePr>
    <w:tblStylePr w:type="lastRow">
      <w:rPr>
        <w:rFonts w:ascii="Arial" w:hAnsi="Arial"/>
        <w:i/>
        <w:color w:val="C0BABA" w:themeColor="accent6" w:themeTint="98" w:themeShade="95"/>
        <w:sz w:val="22"/>
      </w:rPr>
      <w:tblPr/>
      <w:tcPr>
        <w:tcBorders>
          <w:top w:val="single" w:sz="4" w:space="0" w:color="C0BABA" w:themeColor="accent6" w:themeTint="98"/>
          <w:left w:val="none" w:sz="0" w:space="0" w:color="000000"/>
          <w:bottom w:val="none" w:sz="0" w:space="0" w:color="000000"/>
          <w:right w:val="none" w:sz="0" w:space="0" w:color="000000"/>
        </w:tcBorders>
        <w:shd w:val="clear" w:color="FFFFFF" w:themeColor="light1" w:fill="FFFFFF" w:themeFill="light1"/>
      </w:tcPr>
    </w:tblStylePr>
    <w:tblStylePr w:type="firstCol">
      <w:pPr>
        <w:jc w:val="right"/>
      </w:pPr>
      <w:rPr>
        <w:rFonts w:ascii="Arial" w:hAnsi="Arial"/>
        <w:i/>
        <w:color w:val="C0BABA" w:themeColor="accent6" w:themeTint="98" w:themeShade="95"/>
        <w:sz w:val="22"/>
      </w:rPr>
      <w:tblPr/>
      <w:tcPr>
        <w:tcBorders>
          <w:top w:val="none" w:sz="0" w:space="0" w:color="000000"/>
          <w:left w:val="none" w:sz="0" w:space="0" w:color="000000"/>
          <w:bottom w:val="none" w:sz="0" w:space="0" w:color="000000"/>
          <w:right w:val="single" w:sz="4" w:space="0" w:color="C0BABA" w:themeColor="accent6" w:themeTint="98"/>
        </w:tcBorders>
        <w:shd w:val="clear" w:color="FFFFFF" w:fill="auto"/>
      </w:tcPr>
    </w:tblStylePr>
    <w:tblStylePr w:type="lastCol">
      <w:rPr>
        <w:rFonts w:ascii="Arial" w:hAnsi="Arial"/>
        <w:i/>
        <w:color w:val="C0BABA" w:themeColor="accent6" w:themeTint="98" w:themeShade="95"/>
        <w:sz w:val="22"/>
      </w:rPr>
      <w:tblPr/>
      <w:tcPr>
        <w:tcBorders>
          <w:top w:val="none" w:sz="0" w:space="0" w:color="000000"/>
          <w:left w:val="single" w:sz="4" w:space="0" w:color="C0BABA" w:themeColor="accent6" w:themeTint="98"/>
          <w:bottom w:val="none" w:sz="0" w:space="0" w:color="000000"/>
          <w:right w:val="none" w:sz="0" w:space="0" w:color="000000"/>
        </w:tcBorders>
        <w:shd w:val="clear" w:color="FFFFFF" w:fill="auto"/>
      </w:tcPr>
    </w:tblStylePr>
    <w:tblStylePr w:type="band1Vert">
      <w:tblPr/>
      <w:tcPr>
        <w:shd w:val="clear" w:color="E4E2E2" w:themeColor="accent6" w:themeTint="40" w:fill="E4E2E2" w:themeFill="accent6" w:themeFillTint="40"/>
      </w:tcPr>
    </w:tblStylePr>
    <w:tblStylePr w:type="band1Horz">
      <w:rPr>
        <w:rFonts w:ascii="Arial" w:hAnsi="Arial"/>
        <w:color w:val="C0BABA" w:themeColor="accent6" w:themeTint="98" w:themeShade="95"/>
        <w:sz w:val="22"/>
      </w:rPr>
      <w:tblPr/>
      <w:tcPr>
        <w:shd w:val="clear" w:color="E4E2E2" w:themeColor="accent6" w:themeTint="40" w:fill="E4E2E2" w:themeFill="accent6" w:themeFillTint="40"/>
      </w:tcPr>
    </w:tblStylePr>
    <w:tblStylePr w:type="band2Horz">
      <w:rPr>
        <w:rFonts w:ascii="Arial" w:hAnsi="Arial"/>
        <w:color w:val="C0BABA"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9CBBD5" w:themeColor="accent1" w:themeTint="EA" w:fill="9CBBD5" w:themeFill="accent1" w:themeFillTint="EA"/>
      </w:tcPr>
    </w:tblStylePr>
    <w:tblStylePr w:type="lastRow">
      <w:rPr>
        <w:rFonts w:ascii="Arial" w:hAnsi="Arial"/>
        <w:color w:val="F2F2F2"/>
        <w:sz w:val="22"/>
      </w:rPr>
      <w:tblPr/>
      <w:tcPr>
        <w:shd w:val="clear" w:color="9CBBD5" w:themeColor="accent1" w:themeTint="EA" w:fill="9CBBD5" w:themeFill="accent1" w:themeFillTint="EA"/>
      </w:tcPr>
    </w:tblStylePr>
    <w:tblStylePr w:type="firstCol">
      <w:rPr>
        <w:rFonts w:ascii="Arial" w:hAnsi="Arial"/>
        <w:color w:val="F2F2F2"/>
        <w:sz w:val="22"/>
      </w:rPr>
      <w:tblPr/>
      <w:tcPr>
        <w:shd w:val="clear" w:color="9CBBD5" w:themeColor="accent1" w:themeTint="EA" w:fill="9CBBD5" w:themeFill="accent1" w:themeFillTint="EA"/>
      </w:tcPr>
    </w:tblStylePr>
    <w:tblStylePr w:type="lastCol">
      <w:rPr>
        <w:rFonts w:ascii="Arial" w:hAnsi="Arial"/>
        <w:color w:val="F2F2F2"/>
        <w:sz w:val="22"/>
      </w:rPr>
      <w:tblPr/>
      <w:tcPr>
        <w:shd w:val="clear" w:color="9CBBD5" w:themeColor="accent1" w:themeTint="EA" w:fill="9CBBD5"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DDE7F0" w:themeColor="accent1" w:themeTint="50" w:fill="DDE7F0"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DDE7F0" w:themeColor="accent1" w:themeTint="50" w:fill="DDE7F0"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EAB391" w:themeColor="accent2" w:themeTint="97" w:fill="EAB391" w:themeFill="accent2" w:themeFillTint="97"/>
      </w:tcPr>
    </w:tblStylePr>
    <w:tblStylePr w:type="lastRow">
      <w:rPr>
        <w:rFonts w:ascii="Arial" w:hAnsi="Arial"/>
        <w:color w:val="F2F2F2"/>
        <w:sz w:val="22"/>
      </w:rPr>
      <w:tblPr/>
      <w:tcPr>
        <w:shd w:val="clear" w:color="EAB391" w:themeColor="accent2" w:themeTint="97" w:fill="EAB391" w:themeFill="accent2" w:themeFillTint="97"/>
      </w:tcPr>
    </w:tblStylePr>
    <w:tblStylePr w:type="firstCol">
      <w:rPr>
        <w:rFonts w:ascii="Arial" w:hAnsi="Arial"/>
        <w:color w:val="F2F2F2"/>
        <w:sz w:val="22"/>
      </w:rPr>
      <w:tblPr/>
      <w:tcPr>
        <w:shd w:val="clear" w:color="EAB391" w:themeColor="accent2" w:themeTint="97" w:fill="EAB391" w:themeFill="accent2" w:themeFillTint="97"/>
      </w:tcPr>
    </w:tblStylePr>
    <w:tblStylePr w:type="lastCol">
      <w:rPr>
        <w:rFonts w:ascii="Arial" w:hAnsi="Arial"/>
        <w:color w:val="F2F2F2"/>
        <w:sz w:val="22"/>
      </w:rPr>
      <w:tblPr/>
      <w:tcPr>
        <w:shd w:val="clear" w:color="EAB391" w:themeColor="accent2" w:themeTint="97" w:fill="EAB391"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8E5DA" w:themeColor="accent2" w:themeTint="32" w:fill="F8E5DA"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8E5DA" w:themeColor="accent2" w:themeTint="32" w:fill="F8E5DA"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A5AB81" w:themeColor="accent3" w:themeTint="FE" w:fill="A5AB81" w:themeFill="accent3" w:themeFillTint="FE"/>
      </w:tcPr>
    </w:tblStylePr>
    <w:tblStylePr w:type="lastRow">
      <w:rPr>
        <w:rFonts w:ascii="Arial" w:hAnsi="Arial"/>
        <w:color w:val="F2F2F2"/>
        <w:sz w:val="22"/>
      </w:rPr>
      <w:tblPr/>
      <w:tcPr>
        <w:shd w:val="clear" w:color="A5AB81" w:themeColor="accent3" w:themeTint="FE" w:fill="A5AB81" w:themeFill="accent3" w:themeFillTint="FE"/>
      </w:tcPr>
    </w:tblStylePr>
    <w:tblStylePr w:type="firstCol">
      <w:rPr>
        <w:rFonts w:ascii="Arial" w:hAnsi="Arial"/>
        <w:color w:val="F2F2F2"/>
        <w:sz w:val="22"/>
      </w:rPr>
      <w:tblPr/>
      <w:tcPr>
        <w:shd w:val="clear" w:color="A5AB81" w:themeColor="accent3" w:themeTint="FE" w:fill="A5AB81" w:themeFill="accent3" w:themeFillTint="FE"/>
      </w:tcPr>
    </w:tblStylePr>
    <w:tblStylePr w:type="lastCol">
      <w:rPr>
        <w:rFonts w:ascii="Arial" w:hAnsi="Arial"/>
        <w:color w:val="F2F2F2"/>
        <w:sz w:val="22"/>
      </w:rPr>
      <w:tblPr/>
      <w:tcPr>
        <w:shd w:val="clear" w:color="A5AB81" w:themeColor="accent3" w:themeTint="FE" w:fill="A5AB81"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DE5" w:themeColor="accent3" w:themeTint="34" w:fill="ECEDE5"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DE5" w:themeColor="accent3" w:themeTint="34" w:fill="ECEDE5"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E7D09C" w:themeColor="accent4" w:themeTint="9A" w:fill="E7D09C" w:themeFill="accent4" w:themeFillTint="9A"/>
      </w:tcPr>
    </w:tblStylePr>
    <w:tblStylePr w:type="lastRow">
      <w:rPr>
        <w:rFonts w:ascii="Arial" w:hAnsi="Arial"/>
        <w:color w:val="F2F2F2"/>
        <w:sz w:val="22"/>
      </w:rPr>
      <w:tblPr/>
      <w:tcPr>
        <w:shd w:val="clear" w:color="E7D09C" w:themeColor="accent4" w:themeTint="9A" w:fill="E7D09C" w:themeFill="accent4" w:themeFillTint="9A"/>
      </w:tcPr>
    </w:tblStylePr>
    <w:tblStylePr w:type="firstCol">
      <w:rPr>
        <w:rFonts w:ascii="Arial" w:hAnsi="Arial"/>
        <w:color w:val="F2F2F2"/>
        <w:sz w:val="22"/>
      </w:rPr>
      <w:tblPr/>
      <w:tcPr>
        <w:shd w:val="clear" w:color="E7D09C" w:themeColor="accent4" w:themeTint="9A" w:fill="E7D09C" w:themeFill="accent4" w:themeFillTint="9A"/>
      </w:tcPr>
    </w:tblStylePr>
    <w:tblStylePr w:type="lastCol">
      <w:rPr>
        <w:rFonts w:ascii="Arial" w:hAnsi="Arial"/>
        <w:color w:val="F2F2F2"/>
        <w:sz w:val="22"/>
      </w:rPr>
      <w:tblPr/>
      <w:tcPr>
        <w:shd w:val="clear" w:color="E7D09C" w:themeColor="accent4" w:themeTint="9A" w:fill="E7D09C"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7EFDD" w:themeColor="accent4" w:themeTint="34" w:fill="F7EFDD"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7EFDD" w:themeColor="accent4" w:themeTint="34" w:fill="F7EFDD"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7BA79D" w:themeColor="accent5" w:fill="7BA79D" w:themeFill="accent5"/>
      </w:tcPr>
    </w:tblStylePr>
    <w:tblStylePr w:type="lastRow">
      <w:rPr>
        <w:rFonts w:ascii="Arial" w:hAnsi="Arial"/>
        <w:color w:val="F2F2F2"/>
        <w:sz w:val="22"/>
      </w:rPr>
      <w:tblPr/>
      <w:tcPr>
        <w:shd w:val="clear" w:color="7BA79D" w:themeColor="accent5" w:fill="7BA79D" w:themeFill="accent5"/>
      </w:tcPr>
    </w:tblStylePr>
    <w:tblStylePr w:type="firstCol">
      <w:rPr>
        <w:rFonts w:ascii="Arial" w:hAnsi="Arial"/>
        <w:color w:val="F2F2F2"/>
        <w:sz w:val="22"/>
      </w:rPr>
      <w:tblPr/>
      <w:tcPr>
        <w:shd w:val="clear" w:color="7BA79D" w:themeColor="accent5" w:fill="7BA79D" w:themeFill="accent5"/>
      </w:tcPr>
    </w:tblStylePr>
    <w:tblStylePr w:type="lastCol">
      <w:rPr>
        <w:rFonts w:ascii="Arial" w:hAnsi="Arial"/>
        <w:color w:val="F2F2F2"/>
        <w:sz w:val="22"/>
      </w:rPr>
      <w:tblPr/>
      <w:tcPr>
        <w:shd w:val="clear" w:color="7BA79D" w:themeColor="accent5" w:fill="7BA79D" w:themeFill="accent5"/>
      </w:tcPr>
    </w:tblStylePr>
    <w:tblStylePr w:type="band1Vert">
      <w:rPr>
        <w:rFonts w:ascii="Arial" w:hAnsi="Arial"/>
        <w:color w:val="404040"/>
        <w:sz w:val="22"/>
      </w:rPr>
    </w:tblStylePr>
    <w:tblStylePr w:type="band2Vert">
      <w:rPr>
        <w:rFonts w:ascii="Arial" w:hAnsi="Arial"/>
        <w:color w:val="404040"/>
        <w:sz w:val="22"/>
      </w:rPr>
      <w:tblPr/>
      <w:tcPr>
        <w:shd w:val="clear" w:color="E4EDEA" w:themeColor="accent5" w:themeTint="34" w:fill="E4EDEA"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E4EDEA" w:themeColor="accent5" w:themeTint="34" w:fill="E4EDEA"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uk-UA"/>
    </w:rPr>
    <w:tblPr>
      <w:tblStyleRowBandSize w:val="1"/>
      <w:tblStyleColBandSize w:val="1"/>
    </w:tblPr>
    <w:tblStylePr w:type="firstRow">
      <w:rPr>
        <w:rFonts w:ascii="Arial" w:hAnsi="Arial"/>
        <w:color w:val="F2F2F2"/>
        <w:sz w:val="22"/>
      </w:rPr>
      <w:tblPr/>
      <w:tcPr>
        <w:shd w:val="clear" w:color="968C8C" w:themeColor="accent6" w:fill="968C8C" w:themeFill="accent6"/>
      </w:tcPr>
    </w:tblStylePr>
    <w:tblStylePr w:type="lastRow">
      <w:rPr>
        <w:rFonts w:ascii="Arial" w:hAnsi="Arial"/>
        <w:color w:val="F2F2F2"/>
        <w:sz w:val="22"/>
      </w:rPr>
      <w:tblPr/>
      <w:tcPr>
        <w:shd w:val="clear" w:color="968C8C" w:themeColor="accent6" w:fill="968C8C" w:themeFill="accent6"/>
      </w:tcPr>
    </w:tblStylePr>
    <w:tblStylePr w:type="firstCol">
      <w:rPr>
        <w:rFonts w:ascii="Arial" w:hAnsi="Arial"/>
        <w:color w:val="F2F2F2"/>
        <w:sz w:val="22"/>
      </w:rPr>
      <w:tblPr/>
      <w:tcPr>
        <w:shd w:val="clear" w:color="968C8C" w:themeColor="accent6" w:fill="968C8C" w:themeFill="accent6"/>
      </w:tcPr>
    </w:tblStylePr>
    <w:tblStylePr w:type="lastCol">
      <w:rPr>
        <w:rFonts w:ascii="Arial" w:hAnsi="Arial"/>
        <w:color w:val="F2F2F2"/>
        <w:sz w:val="22"/>
      </w:rPr>
      <w:tblPr/>
      <w:tcPr>
        <w:shd w:val="clear" w:color="968C8C" w:themeColor="accent6" w:fill="968C8C"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9E7E7" w:themeColor="accent6" w:themeTint="34" w:fill="E9E7E7"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9E7E7" w:themeColor="accent6" w:themeTint="34" w:fill="E9E7E7"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uk-UA"/>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uk-UA"/>
    </w:rPr>
    <w:tblPr>
      <w:tblStyleRowBandSize w:val="1"/>
      <w:tblStyleColBandSize w:val="1"/>
      <w:tblBorders>
        <w:top w:val="single" w:sz="4" w:space="0" w:color="3E6C93" w:themeColor="accent1" w:themeShade="95"/>
        <w:left w:val="single" w:sz="4" w:space="0" w:color="3E6C93" w:themeColor="accent1" w:themeShade="95"/>
        <w:bottom w:val="single" w:sz="4" w:space="0" w:color="3E6C93" w:themeColor="accent1" w:themeShade="95"/>
        <w:right w:val="single" w:sz="4" w:space="0" w:color="3E6C93" w:themeColor="accent1" w:themeShade="95"/>
        <w:insideH w:val="single" w:sz="4" w:space="0" w:color="3E6C93" w:themeColor="accent1" w:themeShade="95"/>
        <w:insideV w:val="single" w:sz="4" w:space="0" w:color="3E6C93" w:themeColor="accent1" w:themeShade="95"/>
      </w:tblBorders>
    </w:tblPr>
    <w:tblStylePr w:type="firstRow">
      <w:rPr>
        <w:rFonts w:ascii="Arial" w:hAnsi="Arial"/>
        <w:color w:val="F2F2F2"/>
        <w:sz w:val="22"/>
      </w:rPr>
      <w:tblPr/>
      <w:tcPr>
        <w:shd w:val="clear" w:color="9CBBD5" w:themeColor="accent1" w:themeTint="EA" w:fill="9CBBD5" w:themeFill="accent1" w:themeFillTint="EA"/>
      </w:tcPr>
    </w:tblStylePr>
    <w:tblStylePr w:type="lastRow">
      <w:rPr>
        <w:rFonts w:ascii="Arial" w:hAnsi="Arial"/>
        <w:color w:val="F2F2F2"/>
        <w:sz w:val="22"/>
      </w:rPr>
      <w:tblPr/>
      <w:tcPr>
        <w:shd w:val="clear" w:color="9CBBD5" w:themeColor="accent1" w:themeTint="EA" w:fill="9CBBD5" w:themeFill="accent1" w:themeFillTint="EA"/>
      </w:tcPr>
    </w:tblStylePr>
    <w:tblStylePr w:type="firstCol">
      <w:rPr>
        <w:rFonts w:ascii="Arial" w:hAnsi="Arial"/>
        <w:color w:val="F2F2F2"/>
        <w:sz w:val="22"/>
      </w:rPr>
      <w:tblPr/>
      <w:tcPr>
        <w:shd w:val="clear" w:color="9CBBD5" w:themeColor="accent1" w:themeTint="EA" w:fill="9CBBD5" w:themeFill="accent1" w:themeFillTint="EA"/>
      </w:tcPr>
    </w:tblStylePr>
    <w:tblStylePr w:type="lastCol">
      <w:rPr>
        <w:rFonts w:ascii="Arial" w:hAnsi="Arial"/>
        <w:color w:val="F2F2F2"/>
        <w:sz w:val="22"/>
      </w:rPr>
      <w:tblPr/>
      <w:tcPr>
        <w:shd w:val="clear" w:color="9CBBD5" w:themeColor="accent1" w:themeTint="EA" w:fill="9CBBD5"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DDE7F0" w:themeColor="accent1" w:themeTint="50" w:fill="DDE7F0"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DDE7F0" w:themeColor="accent1" w:themeTint="50" w:fill="DDE7F0"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uk-UA"/>
    </w:rPr>
    <w:tblPr>
      <w:tblStyleRowBandSize w:val="1"/>
      <w:tblStyleColBandSize w:val="1"/>
      <w:tblBorders>
        <w:top w:val="single" w:sz="4" w:space="0" w:color="8F461A" w:themeColor="accent2" w:themeShade="95"/>
        <w:left w:val="single" w:sz="4" w:space="0" w:color="8F461A" w:themeColor="accent2" w:themeShade="95"/>
        <w:bottom w:val="single" w:sz="4" w:space="0" w:color="8F461A" w:themeColor="accent2" w:themeShade="95"/>
        <w:right w:val="single" w:sz="4" w:space="0" w:color="8F461A" w:themeColor="accent2" w:themeShade="95"/>
        <w:insideH w:val="single" w:sz="4" w:space="0" w:color="8F461A" w:themeColor="accent2" w:themeShade="95"/>
        <w:insideV w:val="single" w:sz="4" w:space="0" w:color="8F461A" w:themeColor="accent2" w:themeShade="95"/>
      </w:tblBorders>
    </w:tblPr>
    <w:tblStylePr w:type="firstRow">
      <w:rPr>
        <w:rFonts w:ascii="Arial" w:hAnsi="Arial"/>
        <w:color w:val="F2F2F2"/>
        <w:sz w:val="22"/>
      </w:rPr>
      <w:tblPr/>
      <w:tcPr>
        <w:shd w:val="clear" w:color="EAB391" w:themeColor="accent2" w:themeTint="97" w:fill="EAB391" w:themeFill="accent2" w:themeFillTint="97"/>
      </w:tcPr>
    </w:tblStylePr>
    <w:tblStylePr w:type="lastRow">
      <w:rPr>
        <w:rFonts w:ascii="Arial" w:hAnsi="Arial"/>
        <w:color w:val="F2F2F2"/>
        <w:sz w:val="22"/>
      </w:rPr>
      <w:tblPr/>
      <w:tcPr>
        <w:shd w:val="clear" w:color="EAB391" w:themeColor="accent2" w:themeTint="97" w:fill="EAB391" w:themeFill="accent2" w:themeFillTint="97"/>
      </w:tcPr>
    </w:tblStylePr>
    <w:tblStylePr w:type="firstCol">
      <w:rPr>
        <w:rFonts w:ascii="Arial" w:hAnsi="Arial"/>
        <w:color w:val="F2F2F2"/>
        <w:sz w:val="22"/>
      </w:rPr>
      <w:tblPr/>
      <w:tcPr>
        <w:shd w:val="clear" w:color="EAB391" w:themeColor="accent2" w:themeTint="97" w:fill="EAB391" w:themeFill="accent2" w:themeFillTint="97"/>
      </w:tcPr>
    </w:tblStylePr>
    <w:tblStylePr w:type="lastCol">
      <w:rPr>
        <w:rFonts w:ascii="Arial" w:hAnsi="Arial"/>
        <w:color w:val="F2F2F2"/>
        <w:sz w:val="22"/>
      </w:rPr>
      <w:tblPr/>
      <w:tcPr>
        <w:shd w:val="clear" w:color="EAB391" w:themeColor="accent2" w:themeTint="97" w:fill="EAB391"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8E5DA" w:themeColor="accent2" w:themeTint="32" w:fill="F8E5DA"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8E5DA" w:themeColor="accent2" w:themeTint="32" w:fill="F8E5DA"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uk-UA"/>
    </w:rPr>
    <w:tblPr>
      <w:tblStyleRowBandSize w:val="1"/>
      <w:tblStyleColBandSize w:val="1"/>
      <w:tblBorders>
        <w:top w:val="single" w:sz="4" w:space="0" w:color="636946" w:themeColor="accent3" w:themeShade="95"/>
        <w:left w:val="single" w:sz="4" w:space="0" w:color="636946" w:themeColor="accent3" w:themeShade="95"/>
        <w:bottom w:val="single" w:sz="4" w:space="0" w:color="636946" w:themeColor="accent3" w:themeShade="95"/>
        <w:right w:val="single" w:sz="4" w:space="0" w:color="636946" w:themeColor="accent3" w:themeShade="95"/>
        <w:insideH w:val="single" w:sz="4" w:space="0" w:color="636946" w:themeColor="accent3" w:themeShade="95"/>
        <w:insideV w:val="single" w:sz="4" w:space="0" w:color="636946" w:themeColor="accent3" w:themeShade="95"/>
      </w:tblBorders>
    </w:tblPr>
    <w:tblStylePr w:type="firstRow">
      <w:rPr>
        <w:rFonts w:ascii="Arial" w:hAnsi="Arial"/>
        <w:color w:val="F2F2F2"/>
        <w:sz w:val="22"/>
      </w:rPr>
      <w:tblPr/>
      <w:tcPr>
        <w:shd w:val="clear" w:color="A5AB81" w:themeColor="accent3" w:themeTint="FE" w:fill="A5AB81" w:themeFill="accent3" w:themeFillTint="FE"/>
      </w:tcPr>
    </w:tblStylePr>
    <w:tblStylePr w:type="lastRow">
      <w:rPr>
        <w:rFonts w:ascii="Arial" w:hAnsi="Arial"/>
        <w:color w:val="F2F2F2"/>
        <w:sz w:val="22"/>
      </w:rPr>
      <w:tblPr/>
      <w:tcPr>
        <w:shd w:val="clear" w:color="A5AB81" w:themeColor="accent3" w:themeTint="FE" w:fill="A5AB81" w:themeFill="accent3" w:themeFillTint="FE"/>
      </w:tcPr>
    </w:tblStylePr>
    <w:tblStylePr w:type="firstCol">
      <w:rPr>
        <w:rFonts w:ascii="Arial" w:hAnsi="Arial"/>
        <w:color w:val="F2F2F2"/>
        <w:sz w:val="22"/>
      </w:rPr>
      <w:tblPr/>
      <w:tcPr>
        <w:shd w:val="clear" w:color="A5AB81" w:themeColor="accent3" w:themeTint="FE" w:fill="A5AB81" w:themeFill="accent3" w:themeFillTint="FE"/>
      </w:tcPr>
    </w:tblStylePr>
    <w:tblStylePr w:type="lastCol">
      <w:rPr>
        <w:rFonts w:ascii="Arial" w:hAnsi="Arial"/>
        <w:color w:val="F2F2F2"/>
        <w:sz w:val="22"/>
      </w:rPr>
      <w:tblPr/>
      <w:tcPr>
        <w:shd w:val="clear" w:color="A5AB81" w:themeColor="accent3" w:themeTint="FE" w:fill="A5AB81"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DE5" w:themeColor="accent3" w:themeTint="34" w:fill="ECEDE5"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DE5" w:themeColor="accent3" w:themeTint="34" w:fill="ECEDE5"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uk-UA"/>
    </w:rPr>
    <w:tblPr>
      <w:tblStyleRowBandSize w:val="1"/>
      <w:tblStyleColBandSize w:val="1"/>
      <w:tblBorders>
        <w:top w:val="single" w:sz="4" w:space="0" w:color="906E22" w:themeColor="accent4" w:themeShade="95"/>
        <w:left w:val="single" w:sz="4" w:space="0" w:color="906E22" w:themeColor="accent4" w:themeShade="95"/>
        <w:bottom w:val="single" w:sz="4" w:space="0" w:color="906E22" w:themeColor="accent4" w:themeShade="95"/>
        <w:right w:val="single" w:sz="4" w:space="0" w:color="906E22" w:themeColor="accent4" w:themeShade="95"/>
        <w:insideH w:val="single" w:sz="4" w:space="0" w:color="906E22" w:themeColor="accent4" w:themeShade="95"/>
        <w:insideV w:val="single" w:sz="4" w:space="0" w:color="906E22" w:themeColor="accent4" w:themeShade="95"/>
      </w:tblBorders>
    </w:tblPr>
    <w:tblStylePr w:type="firstRow">
      <w:rPr>
        <w:rFonts w:ascii="Arial" w:hAnsi="Arial"/>
        <w:color w:val="F2F2F2"/>
        <w:sz w:val="22"/>
      </w:rPr>
      <w:tblPr/>
      <w:tcPr>
        <w:shd w:val="clear" w:color="E7D09C" w:themeColor="accent4" w:themeTint="9A" w:fill="E7D09C" w:themeFill="accent4" w:themeFillTint="9A"/>
      </w:tcPr>
    </w:tblStylePr>
    <w:tblStylePr w:type="lastRow">
      <w:rPr>
        <w:rFonts w:ascii="Arial" w:hAnsi="Arial"/>
        <w:color w:val="F2F2F2"/>
        <w:sz w:val="22"/>
      </w:rPr>
      <w:tblPr/>
      <w:tcPr>
        <w:shd w:val="clear" w:color="E7D09C" w:themeColor="accent4" w:themeTint="9A" w:fill="E7D09C" w:themeFill="accent4" w:themeFillTint="9A"/>
      </w:tcPr>
    </w:tblStylePr>
    <w:tblStylePr w:type="firstCol">
      <w:rPr>
        <w:rFonts w:ascii="Arial" w:hAnsi="Arial"/>
        <w:color w:val="F2F2F2"/>
        <w:sz w:val="22"/>
      </w:rPr>
      <w:tblPr/>
      <w:tcPr>
        <w:shd w:val="clear" w:color="E7D09C" w:themeColor="accent4" w:themeTint="9A" w:fill="E7D09C" w:themeFill="accent4" w:themeFillTint="9A"/>
      </w:tcPr>
    </w:tblStylePr>
    <w:tblStylePr w:type="lastCol">
      <w:rPr>
        <w:rFonts w:ascii="Arial" w:hAnsi="Arial"/>
        <w:color w:val="F2F2F2"/>
        <w:sz w:val="22"/>
      </w:rPr>
      <w:tblPr/>
      <w:tcPr>
        <w:shd w:val="clear" w:color="E7D09C" w:themeColor="accent4" w:themeTint="9A" w:fill="E7D09C"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7EFDD" w:themeColor="accent4" w:themeTint="34" w:fill="F7EFDD"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7EFDD" w:themeColor="accent4" w:themeTint="34" w:fill="F7EFDD"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uk-UA"/>
    </w:rPr>
    <w:tblPr>
      <w:tblStyleRowBandSize w:val="1"/>
      <w:tblStyleColBandSize w:val="1"/>
      <w:tblBorders>
        <w:top w:val="single" w:sz="4" w:space="0" w:color="43655D" w:themeColor="accent5" w:themeShade="95"/>
        <w:left w:val="single" w:sz="4" w:space="0" w:color="43655D" w:themeColor="accent5" w:themeShade="95"/>
        <w:bottom w:val="single" w:sz="4" w:space="0" w:color="43655D" w:themeColor="accent5" w:themeShade="95"/>
        <w:right w:val="single" w:sz="4" w:space="0" w:color="43655D" w:themeColor="accent5" w:themeShade="95"/>
        <w:insideH w:val="single" w:sz="4" w:space="0" w:color="43655D" w:themeColor="accent5" w:themeShade="95"/>
        <w:insideV w:val="single" w:sz="4" w:space="0" w:color="43655D" w:themeColor="accent5" w:themeShade="95"/>
      </w:tblBorders>
    </w:tblPr>
    <w:tblStylePr w:type="firstRow">
      <w:rPr>
        <w:rFonts w:ascii="Arial" w:hAnsi="Arial"/>
        <w:color w:val="F2F2F2"/>
        <w:sz w:val="22"/>
      </w:rPr>
      <w:tblPr/>
      <w:tcPr>
        <w:shd w:val="clear" w:color="7BA79D" w:themeColor="accent5" w:fill="7BA79D" w:themeFill="accent5"/>
      </w:tcPr>
    </w:tblStylePr>
    <w:tblStylePr w:type="lastRow">
      <w:rPr>
        <w:rFonts w:ascii="Arial" w:hAnsi="Arial"/>
        <w:color w:val="F2F2F2"/>
        <w:sz w:val="22"/>
      </w:rPr>
      <w:tblPr/>
      <w:tcPr>
        <w:shd w:val="clear" w:color="7BA79D" w:themeColor="accent5" w:fill="7BA79D" w:themeFill="accent5"/>
      </w:tcPr>
    </w:tblStylePr>
    <w:tblStylePr w:type="firstCol">
      <w:rPr>
        <w:rFonts w:ascii="Arial" w:hAnsi="Arial"/>
        <w:color w:val="F2F2F2"/>
        <w:sz w:val="22"/>
      </w:rPr>
      <w:tblPr/>
      <w:tcPr>
        <w:shd w:val="clear" w:color="7BA79D" w:themeColor="accent5" w:fill="7BA79D" w:themeFill="accent5"/>
      </w:tcPr>
    </w:tblStylePr>
    <w:tblStylePr w:type="lastCol">
      <w:rPr>
        <w:rFonts w:ascii="Arial" w:hAnsi="Arial"/>
        <w:color w:val="F2F2F2"/>
        <w:sz w:val="22"/>
      </w:rPr>
      <w:tblPr/>
      <w:tcPr>
        <w:shd w:val="clear" w:color="7BA79D" w:themeColor="accent5" w:fill="7BA79D" w:themeFill="accent5"/>
      </w:tcPr>
    </w:tblStylePr>
    <w:tblStylePr w:type="band1Vert">
      <w:rPr>
        <w:rFonts w:ascii="Arial" w:hAnsi="Arial"/>
        <w:color w:val="404040"/>
        <w:sz w:val="22"/>
      </w:rPr>
    </w:tblStylePr>
    <w:tblStylePr w:type="band2Vert">
      <w:rPr>
        <w:rFonts w:ascii="Arial" w:hAnsi="Arial"/>
        <w:color w:val="404040"/>
        <w:sz w:val="22"/>
      </w:rPr>
      <w:tblPr/>
      <w:tcPr>
        <w:shd w:val="clear" w:color="E4EDEA" w:themeColor="accent5" w:themeTint="34" w:fill="E4EDEA"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E4EDEA" w:themeColor="accent5" w:themeTint="34" w:fill="E4EDEA"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uk-UA"/>
    </w:rPr>
    <w:tblPr>
      <w:tblStyleRowBandSize w:val="1"/>
      <w:tblStyleColBandSize w:val="1"/>
      <w:tblBorders>
        <w:top w:val="single" w:sz="4" w:space="0" w:color="585151" w:themeColor="accent6" w:themeShade="95"/>
        <w:left w:val="single" w:sz="4" w:space="0" w:color="585151" w:themeColor="accent6" w:themeShade="95"/>
        <w:bottom w:val="single" w:sz="4" w:space="0" w:color="585151" w:themeColor="accent6" w:themeShade="95"/>
        <w:right w:val="single" w:sz="4" w:space="0" w:color="585151" w:themeColor="accent6" w:themeShade="95"/>
        <w:insideH w:val="single" w:sz="4" w:space="0" w:color="585151" w:themeColor="accent6" w:themeShade="95"/>
        <w:insideV w:val="single" w:sz="4" w:space="0" w:color="585151" w:themeColor="accent6" w:themeShade="95"/>
      </w:tblBorders>
    </w:tblPr>
    <w:tblStylePr w:type="firstRow">
      <w:rPr>
        <w:rFonts w:ascii="Arial" w:hAnsi="Arial"/>
        <w:color w:val="F2F2F2"/>
        <w:sz w:val="22"/>
      </w:rPr>
      <w:tblPr/>
      <w:tcPr>
        <w:shd w:val="clear" w:color="968C8C" w:themeColor="accent6" w:fill="968C8C" w:themeFill="accent6"/>
      </w:tcPr>
    </w:tblStylePr>
    <w:tblStylePr w:type="lastRow">
      <w:rPr>
        <w:rFonts w:ascii="Arial" w:hAnsi="Arial"/>
        <w:color w:val="F2F2F2"/>
        <w:sz w:val="22"/>
      </w:rPr>
      <w:tblPr/>
      <w:tcPr>
        <w:shd w:val="clear" w:color="968C8C" w:themeColor="accent6" w:fill="968C8C" w:themeFill="accent6"/>
      </w:tcPr>
    </w:tblStylePr>
    <w:tblStylePr w:type="firstCol">
      <w:rPr>
        <w:rFonts w:ascii="Arial" w:hAnsi="Arial"/>
        <w:color w:val="F2F2F2"/>
        <w:sz w:val="22"/>
      </w:rPr>
      <w:tblPr/>
      <w:tcPr>
        <w:shd w:val="clear" w:color="968C8C" w:themeColor="accent6" w:fill="968C8C" w:themeFill="accent6"/>
      </w:tcPr>
    </w:tblStylePr>
    <w:tblStylePr w:type="lastCol">
      <w:rPr>
        <w:rFonts w:ascii="Arial" w:hAnsi="Arial"/>
        <w:color w:val="F2F2F2"/>
        <w:sz w:val="22"/>
      </w:rPr>
      <w:tblPr/>
      <w:tcPr>
        <w:shd w:val="clear" w:color="968C8C" w:themeColor="accent6" w:fill="968C8C"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9E7E7" w:themeColor="accent6" w:themeTint="34" w:fill="E9E7E7"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9E7E7" w:themeColor="accent6" w:themeTint="34" w:fill="E9E7E7"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D3E1EC" w:themeColor="accent1" w:themeTint="67"/>
        <w:left w:val="single" w:sz="4" w:space="0" w:color="D3E1EC" w:themeColor="accent1" w:themeTint="67"/>
        <w:bottom w:val="single" w:sz="4" w:space="0" w:color="D3E1EC" w:themeColor="accent1" w:themeTint="67"/>
        <w:right w:val="single" w:sz="4" w:space="0" w:color="D3E1EC" w:themeColor="accent1" w:themeTint="67"/>
        <w:insideH w:val="single" w:sz="4" w:space="0" w:color="D3E1EC" w:themeColor="accent1" w:themeTint="67"/>
        <w:insideV w:val="single" w:sz="4" w:space="0" w:color="D3E1EC" w:themeColor="accent1" w:themeTint="67"/>
      </w:tblBorders>
    </w:tblPr>
    <w:tblStylePr w:type="firstRow">
      <w:rPr>
        <w:rFonts w:ascii="Arial" w:hAnsi="Arial"/>
        <w:color w:val="404040"/>
        <w:sz w:val="22"/>
      </w:rPr>
      <w:tblPr/>
      <w:tcPr>
        <w:tcBorders>
          <w:bottom w:val="single" w:sz="12" w:space="0" w:color="94B6D2" w:themeColor="accent1"/>
        </w:tcBorders>
      </w:tcPr>
    </w:tblStylePr>
    <w:tblStylePr w:type="lastRow">
      <w:rPr>
        <w:rFonts w:ascii="Arial" w:hAnsi="Arial"/>
        <w:color w:val="404040"/>
        <w:sz w:val="22"/>
      </w:rPr>
      <w:tblPr/>
      <w:tcPr>
        <w:tcBorders>
          <w:top w:val="single" w:sz="12" w:space="0" w:color="94B6D2"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4B6D2" w:themeColor="accent1"/>
        </w:tcBorders>
      </w:tcPr>
    </w:tblStylePr>
    <w:tblStylePr w:type="band1Horz">
      <w:rPr>
        <w:rFonts w:ascii="Arial" w:hAnsi="Arial"/>
        <w:color w:val="404040"/>
        <w:sz w:val="22"/>
      </w:rPr>
      <w:tblPr/>
      <w:tcPr>
        <w:tcBorders>
          <w:top w:val="single" w:sz="4" w:space="0" w:color="D3E1EC" w:themeColor="accent1" w:themeTint="67"/>
          <w:left w:val="single" w:sz="4" w:space="0" w:color="D3E1EC" w:themeColor="accent1" w:themeTint="67"/>
          <w:bottom w:val="single" w:sz="4" w:space="0" w:color="D3E1EC" w:themeColor="accent1" w:themeTint="67"/>
          <w:right w:val="single" w:sz="4" w:space="0" w:color="D3E1EC"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1CBB4" w:themeColor="accent2" w:themeTint="67"/>
        <w:left w:val="single" w:sz="4" w:space="0" w:color="F1CBB4" w:themeColor="accent2" w:themeTint="67"/>
        <w:bottom w:val="single" w:sz="4" w:space="0" w:color="F1CBB4" w:themeColor="accent2" w:themeTint="67"/>
        <w:right w:val="single" w:sz="4" w:space="0" w:color="F1CBB4" w:themeColor="accent2" w:themeTint="67"/>
        <w:insideH w:val="single" w:sz="4" w:space="0" w:color="F1CBB4" w:themeColor="accent2" w:themeTint="67"/>
        <w:insideV w:val="single" w:sz="4" w:space="0" w:color="F1CBB4" w:themeColor="accent2" w:themeTint="67"/>
      </w:tblBorders>
    </w:tblPr>
    <w:tblStylePr w:type="firstRow">
      <w:rPr>
        <w:rFonts w:ascii="Arial" w:hAnsi="Arial"/>
        <w:color w:val="404040"/>
        <w:sz w:val="22"/>
      </w:rPr>
      <w:tblPr/>
      <w:tcPr>
        <w:tcBorders>
          <w:bottom w:val="single" w:sz="12" w:space="0" w:color="EAB391" w:themeColor="accent2" w:themeTint="97"/>
        </w:tcBorders>
      </w:tcPr>
    </w:tblStylePr>
    <w:tblStylePr w:type="lastRow">
      <w:rPr>
        <w:rFonts w:ascii="Arial" w:hAnsi="Arial"/>
        <w:color w:val="404040"/>
        <w:sz w:val="22"/>
      </w:rPr>
      <w:tblPr/>
      <w:tcPr>
        <w:tcBorders>
          <w:top w:val="single" w:sz="12" w:space="0" w:color="EAB391"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EAB391" w:themeColor="accent2" w:themeTint="97"/>
        </w:tcBorders>
      </w:tcPr>
    </w:tblStylePr>
    <w:tblStylePr w:type="band1Horz">
      <w:rPr>
        <w:rFonts w:ascii="Arial" w:hAnsi="Arial"/>
        <w:color w:val="404040"/>
        <w:sz w:val="22"/>
      </w:rPr>
      <w:tblPr/>
      <w:tcPr>
        <w:tcBorders>
          <w:top w:val="single" w:sz="4" w:space="0" w:color="F1CBB4" w:themeColor="accent2" w:themeTint="67"/>
          <w:left w:val="single" w:sz="4" w:space="0" w:color="F1CBB4" w:themeColor="accent2" w:themeTint="67"/>
          <w:bottom w:val="single" w:sz="4" w:space="0" w:color="F1CBB4" w:themeColor="accent2" w:themeTint="67"/>
          <w:right w:val="single" w:sz="4" w:space="0" w:color="F1CBB4"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DCC" w:themeColor="accent3" w:themeTint="67"/>
        <w:left w:val="single" w:sz="4" w:space="0" w:color="DADDCC" w:themeColor="accent3" w:themeTint="67"/>
        <w:bottom w:val="single" w:sz="4" w:space="0" w:color="DADDCC" w:themeColor="accent3" w:themeTint="67"/>
        <w:right w:val="single" w:sz="4" w:space="0" w:color="DADDCC" w:themeColor="accent3" w:themeTint="67"/>
        <w:insideH w:val="single" w:sz="4" w:space="0" w:color="DADDCC" w:themeColor="accent3" w:themeTint="67"/>
        <w:insideV w:val="single" w:sz="4" w:space="0" w:color="DADDCC" w:themeColor="accent3" w:themeTint="67"/>
      </w:tblBorders>
    </w:tblPr>
    <w:tblStylePr w:type="firstRow">
      <w:rPr>
        <w:rFonts w:ascii="Arial" w:hAnsi="Arial"/>
        <w:color w:val="404040"/>
        <w:sz w:val="22"/>
      </w:rPr>
      <w:tblPr/>
      <w:tcPr>
        <w:tcBorders>
          <w:bottom w:val="single" w:sz="12" w:space="0" w:color="C9CDB3" w:themeColor="accent3" w:themeTint="98"/>
        </w:tcBorders>
      </w:tcPr>
    </w:tblStylePr>
    <w:tblStylePr w:type="lastRow">
      <w:rPr>
        <w:rFonts w:ascii="Arial" w:hAnsi="Arial"/>
        <w:color w:val="404040"/>
        <w:sz w:val="22"/>
      </w:rPr>
      <w:tblPr/>
      <w:tcPr>
        <w:tcBorders>
          <w:top w:val="single" w:sz="12" w:space="0" w:color="C9CDB3"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DB3" w:themeColor="accent3" w:themeTint="98"/>
        </w:tcBorders>
      </w:tcPr>
    </w:tblStylePr>
    <w:tblStylePr w:type="band1Horz">
      <w:rPr>
        <w:rFonts w:ascii="Arial" w:hAnsi="Arial"/>
        <w:color w:val="404040"/>
        <w:sz w:val="22"/>
      </w:rPr>
      <w:tblPr/>
      <w:tcPr>
        <w:tcBorders>
          <w:top w:val="single" w:sz="4" w:space="0" w:color="DADDCC" w:themeColor="accent3" w:themeTint="67"/>
          <w:left w:val="single" w:sz="4" w:space="0" w:color="DADDCC" w:themeColor="accent3" w:themeTint="67"/>
          <w:bottom w:val="single" w:sz="4" w:space="0" w:color="DADDCC" w:themeColor="accent3" w:themeTint="67"/>
          <w:right w:val="single" w:sz="4" w:space="0" w:color="DADDCC"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EFDFBD" w:themeColor="accent4" w:themeTint="67"/>
        <w:left w:val="single" w:sz="4" w:space="0" w:color="EFDFBD" w:themeColor="accent4" w:themeTint="67"/>
        <w:bottom w:val="single" w:sz="4" w:space="0" w:color="EFDFBD" w:themeColor="accent4" w:themeTint="67"/>
        <w:right w:val="single" w:sz="4" w:space="0" w:color="EFDFBD" w:themeColor="accent4" w:themeTint="67"/>
        <w:insideH w:val="single" w:sz="4" w:space="0" w:color="EFDFBD" w:themeColor="accent4" w:themeTint="67"/>
        <w:insideV w:val="single" w:sz="4" w:space="0" w:color="EFDFBD" w:themeColor="accent4" w:themeTint="67"/>
      </w:tblBorders>
    </w:tblPr>
    <w:tblStylePr w:type="firstRow">
      <w:rPr>
        <w:rFonts w:ascii="Arial" w:hAnsi="Arial"/>
        <w:color w:val="404040"/>
        <w:sz w:val="22"/>
      </w:rPr>
      <w:tblPr/>
      <w:tcPr>
        <w:tcBorders>
          <w:bottom w:val="single" w:sz="12" w:space="0" w:color="E7D09C" w:themeColor="accent4" w:themeTint="9A"/>
        </w:tcBorders>
      </w:tcPr>
    </w:tblStylePr>
    <w:tblStylePr w:type="lastRow">
      <w:rPr>
        <w:rFonts w:ascii="Arial" w:hAnsi="Arial"/>
        <w:color w:val="404040"/>
        <w:sz w:val="22"/>
      </w:rPr>
      <w:tblPr/>
      <w:tcPr>
        <w:tcBorders>
          <w:top w:val="single" w:sz="12" w:space="0" w:color="E7D09C"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E7D09C" w:themeColor="accent4" w:themeTint="9A"/>
        </w:tcBorders>
      </w:tcPr>
    </w:tblStylePr>
    <w:tblStylePr w:type="band1Horz">
      <w:rPr>
        <w:rFonts w:ascii="Arial" w:hAnsi="Arial"/>
        <w:color w:val="404040"/>
        <w:sz w:val="22"/>
      </w:rPr>
      <w:tblPr/>
      <w:tcPr>
        <w:tcBorders>
          <w:top w:val="single" w:sz="4" w:space="0" w:color="EFDFBD" w:themeColor="accent4" w:themeTint="67"/>
          <w:left w:val="single" w:sz="4" w:space="0" w:color="EFDFBD" w:themeColor="accent4" w:themeTint="67"/>
          <w:bottom w:val="single" w:sz="4" w:space="0" w:color="EFDFBD" w:themeColor="accent4" w:themeTint="67"/>
          <w:right w:val="single" w:sz="4" w:space="0" w:color="EFDFBD"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C9DBD7" w:themeColor="accent5" w:themeTint="67"/>
        <w:left w:val="single" w:sz="4" w:space="0" w:color="C9DBD7" w:themeColor="accent5" w:themeTint="67"/>
        <w:bottom w:val="single" w:sz="4" w:space="0" w:color="C9DBD7" w:themeColor="accent5" w:themeTint="67"/>
        <w:right w:val="single" w:sz="4" w:space="0" w:color="C9DBD7" w:themeColor="accent5" w:themeTint="67"/>
        <w:insideH w:val="single" w:sz="4" w:space="0" w:color="C9DBD7" w:themeColor="accent5" w:themeTint="67"/>
        <w:insideV w:val="single" w:sz="4" w:space="0" w:color="C9DBD7" w:themeColor="accent5" w:themeTint="67"/>
      </w:tblBorders>
    </w:tblPr>
    <w:tblStylePr w:type="firstRow">
      <w:rPr>
        <w:rFonts w:ascii="Arial" w:hAnsi="Arial"/>
        <w:color w:val="404040"/>
        <w:sz w:val="22"/>
      </w:rPr>
      <w:tblPr/>
      <w:tcPr>
        <w:tcBorders>
          <w:bottom w:val="single" w:sz="12" w:space="0" w:color="AFC9C3" w:themeColor="accent5" w:themeTint="9A"/>
        </w:tcBorders>
      </w:tcPr>
    </w:tblStylePr>
    <w:tblStylePr w:type="lastRow">
      <w:rPr>
        <w:rFonts w:ascii="Arial" w:hAnsi="Arial"/>
        <w:color w:val="404040"/>
        <w:sz w:val="22"/>
      </w:rPr>
      <w:tblPr/>
      <w:tcPr>
        <w:tcBorders>
          <w:top w:val="single" w:sz="12" w:space="0" w:color="AFC9C3"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FC9C3" w:themeColor="accent5" w:themeTint="9A"/>
        </w:tcBorders>
      </w:tcPr>
    </w:tblStylePr>
    <w:tblStylePr w:type="band1Horz">
      <w:rPr>
        <w:rFonts w:ascii="Arial" w:hAnsi="Arial"/>
        <w:color w:val="404040"/>
        <w:sz w:val="22"/>
      </w:rPr>
      <w:tblPr/>
      <w:tcPr>
        <w:tcBorders>
          <w:top w:val="single" w:sz="4" w:space="0" w:color="C9DBD7" w:themeColor="accent5" w:themeTint="67"/>
          <w:left w:val="single" w:sz="4" w:space="0" w:color="C9DBD7" w:themeColor="accent5" w:themeTint="67"/>
          <w:bottom w:val="single" w:sz="4" w:space="0" w:color="C9DBD7" w:themeColor="accent5" w:themeTint="67"/>
          <w:right w:val="single" w:sz="4" w:space="0" w:color="C9DBD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D4D0D0" w:themeColor="accent6" w:themeTint="67"/>
        <w:left w:val="single" w:sz="4" w:space="0" w:color="D4D0D0" w:themeColor="accent6" w:themeTint="67"/>
        <w:bottom w:val="single" w:sz="4" w:space="0" w:color="D4D0D0" w:themeColor="accent6" w:themeTint="67"/>
        <w:right w:val="single" w:sz="4" w:space="0" w:color="D4D0D0" w:themeColor="accent6" w:themeTint="67"/>
        <w:insideH w:val="single" w:sz="4" w:space="0" w:color="D4D0D0" w:themeColor="accent6" w:themeTint="67"/>
        <w:insideV w:val="single" w:sz="4" w:space="0" w:color="D4D0D0" w:themeColor="accent6" w:themeTint="67"/>
      </w:tblBorders>
    </w:tblPr>
    <w:tblStylePr w:type="firstRow">
      <w:rPr>
        <w:rFonts w:ascii="Arial" w:hAnsi="Arial"/>
        <w:color w:val="404040"/>
        <w:sz w:val="22"/>
      </w:rPr>
      <w:tblPr/>
      <w:tcPr>
        <w:tcBorders>
          <w:bottom w:val="single" w:sz="12" w:space="0" w:color="C0BABA" w:themeColor="accent6" w:themeTint="98"/>
        </w:tcBorders>
      </w:tcPr>
    </w:tblStylePr>
    <w:tblStylePr w:type="lastRow">
      <w:rPr>
        <w:rFonts w:ascii="Arial" w:hAnsi="Arial"/>
        <w:color w:val="404040"/>
        <w:sz w:val="22"/>
      </w:rPr>
      <w:tblPr/>
      <w:tcPr>
        <w:tcBorders>
          <w:top w:val="single" w:sz="12" w:space="0" w:color="C0BABA"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0BABA" w:themeColor="accent6" w:themeTint="98"/>
        </w:tcBorders>
      </w:tcPr>
    </w:tblStylePr>
    <w:tblStylePr w:type="band1Horz">
      <w:rPr>
        <w:rFonts w:ascii="Arial" w:hAnsi="Arial"/>
        <w:color w:val="404040"/>
        <w:sz w:val="22"/>
      </w:rPr>
      <w:tblPr/>
      <w:tcPr>
        <w:tcBorders>
          <w:top w:val="single" w:sz="4" w:space="0" w:color="D4D0D0" w:themeColor="accent6" w:themeTint="67"/>
          <w:left w:val="single" w:sz="4" w:space="0" w:color="D4D0D0" w:themeColor="accent6" w:themeTint="67"/>
          <w:bottom w:val="single" w:sz="4" w:space="0" w:color="D4D0D0" w:themeColor="accent6" w:themeTint="67"/>
          <w:right w:val="single" w:sz="4" w:space="0" w:color="D4D0D0" w:themeColor="accent6" w:themeTint="67"/>
        </w:tcBorders>
      </w:tcPr>
    </w:tblStylePr>
  </w:style>
  <w:style w:type="character" w:customStyle="1" w:styleId="10">
    <w:name w:val="Заголовок 1 Знак"/>
    <w:basedOn w:val="a0"/>
    <w:link w:val="1"/>
    <w:uiPriority w:val="9"/>
    <w:rPr>
      <w:rFonts w:ascii="Arial" w:eastAsia="Arial" w:hAnsi="Arial" w:cs="Arial"/>
      <w:color w:val="548AB7" w:themeColor="accent1" w:themeShade="BF"/>
      <w:sz w:val="40"/>
      <w:szCs w:val="40"/>
    </w:rPr>
  </w:style>
  <w:style w:type="character" w:customStyle="1" w:styleId="20">
    <w:name w:val="Заголовок 2 Знак"/>
    <w:basedOn w:val="a0"/>
    <w:link w:val="2"/>
    <w:uiPriority w:val="9"/>
    <w:rPr>
      <w:rFonts w:ascii="Arial" w:eastAsia="Arial" w:hAnsi="Arial" w:cs="Arial"/>
      <w:color w:val="548AB7" w:themeColor="accent1" w:themeShade="BF"/>
      <w:sz w:val="32"/>
      <w:szCs w:val="32"/>
    </w:rPr>
  </w:style>
  <w:style w:type="character" w:customStyle="1" w:styleId="30">
    <w:name w:val="Заголовок 3 Знак"/>
    <w:basedOn w:val="a0"/>
    <w:link w:val="3"/>
    <w:uiPriority w:val="9"/>
    <w:rPr>
      <w:rFonts w:ascii="Arial" w:eastAsia="Arial" w:hAnsi="Arial" w:cs="Arial"/>
      <w:color w:val="548AB7" w:themeColor="accent1" w:themeShade="BF"/>
      <w:sz w:val="28"/>
      <w:szCs w:val="28"/>
    </w:rPr>
  </w:style>
  <w:style w:type="character" w:customStyle="1" w:styleId="40">
    <w:name w:val="Заголовок 4 Знак"/>
    <w:basedOn w:val="a0"/>
    <w:link w:val="4"/>
    <w:uiPriority w:val="9"/>
    <w:rPr>
      <w:rFonts w:ascii="Arial" w:eastAsia="Arial" w:hAnsi="Arial" w:cs="Arial"/>
      <w:i/>
      <w:iCs/>
      <w:color w:val="548AB7" w:themeColor="accent1" w:themeShade="BF"/>
    </w:rPr>
  </w:style>
  <w:style w:type="character" w:customStyle="1" w:styleId="50">
    <w:name w:val="Заголовок 5 Знак"/>
    <w:basedOn w:val="a0"/>
    <w:link w:val="5"/>
    <w:uiPriority w:val="9"/>
    <w:rPr>
      <w:rFonts w:ascii="Arial" w:eastAsia="Arial" w:hAnsi="Arial" w:cs="Arial"/>
      <w:color w:val="548AB7" w:themeColor="accent1" w:themeShade="BF"/>
    </w:rPr>
  </w:style>
  <w:style w:type="character" w:customStyle="1" w:styleId="60">
    <w:name w:val="Заголовок 6 Знак"/>
    <w:basedOn w:val="a0"/>
    <w:link w:val="6"/>
    <w:uiPriority w:val="9"/>
    <w:rPr>
      <w:rFonts w:ascii="Arial" w:eastAsia="Arial" w:hAnsi="Arial" w:cs="Arial"/>
      <w:i/>
      <w:iCs/>
      <w:color w:val="595959" w:themeColor="text1" w:themeTint="A6"/>
    </w:rPr>
  </w:style>
  <w:style w:type="character" w:customStyle="1" w:styleId="70">
    <w:name w:val="Заголовок 7 Знак"/>
    <w:basedOn w:val="a0"/>
    <w:link w:val="7"/>
    <w:uiPriority w:val="9"/>
    <w:rPr>
      <w:rFonts w:ascii="Arial" w:eastAsia="Arial" w:hAnsi="Arial" w:cs="Arial"/>
      <w:color w:val="595959" w:themeColor="text1" w:themeTint="A6"/>
    </w:rPr>
  </w:style>
  <w:style w:type="character" w:customStyle="1" w:styleId="80">
    <w:name w:val="Заголовок 8 Знак"/>
    <w:basedOn w:val="a0"/>
    <w:link w:val="8"/>
    <w:uiPriority w:val="9"/>
    <w:rPr>
      <w:rFonts w:ascii="Arial" w:eastAsia="Arial" w:hAnsi="Arial" w:cs="Arial"/>
      <w:i/>
      <w:iCs/>
      <w:color w:val="272727" w:themeColor="text1" w:themeTint="D8"/>
    </w:rPr>
  </w:style>
  <w:style w:type="character" w:customStyle="1" w:styleId="90">
    <w:name w:val="Заголовок 9 Знак"/>
    <w:basedOn w:val="a0"/>
    <w:link w:val="9"/>
    <w:uiPriority w:val="9"/>
    <w:rPr>
      <w:rFonts w:ascii="Arial" w:eastAsia="Arial" w:hAnsi="Arial" w:cs="Arial"/>
      <w:i/>
      <w:iCs/>
      <w:color w:val="272727" w:themeColor="text1" w:themeTint="D8"/>
    </w:rPr>
  </w:style>
  <w:style w:type="paragraph" w:styleId="a4">
    <w:name w:val="Title"/>
    <w:basedOn w:val="a"/>
    <w:next w:val="a"/>
    <w:link w:val="a5"/>
    <w:uiPriority w:val="10"/>
    <w:qFormat/>
    <w:pPr>
      <w:spacing w:after="80" w:line="240" w:lineRule="auto"/>
      <w:contextualSpacing/>
    </w:pPr>
    <w:rPr>
      <w:rFonts w:ascii="Arial" w:eastAsia="Arial" w:hAnsi="Arial" w:cs="Arial"/>
      <w:spacing w:val="-10"/>
      <w:sz w:val="56"/>
      <w:szCs w:val="56"/>
    </w:rPr>
  </w:style>
  <w:style w:type="character" w:customStyle="1" w:styleId="a5">
    <w:name w:val="Назва Знак"/>
    <w:basedOn w:val="a0"/>
    <w:link w:val="a4"/>
    <w:uiPriority w:val="10"/>
    <w:rPr>
      <w:rFonts w:ascii="Arial" w:eastAsia="Arial" w:hAnsi="Arial" w:cs="Arial"/>
      <w:spacing w:val="-10"/>
      <w:sz w:val="56"/>
      <w:szCs w:val="56"/>
    </w:rPr>
  </w:style>
  <w:style w:type="paragraph" w:styleId="a6">
    <w:name w:val="Subtitle"/>
    <w:basedOn w:val="a"/>
    <w:next w:val="a"/>
    <w:link w:val="a7"/>
    <w:uiPriority w:val="11"/>
    <w:qFormat/>
    <w:pPr>
      <w:numPr>
        <w:ilvl w:val="1"/>
      </w:numPr>
    </w:pPr>
    <w:rPr>
      <w:color w:val="595959" w:themeColor="text1" w:themeTint="A6"/>
      <w:spacing w:val="15"/>
      <w:sz w:val="28"/>
      <w:szCs w:val="28"/>
    </w:rPr>
  </w:style>
  <w:style w:type="character" w:customStyle="1" w:styleId="a7">
    <w:name w:val="Підзаголовок Знак"/>
    <w:basedOn w:val="a0"/>
    <w:link w:val="a6"/>
    <w:uiPriority w:val="11"/>
    <w:rPr>
      <w:color w:val="595959" w:themeColor="text1" w:themeTint="A6"/>
      <w:spacing w:val="15"/>
      <w:sz w:val="28"/>
      <w:szCs w:val="28"/>
    </w:rPr>
  </w:style>
  <w:style w:type="paragraph" w:styleId="a8">
    <w:name w:val="Quote"/>
    <w:basedOn w:val="a"/>
    <w:next w:val="a"/>
    <w:link w:val="a9"/>
    <w:uiPriority w:val="29"/>
    <w:qFormat/>
    <w:pPr>
      <w:spacing w:before="160"/>
      <w:jc w:val="center"/>
    </w:pPr>
    <w:rPr>
      <w:i/>
      <w:iCs/>
      <w:color w:val="404040" w:themeColor="text1" w:themeTint="BF"/>
    </w:rPr>
  </w:style>
  <w:style w:type="character" w:customStyle="1" w:styleId="a9">
    <w:name w:val="Цитата Знак"/>
    <w:basedOn w:val="a0"/>
    <w:link w:val="a8"/>
    <w:uiPriority w:val="29"/>
    <w:rPr>
      <w:i/>
      <w:iCs/>
      <w:color w:val="404040" w:themeColor="text1" w:themeTint="BF"/>
    </w:rPr>
  </w:style>
  <w:style w:type="character" w:styleId="aa">
    <w:name w:val="Intense Emphasis"/>
    <w:basedOn w:val="a0"/>
    <w:uiPriority w:val="21"/>
    <w:qFormat/>
    <w:rPr>
      <w:i/>
      <w:iCs/>
      <w:color w:val="548AB7" w:themeColor="accent1" w:themeShade="BF"/>
    </w:rPr>
  </w:style>
  <w:style w:type="paragraph" w:styleId="ab">
    <w:name w:val="Intense Quote"/>
    <w:basedOn w:val="a"/>
    <w:next w:val="a"/>
    <w:link w:val="ac"/>
    <w:uiPriority w:val="30"/>
    <w:qFormat/>
    <w:pPr>
      <w:pBdr>
        <w:top w:val="single" w:sz="4" w:space="10" w:color="548AB7" w:themeColor="accent1" w:themeShade="BF"/>
        <w:bottom w:val="single" w:sz="4" w:space="10" w:color="548AB7" w:themeColor="accent1" w:themeShade="BF"/>
      </w:pBdr>
      <w:spacing w:before="360" w:after="360"/>
      <w:ind w:left="864" w:right="864"/>
      <w:jc w:val="center"/>
    </w:pPr>
    <w:rPr>
      <w:i/>
      <w:iCs/>
      <w:color w:val="548AB7" w:themeColor="accent1" w:themeShade="BF"/>
    </w:rPr>
  </w:style>
  <w:style w:type="character" w:customStyle="1" w:styleId="ac">
    <w:name w:val="Насичена цитата Знак"/>
    <w:basedOn w:val="a0"/>
    <w:link w:val="ab"/>
    <w:uiPriority w:val="30"/>
    <w:rPr>
      <w:i/>
      <w:iCs/>
      <w:color w:val="548AB7" w:themeColor="accent1" w:themeShade="BF"/>
    </w:rPr>
  </w:style>
  <w:style w:type="character" w:styleId="ad">
    <w:name w:val="Intense Reference"/>
    <w:basedOn w:val="a0"/>
    <w:uiPriority w:val="32"/>
    <w:qFormat/>
    <w:rPr>
      <w:b/>
      <w:bCs/>
      <w:smallCaps/>
      <w:color w:val="548AB7" w:themeColor="accent1" w:themeShade="BF"/>
      <w:spacing w:val="5"/>
    </w:rPr>
  </w:style>
  <w:style w:type="character" w:styleId="ae">
    <w:name w:val="Subtle Emphasis"/>
    <w:basedOn w:val="a0"/>
    <w:uiPriority w:val="19"/>
    <w:qFormat/>
    <w:rPr>
      <w:i/>
      <w:iCs/>
      <w:color w:val="404040" w:themeColor="text1" w:themeTint="BF"/>
    </w:rPr>
  </w:style>
  <w:style w:type="character" w:styleId="af">
    <w:name w:val="Emphasis"/>
    <w:basedOn w:val="a0"/>
    <w:uiPriority w:val="20"/>
    <w:qFormat/>
    <w:rPr>
      <w:i/>
      <w:iCs/>
    </w:rPr>
  </w:style>
  <w:style w:type="character" w:styleId="af0">
    <w:name w:val="Strong"/>
    <w:basedOn w:val="a0"/>
    <w:uiPriority w:val="22"/>
    <w:qFormat/>
    <w:rPr>
      <w:b/>
      <w:bCs/>
    </w:rPr>
  </w:style>
  <w:style w:type="character" w:styleId="af1">
    <w:name w:val="Subtle Reference"/>
    <w:basedOn w:val="a0"/>
    <w:uiPriority w:val="31"/>
    <w:qFormat/>
    <w:rPr>
      <w:smallCaps/>
      <w:color w:val="5A5A5A" w:themeColor="text1" w:themeTint="A5"/>
    </w:rPr>
  </w:style>
  <w:style w:type="character" w:styleId="af2">
    <w:name w:val="Book Title"/>
    <w:basedOn w:val="a0"/>
    <w:uiPriority w:val="33"/>
    <w:qFormat/>
    <w:rPr>
      <w:b/>
      <w:bCs/>
      <w:i/>
      <w:iCs/>
      <w:spacing w:val="5"/>
    </w:rPr>
  </w:style>
  <w:style w:type="paragraph" w:styleId="af3">
    <w:name w:val="header"/>
    <w:basedOn w:val="a"/>
    <w:link w:val="af4"/>
    <w:uiPriority w:val="99"/>
    <w:unhideWhenUsed/>
    <w:pPr>
      <w:tabs>
        <w:tab w:val="center" w:pos="4844"/>
        <w:tab w:val="right" w:pos="9689"/>
      </w:tabs>
      <w:spacing w:after="0" w:line="240" w:lineRule="auto"/>
    </w:pPr>
  </w:style>
  <w:style w:type="character" w:customStyle="1" w:styleId="af4">
    <w:name w:val="Верхній колонтитул Знак"/>
    <w:basedOn w:val="a0"/>
    <w:link w:val="af3"/>
    <w:uiPriority w:val="99"/>
  </w:style>
  <w:style w:type="paragraph" w:styleId="af5">
    <w:name w:val="footer"/>
    <w:basedOn w:val="a"/>
    <w:link w:val="af6"/>
    <w:uiPriority w:val="99"/>
    <w:unhideWhenUsed/>
    <w:pPr>
      <w:tabs>
        <w:tab w:val="center" w:pos="4844"/>
        <w:tab w:val="right" w:pos="9689"/>
      </w:tabs>
      <w:spacing w:after="0" w:line="240" w:lineRule="auto"/>
    </w:pPr>
  </w:style>
  <w:style w:type="character" w:customStyle="1" w:styleId="af6">
    <w:name w:val="Нижній колонтитул Знак"/>
    <w:basedOn w:val="a0"/>
    <w:link w:val="af5"/>
    <w:uiPriority w:val="99"/>
  </w:style>
  <w:style w:type="paragraph" w:styleId="af7">
    <w:name w:val="caption"/>
    <w:basedOn w:val="a"/>
    <w:next w:val="a"/>
    <w:uiPriority w:val="35"/>
    <w:unhideWhenUsed/>
    <w:qFormat/>
    <w:pPr>
      <w:spacing w:line="240" w:lineRule="auto"/>
    </w:pPr>
    <w:rPr>
      <w:i/>
      <w:iCs/>
      <w:color w:val="775F55" w:themeColor="text2"/>
      <w:sz w:val="18"/>
      <w:szCs w:val="18"/>
    </w:rPr>
  </w:style>
  <w:style w:type="paragraph" w:styleId="af8">
    <w:name w:val="footnote text"/>
    <w:basedOn w:val="a"/>
    <w:link w:val="af9"/>
    <w:uiPriority w:val="99"/>
    <w:semiHidden/>
    <w:unhideWhenUsed/>
    <w:pPr>
      <w:spacing w:after="0" w:line="240" w:lineRule="auto"/>
    </w:pPr>
    <w:rPr>
      <w:sz w:val="20"/>
      <w:szCs w:val="20"/>
    </w:rPr>
  </w:style>
  <w:style w:type="character" w:customStyle="1" w:styleId="af9">
    <w:name w:val="Текст виноски Знак"/>
    <w:basedOn w:val="a0"/>
    <w:link w:val="af8"/>
    <w:uiPriority w:val="99"/>
    <w:semiHidden/>
    <w:rPr>
      <w:sz w:val="20"/>
      <w:szCs w:val="20"/>
    </w:rPr>
  </w:style>
  <w:style w:type="character" w:styleId="afa">
    <w:name w:val="footnote reference"/>
    <w:basedOn w:val="a0"/>
    <w:uiPriority w:val="99"/>
    <w:semiHidden/>
    <w:unhideWhenUsed/>
    <w:rPr>
      <w:vertAlign w:val="superscript"/>
    </w:rPr>
  </w:style>
  <w:style w:type="paragraph" w:styleId="afb">
    <w:name w:val="endnote text"/>
    <w:basedOn w:val="a"/>
    <w:link w:val="afc"/>
    <w:uiPriority w:val="99"/>
    <w:semiHidden/>
    <w:unhideWhenUsed/>
    <w:pPr>
      <w:spacing w:after="0" w:line="240" w:lineRule="auto"/>
    </w:pPr>
    <w:rPr>
      <w:sz w:val="20"/>
      <w:szCs w:val="20"/>
    </w:rPr>
  </w:style>
  <w:style w:type="character" w:customStyle="1" w:styleId="afc">
    <w:name w:val="Текст кінцевої виноски Знак"/>
    <w:basedOn w:val="a0"/>
    <w:link w:val="afb"/>
    <w:uiPriority w:val="99"/>
    <w:semiHidden/>
    <w:rPr>
      <w:sz w:val="20"/>
      <w:szCs w:val="20"/>
    </w:rPr>
  </w:style>
  <w:style w:type="character" w:styleId="afd">
    <w:name w:val="endnote reference"/>
    <w:basedOn w:val="a0"/>
    <w:uiPriority w:val="99"/>
    <w:semiHidden/>
    <w:unhideWhenUsed/>
    <w:rPr>
      <w:vertAlign w:val="superscript"/>
    </w:rPr>
  </w:style>
  <w:style w:type="character" w:styleId="afe">
    <w:name w:val="Hyperlink"/>
    <w:basedOn w:val="a0"/>
    <w:uiPriority w:val="99"/>
    <w:unhideWhenUsed/>
    <w:rPr>
      <w:color w:val="F7B615" w:themeColor="hyperlink"/>
      <w:u w:val="single"/>
    </w:rPr>
  </w:style>
  <w:style w:type="character" w:styleId="aff">
    <w:name w:val="FollowedHyperlink"/>
    <w:basedOn w:val="a0"/>
    <w:uiPriority w:val="99"/>
    <w:semiHidden/>
    <w:unhideWhenUsed/>
    <w:rPr>
      <w:color w:val="704404" w:themeColor="followedHyperlink"/>
      <w:u w:val="single"/>
    </w:rPr>
  </w:style>
  <w:style w:type="paragraph" w:styleId="14">
    <w:name w:val="toc 1"/>
    <w:basedOn w:val="a"/>
    <w:next w:val="a"/>
    <w:uiPriority w:val="39"/>
    <w:unhideWhenUsed/>
    <w:pPr>
      <w:spacing w:after="100"/>
    </w:pPr>
  </w:style>
  <w:style w:type="paragraph" w:styleId="23">
    <w:name w:val="toc 2"/>
    <w:basedOn w:val="a"/>
    <w:next w:val="a"/>
    <w:uiPriority w:val="39"/>
    <w:unhideWhenUsed/>
    <w:pPr>
      <w:spacing w:after="100"/>
      <w:ind w:left="220"/>
    </w:pPr>
  </w:style>
  <w:style w:type="paragraph" w:styleId="33">
    <w:name w:val="toc 3"/>
    <w:basedOn w:val="a"/>
    <w:next w:val="a"/>
    <w:uiPriority w:val="39"/>
    <w:unhideWhenUsed/>
    <w:pPr>
      <w:spacing w:after="100"/>
      <w:ind w:left="440"/>
    </w:pPr>
  </w:style>
  <w:style w:type="paragraph" w:styleId="43">
    <w:name w:val="toc 4"/>
    <w:basedOn w:val="a"/>
    <w:next w:val="a"/>
    <w:uiPriority w:val="39"/>
    <w:unhideWhenUsed/>
    <w:pPr>
      <w:spacing w:after="100"/>
      <w:ind w:left="660"/>
    </w:pPr>
  </w:style>
  <w:style w:type="paragraph" w:styleId="54">
    <w:name w:val="toc 5"/>
    <w:basedOn w:val="a"/>
    <w:next w:val="a"/>
    <w:uiPriority w:val="39"/>
    <w:unhideWhenUsed/>
    <w:pPr>
      <w:spacing w:after="100"/>
      <w:ind w:left="880"/>
    </w:pPr>
  </w:style>
  <w:style w:type="paragraph" w:styleId="63">
    <w:name w:val="toc 6"/>
    <w:basedOn w:val="a"/>
    <w:next w:val="a"/>
    <w:uiPriority w:val="39"/>
    <w:unhideWhenUsed/>
    <w:pPr>
      <w:spacing w:after="100"/>
      <w:ind w:left="1100"/>
    </w:pPr>
  </w:style>
  <w:style w:type="paragraph" w:styleId="73">
    <w:name w:val="toc 7"/>
    <w:basedOn w:val="a"/>
    <w:next w:val="a"/>
    <w:uiPriority w:val="39"/>
    <w:unhideWhenUsed/>
    <w:pPr>
      <w:spacing w:after="100"/>
      <w:ind w:left="1320"/>
    </w:pPr>
  </w:style>
  <w:style w:type="paragraph" w:styleId="81">
    <w:name w:val="toc 8"/>
    <w:basedOn w:val="a"/>
    <w:next w:val="a"/>
    <w:uiPriority w:val="39"/>
    <w:unhideWhenUsed/>
    <w:pPr>
      <w:spacing w:after="100"/>
      <w:ind w:left="1540"/>
    </w:pPr>
  </w:style>
  <w:style w:type="paragraph" w:styleId="91">
    <w:name w:val="toc 9"/>
    <w:basedOn w:val="a"/>
    <w:next w:val="a"/>
    <w:uiPriority w:val="39"/>
    <w:unhideWhenUsed/>
    <w:pPr>
      <w:spacing w:after="100"/>
      <w:ind w:left="1760"/>
    </w:pPr>
  </w:style>
  <w:style w:type="character" w:styleId="aff0">
    <w:name w:val="Placeholder Text"/>
    <w:basedOn w:val="a0"/>
    <w:uiPriority w:val="99"/>
    <w:semiHidden/>
    <w:rPr>
      <w:color w:val="666666"/>
    </w:rPr>
  </w:style>
  <w:style w:type="paragraph" w:styleId="aff1">
    <w:name w:val="TOC Heading"/>
    <w:uiPriority w:val="39"/>
    <w:unhideWhenUsed/>
  </w:style>
  <w:style w:type="paragraph" w:styleId="aff2">
    <w:name w:val="table of figures"/>
    <w:basedOn w:val="a"/>
    <w:next w:val="a"/>
    <w:uiPriority w:val="99"/>
    <w:unhideWhenUsed/>
    <w:pPr>
      <w:spacing w:after="0"/>
    </w:pPr>
  </w:style>
  <w:style w:type="paragraph" w:styleId="aff3">
    <w:name w:val="No Spacing"/>
    <w:basedOn w:val="a"/>
    <w:uiPriority w:val="1"/>
    <w:qFormat/>
    <w:pPr>
      <w:spacing w:after="0" w:line="240" w:lineRule="auto"/>
    </w:pPr>
  </w:style>
  <w:style w:type="paragraph" w:styleId="aff4">
    <w:name w:val="List Paragraph"/>
    <w:basedOn w:val="a"/>
    <w:uiPriority w:val="34"/>
    <w:qFormat/>
    <w:pPr>
      <w:ind w:left="720"/>
      <w:contextualSpacing/>
    </w:pPr>
  </w:style>
  <w:style w:type="character" w:customStyle="1" w:styleId="fontstyle01">
    <w:name w:val="fontstyle01"/>
    <w:rPr>
      <w:rFonts w:ascii="Bold" w:hAnsi="Bold"/>
      <w:b/>
      <w:bCs/>
      <w:i w:val="0"/>
      <w:iCs w:val="0"/>
      <w:color w:val="242021"/>
      <w:sz w:val="24"/>
      <w:szCs w:val="24"/>
    </w:rPr>
  </w:style>
  <w:style w:type="character" w:customStyle="1" w:styleId="fontstyle11">
    <w:name w:val="fontstyle11"/>
    <w:rPr>
      <w:rFonts w:ascii="TimesNewRoman" w:hAnsi="TimesNewRoman"/>
      <w:b w:val="0"/>
      <w:bCs w:val="0"/>
      <w:i w:val="0"/>
      <w:iCs w:val="0"/>
      <w:color w:val="242021"/>
      <w:sz w:val="24"/>
      <w:szCs w:val="24"/>
    </w:rPr>
  </w:style>
  <w:style w:type="paragraph" w:customStyle="1" w:styleId="aff5">
    <w:name w:val="Основной текст"/>
    <w:pPr>
      <w:widowControl w:val="0"/>
      <w:pBdr>
        <w:top w:val="none" w:sz="4" w:space="0" w:color="000000"/>
        <w:left w:val="none" w:sz="4" w:space="0" w:color="000000"/>
        <w:bottom w:val="none" w:sz="4" w:space="0" w:color="000000"/>
        <w:right w:val="none" w:sz="4" w:space="0" w:color="000000"/>
        <w:between w:val="none" w:sz="4" w:space="0" w:color="000000"/>
      </w:pBdr>
      <w:shd w:val="clear" w:color="auto" w:fill="FFFFFF"/>
      <w:spacing w:after="0" w:line="259" w:lineRule="auto"/>
      <w:ind w:firstLine="20"/>
    </w:pPr>
    <w:rPr>
      <w:rFonts w:ascii="Times New Roman" w:eastAsia="Times New Roman" w:hAnsi="Times New Roman" w:cs="Times New Roman"/>
      <w:color w:val="000000"/>
      <w:sz w:val="26"/>
      <w:szCs w:val="26"/>
      <w:lang w:eastAsia="uk-UA" w:bidi="uk-UA"/>
    </w:rPr>
  </w:style>
  <w:style w:type="table" w:customStyle="1" w:styleId="15">
    <w:name w:val="Сітка таблиці1"/>
    <w:basedOn w:val="a1"/>
    <w:next w:val="a3"/>
    <w:uiPriority w:val="39"/>
    <w:pPr>
      <w:spacing w:after="0" w:line="240" w:lineRule="auto"/>
    </w:pPr>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a0"/>
    <w:uiPriority w:val="9"/>
    <w:rPr>
      <w:rFonts w:ascii="Arial" w:eastAsia="Arial" w:hAnsi="Arial" w:cs="Arial"/>
      <w:color w:val="306785"/>
      <w:sz w:val="40"/>
      <w:szCs w:val="40"/>
    </w:rPr>
  </w:style>
  <w:style w:type="character" w:customStyle="1" w:styleId="Heading2Char">
    <w:name w:val="Heading 2 Char"/>
    <w:basedOn w:val="a0"/>
    <w:uiPriority w:val="9"/>
    <w:rPr>
      <w:rFonts w:ascii="Arial" w:eastAsia="Arial" w:hAnsi="Arial" w:cs="Arial"/>
      <w:color w:val="306785"/>
      <w:sz w:val="32"/>
      <w:szCs w:val="32"/>
    </w:rPr>
  </w:style>
  <w:style w:type="character" w:customStyle="1" w:styleId="Heading3Char">
    <w:name w:val="Heading 3 Char"/>
    <w:basedOn w:val="a0"/>
    <w:uiPriority w:val="9"/>
    <w:rPr>
      <w:rFonts w:ascii="Arial" w:eastAsia="Arial" w:hAnsi="Arial" w:cs="Arial"/>
      <w:color w:val="306785"/>
      <w:sz w:val="28"/>
      <w:szCs w:val="28"/>
    </w:rPr>
  </w:style>
  <w:style w:type="character" w:customStyle="1" w:styleId="Heading4Char">
    <w:name w:val="Heading 4 Char"/>
    <w:basedOn w:val="a0"/>
    <w:uiPriority w:val="9"/>
    <w:rPr>
      <w:rFonts w:ascii="Arial" w:eastAsia="Arial" w:hAnsi="Arial" w:cs="Arial"/>
      <w:i/>
      <w:iCs/>
      <w:color w:val="306785"/>
    </w:rPr>
  </w:style>
  <w:style w:type="character" w:customStyle="1" w:styleId="Heading5Char">
    <w:name w:val="Heading 5 Char"/>
    <w:basedOn w:val="a0"/>
    <w:uiPriority w:val="9"/>
    <w:rPr>
      <w:rFonts w:ascii="Arial" w:eastAsia="Arial" w:hAnsi="Arial" w:cs="Arial"/>
      <w:color w:val="306785"/>
    </w:rPr>
  </w:style>
  <w:style w:type="character" w:customStyle="1" w:styleId="Heading6Char">
    <w:name w:val="Heading 6 Char"/>
    <w:basedOn w:val="a0"/>
    <w:uiPriority w:val="9"/>
    <w:rPr>
      <w:rFonts w:ascii="Arial" w:eastAsia="Arial" w:hAnsi="Arial" w:cs="Arial"/>
      <w:i/>
      <w:iCs/>
      <w:color w:val="595959"/>
    </w:rPr>
  </w:style>
  <w:style w:type="character" w:customStyle="1" w:styleId="Heading7Char">
    <w:name w:val="Heading 7 Char"/>
    <w:basedOn w:val="a0"/>
    <w:uiPriority w:val="9"/>
    <w:rPr>
      <w:rFonts w:ascii="Arial" w:eastAsia="Arial" w:hAnsi="Arial" w:cs="Arial"/>
      <w:color w:val="595959"/>
    </w:rPr>
  </w:style>
  <w:style w:type="character" w:customStyle="1" w:styleId="Heading8Char">
    <w:name w:val="Heading 8 Char"/>
    <w:basedOn w:val="a0"/>
    <w:uiPriority w:val="9"/>
    <w:rPr>
      <w:rFonts w:ascii="Arial" w:eastAsia="Arial" w:hAnsi="Arial" w:cs="Arial"/>
      <w:i/>
      <w:iCs/>
      <w:color w:val="272727"/>
    </w:rPr>
  </w:style>
  <w:style w:type="character" w:customStyle="1" w:styleId="Heading9Char">
    <w:name w:val="Heading 9 Char"/>
    <w:basedOn w:val="a0"/>
    <w:uiPriority w:val="9"/>
    <w:rPr>
      <w:rFonts w:ascii="Arial" w:eastAsia="Arial" w:hAnsi="Arial" w:cs="Arial"/>
      <w:i/>
      <w:iCs/>
      <w:color w:val="272727"/>
    </w:rPr>
  </w:style>
  <w:style w:type="character" w:customStyle="1" w:styleId="TitleChar">
    <w:name w:val="Title Char"/>
    <w:basedOn w:val="a0"/>
    <w:uiPriority w:val="10"/>
    <w:rPr>
      <w:rFonts w:ascii="Arial" w:eastAsia="Arial" w:hAnsi="Arial" w:cs="Arial"/>
      <w:spacing w:val="-10"/>
      <w:sz w:val="56"/>
      <w:szCs w:val="56"/>
    </w:rPr>
  </w:style>
  <w:style w:type="character" w:customStyle="1" w:styleId="SubtitleChar">
    <w:name w:val="Subtitle Char"/>
    <w:basedOn w:val="a0"/>
    <w:uiPriority w:val="11"/>
    <w:rPr>
      <w:color w:val="595959"/>
      <w:spacing w:val="15"/>
      <w:sz w:val="28"/>
      <w:szCs w:val="28"/>
    </w:rPr>
  </w:style>
  <w:style w:type="character" w:customStyle="1" w:styleId="QuoteChar">
    <w:name w:val="Quote Char"/>
    <w:basedOn w:val="a0"/>
    <w:uiPriority w:val="29"/>
    <w:rPr>
      <w:i/>
      <w:iCs/>
      <w:color w:val="404040"/>
    </w:rPr>
  </w:style>
  <w:style w:type="character" w:customStyle="1" w:styleId="IntenseQuoteChar">
    <w:name w:val="Intense Quote Char"/>
    <w:basedOn w:val="a0"/>
    <w:uiPriority w:val="30"/>
    <w:rPr>
      <w:i/>
      <w:iCs/>
      <w:color w:val="306785"/>
    </w:rPr>
  </w:style>
  <w:style w:type="character" w:customStyle="1" w:styleId="HeaderChar">
    <w:name w:val="Header Char"/>
    <w:basedOn w:val="a0"/>
    <w:uiPriority w:val="99"/>
  </w:style>
  <w:style w:type="character" w:customStyle="1" w:styleId="FooterChar">
    <w:name w:val="Footer Char"/>
    <w:basedOn w:val="a0"/>
    <w:uiPriority w:val="99"/>
  </w:style>
  <w:style w:type="character" w:customStyle="1" w:styleId="FootnoteTextChar">
    <w:name w:val="Footnote Text Char"/>
    <w:basedOn w:val="a0"/>
    <w:uiPriority w:val="99"/>
    <w:semiHidden/>
    <w:rPr>
      <w:sz w:val="20"/>
      <w:szCs w:val="20"/>
    </w:rPr>
  </w:style>
  <w:style w:type="character" w:customStyle="1" w:styleId="EndnoteTextChar">
    <w:name w:val="Endnote Text Char"/>
    <w:basedOn w:val="a0"/>
    <w:uiPriority w:val="99"/>
    <w:semiHidden/>
    <w:rPr>
      <w:sz w:val="20"/>
      <w:szCs w:val="20"/>
    </w:rPr>
  </w:style>
  <w:style w:type="table" w:customStyle="1" w:styleId="710">
    <w:name w:val="Сітка таблиці 7 (кольорова)1"/>
    <w:basedOn w:val="a1"/>
    <w:next w:val="71"/>
    <w:uiPriority w:val="99"/>
    <w:pPr>
      <w:spacing w:after="0" w:line="240" w:lineRule="auto"/>
    </w:pPr>
    <w:tblPr>
      <w:tblStyleRowBandSize w:val="1"/>
      <w:tblStyleColBandSize w:val="1"/>
      <w:tblBorders>
        <w:bottom w:val="single" w:sz="4" w:space="0" w:color="7F7F7F"/>
        <w:right w:val="single" w:sz="4" w:space="0" w:color="7F7F7F"/>
        <w:insideH w:val="single" w:sz="4" w:space="0" w:color="7F7F7F"/>
        <w:insideV w:val="single" w:sz="4" w:space="0" w:color="7F7F7F"/>
      </w:tblBorders>
    </w:tblPr>
    <w:tblStylePr w:type="firstRow">
      <w:rPr>
        <w:rFonts w:ascii="Arial" w:hAnsi="Arial"/>
        <w:b/>
        <w:color w:val="7F7F7F"/>
        <w:sz w:val="22"/>
      </w:rPr>
      <w:tblPr/>
      <w:tcPr>
        <w:tcBorders>
          <w:top w:val="none" w:sz="4" w:space="0" w:color="000000"/>
          <w:left w:val="none" w:sz="4" w:space="0" w:color="000000"/>
          <w:bottom w:val="single" w:sz="4" w:space="0" w:color="7F7F7F"/>
          <w:right w:val="none" w:sz="4" w:space="0" w:color="000000"/>
        </w:tcBorders>
        <w:shd w:val="clear" w:color="FFFFFF" w:fill="FFFFFF"/>
      </w:tcPr>
    </w:tblStylePr>
    <w:tblStylePr w:type="lastRow">
      <w:rPr>
        <w:rFonts w:ascii="Arial" w:hAnsi="Arial"/>
        <w:b/>
        <w:color w:val="7F7F7F"/>
        <w:sz w:val="22"/>
      </w:rPr>
      <w:tblPr/>
      <w:tcPr>
        <w:tcBorders>
          <w:top w:val="single" w:sz="4" w:space="0" w:color="7F7F7F"/>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7F7F7F"/>
        <w:sz w:val="22"/>
      </w:rPr>
      <w:tblPr/>
      <w:tcPr>
        <w:tcBorders>
          <w:top w:val="none" w:sz="4" w:space="0" w:color="000000"/>
          <w:left w:val="none" w:sz="4" w:space="0" w:color="000000"/>
          <w:bottom w:val="none" w:sz="4" w:space="0" w:color="000000"/>
          <w:right w:val="single" w:sz="4" w:space="0" w:color="7F7F7F"/>
        </w:tcBorders>
        <w:shd w:val="clear" w:color="FFFFFF" w:fill="auto"/>
      </w:tcPr>
    </w:tblStylePr>
    <w:tblStylePr w:type="lastCol">
      <w:rPr>
        <w:rFonts w:ascii="Arial" w:hAnsi="Arial"/>
        <w:i/>
        <w:color w:val="7F7F7F"/>
        <w:sz w:val="22"/>
      </w:rPr>
      <w:tblPr/>
      <w:tcPr>
        <w:tcBorders>
          <w:top w:val="none" w:sz="4" w:space="0" w:color="000000"/>
          <w:left w:val="single" w:sz="4" w:space="0" w:color="7F7F7F"/>
          <w:bottom w:val="none" w:sz="4" w:space="0" w:color="000000"/>
          <w:right w:val="none" w:sz="4" w:space="0" w:color="000000"/>
        </w:tcBorders>
        <w:shd w:val="clear" w:color="FFFFFF" w:fill="auto"/>
      </w:tcPr>
    </w:tblStylePr>
    <w:tblStylePr w:type="band1Vert">
      <w:tblPr/>
      <w:tcPr>
        <w:shd w:val="clear" w:color="F2F2F2" w:fill="F2F2F2"/>
      </w:tcPr>
    </w:tblStylePr>
    <w:tblStylePr w:type="band1Horz">
      <w:rPr>
        <w:rFonts w:ascii="Arial" w:hAnsi="Arial"/>
        <w:color w:val="7F7F7F"/>
        <w:sz w:val="22"/>
      </w:rPr>
      <w:tblPr/>
      <w:tcPr>
        <w:shd w:val="clear" w:color="F2F2F2" w:fill="F2F2F2"/>
      </w:tcPr>
    </w:tblStylePr>
    <w:tblStylePr w:type="band2Horz">
      <w:rPr>
        <w:rFonts w:ascii="Arial" w:hAnsi="Arial"/>
        <w:color w:val="7F7F7F"/>
        <w:sz w:val="22"/>
      </w:rPr>
    </w:tblStylePr>
  </w:style>
  <w:style w:type="table" w:customStyle="1" w:styleId="GridTable7Colorful-Accent11">
    <w:name w:val="Grid Table 7 Colorful - Accent 11"/>
    <w:basedOn w:val="a1"/>
    <w:uiPriority w:val="99"/>
    <w:pPr>
      <w:spacing w:after="0" w:line="240" w:lineRule="auto"/>
    </w:pPr>
    <w:tblPr>
      <w:tblStyleRowBandSize w:val="1"/>
      <w:tblStyleColBandSize w:val="1"/>
      <w:tblBorders>
        <w:bottom w:val="single" w:sz="4" w:space="0" w:color="9CC4DB"/>
        <w:right w:val="single" w:sz="4" w:space="0" w:color="9CC4DB"/>
        <w:insideH w:val="single" w:sz="4" w:space="0" w:color="9CC4DB"/>
        <w:insideV w:val="single" w:sz="4" w:space="0" w:color="9CC4DB"/>
      </w:tblBorders>
    </w:tblPr>
    <w:tblStylePr w:type="firstRow">
      <w:rPr>
        <w:rFonts w:ascii="Arial" w:hAnsi="Arial"/>
        <w:b/>
        <w:color w:val="9CC4DB"/>
        <w:sz w:val="22"/>
      </w:rPr>
      <w:tblPr/>
      <w:tcPr>
        <w:tcBorders>
          <w:top w:val="none" w:sz="4" w:space="0" w:color="000000"/>
          <w:left w:val="none" w:sz="4" w:space="0" w:color="000000"/>
          <w:bottom w:val="single" w:sz="4" w:space="0" w:color="9CC4DB"/>
          <w:right w:val="none" w:sz="4" w:space="0" w:color="000000"/>
        </w:tcBorders>
        <w:shd w:val="clear" w:color="FFFFFF" w:fill="FFFFFF"/>
      </w:tcPr>
    </w:tblStylePr>
    <w:tblStylePr w:type="lastRow">
      <w:rPr>
        <w:rFonts w:ascii="Arial" w:hAnsi="Arial"/>
        <w:b/>
        <w:color w:val="9CC4DB"/>
        <w:sz w:val="22"/>
      </w:rPr>
      <w:tblPr/>
      <w:tcPr>
        <w:tcBorders>
          <w:top w:val="single" w:sz="4" w:space="0" w:color="9CC4DB"/>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9CC4DB"/>
        <w:sz w:val="22"/>
      </w:rPr>
      <w:tblPr/>
      <w:tcPr>
        <w:tcBorders>
          <w:top w:val="none" w:sz="4" w:space="0" w:color="000000"/>
          <w:left w:val="none" w:sz="4" w:space="0" w:color="000000"/>
          <w:bottom w:val="none" w:sz="4" w:space="0" w:color="000000"/>
          <w:right w:val="single" w:sz="4" w:space="0" w:color="9CC4DB"/>
        </w:tcBorders>
        <w:shd w:val="clear" w:color="FFFFFF" w:fill="auto"/>
      </w:tcPr>
    </w:tblStylePr>
    <w:tblStylePr w:type="lastCol">
      <w:rPr>
        <w:rFonts w:ascii="Arial" w:hAnsi="Arial"/>
        <w:i/>
        <w:color w:val="9CC4DB"/>
        <w:sz w:val="22"/>
      </w:rPr>
      <w:tblPr/>
      <w:tcPr>
        <w:tcBorders>
          <w:top w:val="none" w:sz="4" w:space="0" w:color="000000"/>
          <w:left w:val="single" w:sz="4" w:space="0" w:color="9CC4DB"/>
          <w:bottom w:val="none" w:sz="4" w:space="0" w:color="000000"/>
          <w:right w:val="none" w:sz="4" w:space="0" w:color="000000"/>
        </w:tcBorders>
        <w:shd w:val="clear" w:color="FFFFFF" w:fill="auto"/>
      </w:tcPr>
    </w:tblStylePr>
    <w:tblStylePr w:type="band1Vert">
      <w:tblPr/>
      <w:tcPr>
        <w:shd w:val="clear" w:color="D7E7F0" w:fill="D7E7F0"/>
      </w:tcPr>
    </w:tblStylePr>
    <w:tblStylePr w:type="band1Horz">
      <w:rPr>
        <w:rFonts w:ascii="Arial" w:hAnsi="Arial"/>
        <w:color w:val="9CC4DB"/>
        <w:sz w:val="22"/>
      </w:rPr>
      <w:tblPr/>
      <w:tcPr>
        <w:shd w:val="clear" w:color="D7E7F0" w:fill="D7E7F0"/>
      </w:tcPr>
    </w:tblStylePr>
    <w:tblStylePr w:type="band2Horz">
      <w:rPr>
        <w:rFonts w:ascii="Arial" w:hAnsi="Arial"/>
        <w:color w:val="9CC4DB"/>
        <w:sz w:val="22"/>
      </w:rPr>
    </w:tblStylePr>
  </w:style>
  <w:style w:type="table" w:customStyle="1" w:styleId="GridTable7Colorful-Accent21">
    <w:name w:val="Grid Table 7 Colorful - Accent 21"/>
    <w:basedOn w:val="a1"/>
    <w:uiPriority w:val="99"/>
    <w:pPr>
      <w:spacing w:after="0" w:line="240" w:lineRule="auto"/>
    </w:pPr>
    <w:tblPr>
      <w:tblStyleRowBandSize w:val="1"/>
      <w:tblStyleColBandSize w:val="1"/>
      <w:tblBorders>
        <w:bottom w:val="single" w:sz="4" w:space="0" w:color="D3E172"/>
        <w:right w:val="single" w:sz="4" w:space="0" w:color="D3E172"/>
        <w:insideH w:val="single" w:sz="4" w:space="0" w:color="D3E172"/>
        <w:insideV w:val="single" w:sz="4" w:space="0" w:color="D3E172"/>
      </w:tblBorders>
    </w:tblPr>
    <w:tblStylePr w:type="firstRow">
      <w:rPr>
        <w:rFonts w:ascii="Arial" w:hAnsi="Arial"/>
        <w:b/>
        <w:color w:val="D3E172"/>
        <w:sz w:val="22"/>
      </w:rPr>
      <w:tblPr/>
      <w:tcPr>
        <w:tcBorders>
          <w:top w:val="none" w:sz="4" w:space="0" w:color="000000"/>
          <w:left w:val="none" w:sz="4" w:space="0" w:color="000000"/>
          <w:bottom w:val="single" w:sz="4" w:space="0" w:color="D3E172"/>
          <w:right w:val="none" w:sz="4" w:space="0" w:color="000000"/>
        </w:tcBorders>
        <w:shd w:val="clear" w:color="FFFFFF" w:fill="FFFFFF"/>
      </w:tcPr>
    </w:tblStylePr>
    <w:tblStylePr w:type="lastRow">
      <w:rPr>
        <w:rFonts w:ascii="Arial" w:hAnsi="Arial"/>
        <w:b/>
        <w:color w:val="D3E172"/>
        <w:sz w:val="22"/>
      </w:rPr>
      <w:tblPr/>
      <w:tcPr>
        <w:tcBorders>
          <w:top w:val="single" w:sz="4" w:space="0" w:color="D3E172"/>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D3E172"/>
        <w:sz w:val="22"/>
      </w:rPr>
      <w:tblPr/>
      <w:tcPr>
        <w:tcBorders>
          <w:top w:val="none" w:sz="4" w:space="0" w:color="000000"/>
          <w:left w:val="none" w:sz="4" w:space="0" w:color="000000"/>
          <w:bottom w:val="none" w:sz="4" w:space="0" w:color="000000"/>
          <w:right w:val="single" w:sz="4" w:space="0" w:color="D3E172"/>
        </w:tcBorders>
        <w:shd w:val="clear" w:color="FFFFFF" w:fill="auto"/>
      </w:tcPr>
    </w:tblStylePr>
    <w:tblStylePr w:type="lastCol">
      <w:rPr>
        <w:rFonts w:ascii="Arial" w:hAnsi="Arial"/>
        <w:i/>
        <w:color w:val="D3E172"/>
        <w:sz w:val="22"/>
      </w:rPr>
      <w:tblPr/>
      <w:tcPr>
        <w:tcBorders>
          <w:top w:val="none" w:sz="4" w:space="0" w:color="000000"/>
          <w:left w:val="single" w:sz="4" w:space="0" w:color="D3E172"/>
          <w:bottom w:val="none" w:sz="4" w:space="0" w:color="000000"/>
          <w:right w:val="none" w:sz="4" w:space="0" w:color="000000"/>
        </w:tcBorders>
        <w:shd w:val="clear" w:color="FFFFFF" w:fill="auto"/>
      </w:tcPr>
    </w:tblStylePr>
    <w:tblStylePr w:type="band1Vert">
      <w:tblPr/>
      <w:tcPr>
        <w:shd w:val="clear" w:color="F0F5D0" w:fill="F0F5D0"/>
      </w:tcPr>
    </w:tblStylePr>
    <w:tblStylePr w:type="band1Horz">
      <w:rPr>
        <w:rFonts w:ascii="Arial" w:hAnsi="Arial"/>
        <w:color w:val="D3E172"/>
        <w:sz w:val="22"/>
      </w:rPr>
      <w:tblPr/>
      <w:tcPr>
        <w:shd w:val="clear" w:color="F0F5D0" w:fill="F0F5D0"/>
      </w:tcPr>
    </w:tblStylePr>
    <w:tblStylePr w:type="band2Horz">
      <w:rPr>
        <w:rFonts w:ascii="Arial" w:hAnsi="Arial"/>
        <w:color w:val="D3E172"/>
        <w:sz w:val="22"/>
      </w:rPr>
    </w:tblStylePr>
  </w:style>
  <w:style w:type="table" w:customStyle="1" w:styleId="GridTable7Colorful-Accent31">
    <w:name w:val="Grid Table 7 Colorful - Accent 31"/>
    <w:basedOn w:val="a1"/>
    <w:uiPriority w:val="99"/>
    <w:pPr>
      <w:spacing w:after="0" w:line="240" w:lineRule="auto"/>
    </w:pPr>
    <w:tblPr>
      <w:tblStyleRowBandSize w:val="1"/>
      <w:tblStyleColBandSize w:val="1"/>
      <w:tblBorders>
        <w:bottom w:val="single" w:sz="4" w:space="0" w:color="F79200"/>
        <w:right w:val="single" w:sz="4" w:space="0" w:color="F79200"/>
        <w:insideH w:val="single" w:sz="4" w:space="0" w:color="F79200"/>
        <w:insideV w:val="single" w:sz="4" w:space="0" w:color="F79200"/>
      </w:tblBorders>
    </w:tblPr>
    <w:tblStylePr w:type="firstRow">
      <w:rPr>
        <w:rFonts w:ascii="Arial" w:hAnsi="Arial"/>
        <w:b/>
        <w:color w:val="F79200"/>
        <w:sz w:val="22"/>
      </w:rPr>
      <w:tblPr/>
      <w:tcPr>
        <w:tcBorders>
          <w:top w:val="none" w:sz="4" w:space="0" w:color="000000"/>
          <w:left w:val="none" w:sz="4" w:space="0" w:color="000000"/>
          <w:bottom w:val="single" w:sz="4" w:space="0" w:color="F79200"/>
          <w:right w:val="none" w:sz="4" w:space="0" w:color="000000"/>
        </w:tcBorders>
        <w:shd w:val="clear" w:color="FFFFFF" w:fill="FFFFFF"/>
      </w:tcPr>
    </w:tblStylePr>
    <w:tblStylePr w:type="lastRow">
      <w:rPr>
        <w:rFonts w:ascii="Arial" w:hAnsi="Arial"/>
        <w:b/>
        <w:color w:val="F79200"/>
        <w:sz w:val="22"/>
      </w:rPr>
      <w:tblPr/>
      <w:tcPr>
        <w:tcBorders>
          <w:top w:val="single" w:sz="4" w:space="0" w:color="F79200"/>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F79200"/>
        <w:sz w:val="22"/>
      </w:rPr>
      <w:tblPr/>
      <w:tcPr>
        <w:tcBorders>
          <w:top w:val="none" w:sz="4" w:space="0" w:color="000000"/>
          <w:left w:val="none" w:sz="4" w:space="0" w:color="000000"/>
          <w:bottom w:val="none" w:sz="4" w:space="0" w:color="000000"/>
          <w:right w:val="single" w:sz="4" w:space="0" w:color="F79200"/>
        </w:tcBorders>
        <w:shd w:val="clear" w:color="FFFFFF" w:fill="auto"/>
      </w:tcPr>
    </w:tblStylePr>
    <w:tblStylePr w:type="lastCol">
      <w:rPr>
        <w:rFonts w:ascii="Arial" w:hAnsi="Arial"/>
        <w:i/>
        <w:color w:val="F79200"/>
        <w:sz w:val="22"/>
      </w:rPr>
      <w:tblPr/>
      <w:tcPr>
        <w:tcBorders>
          <w:top w:val="none" w:sz="4" w:space="0" w:color="000000"/>
          <w:left w:val="single" w:sz="4" w:space="0" w:color="F79200"/>
          <w:bottom w:val="none" w:sz="4" w:space="0" w:color="000000"/>
          <w:right w:val="none" w:sz="4" w:space="0" w:color="000000"/>
        </w:tcBorders>
        <w:shd w:val="clear" w:color="FFFFFF" w:fill="auto"/>
      </w:tcPr>
    </w:tblStylePr>
    <w:tblStylePr w:type="band1Vert">
      <w:tblPr/>
      <w:tcPr>
        <w:shd w:val="clear" w:color="FFE8C9" w:fill="FFE8C9"/>
      </w:tcPr>
    </w:tblStylePr>
    <w:tblStylePr w:type="band1Horz">
      <w:rPr>
        <w:rFonts w:ascii="Arial" w:hAnsi="Arial"/>
        <w:color w:val="F79200"/>
        <w:sz w:val="22"/>
      </w:rPr>
      <w:tblPr/>
      <w:tcPr>
        <w:shd w:val="clear" w:color="FFE8C9" w:fill="FFE8C9"/>
      </w:tcPr>
    </w:tblStylePr>
    <w:tblStylePr w:type="band2Horz">
      <w:rPr>
        <w:rFonts w:ascii="Arial" w:hAnsi="Arial"/>
        <w:color w:val="F79200"/>
        <w:sz w:val="22"/>
      </w:rPr>
    </w:tblStylePr>
  </w:style>
  <w:style w:type="table" w:customStyle="1" w:styleId="GridTable7Colorful-Accent41">
    <w:name w:val="Grid Table 7 Colorful - Accent 41"/>
    <w:basedOn w:val="a1"/>
    <w:uiPriority w:val="99"/>
    <w:pPr>
      <w:spacing w:after="0" w:line="240" w:lineRule="auto"/>
    </w:pPr>
    <w:tblPr>
      <w:tblStyleRowBandSize w:val="1"/>
      <w:tblStyleColBandSize w:val="1"/>
      <w:tblBorders>
        <w:bottom w:val="single" w:sz="4" w:space="0" w:color="B4B4B4"/>
        <w:right w:val="single" w:sz="4" w:space="0" w:color="B4B4B4"/>
        <w:insideH w:val="single" w:sz="4" w:space="0" w:color="B4B4B4"/>
        <w:insideV w:val="single" w:sz="4" w:space="0" w:color="B4B4B4"/>
      </w:tblBorders>
    </w:tblPr>
    <w:tblStylePr w:type="firstRow">
      <w:rPr>
        <w:rFonts w:ascii="Arial" w:hAnsi="Arial"/>
        <w:b/>
        <w:color w:val="B4B4B4"/>
        <w:sz w:val="22"/>
      </w:rPr>
      <w:tblPr/>
      <w:tcPr>
        <w:tcBorders>
          <w:top w:val="none" w:sz="4" w:space="0" w:color="000000"/>
          <w:left w:val="none" w:sz="4" w:space="0" w:color="000000"/>
          <w:bottom w:val="single" w:sz="4" w:space="0" w:color="B4B4B4"/>
          <w:right w:val="none" w:sz="4" w:space="0" w:color="000000"/>
        </w:tcBorders>
        <w:shd w:val="clear" w:color="FFFFFF" w:fill="FFFFFF"/>
      </w:tcPr>
    </w:tblStylePr>
    <w:tblStylePr w:type="lastRow">
      <w:rPr>
        <w:rFonts w:ascii="Arial" w:hAnsi="Arial"/>
        <w:b/>
        <w:color w:val="B4B4B4"/>
        <w:sz w:val="22"/>
      </w:rPr>
      <w:tblPr/>
      <w:tcPr>
        <w:tcBorders>
          <w:top w:val="single" w:sz="4" w:space="0" w:color="B4B4B4"/>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B4B4B4"/>
        <w:sz w:val="22"/>
      </w:rPr>
      <w:tblPr/>
      <w:tcPr>
        <w:tcBorders>
          <w:top w:val="none" w:sz="4" w:space="0" w:color="000000"/>
          <w:left w:val="none" w:sz="4" w:space="0" w:color="000000"/>
          <w:bottom w:val="none" w:sz="4" w:space="0" w:color="000000"/>
          <w:right w:val="single" w:sz="4" w:space="0" w:color="B4B4B4"/>
        </w:tcBorders>
        <w:shd w:val="clear" w:color="FFFFFF" w:fill="auto"/>
      </w:tcPr>
    </w:tblStylePr>
    <w:tblStylePr w:type="lastCol">
      <w:rPr>
        <w:rFonts w:ascii="Arial" w:hAnsi="Arial"/>
        <w:i/>
        <w:color w:val="B4B4B4"/>
        <w:sz w:val="22"/>
      </w:rPr>
      <w:tblPr/>
      <w:tcPr>
        <w:tcBorders>
          <w:top w:val="none" w:sz="4" w:space="0" w:color="000000"/>
          <w:left w:val="single" w:sz="4" w:space="0" w:color="B4B4B4"/>
          <w:bottom w:val="none" w:sz="4" w:space="0" w:color="000000"/>
          <w:right w:val="none" w:sz="4" w:space="0" w:color="000000"/>
        </w:tcBorders>
        <w:shd w:val="clear" w:color="FFFFFF" w:fill="auto"/>
      </w:tcPr>
    </w:tblStylePr>
    <w:tblStylePr w:type="band1Vert">
      <w:tblPr/>
      <w:tcPr>
        <w:shd w:val="clear" w:color="E5E5E5" w:fill="E5E5E5"/>
      </w:tcPr>
    </w:tblStylePr>
    <w:tblStylePr w:type="band1Horz">
      <w:rPr>
        <w:rFonts w:ascii="Arial" w:hAnsi="Arial"/>
        <w:color w:val="B4B4B4"/>
        <w:sz w:val="22"/>
      </w:rPr>
      <w:tblPr/>
      <w:tcPr>
        <w:shd w:val="clear" w:color="E5E5E5" w:fill="E5E5E5"/>
      </w:tcPr>
    </w:tblStylePr>
    <w:tblStylePr w:type="band2Horz">
      <w:rPr>
        <w:rFonts w:ascii="Arial" w:hAnsi="Arial"/>
        <w:color w:val="B4B4B4"/>
        <w:sz w:val="22"/>
      </w:rPr>
    </w:tblStylePr>
  </w:style>
  <w:style w:type="table" w:customStyle="1" w:styleId="GridTable7Colorful-Accent51">
    <w:name w:val="Grid Table 7 Colorful - Accent 51"/>
    <w:basedOn w:val="a1"/>
    <w:uiPriority w:val="99"/>
    <w:pPr>
      <w:spacing w:after="0" w:line="240" w:lineRule="auto"/>
    </w:pPr>
    <w:tblPr>
      <w:tblStyleRowBandSize w:val="1"/>
      <w:tblStyleColBandSize w:val="1"/>
      <w:tblBorders>
        <w:bottom w:val="single" w:sz="4" w:space="0" w:color="FEDC72"/>
        <w:right w:val="single" w:sz="4" w:space="0" w:color="FEDC72"/>
        <w:insideH w:val="single" w:sz="4" w:space="0" w:color="FEDC72"/>
        <w:insideV w:val="single" w:sz="4" w:space="0" w:color="FEDC72"/>
      </w:tblBorders>
    </w:tblPr>
    <w:tblStylePr w:type="firstRow">
      <w:rPr>
        <w:rFonts w:ascii="Arial" w:hAnsi="Arial"/>
        <w:b/>
        <w:color w:val="977300"/>
        <w:sz w:val="22"/>
      </w:rPr>
      <w:tblPr/>
      <w:tcPr>
        <w:tcBorders>
          <w:top w:val="none" w:sz="4" w:space="0" w:color="000000"/>
          <w:left w:val="none" w:sz="4" w:space="0" w:color="000000"/>
          <w:bottom w:val="single" w:sz="4" w:space="0" w:color="FEDC72"/>
          <w:right w:val="none" w:sz="4" w:space="0" w:color="000000"/>
        </w:tcBorders>
        <w:shd w:val="clear" w:color="FFFFFF" w:fill="FFFFFF"/>
      </w:tcPr>
    </w:tblStylePr>
    <w:tblStylePr w:type="lastRow">
      <w:rPr>
        <w:rFonts w:ascii="Arial" w:hAnsi="Arial"/>
        <w:b/>
        <w:color w:val="977300"/>
        <w:sz w:val="22"/>
      </w:rPr>
      <w:tblPr/>
      <w:tcPr>
        <w:tcBorders>
          <w:top w:val="single" w:sz="4" w:space="0" w:color="FEDC72"/>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977300"/>
        <w:sz w:val="22"/>
      </w:rPr>
      <w:tblPr/>
      <w:tcPr>
        <w:tcBorders>
          <w:top w:val="none" w:sz="4" w:space="0" w:color="000000"/>
          <w:left w:val="none" w:sz="4" w:space="0" w:color="000000"/>
          <w:bottom w:val="none" w:sz="4" w:space="0" w:color="000000"/>
          <w:right w:val="single" w:sz="4" w:space="0" w:color="FEDC72"/>
        </w:tcBorders>
        <w:shd w:val="clear" w:color="FFFFFF" w:fill="auto"/>
      </w:tcPr>
    </w:tblStylePr>
    <w:tblStylePr w:type="lastCol">
      <w:rPr>
        <w:rFonts w:ascii="Arial" w:hAnsi="Arial"/>
        <w:i/>
        <w:color w:val="977300"/>
        <w:sz w:val="22"/>
      </w:rPr>
      <w:tblPr/>
      <w:tcPr>
        <w:tcBorders>
          <w:top w:val="none" w:sz="4" w:space="0" w:color="000000"/>
          <w:left w:val="single" w:sz="4" w:space="0" w:color="FEDC72"/>
          <w:bottom w:val="none" w:sz="4" w:space="0" w:color="000000"/>
          <w:right w:val="none" w:sz="4" w:space="0" w:color="000000"/>
        </w:tcBorders>
        <w:shd w:val="clear" w:color="FFFFFF" w:fill="auto"/>
      </w:tcPr>
    </w:tblStylePr>
    <w:tblStylePr w:type="band1Vert">
      <w:tblPr/>
      <w:tcPr>
        <w:shd w:val="clear" w:color="FEF2CC" w:fill="FEF2CC"/>
      </w:tcPr>
    </w:tblStylePr>
    <w:tblStylePr w:type="band1Horz">
      <w:rPr>
        <w:rFonts w:ascii="Arial" w:hAnsi="Arial"/>
        <w:color w:val="977300"/>
        <w:sz w:val="22"/>
      </w:rPr>
      <w:tblPr/>
      <w:tcPr>
        <w:shd w:val="clear" w:color="FEF2CC" w:fill="FEF2CC"/>
      </w:tcPr>
    </w:tblStylePr>
    <w:tblStylePr w:type="band2Horz">
      <w:rPr>
        <w:rFonts w:ascii="Arial" w:hAnsi="Arial"/>
        <w:color w:val="977300"/>
        <w:sz w:val="22"/>
      </w:rPr>
    </w:tblStylePr>
  </w:style>
  <w:style w:type="table" w:customStyle="1" w:styleId="GridTable7Colorful-Accent61">
    <w:name w:val="Grid Table 7 Colorful - Accent 61"/>
    <w:basedOn w:val="a1"/>
    <w:uiPriority w:val="99"/>
    <w:pPr>
      <w:spacing w:after="0" w:line="240" w:lineRule="auto"/>
    </w:pPr>
    <w:tblPr>
      <w:tblStyleRowBandSize w:val="1"/>
      <w:tblStyleColBandSize w:val="1"/>
      <w:tblBorders>
        <w:bottom w:val="single" w:sz="4" w:space="0" w:color="ED9D84"/>
        <w:right w:val="single" w:sz="4" w:space="0" w:color="ED9D84"/>
        <w:insideH w:val="single" w:sz="4" w:space="0" w:color="ED9D84"/>
        <w:insideV w:val="single" w:sz="4" w:space="0" w:color="ED9D84"/>
      </w:tblBorders>
    </w:tblPr>
    <w:tblStylePr w:type="firstRow">
      <w:rPr>
        <w:rFonts w:ascii="Arial" w:hAnsi="Arial"/>
        <w:b/>
        <w:color w:val="852E13"/>
        <w:sz w:val="22"/>
      </w:rPr>
      <w:tblPr/>
      <w:tcPr>
        <w:tcBorders>
          <w:top w:val="none" w:sz="4" w:space="0" w:color="000000"/>
          <w:left w:val="none" w:sz="4" w:space="0" w:color="000000"/>
          <w:bottom w:val="single" w:sz="4" w:space="0" w:color="ED9D84"/>
          <w:right w:val="none" w:sz="4" w:space="0" w:color="000000"/>
        </w:tcBorders>
        <w:shd w:val="clear" w:color="FFFFFF" w:fill="FFFFFF"/>
      </w:tcPr>
    </w:tblStylePr>
    <w:tblStylePr w:type="lastRow">
      <w:rPr>
        <w:rFonts w:ascii="Arial" w:hAnsi="Arial"/>
        <w:b/>
        <w:color w:val="852E13"/>
        <w:sz w:val="22"/>
      </w:rPr>
      <w:tblPr/>
      <w:tcPr>
        <w:tcBorders>
          <w:top w:val="single" w:sz="4" w:space="0" w:color="ED9D84"/>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852E13"/>
        <w:sz w:val="22"/>
      </w:rPr>
      <w:tblPr/>
      <w:tcPr>
        <w:tcBorders>
          <w:top w:val="none" w:sz="4" w:space="0" w:color="000000"/>
          <w:left w:val="none" w:sz="4" w:space="0" w:color="000000"/>
          <w:bottom w:val="none" w:sz="4" w:space="0" w:color="000000"/>
          <w:right w:val="single" w:sz="4" w:space="0" w:color="ED9D84"/>
        </w:tcBorders>
        <w:shd w:val="clear" w:color="FFFFFF" w:fill="auto"/>
      </w:tcPr>
    </w:tblStylePr>
    <w:tblStylePr w:type="lastCol">
      <w:rPr>
        <w:rFonts w:ascii="Arial" w:hAnsi="Arial"/>
        <w:i/>
        <w:color w:val="852E13"/>
        <w:sz w:val="22"/>
      </w:rPr>
      <w:tblPr/>
      <w:tcPr>
        <w:tcBorders>
          <w:top w:val="none" w:sz="4" w:space="0" w:color="000000"/>
          <w:left w:val="single" w:sz="4" w:space="0" w:color="ED9D84"/>
          <w:bottom w:val="none" w:sz="4" w:space="0" w:color="000000"/>
          <w:right w:val="none" w:sz="4" w:space="0" w:color="000000"/>
        </w:tcBorders>
        <w:shd w:val="clear" w:color="FFFFFF" w:fill="auto"/>
      </w:tcPr>
    </w:tblStylePr>
    <w:tblStylePr w:type="band1Vert">
      <w:tblPr/>
      <w:tcPr>
        <w:shd w:val="clear" w:color="F8DBD2" w:fill="F8DBD2"/>
      </w:tcPr>
    </w:tblStylePr>
    <w:tblStylePr w:type="band1Horz">
      <w:rPr>
        <w:rFonts w:ascii="Arial" w:hAnsi="Arial"/>
        <w:color w:val="852E13"/>
        <w:sz w:val="22"/>
      </w:rPr>
      <w:tblPr/>
      <w:tcPr>
        <w:shd w:val="clear" w:color="F8DBD2" w:fill="F8DBD2"/>
      </w:tcPr>
    </w:tblStylePr>
    <w:tblStylePr w:type="band2Horz">
      <w:rPr>
        <w:rFonts w:ascii="Arial" w:hAnsi="Arial"/>
        <w:color w:val="852E13"/>
        <w:sz w:val="22"/>
      </w:rPr>
    </w:tblStylePr>
  </w:style>
  <w:style w:type="table" w:customStyle="1" w:styleId="711">
    <w:name w:val="Список таблиці 7 (кольоровий)1"/>
    <w:basedOn w:val="a1"/>
    <w:next w:val="72"/>
    <w:uiPriority w:val="99"/>
    <w:pPr>
      <w:spacing w:after="0" w:line="240" w:lineRule="auto"/>
    </w:pPr>
    <w:tblPr>
      <w:tblStyleRowBandSize w:val="1"/>
      <w:tblStyleColBandSize w:val="1"/>
      <w:tblBorders>
        <w:right w:val="single" w:sz="4" w:space="0" w:color="7F7F7F"/>
      </w:tblBorders>
    </w:tblPr>
    <w:tblStylePr w:type="firstRow">
      <w:rPr>
        <w:rFonts w:ascii="Arial" w:hAnsi="Arial"/>
        <w:i/>
        <w:color w:val="7F7F7F"/>
        <w:sz w:val="22"/>
      </w:rPr>
      <w:tblPr/>
      <w:tcPr>
        <w:tcBorders>
          <w:top w:val="none" w:sz="4" w:space="0" w:color="000000"/>
          <w:left w:val="none" w:sz="4" w:space="0" w:color="000000"/>
          <w:bottom w:val="single" w:sz="4" w:space="0" w:color="7F7F7F"/>
          <w:right w:val="none" w:sz="4" w:space="0" w:color="000000"/>
        </w:tcBorders>
        <w:shd w:val="clear" w:color="FFFFFF" w:fill="FFFFFF"/>
      </w:tcPr>
    </w:tblStylePr>
    <w:tblStylePr w:type="lastRow">
      <w:rPr>
        <w:rFonts w:ascii="Arial" w:hAnsi="Arial"/>
        <w:i/>
        <w:color w:val="7F7F7F"/>
        <w:sz w:val="22"/>
      </w:rPr>
      <w:tblPr/>
      <w:tcPr>
        <w:tcBorders>
          <w:top w:val="single" w:sz="4" w:space="0" w:color="7F7F7F"/>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7F7F7F"/>
        <w:sz w:val="22"/>
      </w:rPr>
      <w:tblPr/>
      <w:tcPr>
        <w:tcBorders>
          <w:top w:val="none" w:sz="4" w:space="0" w:color="000000"/>
          <w:left w:val="none" w:sz="4" w:space="0" w:color="000000"/>
          <w:bottom w:val="none" w:sz="4" w:space="0" w:color="000000"/>
          <w:right w:val="single" w:sz="4" w:space="0" w:color="7F7F7F"/>
        </w:tcBorders>
        <w:shd w:val="clear" w:color="FFFFFF" w:fill="auto"/>
      </w:tcPr>
    </w:tblStylePr>
    <w:tblStylePr w:type="lastCol">
      <w:rPr>
        <w:rFonts w:ascii="Arial" w:hAnsi="Arial"/>
        <w:i/>
        <w:color w:val="7F7F7F"/>
        <w:sz w:val="22"/>
      </w:rPr>
      <w:tblPr/>
      <w:tcPr>
        <w:tcBorders>
          <w:top w:val="none" w:sz="4" w:space="0" w:color="000000"/>
          <w:left w:val="single" w:sz="4" w:space="0" w:color="7F7F7F"/>
          <w:bottom w:val="none" w:sz="4" w:space="0" w:color="000000"/>
          <w:right w:val="none" w:sz="4" w:space="0" w:color="000000"/>
        </w:tcBorders>
        <w:shd w:val="clear" w:color="FFFFFF" w:fill="auto"/>
      </w:tcPr>
    </w:tblStylePr>
    <w:tblStylePr w:type="band1Vert">
      <w:tblPr/>
      <w:tcPr>
        <w:shd w:val="clear" w:color="BFBFBF" w:fill="BFBFBF"/>
      </w:tcPr>
    </w:tblStylePr>
    <w:tblStylePr w:type="band1Horz">
      <w:rPr>
        <w:rFonts w:ascii="Arial" w:hAnsi="Arial"/>
        <w:color w:val="7F7F7F"/>
        <w:sz w:val="22"/>
      </w:rPr>
      <w:tblPr/>
      <w:tcPr>
        <w:shd w:val="clear" w:color="BFBFBF" w:fill="BFBFBF"/>
      </w:tcPr>
    </w:tblStylePr>
    <w:tblStylePr w:type="band2Horz">
      <w:rPr>
        <w:rFonts w:ascii="Arial" w:hAnsi="Arial"/>
        <w:color w:val="7F7F7F"/>
        <w:sz w:val="22"/>
      </w:rPr>
    </w:tblStylePr>
  </w:style>
  <w:style w:type="table" w:customStyle="1" w:styleId="ListTable7Colorful-Accent11">
    <w:name w:val="List Table 7 Colorful - Accent 11"/>
    <w:basedOn w:val="a1"/>
    <w:uiPriority w:val="99"/>
    <w:pPr>
      <w:spacing w:after="0" w:line="240" w:lineRule="auto"/>
    </w:pPr>
    <w:tblPr>
      <w:tblStyleRowBandSize w:val="1"/>
      <w:tblStyleColBandSize w:val="1"/>
      <w:tblBorders>
        <w:right w:val="single" w:sz="4" w:space="0" w:color="418AB3"/>
      </w:tblBorders>
    </w:tblPr>
    <w:tblStylePr w:type="firstRow">
      <w:rPr>
        <w:rFonts w:ascii="Arial" w:hAnsi="Arial"/>
        <w:i/>
        <w:color w:val="265068"/>
        <w:sz w:val="22"/>
      </w:rPr>
      <w:tblPr/>
      <w:tcPr>
        <w:tcBorders>
          <w:top w:val="none" w:sz="4" w:space="0" w:color="000000"/>
          <w:left w:val="none" w:sz="4" w:space="0" w:color="000000"/>
          <w:bottom w:val="single" w:sz="4" w:space="0" w:color="418AB3"/>
          <w:right w:val="none" w:sz="4" w:space="0" w:color="000000"/>
        </w:tcBorders>
        <w:shd w:val="clear" w:color="FFFFFF" w:fill="FFFFFF"/>
      </w:tcPr>
    </w:tblStylePr>
    <w:tblStylePr w:type="lastRow">
      <w:rPr>
        <w:rFonts w:ascii="Arial" w:hAnsi="Arial"/>
        <w:i/>
        <w:color w:val="265068"/>
        <w:sz w:val="22"/>
      </w:rPr>
      <w:tblPr/>
      <w:tcPr>
        <w:tcBorders>
          <w:top w:val="single" w:sz="4" w:space="0" w:color="418AB3"/>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265068"/>
        <w:sz w:val="22"/>
      </w:rPr>
      <w:tblPr/>
      <w:tcPr>
        <w:tcBorders>
          <w:top w:val="none" w:sz="4" w:space="0" w:color="000000"/>
          <w:left w:val="none" w:sz="4" w:space="0" w:color="000000"/>
          <w:bottom w:val="none" w:sz="4" w:space="0" w:color="000000"/>
          <w:right w:val="single" w:sz="4" w:space="0" w:color="418AB3"/>
        </w:tcBorders>
        <w:shd w:val="clear" w:color="FFFFFF" w:fill="auto"/>
      </w:tcPr>
    </w:tblStylePr>
    <w:tblStylePr w:type="lastCol">
      <w:rPr>
        <w:rFonts w:ascii="Arial" w:hAnsi="Arial"/>
        <w:i/>
        <w:color w:val="265068"/>
        <w:sz w:val="22"/>
      </w:rPr>
      <w:tblPr/>
      <w:tcPr>
        <w:tcBorders>
          <w:top w:val="none" w:sz="4" w:space="0" w:color="000000"/>
          <w:left w:val="single" w:sz="4" w:space="0" w:color="418AB3"/>
          <w:bottom w:val="none" w:sz="4" w:space="0" w:color="000000"/>
          <w:right w:val="none" w:sz="4" w:space="0" w:color="000000"/>
        </w:tcBorders>
        <w:shd w:val="clear" w:color="FFFFFF" w:fill="auto"/>
      </w:tcPr>
    </w:tblStylePr>
    <w:tblStylePr w:type="band1Vert">
      <w:tblPr/>
      <w:tcPr>
        <w:shd w:val="clear" w:color="CDE1ED" w:fill="CDE1ED"/>
      </w:tcPr>
    </w:tblStylePr>
    <w:tblStylePr w:type="band1Horz">
      <w:rPr>
        <w:rFonts w:ascii="Arial" w:hAnsi="Arial"/>
        <w:color w:val="265068"/>
        <w:sz w:val="22"/>
      </w:rPr>
      <w:tblPr/>
      <w:tcPr>
        <w:shd w:val="clear" w:color="CDE1ED" w:fill="CDE1ED"/>
      </w:tcPr>
    </w:tblStylePr>
    <w:tblStylePr w:type="band2Horz">
      <w:rPr>
        <w:rFonts w:ascii="Arial" w:hAnsi="Arial"/>
        <w:color w:val="265068"/>
        <w:sz w:val="22"/>
      </w:rPr>
    </w:tblStylePr>
  </w:style>
  <w:style w:type="table" w:customStyle="1" w:styleId="ListTable7Colorful-Accent21">
    <w:name w:val="List Table 7 Colorful - Accent 21"/>
    <w:basedOn w:val="a1"/>
    <w:uiPriority w:val="99"/>
    <w:pPr>
      <w:spacing w:after="0" w:line="240" w:lineRule="auto"/>
    </w:pPr>
    <w:tblPr>
      <w:tblStyleRowBandSize w:val="1"/>
      <w:tblStyleColBandSize w:val="1"/>
      <w:tblBorders>
        <w:right w:val="single" w:sz="4" w:space="0" w:color="D3E172"/>
      </w:tblBorders>
    </w:tblPr>
    <w:tblStylePr w:type="firstRow">
      <w:rPr>
        <w:rFonts w:ascii="Arial" w:hAnsi="Arial"/>
        <w:i/>
        <w:color w:val="D3E172"/>
        <w:sz w:val="22"/>
      </w:rPr>
      <w:tblPr/>
      <w:tcPr>
        <w:tcBorders>
          <w:top w:val="none" w:sz="4" w:space="0" w:color="000000"/>
          <w:left w:val="none" w:sz="4" w:space="0" w:color="000000"/>
          <w:bottom w:val="single" w:sz="4" w:space="0" w:color="D3E172"/>
          <w:right w:val="none" w:sz="4" w:space="0" w:color="000000"/>
        </w:tcBorders>
        <w:shd w:val="clear" w:color="FFFFFF" w:fill="FFFFFF"/>
      </w:tcPr>
    </w:tblStylePr>
    <w:tblStylePr w:type="lastRow">
      <w:rPr>
        <w:rFonts w:ascii="Arial" w:hAnsi="Arial"/>
        <w:i/>
        <w:color w:val="D3E172"/>
        <w:sz w:val="22"/>
      </w:rPr>
      <w:tblPr/>
      <w:tcPr>
        <w:tcBorders>
          <w:top w:val="single" w:sz="4" w:space="0" w:color="D3E172"/>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D3E172"/>
        <w:sz w:val="22"/>
      </w:rPr>
      <w:tblPr/>
      <w:tcPr>
        <w:tcBorders>
          <w:top w:val="none" w:sz="4" w:space="0" w:color="000000"/>
          <w:left w:val="none" w:sz="4" w:space="0" w:color="000000"/>
          <w:bottom w:val="none" w:sz="4" w:space="0" w:color="000000"/>
          <w:right w:val="single" w:sz="4" w:space="0" w:color="D3E172"/>
        </w:tcBorders>
        <w:shd w:val="clear" w:color="FFFFFF" w:fill="auto"/>
      </w:tcPr>
    </w:tblStylePr>
    <w:tblStylePr w:type="lastCol">
      <w:rPr>
        <w:rFonts w:ascii="Arial" w:hAnsi="Arial"/>
        <w:i/>
        <w:color w:val="D3E172"/>
        <w:sz w:val="22"/>
      </w:rPr>
      <w:tblPr/>
      <w:tcPr>
        <w:tcBorders>
          <w:top w:val="none" w:sz="4" w:space="0" w:color="000000"/>
          <w:left w:val="single" w:sz="4" w:space="0" w:color="D3E172"/>
          <w:bottom w:val="none" w:sz="4" w:space="0" w:color="000000"/>
          <w:right w:val="none" w:sz="4" w:space="0" w:color="000000"/>
        </w:tcBorders>
        <w:shd w:val="clear" w:color="FFFFFF" w:fill="auto"/>
      </w:tcPr>
    </w:tblStylePr>
    <w:tblStylePr w:type="band1Vert">
      <w:tblPr/>
      <w:tcPr>
        <w:shd w:val="clear" w:color="ECF2C3" w:fill="ECF2C3"/>
      </w:tcPr>
    </w:tblStylePr>
    <w:tblStylePr w:type="band1Horz">
      <w:rPr>
        <w:rFonts w:ascii="Arial" w:hAnsi="Arial"/>
        <w:color w:val="D3E172"/>
        <w:sz w:val="22"/>
      </w:rPr>
      <w:tblPr/>
      <w:tcPr>
        <w:shd w:val="clear" w:color="ECF2C3" w:fill="ECF2C3"/>
      </w:tcPr>
    </w:tblStylePr>
    <w:tblStylePr w:type="band2Horz">
      <w:rPr>
        <w:rFonts w:ascii="Arial" w:hAnsi="Arial"/>
        <w:color w:val="D3E172"/>
        <w:sz w:val="22"/>
      </w:rPr>
    </w:tblStylePr>
  </w:style>
  <w:style w:type="table" w:customStyle="1" w:styleId="ListTable7Colorful-Accent31">
    <w:name w:val="List Table 7 Colorful - Accent 31"/>
    <w:basedOn w:val="a1"/>
    <w:uiPriority w:val="99"/>
    <w:pPr>
      <w:spacing w:after="0" w:line="240" w:lineRule="auto"/>
    </w:pPr>
    <w:tblPr>
      <w:tblStyleRowBandSize w:val="1"/>
      <w:tblStyleColBandSize w:val="1"/>
      <w:tblBorders>
        <w:right w:val="single" w:sz="4" w:space="0" w:color="FFBE61"/>
      </w:tblBorders>
    </w:tblPr>
    <w:tblStylePr w:type="firstRow">
      <w:rPr>
        <w:rFonts w:ascii="Arial" w:hAnsi="Arial"/>
        <w:i/>
        <w:color w:val="FFBE61"/>
        <w:sz w:val="22"/>
      </w:rPr>
      <w:tblPr/>
      <w:tcPr>
        <w:tcBorders>
          <w:top w:val="none" w:sz="4" w:space="0" w:color="000000"/>
          <w:left w:val="none" w:sz="4" w:space="0" w:color="000000"/>
          <w:bottom w:val="single" w:sz="4" w:space="0" w:color="FFBE61"/>
          <w:right w:val="none" w:sz="4" w:space="0" w:color="000000"/>
        </w:tcBorders>
        <w:shd w:val="clear" w:color="FFFFFF" w:fill="FFFFFF"/>
      </w:tcPr>
    </w:tblStylePr>
    <w:tblStylePr w:type="lastRow">
      <w:rPr>
        <w:rFonts w:ascii="Arial" w:hAnsi="Arial"/>
        <w:i/>
        <w:color w:val="FFBE61"/>
        <w:sz w:val="22"/>
      </w:rPr>
      <w:tblPr/>
      <w:tcPr>
        <w:tcBorders>
          <w:top w:val="single" w:sz="4" w:space="0" w:color="FFBE61"/>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FFBE61"/>
        <w:sz w:val="22"/>
      </w:rPr>
      <w:tblPr/>
      <w:tcPr>
        <w:tcBorders>
          <w:top w:val="none" w:sz="4" w:space="0" w:color="000000"/>
          <w:left w:val="none" w:sz="4" w:space="0" w:color="000000"/>
          <w:bottom w:val="none" w:sz="4" w:space="0" w:color="000000"/>
          <w:right w:val="single" w:sz="4" w:space="0" w:color="FFBE61"/>
        </w:tcBorders>
        <w:shd w:val="clear" w:color="FFFFFF" w:fill="auto"/>
      </w:tcPr>
    </w:tblStylePr>
    <w:tblStylePr w:type="lastCol">
      <w:rPr>
        <w:rFonts w:ascii="Arial" w:hAnsi="Arial"/>
        <w:i/>
        <w:color w:val="FFBE61"/>
        <w:sz w:val="22"/>
      </w:rPr>
      <w:tblPr/>
      <w:tcPr>
        <w:tcBorders>
          <w:top w:val="none" w:sz="4" w:space="0" w:color="000000"/>
          <w:left w:val="single" w:sz="4" w:space="0" w:color="FFBE61"/>
          <w:bottom w:val="none" w:sz="4" w:space="0" w:color="000000"/>
          <w:right w:val="none" w:sz="4" w:space="0" w:color="000000"/>
        </w:tcBorders>
        <w:shd w:val="clear" w:color="FFFFFF" w:fill="auto"/>
      </w:tcPr>
    </w:tblStylePr>
    <w:tblStylePr w:type="band1Vert">
      <w:tblPr/>
      <w:tcPr>
        <w:shd w:val="clear" w:color="FFE3BC" w:fill="FFE3BC"/>
      </w:tcPr>
    </w:tblStylePr>
    <w:tblStylePr w:type="band1Horz">
      <w:rPr>
        <w:rFonts w:ascii="Arial" w:hAnsi="Arial"/>
        <w:color w:val="FFBE61"/>
        <w:sz w:val="22"/>
      </w:rPr>
      <w:tblPr/>
      <w:tcPr>
        <w:shd w:val="clear" w:color="FFE3BC" w:fill="FFE3BC"/>
      </w:tcPr>
    </w:tblStylePr>
    <w:tblStylePr w:type="band2Horz">
      <w:rPr>
        <w:rFonts w:ascii="Arial" w:hAnsi="Arial"/>
        <w:color w:val="FFBE61"/>
        <w:sz w:val="22"/>
      </w:rPr>
    </w:tblStylePr>
  </w:style>
  <w:style w:type="table" w:customStyle="1" w:styleId="ListTable7Colorful-Accent41">
    <w:name w:val="List Table 7 Colorful - Accent 41"/>
    <w:basedOn w:val="a1"/>
    <w:uiPriority w:val="99"/>
    <w:pPr>
      <w:spacing w:after="0" w:line="240" w:lineRule="auto"/>
    </w:pPr>
    <w:tblPr>
      <w:tblStyleRowBandSize w:val="1"/>
      <w:tblStyleColBandSize w:val="1"/>
      <w:tblBorders>
        <w:right w:val="single" w:sz="4" w:space="0" w:color="B4B4B4"/>
      </w:tblBorders>
    </w:tblPr>
    <w:tblStylePr w:type="firstRow">
      <w:rPr>
        <w:rFonts w:ascii="Arial" w:hAnsi="Arial"/>
        <w:i/>
        <w:color w:val="B4B4B4"/>
        <w:sz w:val="22"/>
      </w:rPr>
      <w:tblPr/>
      <w:tcPr>
        <w:tcBorders>
          <w:top w:val="none" w:sz="4" w:space="0" w:color="000000"/>
          <w:left w:val="none" w:sz="4" w:space="0" w:color="000000"/>
          <w:bottom w:val="single" w:sz="4" w:space="0" w:color="B4B4B4"/>
          <w:right w:val="none" w:sz="4" w:space="0" w:color="000000"/>
        </w:tcBorders>
        <w:shd w:val="clear" w:color="FFFFFF" w:fill="FFFFFF"/>
      </w:tcPr>
    </w:tblStylePr>
    <w:tblStylePr w:type="lastRow">
      <w:rPr>
        <w:rFonts w:ascii="Arial" w:hAnsi="Arial"/>
        <w:i/>
        <w:color w:val="B4B4B4"/>
        <w:sz w:val="22"/>
      </w:rPr>
      <w:tblPr/>
      <w:tcPr>
        <w:tcBorders>
          <w:top w:val="single" w:sz="4" w:space="0" w:color="B4B4B4"/>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B4B4B4"/>
        <w:sz w:val="22"/>
      </w:rPr>
      <w:tblPr/>
      <w:tcPr>
        <w:tcBorders>
          <w:top w:val="none" w:sz="4" w:space="0" w:color="000000"/>
          <w:left w:val="none" w:sz="4" w:space="0" w:color="000000"/>
          <w:bottom w:val="none" w:sz="4" w:space="0" w:color="000000"/>
          <w:right w:val="single" w:sz="4" w:space="0" w:color="B4B4B4"/>
        </w:tcBorders>
        <w:shd w:val="clear" w:color="FFFFFF" w:fill="auto"/>
      </w:tcPr>
    </w:tblStylePr>
    <w:tblStylePr w:type="lastCol">
      <w:rPr>
        <w:rFonts w:ascii="Arial" w:hAnsi="Arial"/>
        <w:i/>
        <w:color w:val="B4B4B4"/>
        <w:sz w:val="22"/>
      </w:rPr>
      <w:tblPr/>
      <w:tcPr>
        <w:tcBorders>
          <w:top w:val="none" w:sz="4" w:space="0" w:color="000000"/>
          <w:left w:val="single" w:sz="4" w:space="0" w:color="B4B4B4"/>
          <w:bottom w:val="none" w:sz="4" w:space="0" w:color="000000"/>
          <w:right w:val="none" w:sz="4" w:space="0" w:color="000000"/>
        </w:tcBorders>
        <w:shd w:val="clear" w:color="FFFFFF" w:fill="auto"/>
      </w:tcPr>
    </w:tblStylePr>
    <w:tblStylePr w:type="band1Vert">
      <w:tblPr/>
      <w:tcPr>
        <w:shd w:val="clear" w:color="DFDFDF" w:fill="DFDFDF"/>
      </w:tcPr>
    </w:tblStylePr>
    <w:tblStylePr w:type="band1Horz">
      <w:rPr>
        <w:rFonts w:ascii="Arial" w:hAnsi="Arial"/>
        <w:color w:val="B4B4B4"/>
        <w:sz w:val="22"/>
      </w:rPr>
      <w:tblPr/>
      <w:tcPr>
        <w:shd w:val="clear" w:color="DFDFDF" w:fill="DFDFDF"/>
      </w:tcPr>
    </w:tblStylePr>
    <w:tblStylePr w:type="band2Horz">
      <w:rPr>
        <w:rFonts w:ascii="Arial" w:hAnsi="Arial"/>
        <w:color w:val="B4B4B4"/>
        <w:sz w:val="22"/>
      </w:rPr>
    </w:tblStylePr>
  </w:style>
  <w:style w:type="table" w:customStyle="1" w:styleId="ListTable7Colorful-Accent51">
    <w:name w:val="List Table 7 Colorful - Accent 51"/>
    <w:basedOn w:val="a1"/>
    <w:uiPriority w:val="99"/>
    <w:pPr>
      <w:spacing w:after="0" w:line="240" w:lineRule="auto"/>
    </w:pPr>
    <w:tblPr>
      <w:tblStyleRowBandSize w:val="1"/>
      <w:tblStyleColBandSize w:val="1"/>
      <w:tblBorders>
        <w:right w:val="single" w:sz="4" w:space="0" w:color="FEDA68"/>
      </w:tblBorders>
    </w:tblPr>
    <w:tblStylePr w:type="firstRow">
      <w:rPr>
        <w:rFonts w:ascii="Arial" w:hAnsi="Arial"/>
        <w:i/>
        <w:color w:val="FEDA68"/>
        <w:sz w:val="22"/>
      </w:rPr>
      <w:tblPr/>
      <w:tcPr>
        <w:tcBorders>
          <w:top w:val="none" w:sz="4" w:space="0" w:color="000000"/>
          <w:left w:val="none" w:sz="4" w:space="0" w:color="000000"/>
          <w:bottom w:val="single" w:sz="4" w:space="0" w:color="FEDA68"/>
          <w:right w:val="none" w:sz="4" w:space="0" w:color="000000"/>
        </w:tcBorders>
        <w:shd w:val="clear" w:color="FFFFFF" w:fill="FFFFFF"/>
      </w:tcPr>
    </w:tblStylePr>
    <w:tblStylePr w:type="lastRow">
      <w:rPr>
        <w:rFonts w:ascii="Arial" w:hAnsi="Arial"/>
        <w:i/>
        <w:color w:val="FEDA68"/>
        <w:sz w:val="22"/>
      </w:rPr>
      <w:tblPr/>
      <w:tcPr>
        <w:tcBorders>
          <w:top w:val="single" w:sz="4" w:space="0" w:color="FEDA68"/>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FEDA68"/>
        <w:sz w:val="22"/>
      </w:rPr>
      <w:tblPr/>
      <w:tcPr>
        <w:tcBorders>
          <w:top w:val="none" w:sz="4" w:space="0" w:color="000000"/>
          <w:left w:val="none" w:sz="4" w:space="0" w:color="000000"/>
          <w:bottom w:val="none" w:sz="4" w:space="0" w:color="000000"/>
          <w:right w:val="single" w:sz="4" w:space="0" w:color="FEDA68"/>
        </w:tcBorders>
        <w:shd w:val="clear" w:color="FFFFFF" w:fill="auto"/>
      </w:tcPr>
    </w:tblStylePr>
    <w:tblStylePr w:type="lastCol">
      <w:rPr>
        <w:rFonts w:ascii="Arial" w:hAnsi="Arial"/>
        <w:i/>
        <w:color w:val="FEDA68"/>
        <w:sz w:val="22"/>
      </w:rPr>
      <w:tblPr/>
      <w:tcPr>
        <w:tcBorders>
          <w:top w:val="none" w:sz="4" w:space="0" w:color="000000"/>
          <w:left w:val="single" w:sz="4" w:space="0" w:color="FEDA68"/>
          <w:bottom w:val="none" w:sz="4" w:space="0" w:color="000000"/>
          <w:right w:val="none" w:sz="4" w:space="0" w:color="000000"/>
        </w:tcBorders>
        <w:shd w:val="clear" w:color="FFFFFF" w:fill="auto"/>
      </w:tcPr>
    </w:tblStylePr>
    <w:tblStylePr w:type="band1Vert">
      <w:tblPr/>
      <w:tcPr>
        <w:shd w:val="clear" w:color="FEEFC0" w:fill="FEEFC0"/>
      </w:tcPr>
    </w:tblStylePr>
    <w:tblStylePr w:type="band1Horz">
      <w:rPr>
        <w:rFonts w:ascii="Arial" w:hAnsi="Arial"/>
        <w:color w:val="FEDA68"/>
        <w:sz w:val="22"/>
      </w:rPr>
      <w:tblPr/>
      <w:tcPr>
        <w:shd w:val="clear" w:color="FEEFC0" w:fill="FEEFC0"/>
      </w:tcPr>
    </w:tblStylePr>
    <w:tblStylePr w:type="band2Horz">
      <w:rPr>
        <w:rFonts w:ascii="Arial" w:hAnsi="Arial"/>
        <w:color w:val="FEDA68"/>
        <w:sz w:val="22"/>
      </w:rPr>
    </w:tblStylePr>
  </w:style>
  <w:style w:type="table" w:customStyle="1" w:styleId="ListTable7Colorful-Accent61">
    <w:name w:val="List Table 7 Colorful - Accent 61"/>
    <w:basedOn w:val="a1"/>
    <w:uiPriority w:val="99"/>
    <w:pPr>
      <w:spacing w:after="0" w:line="240" w:lineRule="auto"/>
    </w:pPr>
    <w:tblPr>
      <w:tblStyleRowBandSize w:val="1"/>
      <w:tblStyleColBandSize w:val="1"/>
      <w:tblBorders>
        <w:right w:val="single" w:sz="4" w:space="0" w:color="EC977E"/>
      </w:tblBorders>
    </w:tblPr>
    <w:tblStylePr w:type="firstRow">
      <w:rPr>
        <w:rFonts w:ascii="Arial" w:hAnsi="Arial"/>
        <w:i/>
        <w:color w:val="EC977E"/>
        <w:sz w:val="22"/>
      </w:rPr>
      <w:tblPr/>
      <w:tcPr>
        <w:tcBorders>
          <w:top w:val="none" w:sz="4" w:space="0" w:color="000000"/>
          <w:left w:val="none" w:sz="4" w:space="0" w:color="000000"/>
          <w:bottom w:val="single" w:sz="4" w:space="0" w:color="EC977E"/>
          <w:right w:val="none" w:sz="4" w:space="0" w:color="000000"/>
        </w:tcBorders>
        <w:shd w:val="clear" w:color="FFFFFF" w:fill="FFFFFF"/>
      </w:tcPr>
    </w:tblStylePr>
    <w:tblStylePr w:type="lastRow">
      <w:rPr>
        <w:rFonts w:ascii="Arial" w:hAnsi="Arial"/>
        <w:i/>
        <w:color w:val="EC977E"/>
        <w:sz w:val="22"/>
      </w:rPr>
      <w:tblPr/>
      <w:tcPr>
        <w:tcBorders>
          <w:top w:val="single" w:sz="4" w:space="0" w:color="EC977E"/>
          <w:left w:val="none" w:sz="4" w:space="0" w:color="000000"/>
          <w:bottom w:val="none" w:sz="4" w:space="0" w:color="000000"/>
          <w:right w:val="none" w:sz="4" w:space="0" w:color="000000"/>
        </w:tcBorders>
        <w:shd w:val="clear" w:color="FFFFFF" w:fill="FFFFFF"/>
      </w:tcPr>
    </w:tblStylePr>
    <w:tblStylePr w:type="firstCol">
      <w:pPr>
        <w:jc w:val="right"/>
      </w:pPr>
      <w:rPr>
        <w:rFonts w:ascii="Arial" w:hAnsi="Arial"/>
        <w:i/>
        <w:color w:val="EC977E"/>
        <w:sz w:val="22"/>
      </w:rPr>
      <w:tblPr/>
      <w:tcPr>
        <w:tcBorders>
          <w:top w:val="none" w:sz="4" w:space="0" w:color="000000"/>
          <w:left w:val="none" w:sz="4" w:space="0" w:color="000000"/>
          <w:bottom w:val="none" w:sz="4" w:space="0" w:color="000000"/>
          <w:right w:val="single" w:sz="4" w:space="0" w:color="EC977E"/>
        </w:tcBorders>
        <w:shd w:val="clear" w:color="FFFFFF" w:fill="auto"/>
      </w:tcPr>
    </w:tblStylePr>
    <w:tblStylePr w:type="lastCol">
      <w:rPr>
        <w:rFonts w:ascii="Arial" w:hAnsi="Arial"/>
        <w:i/>
        <w:color w:val="EC977E"/>
        <w:sz w:val="22"/>
      </w:rPr>
      <w:tblPr/>
      <w:tcPr>
        <w:tcBorders>
          <w:top w:val="none" w:sz="4" w:space="0" w:color="000000"/>
          <w:left w:val="single" w:sz="4" w:space="0" w:color="EC977E"/>
          <w:bottom w:val="none" w:sz="4" w:space="0" w:color="000000"/>
          <w:right w:val="none" w:sz="4" w:space="0" w:color="000000"/>
        </w:tcBorders>
        <w:shd w:val="clear" w:color="FFFFFF" w:fill="auto"/>
      </w:tcPr>
    </w:tblStylePr>
    <w:tblStylePr w:type="band1Vert">
      <w:tblPr/>
      <w:tcPr>
        <w:shd w:val="clear" w:color="F7D3C8" w:fill="F7D3C8"/>
      </w:tcPr>
    </w:tblStylePr>
    <w:tblStylePr w:type="band1Horz">
      <w:rPr>
        <w:rFonts w:ascii="Arial" w:hAnsi="Arial"/>
        <w:color w:val="EC977E"/>
        <w:sz w:val="22"/>
      </w:rPr>
      <w:tblPr/>
      <w:tcPr>
        <w:shd w:val="clear" w:color="F7D3C8" w:fill="F7D3C8"/>
      </w:tcPr>
    </w:tblStylePr>
    <w:tblStylePr w:type="band2Horz">
      <w:rPr>
        <w:rFonts w:ascii="Arial" w:hAnsi="Arial"/>
        <w:color w:val="EC977E"/>
        <w:sz w:val="22"/>
      </w:rPr>
    </w:tblStylePr>
  </w:style>
  <w:style w:type="paragraph" w:customStyle="1" w:styleId="aff6">
    <w:name w:val="Подпись к таблице"/>
    <w:pPr>
      <w:widowControl w:val="0"/>
      <w:pBdr>
        <w:top w:val="none" w:sz="4" w:space="0" w:color="000000"/>
        <w:left w:val="none" w:sz="4" w:space="0" w:color="000000"/>
        <w:bottom w:val="none" w:sz="4" w:space="0" w:color="000000"/>
        <w:right w:val="none" w:sz="4" w:space="0" w:color="000000"/>
        <w:between w:val="none" w:sz="4" w:space="0" w:color="000000"/>
      </w:pBdr>
      <w:shd w:val="clear" w:color="auto" w:fill="FFFFFF"/>
      <w:spacing w:after="0" w:line="247" w:lineRule="auto"/>
    </w:pPr>
    <w:rPr>
      <w:rFonts w:ascii="Times New Roman" w:eastAsia="Times New Roman" w:hAnsi="Times New Roman" w:cs="Times New Roman"/>
      <w:b/>
      <w:bCs/>
      <w:color w:val="000000"/>
      <w:sz w:val="26"/>
      <w:szCs w:val="26"/>
      <w:lang w:eastAsia="uk-UA" w:bidi="uk-UA"/>
    </w:rPr>
  </w:style>
  <w:style w:type="paragraph" w:customStyle="1" w:styleId="aff7">
    <w:name w:val="Другое"/>
    <w:pPr>
      <w:widowControl w:val="0"/>
      <w:pBdr>
        <w:top w:val="none" w:sz="4" w:space="0" w:color="000000"/>
        <w:left w:val="none" w:sz="4" w:space="0" w:color="000000"/>
        <w:bottom w:val="none" w:sz="4" w:space="0" w:color="000000"/>
        <w:right w:val="none" w:sz="4" w:space="0" w:color="000000"/>
        <w:between w:val="none" w:sz="4" w:space="0" w:color="000000"/>
      </w:pBdr>
      <w:shd w:val="clear" w:color="auto" w:fill="FFFFFF"/>
      <w:spacing w:after="0" w:line="259" w:lineRule="auto"/>
      <w:ind w:firstLine="20"/>
    </w:pPr>
    <w:rPr>
      <w:rFonts w:ascii="Times New Roman" w:eastAsia="Times New Roman" w:hAnsi="Times New Roman" w:cs="Times New Roman"/>
      <w:color w:val="000000"/>
      <w:sz w:val="26"/>
      <w:szCs w:val="26"/>
      <w:lang w:eastAsia="uk-UA" w:bidi="uk-UA"/>
    </w:rPr>
  </w:style>
  <w:style w:type="paragraph" w:customStyle="1" w:styleId="34">
    <w:name w:val="Заголовок №3"/>
    <w:pPr>
      <w:widowControl w:val="0"/>
      <w:pBdr>
        <w:top w:val="none" w:sz="4" w:space="0" w:color="000000"/>
        <w:left w:val="none" w:sz="4" w:space="0" w:color="000000"/>
        <w:bottom w:val="none" w:sz="4" w:space="0" w:color="000000"/>
        <w:right w:val="none" w:sz="4" w:space="0" w:color="000000"/>
        <w:between w:val="none" w:sz="4" w:space="0" w:color="000000"/>
      </w:pBdr>
      <w:shd w:val="clear" w:color="auto" w:fill="FFFFFF"/>
      <w:spacing w:after="0" w:line="259" w:lineRule="auto"/>
      <w:outlineLvl w:val="2"/>
    </w:pPr>
    <w:rPr>
      <w:rFonts w:ascii="Times New Roman" w:eastAsia="Times New Roman" w:hAnsi="Times New Roman" w:cs="Times New Roman"/>
      <w:b/>
      <w:bCs/>
      <w:color w:val="000000"/>
      <w:sz w:val="26"/>
      <w:szCs w:val="26"/>
      <w:lang w:eastAsia="uk-UA" w:bidi="uk-UA"/>
    </w:rPr>
  </w:style>
  <w:style w:type="paragraph" w:customStyle="1" w:styleId="55">
    <w:name w:val="Основной текст (5)"/>
    <w:pPr>
      <w:widowControl w:val="0"/>
      <w:pBdr>
        <w:top w:val="none" w:sz="4" w:space="0" w:color="000000"/>
        <w:left w:val="none" w:sz="4" w:space="0" w:color="000000"/>
        <w:bottom w:val="none" w:sz="4" w:space="0" w:color="000000"/>
        <w:right w:val="none" w:sz="4" w:space="0" w:color="000000"/>
        <w:between w:val="none" w:sz="4" w:space="0" w:color="000000"/>
      </w:pBdr>
      <w:shd w:val="clear" w:color="auto" w:fill="FFFFFF"/>
      <w:spacing w:after="40" w:line="240" w:lineRule="auto"/>
      <w:ind w:firstLine="220"/>
    </w:pPr>
    <w:rPr>
      <w:rFonts w:ascii="Arial" w:eastAsia="Arial" w:hAnsi="Arial" w:cs="Arial"/>
      <w:color w:val="000000"/>
      <w:sz w:val="26"/>
      <w:szCs w:val="26"/>
      <w:lang w:eastAsia="uk-UA" w:bidi="uk-UA"/>
    </w:rPr>
  </w:style>
  <w:style w:type="paragraph" w:customStyle="1" w:styleId="aff8">
    <w:name w:val="Подпись к картинке"/>
    <w:pPr>
      <w:widowControl w:val="0"/>
      <w:pBdr>
        <w:top w:val="none" w:sz="4" w:space="0" w:color="000000"/>
        <w:left w:val="none" w:sz="4" w:space="0" w:color="000000"/>
        <w:bottom w:val="none" w:sz="4" w:space="0" w:color="000000"/>
        <w:right w:val="none" w:sz="4" w:space="0" w:color="000000"/>
        <w:between w:val="none" w:sz="4" w:space="0" w:color="000000"/>
      </w:pBdr>
      <w:shd w:val="clear" w:color="auto" w:fill="FFFFFF"/>
      <w:spacing w:after="0" w:line="240" w:lineRule="auto"/>
      <w:ind w:firstLine="540"/>
    </w:pPr>
    <w:rPr>
      <w:rFonts w:ascii="Arial" w:eastAsia="Arial" w:hAnsi="Arial" w:cs="Arial"/>
      <w:color w:val="000000"/>
      <w:lang w:eastAsia="uk-UA" w:bidi="uk-UA"/>
    </w:rPr>
  </w:style>
  <w:style w:type="paragraph" w:customStyle="1" w:styleId="24">
    <w:name w:val="Основной текст (2)"/>
    <w:pPr>
      <w:widowControl w:val="0"/>
      <w:pBdr>
        <w:top w:val="none" w:sz="4" w:space="0" w:color="000000"/>
        <w:left w:val="none" w:sz="4" w:space="0" w:color="000000"/>
        <w:bottom w:val="none" w:sz="4" w:space="0" w:color="000000"/>
        <w:right w:val="none" w:sz="4" w:space="0" w:color="000000"/>
        <w:between w:val="none" w:sz="4" w:space="0" w:color="000000"/>
      </w:pBdr>
      <w:shd w:val="clear" w:color="auto" w:fill="FFFFFF"/>
      <w:spacing w:after="0" w:line="240" w:lineRule="auto"/>
      <w:jc w:val="center"/>
    </w:pPr>
    <w:rPr>
      <w:rFonts w:ascii="Arial" w:eastAsia="Arial" w:hAnsi="Arial" w:cs="Arial"/>
      <w:color w:val="000000"/>
      <w:sz w:val="14"/>
      <w:szCs w:val="14"/>
      <w:lang w:eastAsia="uk-UA" w:bidi="uk-UA"/>
    </w:rPr>
  </w:style>
  <w:style w:type="table" w:customStyle="1" w:styleId="25">
    <w:name w:val="Сітка таблиці2"/>
    <w:basedOn w:val="a1"/>
    <w:next w:val="a3"/>
    <w:uiPriority w:val="39"/>
    <w:rsid w:val="007F16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Balloon Text"/>
    <w:basedOn w:val="a"/>
    <w:link w:val="affa"/>
    <w:uiPriority w:val="99"/>
    <w:semiHidden/>
    <w:unhideWhenUsed/>
    <w:rsid w:val="00DD4C4A"/>
    <w:pPr>
      <w:spacing w:after="0" w:line="240" w:lineRule="auto"/>
    </w:pPr>
    <w:rPr>
      <w:rFonts w:ascii="Segoe UI" w:hAnsi="Segoe UI" w:cs="Segoe UI"/>
      <w:sz w:val="18"/>
      <w:szCs w:val="18"/>
    </w:rPr>
  </w:style>
  <w:style w:type="character" w:customStyle="1" w:styleId="affa">
    <w:name w:val="Текст у виносці Знак"/>
    <w:basedOn w:val="a0"/>
    <w:link w:val="aff9"/>
    <w:uiPriority w:val="99"/>
    <w:semiHidden/>
    <w:rsid w:val="00DD4C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hyperlink" Target="https://conferences.vntu.edu.ua/index.php/fiip/fiip2023/paper/viewFile/17129/14271" TargetMode="External"/><Relationship Id="rId39" Type="http://schemas.openxmlformats.org/officeDocument/2006/relationships/hyperlink" Target="https://zakon.rada.gov.ua/laws/show/174-2023-%D0%BF" TargetMode="External"/><Relationship Id="rId21" Type="http://schemas.openxmlformats.org/officeDocument/2006/relationships/hyperlink" Target="http://www.econom.stateandregions.zp.ua/journal/2019/3_2019/33.pdf" TargetMode="External"/><Relationship Id="rId34" Type="http://schemas.openxmlformats.org/officeDocument/2006/relationships/hyperlink" Target="http://biblio.umsf.dp.ua/jspui/bitstream/123456789/4070/1/%D0%9F%D1%80%D0%B8%D0%B9%D0%BD%D1%8F%D1%82%D1%82%D1%8F%20%D1%83%D0%BF%D1%80%20%D1%80%D1%96%D1%88%D0%B5%D0%BD%D1%8C%202020.pdf" TargetMode="External"/><Relationship Id="rId42" Type="http://schemas.openxmlformats.org/officeDocument/2006/relationships/hyperlink" Target="https://drive.google.com/file/d/1INBae1cw6Cpw7bIeBNwujpNq7m8upL2w/view" TargetMode="External"/><Relationship Id="rId47" Type="http://schemas.openxmlformats.org/officeDocument/2006/relationships/hyperlink" Target="https://repo.odmu.edu.ua/xmlui/handle/123456789/12548" TargetMode="External"/><Relationship Id="rId50" Type="http://schemas.openxmlformats.org/officeDocument/2006/relationships/hyperlink" Target="https://economyandsociety.in.ua/journals/3_ukr/49.pdf"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hyperlink" Target="https://doi.org/10.15421/nvlvet6901" TargetMode="External"/><Relationship Id="rId11" Type="http://schemas.openxmlformats.org/officeDocument/2006/relationships/diagramLayout" Target="diagrams/layout1.xml"/><Relationship Id="rId24" Type="http://schemas.openxmlformats.org/officeDocument/2006/relationships/hyperlink" Target="https://economyandsociety.in.ua/journals/11_ukr/33.pdf" TargetMode="External"/><Relationship Id="rId32" Type="http://schemas.openxmlformats.org/officeDocument/2006/relationships/hyperlink" Target="https://zakon.rada.gov.ua/laws/show/254%D0%BA/96-%D0%B2%D1%80" TargetMode="External"/><Relationship Id="rId37" Type="http://schemas.openxmlformats.org/officeDocument/2006/relationships/hyperlink" Target="https://essuir.sumdu.edu.ua/handle/123456789/87752" TargetMode="External"/><Relationship Id="rId40" Type="http://schemas.openxmlformats.org/officeDocument/2006/relationships/hyperlink" Target="https://www.facebook.com/knpmkl10" TargetMode="External"/><Relationship Id="rId45" Type="http://schemas.openxmlformats.org/officeDocument/2006/relationships/hyperlink" Target="http://www.academy.gov.ua/ej/ej12/txts/10%20simsoz.pdf" TargetMode="External"/><Relationship Id="rId53"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hyperlink" Target="https://msn.khnu.km.ua/course/view.php?id=4118" TargetMode="External"/><Relationship Id="rId44" Type="http://schemas.openxmlformats.org/officeDocument/2006/relationships/hyperlink" Target="https://ur.knute.edu.ua/server/api/core/bitstreams/fb697b29-49e4-4176-94b6-f52eb9d1c0c8/content" TargetMode="External"/><Relationship Id="rId52" Type="http://schemas.openxmlformats.org/officeDocument/2006/relationships/hyperlink" Target="https://zakon.rada.gov.ua/laws/show/1221-2023-%D0%BF" TargetMode="External"/><Relationship Id="rId4" Type="http://schemas.openxmlformats.org/officeDocument/2006/relationships/settings" Target="settings.xml"/><Relationship Id="rId9" Type="http://schemas.openxmlformats.org/officeDocument/2006/relationships/hyperlink" Target="https://www.economy-confer.com.ua/full-article/6478/" TargetMode="External"/><Relationship Id="rId14" Type="http://schemas.microsoft.com/office/2007/relationships/diagramDrawing" Target="diagrams/drawing1.xml"/><Relationship Id="rId22" Type="http://schemas.openxmlformats.org/officeDocument/2006/relationships/hyperlink" Target="https://snku.krok.edu.ua/index.php/vcheni-zapiski-universitetu-krok/article/view/717" TargetMode="External"/><Relationship Id="rId27" Type="http://schemas.openxmlformats.org/officeDocument/2006/relationships/hyperlink" Target="https://vlp.com.ua/files/04_31.pdf" TargetMode="External"/><Relationship Id="rId30" Type="http://schemas.openxmlformats.org/officeDocument/2006/relationships/hyperlink" Target="https://pva.com.ua/klasyfikacziya-upravlinskyh-rishen/" TargetMode="External"/><Relationship Id="rId35" Type="http://schemas.openxmlformats.org/officeDocument/2006/relationships/hyperlink" Target="https://zakon.rada.gov.ua/laws/show/2801-12" TargetMode="External"/><Relationship Id="rId43" Type="http://schemas.openxmlformats.org/officeDocument/2006/relationships/hyperlink" Target="https://isu-conference.com/wp-content/uploads/2024/01/The-aspects-of-contemporary-scientific-research-Jan-10-12-2024-Venice-Italy.pdf" TargetMode="External"/><Relationship Id="rId48" Type="http://schemas.openxmlformats.org/officeDocument/2006/relationships/hyperlink" Target="https://repo.odmu.edu.ua/xmlui/bitstream/handle/123456789/13302/Rudinska.pdf?sequence=1" TargetMode="External"/><Relationship Id="rId8" Type="http://schemas.openxmlformats.org/officeDocument/2006/relationships/hyperlink" Target="https://www.economy-confer.com.ua/full-article/6478/" TargetMode="External"/><Relationship Id="rId51" Type="http://schemas.openxmlformats.org/officeDocument/2006/relationships/hyperlink" Target="https://www.economy-confer.com.ua/full-article/6478/" TargetMode="Externa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hyperlink" Target="http://customs-admin.umsf.in.ua/archive/2024/4/4.pdf" TargetMode="External"/><Relationship Id="rId33" Type="http://schemas.openxmlformats.org/officeDocument/2006/relationships/hyperlink" Target="https://doi.org/10.31732/2663-2209-2024-73-147-157" TargetMode="External"/><Relationship Id="rId38" Type="http://schemas.openxmlformats.org/officeDocument/2006/relationships/hyperlink" Target="https://economyandsociety.in.ua/index.php/journal/article/view/5631/5571" TargetMode="External"/><Relationship Id="rId46" Type="http://schemas.openxmlformats.org/officeDocument/2006/relationships/hyperlink" Target="http://www.economy.nayka.com.ua/pdf/2_2020/3.pdf" TargetMode="External"/><Relationship Id="rId20" Type="http://schemas.openxmlformats.org/officeDocument/2006/relationships/hyperlink" Target="https://orcid.org/0000-0001-5997-7076" TargetMode="External"/><Relationship Id="rId41" Type="http://schemas.openxmlformats.org/officeDocument/2006/relationships/hyperlink" Target="https://odmkl10.itmed.org/upload/product/1734393600/file_67618e0eaf49a.pdf"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2.xml"/><Relationship Id="rId23" Type="http://schemas.openxmlformats.org/officeDocument/2006/relationships/hyperlink" Target="http://www.dy.nayka.com.ua/?op=1&amp;z=93" TargetMode="External"/><Relationship Id="rId28" Type="http://schemas.openxmlformats.org/officeDocument/2006/relationships/hyperlink" Target="https://www.researchgate.net/journal/Scientific-Messenger-of-LNU-of-Veterinary-Medicine-and-Biotechnology-2518-1327?_tp=eyJjb250ZXh0Ijp7ImZpcnN0UGFnZSI6InB1YmxpY2F0aW9uIiwicGFnZSI6InB1YmxpY2F0aW9uIn19" TargetMode="External"/><Relationship Id="rId36" Type="http://schemas.openxmlformats.org/officeDocument/2006/relationships/hyperlink" Target="file:///D:/home/e200466kvy/Downloads/Inv+18-2024_St8.pdf" TargetMode="External"/><Relationship Id="rId49" Type="http://schemas.openxmlformats.org/officeDocument/2006/relationships/hyperlink" Target="https://lib.iitta.gov.ua//id/eprint/2500/1/&#1050;&#1086;&#1074;&#1072;&#1083;&#1100;&#1095;&#1091;&#1082;30%281%29.pdf" TargetMode="External"/></Relationships>
</file>

<file path=word/diagrams/_rels/data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png"/><Relationship Id="rId1" Type="http://schemas.openxmlformats.org/officeDocument/2006/relationships/image" Target="../media/image1.jpg"/></Relationships>
</file>

<file path=word/diagrams/_rels/drawing1.xml.rels><?xml version="1.0" encoding="UTF-8" standalone="yes"?>
<Relationships xmlns="http://schemas.openxmlformats.org/package/2006/relationships"><Relationship Id="rId3" Type="http://schemas.openxmlformats.org/officeDocument/2006/relationships/image" Target="../media/image3.jpg"/><Relationship Id="rId2" Type="http://schemas.openxmlformats.org/officeDocument/2006/relationships/image" Target="../media/image2.png"/><Relationship Id="rId1" Type="http://schemas.openxmlformats.org/officeDocument/2006/relationships/image" Target="../media/image1.jp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D52BF91-1F15-4389-A2DB-2E3AFD1DEBA2}" type="doc">
      <dgm:prSet loTypeId="urn:microsoft.com/office/officeart/2005/8/layout/hList7#1" loCatId="list" qsTypeId="urn:microsoft.com/office/officeart/2005/8/quickstyle/simple1" qsCatId="simple" csTypeId="urn:microsoft.com/office/officeart/2005/8/colors/colorful4" csCatId="colorful" phldr="1"/>
      <dgm:spPr bwMode="auto"/>
      <dgm:t>
        <a:bodyPr/>
        <a:lstStyle/>
        <a:p>
          <a:pPr>
            <a:defRPr/>
          </a:pPr>
          <a:endParaRPr lang="uk-UA"/>
        </a:p>
      </dgm:t>
    </dgm:pt>
    <dgm:pt modelId="{2F41ACD0-AE34-4DDD-81D7-3EEDA1014F8E}">
      <dgm:prSet phldrT="[Текст]"/>
      <dgm:spPr bwMode="auto">
        <a:xfrm>
          <a:off x="1151" y="0"/>
          <a:ext cx="1792188" cy="2834640"/>
        </a:xfrm>
        <a:prstGeom prst="roundRect">
          <a:avLst>
            <a:gd name="adj" fmla="val 10000"/>
          </a:avLst>
        </a:prstGeom>
        <a:solidFill>
          <a:srgbClr val="44C1A3">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b="1">
              <a:solidFill>
                <a:sysClr val="windowText" lastClr="000000"/>
              </a:solidFill>
              <a:latin typeface="Calibri"/>
              <a:ea typeface="+mn-ea"/>
              <a:cs typeface="Arial"/>
            </a:rPr>
            <a:t>Стратегічний рівень</a:t>
          </a:r>
          <a:endParaRPr>
            <a:solidFill>
              <a:sysClr val="window" lastClr="FFFFFF"/>
            </a:solidFill>
            <a:latin typeface="Calibri"/>
            <a:ea typeface="+mn-ea"/>
            <a:cs typeface="Arial"/>
          </a:endParaRPr>
        </a:p>
        <a:p>
          <a:pPr>
            <a:defRPr/>
          </a:pPr>
          <a:r>
            <a:rPr lang="uk-UA">
              <a:solidFill>
                <a:sysClr val="window" lastClr="FFFFFF"/>
              </a:solidFill>
              <a:latin typeface="Calibri"/>
              <a:ea typeface="+mn-ea"/>
              <a:cs typeface="Arial"/>
            </a:rPr>
            <a:t>головний лікар</a:t>
          </a:r>
          <a:endParaRPr>
            <a:solidFill>
              <a:sysClr val="window" lastClr="FFFFFF"/>
            </a:solidFill>
            <a:latin typeface="Calibri"/>
            <a:ea typeface="+mn-ea"/>
            <a:cs typeface="Arial"/>
          </a:endParaRPr>
        </a:p>
      </dgm:t>
    </dgm:pt>
    <dgm:pt modelId="{BB327D5F-8EDA-4797-96D8-F5F9806F4122}" type="parTrans" cxnId="{EEF8B3E2-FAC7-4DD9-963E-56EC949E7722}">
      <dgm:prSet/>
      <dgm:spPr bwMode="auto"/>
      <dgm:t>
        <a:bodyPr/>
        <a:lstStyle/>
        <a:p>
          <a:pPr>
            <a:defRPr/>
          </a:pPr>
          <a:endParaRPr lang="uk-UA"/>
        </a:p>
      </dgm:t>
    </dgm:pt>
    <dgm:pt modelId="{A220CAE2-D47B-4D22-990F-BC5BE3D32D51}" type="sibTrans" cxnId="{EEF8B3E2-FAC7-4DD9-963E-56EC949E7722}">
      <dgm:prSet/>
      <dgm:spPr bwMode="auto"/>
      <dgm:t>
        <a:bodyPr/>
        <a:lstStyle/>
        <a:p>
          <a:pPr>
            <a:defRPr/>
          </a:pPr>
          <a:endParaRPr lang="uk-UA"/>
        </a:p>
      </dgm:t>
    </dgm:pt>
    <dgm:pt modelId="{8DFB90E8-E349-40F5-BD25-B61859CC130A}">
      <dgm:prSet phldrT="[Текст]"/>
      <dgm:spPr bwMode="auto">
        <a:xfrm>
          <a:off x="1847105" y="0"/>
          <a:ext cx="1792188" cy="2834640"/>
        </a:xfrm>
        <a:prstGeom prst="roundRect">
          <a:avLst>
            <a:gd name="adj" fmla="val 10000"/>
          </a:avLst>
        </a:prstGeom>
        <a:solidFill>
          <a:srgbClr val="44C1A3">
            <a:hueOff val="822717"/>
            <a:satOff val="3566"/>
            <a:lumOff val="2353"/>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b="1">
              <a:solidFill>
                <a:sysClr val="windowText" lastClr="000000"/>
              </a:solidFill>
              <a:latin typeface="Calibri"/>
              <a:ea typeface="+mn-ea"/>
              <a:cs typeface="Arial"/>
            </a:rPr>
            <a:t>Тактичний рівень</a:t>
          </a:r>
          <a:endParaRPr>
            <a:solidFill>
              <a:sysClr val="window" lastClr="FFFFFF"/>
            </a:solidFill>
            <a:latin typeface="Calibri"/>
            <a:ea typeface="+mn-ea"/>
            <a:cs typeface="Arial"/>
          </a:endParaRPr>
        </a:p>
        <a:p>
          <a:pPr>
            <a:defRPr/>
          </a:pPr>
          <a:r>
            <a:rPr lang="uk-UA">
              <a:solidFill>
                <a:sysClr val="window" lastClr="FFFFFF"/>
              </a:solidFill>
              <a:latin typeface="Calibri"/>
              <a:ea typeface="+mn-ea"/>
              <a:cs typeface="Arial"/>
            </a:rPr>
            <a:t>заступники головного лікаря по медичній частині </a:t>
          </a:r>
          <a:endParaRPr>
            <a:solidFill>
              <a:sysClr val="window" lastClr="FFFFFF"/>
            </a:solidFill>
            <a:latin typeface="Calibri"/>
            <a:ea typeface="+mn-ea"/>
            <a:cs typeface="Arial"/>
          </a:endParaRPr>
        </a:p>
      </dgm:t>
    </dgm:pt>
    <dgm:pt modelId="{3BC18070-66A4-4E66-BAB9-64A9A431979B}" type="parTrans" cxnId="{EE5C4D02-AC39-4289-8D10-A3820227714A}">
      <dgm:prSet/>
      <dgm:spPr bwMode="auto"/>
      <dgm:t>
        <a:bodyPr/>
        <a:lstStyle/>
        <a:p>
          <a:pPr>
            <a:defRPr/>
          </a:pPr>
          <a:endParaRPr lang="uk-UA"/>
        </a:p>
      </dgm:t>
    </dgm:pt>
    <dgm:pt modelId="{14831489-14AC-4FB0-A719-CEF046D31CB4}" type="sibTrans" cxnId="{EE5C4D02-AC39-4289-8D10-A3820227714A}">
      <dgm:prSet/>
      <dgm:spPr bwMode="auto"/>
      <dgm:t>
        <a:bodyPr/>
        <a:lstStyle/>
        <a:p>
          <a:pPr>
            <a:defRPr/>
          </a:pPr>
          <a:endParaRPr lang="uk-UA"/>
        </a:p>
      </dgm:t>
    </dgm:pt>
    <dgm:pt modelId="{6BF0E5E3-7C31-4B2A-A24E-B06475D7AE64}">
      <dgm:prSet phldrT="[Текст]"/>
      <dgm:spPr bwMode="auto">
        <a:xfrm>
          <a:off x="3693059" y="0"/>
          <a:ext cx="1792188" cy="2834640"/>
        </a:xfrm>
        <a:prstGeom prst="roundRect">
          <a:avLst>
            <a:gd name="adj" fmla="val 10000"/>
          </a:avLst>
        </a:prstGeom>
        <a:solidFill>
          <a:srgbClr val="44C1A3">
            <a:hueOff val="1645434"/>
            <a:satOff val="7132"/>
            <a:lumOff val="4706"/>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b="1">
              <a:solidFill>
                <a:sysClr val="windowText" lastClr="000000"/>
              </a:solidFill>
              <a:latin typeface="Calibri"/>
              <a:ea typeface="+mn-ea"/>
              <a:cs typeface="Arial"/>
            </a:rPr>
            <a:t>Оперативний рівень</a:t>
          </a:r>
          <a:endParaRPr>
            <a:solidFill>
              <a:sysClr val="window" lastClr="FFFFFF"/>
            </a:solidFill>
            <a:latin typeface="Calibri"/>
            <a:ea typeface="+mn-ea"/>
            <a:cs typeface="Arial"/>
          </a:endParaRPr>
        </a:p>
        <a:p>
          <a:pPr>
            <a:defRPr/>
          </a:pPr>
          <a:r>
            <a:rPr lang="uk-UA">
              <a:solidFill>
                <a:sysClr val="window" lastClr="FFFFFF"/>
              </a:solidFill>
              <a:latin typeface="Calibri"/>
              <a:ea typeface="+mn-ea"/>
              <a:cs typeface="Arial"/>
            </a:rPr>
            <a:t>керівники підрозділів, що не мають у підпорядкуванні інших керівників</a:t>
          </a:r>
          <a:endParaRPr>
            <a:solidFill>
              <a:sysClr val="window" lastClr="FFFFFF"/>
            </a:solidFill>
            <a:latin typeface="Calibri"/>
            <a:ea typeface="+mn-ea"/>
            <a:cs typeface="Arial"/>
          </a:endParaRPr>
        </a:p>
        <a:p>
          <a:pPr>
            <a:defRPr/>
          </a:pPr>
          <a:r>
            <a:rPr lang="uk-UA">
              <a:solidFill>
                <a:sysClr val="window" lastClr="FFFFFF"/>
              </a:solidFill>
              <a:latin typeface="Calibri"/>
              <a:ea typeface="+mn-ea"/>
              <a:cs typeface="Arial"/>
            </a:rPr>
            <a:t> </a:t>
          </a:r>
          <a:endParaRPr>
            <a:solidFill>
              <a:sysClr val="window" lastClr="FFFFFF"/>
            </a:solidFill>
            <a:latin typeface="Calibri"/>
            <a:ea typeface="+mn-ea"/>
            <a:cs typeface="Arial"/>
          </a:endParaRPr>
        </a:p>
      </dgm:t>
    </dgm:pt>
    <dgm:pt modelId="{4AC8C9DD-B709-4581-B9EA-450C72FE90A7}" type="parTrans" cxnId="{195F1B8F-552B-4315-A48F-2208644C83B2}">
      <dgm:prSet/>
      <dgm:spPr bwMode="auto"/>
      <dgm:t>
        <a:bodyPr/>
        <a:lstStyle/>
        <a:p>
          <a:pPr>
            <a:defRPr/>
          </a:pPr>
          <a:endParaRPr lang="uk-UA"/>
        </a:p>
      </dgm:t>
    </dgm:pt>
    <dgm:pt modelId="{50042040-8D23-48D1-B81C-B0CA0A13D045}" type="sibTrans" cxnId="{195F1B8F-552B-4315-A48F-2208644C83B2}">
      <dgm:prSet/>
      <dgm:spPr bwMode="auto"/>
      <dgm:t>
        <a:bodyPr/>
        <a:lstStyle/>
        <a:p>
          <a:pPr>
            <a:defRPr/>
          </a:pPr>
          <a:endParaRPr lang="uk-UA"/>
        </a:p>
      </dgm:t>
    </dgm:pt>
    <dgm:pt modelId="{3BC8D582-3D0B-4C10-B3C8-AD82E092FD48}" type="pres">
      <dgm:prSet presAssocID="{5D52BF91-1F15-4389-A2DB-2E3AFD1DEBA2}" presName="Name0" presStyleCnt="0">
        <dgm:presLayoutVars>
          <dgm:dir/>
          <dgm:resizeHandles val="exact"/>
        </dgm:presLayoutVars>
      </dgm:prSet>
      <dgm:spPr bwMode="auto"/>
      <dgm:t>
        <a:bodyPr/>
        <a:lstStyle/>
        <a:p>
          <a:pPr>
            <a:defRPr/>
          </a:pPr>
          <a:endParaRPr lang="uk-UA"/>
        </a:p>
      </dgm:t>
    </dgm:pt>
    <dgm:pt modelId="{4382EA2D-7293-40C7-9CE1-B1DDC96DA2E1}" type="pres">
      <dgm:prSet presAssocID="{5D52BF91-1F15-4389-A2DB-2E3AFD1DEBA2}" presName="fgShape" presStyleLbl="fgShp" presStyleIdx="0" presStyleCnt="1"/>
      <dgm:spPr bwMode="auto">
        <a:xfrm>
          <a:off x="219456" y="2267712"/>
          <a:ext cx="5047488" cy="425196"/>
        </a:xfrm>
        <a:prstGeom prst="leftRightArrow">
          <a:avLst>
            <a:gd name="adj1" fmla="val 50000"/>
            <a:gd name="adj2" fmla="val 50000"/>
          </a:avLst>
        </a:prstGeom>
        <a:solidFill>
          <a:srgbClr val="44C1A3">
            <a:tint val="4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endParaRPr lang="uk-UA"/>
        </a:p>
      </dgm:t>
    </dgm:pt>
    <dgm:pt modelId="{429C900B-CE5D-4562-842D-47F281B6B18F}" type="pres">
      <dgm:prSet presAssocID="{5D52BF91-1F15-4389-A2DB-2E3AFD1DEBA2}" presName="linComp" presStyleCnt="0"/>
      <dgm:spPr bwMode="auto"/>
    </dgm:pt>
    <dgm:pt modelId="{808BECD9-0282-4846-8C58-EA3F959941EC}" type="pres">
      <dgm:prSet presAssocID="{2F41ACD0-AE34-4DDD-81D7-3EEDA1014F8E}" presName="compNode" presStyleCnt="0"/>
      <dgm:spPr bwMode="auto"/>
    </dgm:pt>
    <dgm:pt modelId="{1AB4F696-627C-44C9-BB9A-A3CF17FC5464}" type="pres">
      <dgm:prSet presAssocID="{2F41ACD0-AE34-4DDD-81D7-3EEDA1014F8E}" presName="bkgdShape" presStyleLbl="node1" presStyleIdx="0" presStyleCnt="3"/>
      <dgm:spPr bwMode="auto"/>
      <dgm:t>
        <a:bodyPr/>
        <a:lstStyle/>
        <a:p>
          <a:pPr>
            <a:defRPr/>
          </a:pPr>
          <a:endParaRPr lang="uk-UA"/>
        </a:p>
      </dgm:t>
    </dgm:pt>
    <dgm:pt modelId="{CA8DDAEC-5F5E-4708-A7D3-FE62B3023F46}" type="pres">
      <dgm:prSet presAssocID="{2F41ACD0-AE34-4DDD-81D7-3EEDA1014F8E}" presName="nodeTx" presStyleLbl="node1" presStyleIdx="0" presStyleCnt="3">
        <dgm:presLayoutVars>
          <dgm:bulletEnabled val="1"/>
        </dgm:presLayoutVars>
      </dgm:prSet>
      <dgm:spPr bwMode="auto"/>
      <dgm:t>
        <a:bodyPr/>
        <a:lstStyle/>
        <a:p>
          <a:pPr>
            <a:defRPr/>
          </a:pPr>
          <a:endParaRPr lang="uk-UA"/>
        </a:p>
      </dgm:t>
    </dgm:pt>
    <dgm:pt modelId="{EAEBD2EA-1D35-491D-9E53-4688FD980105}" type="pres">
      <dgm:prSet presAssocID="{2F41ACD0-AE34-4DDD-81D7-3EEDA1014F8E}" presName="invisiNode" presStyleLbl="node1" presStyleIdx="0" presStyleCnt="3"/>
      <dgm:spPr bwMode="auto"/>
    </dgm:pt>
    <dgm:pt modelId="{46EE6F24-4354-46AA-B356-1BBB34E9AA87}" type="pres">
      <dgm:prSet presAssocID="{2F41ACD0-AE34-4DDD-81D7-3EEDA1014F8E}" presName="imagNode" presStyleLbl="fgImgPlace1" presStyleIdx="0" presStyleCnt="3"/>
      <dgm:spPr bwMode="auto">
        <a:xfrm>
          <a:off x="425278" y="170078"/>
          <a:ext cx="943935" cy="943935"/>
        </a:xfrm>
        <a:prstGeom prst="ellipse">
          <a:avLst/>
        </a:prstGeom>
        <a:blipFill>
          <a:blip xmlns:r="http://schemas.openxmlformats.org/officeDocument/2006/relationships" r:embed="rId1"/>
          <a:stretch>
            <a:fillRect l="-25000" r="-25000"/>
          </a:stretch>
        </a:blipFill>
        <a:ln w="12700" cap="flat" cmpd="sng" algn="ctr">
          <a:solidFill>
            <a:sysClr val="window" lastClr="FFFFFF">
              <a:hueOff val="0"/>
              <a:satOff val="0"/>
              <a:lumOff val="0"/>
              <a:alphaOff val="0"/>
            </a:sysClr>
          </a:solidFill>
          <a:prstDash val="solid"/>
          <a:miter lim="800000"/>
        </a:ln>
        <a:effectLst/>
      </dgm:spPr>
      <dgm:t>
        <a:bodyPr/>
        <a:lstStyle/>
        <a:p>
          <a:pPr>
            <a:defRPr/>
          </a:pPr>
          <a:endParaRPr lang="uk-UA"/>
        </a:p>
      </dgm:t>
    </dgm:pt>
    <dgm:pt modelId="{3D701265-1DE9-4673-B3DD-FA5D12B0F817}" type="pres">
      <dgm:prSet presAssocID="{A220CAE2-D47B-4D22-990F-BC5BE3D32D51}" presName="sibTrans" presStyleLbl="sibTrans2D1" presStyleIdx="0" presStyleCnt="0"/>
      <dgm:spPr bwMode="auto"/>
      <dgm:t>
        <a:bodyPr/>
        <a:lstStyle/>
        <a:p>
          <a:pPr>
            <a:defRPr/>
          </a:pPr>
          <a:endParaRPr lang="uk-UA"/>
        </a:p>
      </dgm:t>
    </dgm:pt>
    <dgm:pt modelId="{F98B4D73-95BC-49E0-958D-7C0566F8B750}" type="pres">
      <dgm:prSet presAssocID="{8DFB90E8-E349-40F5-BD25-B61859CC130A}" presName="compNode" presStyleCnt="0"/>
      <dgm:spPr bwMode="auto"/>
    </dgm:pt>
    <dgm:pt modelId="{89826D75-DD2D-460A-ABD9-922EB1250C92}" type="pres">
      <dgm:prSet presAssocID="{8DFB90E8-E349-40F5-BD25-B61859CC130A}" presName="bkgdShape" presStyleLbl="node1" presStyleIdx="1" presStyleCnt="3"/>
      <dgm:spPr bwMode="auto"/>
      <dgm:t>
        <a:bodyPr/>
        <a:lstStyle/>
        <a:p>
          <a:pPr>
            <a:defRPr/>
          </a:pPr>
          <a:endParaRPr lang="uk-UA"/>
        </a:p>
      </dgm:t>
    </dgm:pt>
    <dgm:pt modelId="{3A5813AE-41C1-4D06-9E6B-602084093673}" type="pres">
      <dgm:prSet presAssocID="{8DFB90E8-E349-40F5-BD25-B61859CC130A}" presName="nodeTx" presStyleLbl="node1" presStyleIdx="1" presStyleCnt="3">
        <dgm:presLayoutVars>
          <dgm:bulletEnabled val="1"/>
        </dgm:presLayoutVars>
      </dgm:prSet>
      <dgm:spPr bwMode="auto"/>
      <dgm:t>
        <a:bodyPr/>
        <a:lstStyle/>
        <a:p>
          <a:pPr>
            <a:defRPr/>
          </a:pPr>
          <a:endParaRPr lang="uk-UA"/>
        </a:p>
      </dgm:t>
    </dgm:pt>
    <dgm:pt modelId="{E3A43886-3932-4F27-8A51-FA08CAC0D6FA}" type="pres">
      <dgm:prSet presAssocID="{8DFB90E8-E349-40F5-BD25-B61859CC130A}" presName="invisiNode" presStyleLbl="node1" presStyleIdx="1" presStyleCnt="3"/>
      <dgm:spPr bwMode="auto"/>
    </dgm:pt>
    <dgm:pt modelId="{4BF82099-E51B-4109-B921-A32DFBC480DD}" type="pres">
      <dgm:prSet presAssocID="{8DFB90E8-E349-40F5-BD25-B61859CC130A}" presName="imagNode" presStyleLbl="fgImgPlace1" presStyleIdx="1" presStyleCnt="3"/>
      <dgm:spPr bwMode="auto">
        <a:xfrm>
          <a:off x="2271232" y="170078"/>
          <a:ext cx="943935" cy="943935"/>
        </a:xfrm>
        <a:prstGeom prst="ellipse">
          <a:avLst/>
        </a:prstGeom>
        <a:blipFill rotWithShape="1">
          <a:blip xmlns:r="http://schemas.openxmlformats.org/officeDocument/2006/relationships" r:embed="rId2"/>
          <a:stretch>
            <a:fillRect/>
          </a:stretch>
        </a:blipFill>
        <a:ln w="12700" cap="flat" cmpd="sng" algn="ctr">
          <a:solidFill>
            <a:sysClr val="window" lastClr="FFFFFF">
              <a:hueOff val="0"/>
              <a:satOff val="0"/>
              <a:lumOff val="0"/>
              <a:alphaOff val="0"/>
            </a:sysClr>
          </a:solidFill>
          <a:prstDash val="solid"/>
          <a:miter lim="800000"/>
        </a:ln>
        <a:effectLst/>
      </dgm:spPr>
      <dgm:t>
        <a:bodyPr/>
        <a:lstStyle/>
        <a:p>
          <a:pPr>
            <a:defRPr/>
          </a:pPr>
          <a:endParaRPr lang="uk-UA"/>
        </a:p>
      </dgm:t>
    </dgm:pt>
    <dgm:pt modelId="{D3B3D4A1-6662-4CC6-840B-5077612541CC}" type="pres">
      <dgm:prSet presAssocID="{14831489-14AC-4FB0-A719-CEF046D31CB4}" presName="sibTrans" presStyleLbl="sibTrans2D1" presStyleIdx="0" presStyleCnt="0"/>
      <dgm:spPr bwMode="auto"/>
      <dgm:t>
        <a:bodyPr/>
        <a:lstStyle/>
        <a:p>
          <a:pPr>
            <a:defRPr/>
          </a:pPr>
          <a:endParaRPr lang="uk-UA"/>
        </a:p>
      </dgm:t>
    </dgm:pt>
    <dgm:pt modelId="{D55D4E42-C5FC-4C6B-AFBB-0247A95A9D46}" type="pres">
      <dgm:prSet presAssocID="{6BF0E5E3-7C31-4B2A-A24E-B06475D7AE64}" presName="compNode" presStyleCnt="0"/>
      <dgm:spPr bwMode="auto"/>
    </dgm:pt>
    <dgm:pt modelId="{75AD1ED9-AA18-48A3-9064-2355B2CA8BC8}" type="pres">
      <dgm:prSet presAssocID="{6BF0E5E3-7C31-4B2A-A24E-B06475D7AE64}" presName="bkgdShape" presStyleLbl="node1" presStyleIdx="2" presStyleCnt="3"/>
      <dgm:spPr bwMode="auto"/>
      <dgm:t>
        <a:bodyPr/>
        <a:lstStyle/>
        <a:p>
          <a:pPr>
            <a:defRPr/>
          </a:pPr>
          <a:endParaRPr lang="uk-UA"/>
        </a:p>
      </dgm:t>
    </dgm:pt>
    <dgm:pt modelId="{9B092313-2B52-458D-916B-D58DADE23FB4}" type="pres">
      <dgm:prSet presAssocID="{6BF0E5E3-7C31-4B2A-A24E-B06475D7AE64}" presName="nodeTx" presStyleLbl="node1" presStyleIdx="2" presStyleCnt="3">
        <dgm:presLayoutVars>
          <dgm:bulletEnabled val="1"/>
        </dgm:presLayoutVars>
      </dgm:prSet>
      <dgm:spPr bwMode="auto"/>
      <dgm:t>
        <a:bodyPr/>
        <a:lstStyle/>
        <a:p>
          <a:pPr>
            <a:defRPr/>
          </a:pPr>
          <a:endParaRPr lang="uk-UA"/>
        </a:p>
      </dgm:t>
    </dgm:pt>
    <dgm:pt modelId="{6D0737DC-88EB-4A51-8725-D54BD8915961}" type="pres">
      <dgm:prSet presAssocID="{6BF0E5E3-7C31-4B2A-A24E-B06475D7AE64}" presName="invisiNode" presStyleLbl="node1" presStyleIdx="2" presStyleCnt="3"/>
      <dgm:spPr bwMode="auto"/>
    </dgm:pt>
    <dgm:pt modelId="{65D8F3C2-17B8-4E43-8B3B-2F9045863405}" type="pres">
      <dgm:prSet presAssocID="{6BF0E5E3-7C31-4B2A-A24E-B06475D7AE64}" presName="imagNode" presStyleLbl="fgImgPlace1" presStyleIdx="2" presStyleCnt="3"/>
      <dgm:spPr bwMode="auto">
        <a:xfrm>
          <a:off x="4117186" y="170078"/>
          <a:ext cx="943935" cy="943935"/>
        </a:xfrm>
        <a:prstGeom prst="ellipse">
          <a:avLst/>
        </a:prstGeom>
        <a:blipFill>
          <a:blip xmlns:r="http://schemas.openxmlformats.org/officeDocument/2006/relationships" r:embed="rId3"/>
          <a:stretch>
            <a:fillRect l="-25000" r="-25000"/>
          </a:stretch>
        </a:blipFill>
        <a:ln w="12700" cap="flat" cmpd="sng" algn="ctr">
          <a:solidFill>
            <a:sysClr val="window" lastClr="FFFFFF">
              <a:hueOff val="0"/>
              <a:satOff val="0"/>
              <a:lumOff val="0"/>
              <a:alphaOff val="0"/>
            </a:sysClr>
          </a:solidFill>
          <a:prstDash val="solid"/>
          <a:miter lim="800000"/>
        </a:ln>
        <a:effectLst/>
      </dgm:spPr>
      <dgm:t>
        <a:bodyPr/>
        <a:lstStyle/>
        <a:p>
          <a:pPr>
            <a:defRPr/>
          </a:pPr>
          <a:endParaRPr lang="uk-UA"/>
        </a:p>
      </dgm:t>
    </dgm:pt>
  </dgm:ptLst>
  <dgm:cxnLst>
    <dgm:cxn modelId="{ECBD2586-8426-4995-A92D-665981E67F05}" type="presOf" srcId="{A220CAE2-D47B-4D22-990F-BC5BE3D32D51}" destId="{3D701265-1DE9-4673-B3DD-FA5D12B0F817}" srcOrd="0" destOrd="0" presId="urn:microsoft.com/office/officeart/2005/8/layout/hList7#1"/>
    <dgm:cxn modelId="{E66AA51E-FE1B-4FD1-8AC7-C00F719EB34C}" type="presOf" srcId="{14831489-14AC-4FB0-A719-CEF046D31CB4}" destId="{D3B3D4A1-6662-4CC6-840B-5077612541CC}" srcOrd="0" destOrd="0" presId="urn:microsoft.com/office/officeart/2005/8/layout/hList7#1"/>
    <dgm:cxn modelId="{AD004269-7283-47F0-B18C-4A40E03C9AEA}" type="presOf" srcId="{2F41ACD0-AE34-4DDD-81D7-3EEDA1014F8E}" destId="{1AB4F696-627C-44C9-BB9A-A3CF17FC5464}" srcOrd="0" destOrd="0" presId="urn:microsoft.com/office/officeart/2005/8/layout/hList7#1"/>
    <dgm:cxn modelId="{195F1B8F-552B-4315-A48F-2208644C83B2}" srcId="{5D52BF91-1F15-4389-A2DB-2E3AFD1DEBA2}" destId="{6BF0E5E3-7C31-4B2A-A24E-B06475D7AE64}" srcOrd="2" destOrd="0" parTransId="{4AC8C9DD-B709-4581-B9EA-450C72FE90A7}" sibTransId="{50042040-8D23-48D1-B81C-B0CA0A13D045}"/>
    <dgm:cxn modelId="{D049AD37-B012-409C-A26C-B5A2A4CE5309}" type="presOf" srcId="{5D52BF91-1F15-4389-A2DB-2E3AFD1DEBA2}" destId="{3BC8D582-3D0B-4C10-B3C8-AD82E092FD48}" srcOrd="0" destOrd="0" presId="urn:microsoft.com/office/officeart/2005/8/layout/hList7#1"/>
    <dgm:cxn modelId="{20670F95-BD31-4908-A5F9-AF5EE670BF7C}" type="presOf" srcId="{2F41ACD0-AE34-4DDD-81D7-3EEDA1014F8E}" destId="{CA8DDAEC-5F5E-4708-A7D3-FE62B3023F46}" srcOrd="1" destOrd="0" presId="urn:microsoft.com/office/officeart/2005/8/layout/hList7#1"/>
    <dgm:cxn modelId="{A42C06B1-EF6A-40EF-83CE-76EC33E488F9}" type="presOf" srcId="{8DFB90E8-E349-40F5-BD25-B61859CC130A}" destId="{3A5813AE-41C1-4D06-9E6B-602084093673}" srcOrd="1" destOrd="0" presId="urn:microsoft.com/office/officeart/2005/8/layout/hList7#1"/>
    <dgm:cxn modelId="{EE55E0B8-C33E-494C-A860-E67499E1FBA1}" type="presOf" srcId="{6BF0E5E3-7C31-4B2A-A24E-B06475D7AE64}" destId="{9B092313-2B52-458D-916B-D58DADE23FB4}" srcOrd="1" destOrd="0" presId="urn:microsoft.com/office/officeart/2005/8/layout/hList7#1"/>
    <dgm:cxn modelId="{EEF8B3E2-FAC7-4DD9-963E-56EC949E7722}" srcId="{5D52BF91-1F15-4389-A2DB-2E3AFD1DEBA2}" destId="{2F41ACD0-AE34-4DDD-81D7-3EEDA1014F8E}" srcOrd="0" destOrd="0" parTransId="{BB327D5F-8EDA-4797-96D8-F5F9806F4122}" sibTransId="{A220CAE2-D47B-4D22-990F-BC5BE3D32D51}"/>
    <dgm:cxn modelId="{EE5C4D02-AC39-4289-8D10-A3820227714A}" srcId="{5D52BF91-1F15-4389-A2DB-2E3AFD1DEBA2}" destId="{8DFB90E8-E349-40F5-BD25-B61859CC130A}" srcOrd="1" destOrd="0" parTransId="{3BC18070-66A4-4E66-BAB9-64A9A431979B}" sibTransId="{14831489-14AC-4FB0-A719-CEF046D31CB4}"/>
    <dgm:cxn modelId="{40883A1E-9585-4C9B-8A39-19C6034E0181}" type="presOf" srcId="{6BF0E5E3-7C31-4B2A-A24E-B06475D7AE64}" destId="{75AD1ED9-AA18-48A3-9064-2355B2CA8BC8}" srcOrd="0" destOrd="0" presId="urn:microsoft.com/office/officeart/2005/8/layout/hList7#1"/>
    <dgm:cxn modelId="{D102566D-C85F-48B9-8079-BC971029AC04}" type="presOf" srcId="{8DFB90E8-E349-40F5-BD25-B61859CC130A}" destId="{89826D75-DD2D-460A-ABD9-922EB1250C92}" srcOrd="0" destOrd="0" presId="urn:microsoft.com/office/officeart/2005/8/layout/hList7#1"/>
    <dgm:cxn modelId="{13C6B665-0D5F-40D8-99B5-7C7CD6B12991}" type="presParOf" srcId="{3BC8D582-3D0B-4C10-B3C8-AD82E092FD48}" destId="{4382EA2D-7293-40C7-9CE1-B1DDC96DA2E1}" srcOrd="0" destOrd="0" presId="urn:microsoft.com/office/officeart/2005/8/layout/hList7#1"/>
    <dgm:cxn modelId="{936D6D33-1D71-458A-8FB5-526EC00E1EAA}" type="presParOf" srcId="{3BC8D582-3D0B-4C10-B3C8-AD82E092FD48}" destId="{429C900B-CE5D-4562-842D-47F281B6B18F}" srcOrd="1" destOrd="0" presId="urn:microsoft.com/office/officeart/2005/8/layout/hList7#1"/>
    <dgm:cxn modelId="{D4982EF0-331D-4F5C-9699-226BD0E9B6F7}" type="presParOf" srcId="{429C900B-CE5D-4562-842D-47F281B6B18F}" destId="{808BECD9-0282-4846-8C58-EA3F959941EC}" srcOrd="0" destOrd="0" presId="urn:microsoft.com/office/officeart/2005/8/layout/hList7#1"/>
    <dgm:cxn modelId="{672E3793-A787-446A-96A1-CDCA2F3E2726}" type="presParOf" srcId="{808BECD9-0282-4846-8C58-EA3F959941EC}" destId="{1AB4F696-627C-44C9-BB9A-A3CF17FC5464}" srcOrd="0" destOrd="0" presId="urn:microsoft.com/office/officeart/2005/8/layout/hList7#1"/>
    <dgm:cxn modelId="{AFE66D74-7EEF-41CA-BA80-D2B58889CA8A}" type="presParOf" srcId="{808BECD9-0282-4846-8C58-EA3F959941EC}" destId="{CA8DDAEC-5F5E-4708-A7D3-FE62B3023F46}" srcOrd="1" destOrd="0" presId="urn:microsoft.com/office/officeart/2005/8/layout/hList7#1"/>
    <dgm:cxn modelId="{C8F6239A-C1A5-47D8-834C-D209E7000F3A}" type="presParOf" srcId="{808BECD9-0282-4846-8C58-EA3F959941EC}" destId="{EAEBD2EA-1D35-491D-9E53-4688FD980105}" srcOrd="2" destOrd="0" presId="urn:microsoft.com/office/officeart/2005/8/layout/hList7#1"/>
    <dgm:cxn modelId="{364AA73F-36AF-4041-8777-4FED8928C86B}" type="presParOf" srcId="{808BECD9-0282-4846-8C58-EA3F959941EC}" destId="{46EE6F24-4354-46AA-B356-1BBB34E9AA87}" srcOrd="3" destOrd="0" presId="urn:microsoft.com/office/officeart/2005/8/layout/hList7#1"/>
    <dgm:cxn modelId="{507A94D6-3D7A-44FA-9100-D380FD214EB3}" type="presParOf" srcId="{429C900B-CE5D-4562-842D-47F281B6B18F}" destId="{3D701265-1DE9-4673-B3DD-FA5D12B0F817}" srcOrd="1" destOrd="0" presId="urn:microsoft.com/office/officeart/2005/8/layout/hList7#1"/>
    <dgm:cxn modelId="{94796AD7-B357-4CB3-99D2-294AB22CC88D}" type="presParOf" srcId="{429C900B-CE5D-4562-842D-47F281B6B18F}" destId="{F98B4D73-95BC-49E0-958D-7C0566F8B750}" srcOrd="2" destOrd="0" presId="urn:microsoft.com/office/officeart/2005/8/layout/hList7#1"/>
    <dgm:cxn modelId="{C3935709-C855-4450-A628-2DFE882F3A2E}" type="presParOf" srcId="{F98B4D73-95BC-49E0-958D-7C0566F8B750}" destId="{89826D75-DD2D-460A-ABD9-922EB1250C92}" srcOrd="0" destOrd="0" presId="urn:microsoft.com/office/officeart/2005/8/layout/hList7#1"/>
    <dgm:cxn modelId="{08667C53-2567-428D-B39A-9A58D2636247}" type="presParOf" srcId="{F98B4D73-95BC-49E0-958D-7C0566F8B750}" destId="{3A5813AE-41C1-4D06-9E6B-602084093673}" srcOrd="1" destOrd="0" presId="urn:microsoft.com/office/officeart/2005/8/layout/hList7#1"/>
    <dgm:cxn modelId="{82CA2198-7A2E-4C57-A079-0F72854E7229}" type="presParOf" srcId="{F98B4D73-95BC-49E0-958D-7C0566F8B750}" destId="{E3A43886-3932-4F27-8A51-FA08CAC0D6FA}" srcOrd="2" destOrd="0" presId="urn:microsoft.com/office/officeart/2005/8/layout/hList7#1"/>
    <dgm:cxn modelId="{2B1C404A-4FF7-4C79-A613-86BC73E4DABD}" type="presParOf" srcId="{F98B4D73-95BC-49E0-958D-7C0566F8B750}" destId="{4BF82099-E51B-4109-B921-A32DFBC480DD}" srcOrd="3" destOrd="0" presId="urn:microsoft.com/office/officeart/2005/8/layout/hList7#1"/>
    <dgm:cxn modelId="{1B2BA61C-0A54-4661-8E7B-6F563EAF3525}" type="presParOf" srcId="{429C900B-CE5D-4562-842D-47F281B6B18F}" destId="{D3B3D4A1-6662-4CC6-840B-5077612541CC}" srcOrd="3" destOrd="0" presId="urn:microsoft.com/office/officeart/2005/8/layout/hList7#1"/>
    <dgm:cxn modelId="{E4D679D9-C321-43C6-9DF2-E9106F4C0F48}" type="presParOf" srcId="{429C900B-CE5D-4562-842D-47F281B6B18F}" destId="{D55D4E42-C5FC-4C6B-AFBB-0247A95A9D46}" srcOrd="4" destOrd="0" presId="urn:microsoft.com/office/officeart/2005/8/layout/hList7#1"/>
    <dgm:cxn modelId="{D8AEBDE0-5AA8-4AB0-A775-135D821E09E7}" type="presParOf" srcId="{D55D4E42-C5FC-4C6B-AFBB-0247A95A9D46}" destId="{75AD1ED9-AA18-48A3-9064-2355B2CA8BC8}" srcOrd="0" destOrd="0" presId="urn:microsoft.com/office/officeart/2005/8/layout/hList7#1"/>
    <dgm:cxn modelId="{D6741AD3-E4B5-410F-B5B8-BD169D5E867F}" type="presParOf" srcId="{D55D4E42-C5FC-4C6B-AFBB-0247A95A9D46}" destId="{9B092313-2B52-458D-916B-D58DADE23FB4}" srcOrd="1" destOrd="0" presId="urn:microsoft.com/office/officeart/2005/8/layout/hList7#1"/>
    <dgm:cxn modelId="{6252BFC9-4175-489E-9156-EF40A23C732D}" type="presParOf" srcId="{D55D4E42-C5FC-4C6B-AFBB-0247A95A9D46}" destId="{6D0737DC-88EB-4A51-8725-D54BD8915961}" srcOrd="2" destOrd="0" presId="urn:microsoft.com/office/officeart/2005/8/layout/hList7#1"/>
    <dgm:cxn modelId="{7AF785A1-B14B-4704-BE44-72CCF250AA56}" type="presParOf" srcId="{D55D4E42-C5FC-4C6B-AFBB-0247A95A9D46}" destId="{65D8F3C2-17B8-4E43-8B3B-2F9045863405}" srcOrd="3" destOrd="0" presId="urn:microsoft.com/office/officeart/2005/8/layout/hList7#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4C3F700-7D81-4F20-B1DC-84A617961B74}" type="doc">
      <dgm:prSet loTypeId="urn:microsoft.com/office/officeart/2005/8/layout/cycle3#1" loCatId="cycle" qsTypeId="urn:microsoft.com/office/officeart/2005/8/quickstyle/simple1" qsCatId="simple" csTypeId="urn:microsoft.com/office/officeart/2005/8/colors/colorful4" csCatId="colorful" phldr="1"/>
      <dgm:spPr bwMode="auto"/>
      <dgm:t>
        <a:bodyPr/>
        <a:lstStyle/>
        <a:p>
          <a:pPr>
            <a:defRPr/>
          </a:pPr>
          <a:endParaRPr lang="uk-UA"/>
        </a:p>
      </dgm:t>
    </dgm:pt>
    <dgm:pt modelId="{A47363B3-2E24-4DEC-AD21-B6B2FEC51A59}">
      <dgm:prSet phldrT="[Текст]"/>
      <dgm:spPr bwMode="auto">
        <a:xfrm>
          <a:off x="1949640" y="547"/>
          <a:ext cx="1259458" cy="629729"/>
        </a:xfrm>
        <a:prstGeom prst="roundRect">
          <a:avLst>
            <a:gd name="adj" fmla="val 16667"/>
          </a:avLst>
        </a:prstGeom>
        <a:solidFill>
          <a:srgbClr val="44C1A3">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Arial"/>
            </a:rPr>
            <a:t>Планування</a:t>
          </a:r>
          <a:endParaRPr>
            <a:solidFill>
              <a:sysClr val="window" lastClr="FFFFFF"/>
            </a:solidFill>
            <a:latin typeface="Calibri"/>
            <a:ea typeface="+mn-ea"/>
            <a:cs typeface="Arial"/>
          </a:endParaRPr>
        </a:p>
      </dgm:t>
    </dgm:pt>
    <dgm:pt modelId="{30505B57-7F4A-4694-AE9F-B1BEF2B59130}" type="parTrans" cxnId="{0CA21879-9A5D-4AFE-8272-05AB3235B4EA}">
      <dgm:prSet/>
      <dgm:spPr bwMode="auto"/>
      <dgm:t>
        <a:bodyPr/>
        <a:lstStyle/>
        <a:p>
          <a:pPr>
            <a:defRPr/>
          </a:pPr>
          <a:endParaRPr lang="uk-UA"/>
        </a:p>
      </dgm:t>
    </dgm:pt>
    <dgm:pt modelId="{08B7E417-B2DA-4956-8F40-DFFACC82716D}" type="sibTrans" cxnId="{0CA21879-9A5D-4AFE-8272-05AB3235B4EA}">
      <dgm:prSet/>
      <dgm:spPr bwMode="auto">
        <a:xfrm>
          <a:off x="1190494" y="-14654"/>
          <a:ext cx="2777750" cy="2777750"/>
        </a:xfrm>
        <a:prstGeom prst="circularArrow">
          <a:avLst>
            <a:gd name="adj1" fmla="val 5544"/>
            <a:gd name="adj2" fmla="val 330680"/>
            <a:gd name="adj3" fmla="val 13849062"/>
            <a:gd name="adj4" fmla="val 17341613"/>
            <a:gd name="adj5" fmla="val 5757"/>
          </a:avLst>
        </a:prstGeom>
        <a:solidFill>
          <a:srgbClr val="44C1A3">
            <a:tint val="40000"/>
            <a:hueOff val="0"/>
            <a:satOff val="0"/>
            <a:lumOff val="0"/>
            <a:alphaOff val="0"/>
          </a:srgbClr>
        </a:solidFill>
        <a:ln>
          <a:noFill/>
        </a:ln>
        <a:effectLst/>
      </dgm:spPr>
      <dgm:t>
        <a:bodyPr/>
        <a:lstStyle/>
        <a:p>
          <a:pPr>
            <a:defRPr/>
          </a:pPr>
          <a:endParaRPr lang="uk-UA"/>
        </a:p>
      </dgm:t>
    </dgm:pt>
    <dgm:pt modelId="{A39109A4-7945-4985-9316-A33A3C5BC511}">
      <dgm:prSet phldrT="[Текст]"/>
      <dgm:spPr bwMode="auto">
        <a:xfrm>
          <a:off x="3076207" y="819045"/>
          <a:ext cx="1259458" cy="629729"/>
        </a:xfrm>
        <a:prstGeom prst="roundRect">
          <a:avLst>
            <a:gd name="adj" fmla="val 16667"/>
          </a:avLst>
        </a:prstGeom>
        <a:solidFill>
          <a:srgbClr val="44C1A3">
            <a:hueOff val="411359"/>
            <a:satOff val="1783"/>
            <a:lumOff val="1177"/>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Arial"/>
            </a:rPr>
            <a:t>Організація</a:t>
          </a:r>
          <a:endParaRPr>
            <a:solidFill>
              <a:sysClr val="window" lastClr="FFFFFF"/>
            </a:solidFill>
            <a:latin typeface="Calibri"/>
            <a:ea typeface="+mn-ea"/>
            <a:cs typeface="Arial"/>
          </a:endParaRPr>
        </a:p>
      </dgm:t>
    </dgm:pt>
    <dgm:pt modelId="{091654B8-4968-46B5-8B92-9AC6D0174629}" type="parTrans" cxnId="{0E2BB5AF-4C00-4689-AACE-65A56F5D256C}">
      <dgm:prSet/>
      <dgm:spPr bwMode="auto"/>
      <dgm:t>
        <a:bodyPr/>
        <a:lstStyle/>
        <a:p>
          <a:pPr>
            <a:defRPr/>
          </a:pPr>
          <a:endParaRPr lang="uk-UA"/>
        </a:p>
      </dgm:t>
    </dgm:pt>
    <dgm:pt modelId="{D6DABEC3-38BF-4B35-BB92-EB50210F0738}" type="sibTrans" cxnId="{0E2BB5AF-4C00-4689-AACE-65A56F5D256C}">
      <dgm:prSet/>
      <dgm:spPr bwMode="auto"/>
      <dgm:t>
        <a:bodyPr/>
        <a:lstStyle/>
        <a:p>
          <a:pPr>
            <a:defRPr/>
          </a:pPr>
          <a:endParaRPr lang="uk-UA"/>
        </a:p>
      </dgm:t>
    </dgm:pt>
    <dgm:pt modelId="{A12680AE-53B5-4A67-9EC5-513AF20B0F00}">
      <dgm:prSet phldrT="[Текст]"/>
      <dgm:spPr bwMode="auto">
        <a:xfrm>
          <a:off x="2645897" y="2143403"/>
          <a:ext cx="1259458" cy="629729"/>
        </a:xfrm>
        <a:prstGeom prst="roundRect">
          <a:avLst>
            <a:gd name="adj" fmla="val 16667"/>
          </a:avLst>
        </a:prstGeom>
        <a:solidFill>
          <a:srgbClr val="44C1A3">
            <a:hueOff val="822717"/>
            <a:satOff val="3566"/>
            <a:lumOff val="2353"/>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Arial"/>
            </a:rPr>
            <a:t>Координація</a:t>
          </a:r>
          <a:endParaRPr>
            <a:solidFill>
              <a:sysClr val="window" lastClr="FFFFFF"/>
            </a:solidFill>
            <a:latin typeface="Calibri"/>
            <a:ea typeface="+mn-ea"/>
            <a:cs typeface="Arial"/>
          </a:endParaRPr>
        </a:p>
      </dgm:t>
    </dgm:pt>
    <dgm:pt modelId="{2FB1C03D-8619-4C4A-AD62-2CA763A29D83}" type="parTrans" cxnId="{62A77379-53F2-41AE-93E4-C8D6C73B4EB1}">
      <dgm:prSet/>
      <dgm:spPr bwMode="auto"/>
      <dgm:t>
        <a:bodyPr/>
        <a:lstStyle/>
        <a:p>
          <a:pPr>
            <a:defRPr/>
          </a:pPr>
          <a:endParaRPr lang="uk-UA"/>
        </a:p>
      </dgm:t>
    </dgm:pt>
    <dgm:pt modelId="{78C9C7A6-C787-4B81-9D97-35B5728626F1}" type="sibTrans" cxnId="{62A77379-53F2-41AE-93E4-C8D6C73B4EB1}">
      <dgm:prSet/>
      <dgm:spPr bwMode="auto"/>
      <dgm:t>
        <a:bodyPr/>
        <a:lstStyle/>
        <a:p>
          <a:pPr>
            <a:defRPr/>
          </a:pPr>
          <a:endParaRPr lang="uk-UA"/>
        </a:p>
      </dgm:t>
    </dgm:pt>
    <dgm:pt modelId="{5DFDF849-937E-4345-B90D-B0101F3CC912}">
      <dgm:prSet phldrT="[Текст]"/>
      <dgm:spPr bwMode="auto">
        <a:xfrm>
          <a:off x="1253384" y="2143403"/>
          <a:ext cx="1259458" cy="629729"/>
        </a:xfrm>
        <a:prstGeom prst="roundRect">
          <a:avLst>
            <a:gd name="adj" fmla="val 16667"/>
          </a:avLst>
        </a:prstGeom>
        <a:solidFill>
          <a:srgbClr val="44C1A3">
            <a:hueOff val="1234076"/>
            <a:satOff val="5349"/>
            <a:lumOff val="353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Arial"/>
            </a:rPr>
            <a:t>Мотивація</a:t>
          </a:r>
          <a:endParaRPr>
            <a:solidFill>
              <a:sysClr val="window" lastClr="FFFFFF"/>
            </a:solidFill>
            <a:latin typeface="Calibri"/>
            <a:ea typeface="+mn-ea"/>
            <a:cs typeface="Arial"/>
          </a:endParaRPr>
        </a:p>
      </dgm:t>
    </dgm:pt>
    <dgm:pt modelId="{583D8C22-C018-4CFB-85E7-7131C71CFC39}" type="parTrans" cxnId="{F7F51B59-4121-41F2-907C-73A5E0EAFA1F}">
      <dgm:prSet/>
      <dgm:spPr bwMode="auto"/>
      <dgm:t>
        <a:bodyPr/>
        <a:lstStyle/>
        <a:p>
          <a:pPr>
            <a:defRPr/>
          </a:pPr>
          <a:endParaRPr lang="uk-UA"/>
        </a:p>
      </dgm:t>
    </dgm:pt>
    <dgm:pt modelId="{45937F09-A067-4A63-843E-CD574E46AC82}" type="sibTrans" cxnId="{F7F51B59-4121-41F2-907C-73A5E0EAFA1F}">
      <dgm:prSet/>
      <dgm:spPr bwMode="auto"/>
      <dgm:t>
        <a:bodyPr/>
        <a:lstStyle/>
        <a:p>
          <a:pPr>
            <a:defRPr/>
          </a:pPr>
          <a:endParaRPr lang="uk-UA"/>
        </a:p>
      </dgm:t>
    </dgm:pt>
    <dgm:pt modelId="{4585ED26-B54A-4ED9-83CE-BA0CF5484C3D}">
      <dgm:prSet phldrT="[Текст]"/>
      <dgm:spPr bwMode="auto">
        <a:xfrm>
          <a:off x="823074" y="819045"/>
          <a:ext cx="1259458" cy="629729"/>
        </a:xfrm>
        <a:prstGeom prst="roundRect">
          <a:avLst>
            <a:gd name="adj" fmla="val 16667"/>
          </a:avLst>
        </a:prstGeom>
        <a:solidFill>
          <a:srgbClr val="44C1A3">
            <a:hueOff val="1645434"/>
            <a:satOff val="7132"/>
            <a:lumOff val="4706"/>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Arial"/>
            </a:rPr>
            <a:t>Контроль</a:t>
          </a:r>
          <a:endParaRPr>
            <a:solidFill>
              <a:sysClr val="window" lastClr="FFFFFF"/>
            </a:solidFill>
            <a:latin typeface="Calibri"/>
            <a:ea typeface="+mn-ea"/>
            <a:cs typeface="Arial"/>
          </a:endParaRPr>
        </a:p>
      </dgm:t>
    </dgm:pt>
    <dgm:pt modelId="{F40211A2-321D-4557-B966-B00E251B192C}" type="parTrans" cxnId="{A2B0278E-15FB-4C7E-B815-2FBDB2B2CC57}">
      <dgm:prSet/>
      <dgm:spPr bwMode="auto"/>
      <dgm:t>
        <a:bodyPr/>
        <a:lstStyle/>
        <a:p>
          <a:pPr>
            <a:defRPr/>
          </a:pPr>
          <a:endParaRPr lang="uk-UA"/>
        </a:p>
      </dgm:t>
    </dgm:pt>
    <dgm:pt modelId="{D308FFCE-6F63-433A-9557-148A5FCFBAE6}" type="sibTrans" cxnId="{A2B0278E-15FB-4C7E-B815-2FBDB2B2CC57}">
      <dgm:prSet/>
      <dgm:spPr bwMode="auto"/>
      <dgm:t>
        <a:bodyPr/>
        <a:lstStyle/>
        <a:p>
          <a:pPr>
            <a:defRPr/>
          </a:pPr>
          <a:endParaRPr lang="uk-UA"/>
        </a:p>
      </dgm:t>
    </dgm:pt>
    <dgm:pt modelId="{D35A0481-B7E8-4391-A8BC-9A9FA10B9284}" type="pres">
      <dgm:prSet presAssocID="{74C3F700-7D81-4F20-B1DC-84A617961B74}" presName="Name0" presStyleCnt="0">
        <dgm:presLayoutVars>
          <dgm:dir/>
          <dgm:resizeHandles val="exact"/>
        </dgm:presLayoutVars>
      </dgm:prSet>
      <dgm:spPr bwMode="auto"/>
      <dgm:t>
        <a:bodyPr/>
        <a:lstStyle/>
        <a:p>
          <a:pPr>
            <a:defRPr/>
          </a:pPr>
          <a:endParaRPr lang="uk-UA"/>
        </a:p>
      </dgm:t>
    </dgm:pt>
    <dgm:pt modelId="{85DDAE8E-FDF5-48A6-8010-51F1A3CA6718}" type="pres">
      <dgm:prSet presAssocID="{74C3F700-7D81-4F20-B1DC-84A617961B74}" presName="cycle" presStyleCnt="0"/>
      <dgm:spPr bwMode="auto"/>
    </dgm:pt>
    <dgm:pt modelId="{5A3ED623-A5E9-41D3-AF26-2EB6B1A0E403}" type="pres">
      <dgm:prSet presAssocID="{A47363B3-2E24-4DEC-AD21-B6B2FEC51A59}" presName="nodeFirstNode" presStyleLbl="node1" presStyleIdx="0" presStyleCnt="5">
        <dgm:presLayoutVars>
          <dgm:bulletEnabled val="1"/>
        </dgm:presLayoutVars>
      </dgm:prSet>
      <dgm:spPr bwMode="auto"/>
      <dgm:t>
        <a:bodyPr/>
        <a:lstStyle/>
        <a:p>
          <a:pPr>
            <a:defRPr/>
          </a:pPr>
          <a:endParaRPr lang="uk-UA"/>
        </a:p>
      </dgm:t>
    </dgm:pt>
    <dgm:pt modelId="{0EAC1BB0-2E46-42B9-BA4D-1EBB855EDF09}" type="pres">
      <dgm:prSet presAssocID="{08B7E417-B2DA-4956-8F40-DFFACC82716D}" presName="sibTransFirstNode" presStyleLbl="bgShp" presStyleIdx="0" presStyleCnt="1"/>
      <dgm:spPr bwMode="auto"/>
      <dgm:t>
        <a:bodyPr/>
        <a:lstStyle/>
        <a:p>
          <a:pPr>
            <a:defRPr/>
          </a:pPr>
          <a:endParaRPr lang="uk-UA"/>
        </a:p>
      </dgm:t>
    </dgm:pt>
    <dgm:pt modelId="{9AB81E34-ADF9-4B6C-A8B5-692F9B2C0246}" type="pres">
      <dgm:prSet presAssocID="{A39109A4-7945-4985-9316-A33A3C5BC511}" presName="nodeFollowingNodes" presStyleLbl="node1" presStyleIdx="1" presStyleCnt="5">
        <dgm:presLayoutVars>
          <dgm:bulletEnabled val="1"/>
        </dgm:presLayoutVars>
      </dgm:prSet>
      <dgm:spPr bwMode="auto"/>
      <dgm:t>
        <a:bodyPr/>
        <a:lstStyle/>
        <a:p>
          <a:pPr>
            <a:defRPr/>
          </a:pPr>
          <a:endParaRPr lang="uk-UA"/>
        </a:p>
      </dgm:t>
    </dgm:pt>
    <dgm:pt modelId="{BC0CA91A-599E-4EF2-AEFC-C698150F5F1E}" type="pres">
      <dgm:prSet presAssocID="{A12680AE-53B5-4A67-9EC5-513AF20B0F00}" presName="nodeFollowingNodes" presStyleLbl="node1" presStyleIdx="2" presStyleCnt="5">
        <dgm:presLayoutVars>
          <dgm:bulletEnabled val="1"/>
        </dgm:presLayoutVars>
      </dgm:prSet>
      <dgm:spPr bwMode="auto"/>
      <dgm:t>
        <a:bodyPr/>
        <a:lstStyle/>
        <a:p>
          <a:pPr>
            <a:defRPr/>
          </a:pPr>
          <a:endParaRPr lang="uk-UA"/>
        </a:p>
      </dgm:t>
    </dgm:pt>
    <dgm:pt modelId="{4312FEEE-B607-40DE-85D2-0E708B4B5EE7}" type="pres">
      <dgm:prSet presAssocID="{5DFDF849-937E-4345-B90D-B0101F3CC912}" presName="nodeFollowingNodes" presStyleLbl="node1" presStyleIdx="3" presStyleCnt="5">
        <dgm:presLayoutVars>
          <dgm:bulletEnabled val="1"/>
        </dgm:presLayoutVars>
      </dgm:prSet>
      <dgm:spPr bwMode="auto"/>
      <dgm:t>
        <a:bodyPr/>
        <a:lstStyle/>
        <a:p>
          <a:pPr>
            <a:defRPr/>
          </a:pPr>
          <a:endParaRPr lang="uk-UA"/>
        </a:p>
      </dgm:t>
    </dgm:pt>
    <dgm:pt modelId="{11D45DEF-500B-4261-86E2-E61928BC25C6}" type="pres">
      <dgm:prSet presAssocID="{4585ED26-B54A-4ED9-83CE-BA0CF5484C3D}" presName="nodeFollowingNodes" presStyleLbl="node1" presStyleIdx="4" presStyleCnt="5">
        <dgm:presLayoutVars>
          <dgm:bulletEnabled val="1"/>
        </dgm:presLayoutVars>
      </dgm:prSet>
      <dgm:spPr bwMode="auto"/>
      <dgm:t>
        <a:bodyPr/>
        <a:lstStyle/>
        <a:p>
          <a:pPr>
            <a:defRPr/>
          </a:pPr>
          <a:endParaRPr lang="uk-UA"/>
        </a:p>
      </dgm:t>
    </dgm:pt>
  </dgm:ptLst>
  <dgm:cxnLst>
    <dgm:cxn modelId="{EDE594CB-7792-46A8-AE66-D2E5D7A1E3DB}" type="presOf" srcId="{A47363B3-2E24-4DEC-AD21-B6B2FEC51A59}" destId="{5A3ED623-A5E9-41D3-AF26-2EB6B1A0E403}" srcOrd="0" destOrd="0" presId="urn:microsoft.com/office/officeart/2005/8/layout/cycle3#1"/>
    <dgm:cxn modelId="{D1214707-776F-4C98-B7EF-6BD468DC972A}" type="presOf" srcId="{4585ED26-B54A-4ED9-83CE-BA0CF5484C3D}" destId="{11D45DEF-500B-4261-86E2-E61928BC25C6}" srcOrd="0" destOrd="0" presId="urn:microsoft.com/office/officeart/2005/8/layout/cycle3#1"/>
    <dgm:cxn modelId="{0E2BB5AF-4C00-4689-AACE-65A56F5D256C}" srcId="{74C3F700-7D81-4F20-B1DC-84A617961B74}" destId="{A39109A4-7945-4985-9316-A33A3C5BC511}" srcOrd="1" destOrd="0" parTransId="{091654B8-4968-46B5-8B92-9AC6D0174629}" sibTransId="{D6DABEC3-38BF-4B35-BB92-EB50210F0738}"/>
    <dgm:cxn modelId="{43A6525D-11B0-4190-879D-4299A73F194E}" type="presOf" srcId="{A12680AE-53B5-4A67-9EC5-513AF20B0F00}" destId="{BC0CA91A-599E-4EF2-AEFC-C698150F5F1E}" srcOrd="0" destOrd="0" presId="urn:microsoft.com/office/officeart/2005/8/layout/cycle3#1"/>
    <dgm:cxn modelId="{D772BFC6-05A4-4ABE-A68E-B4639C7AE343}" type="presOf" srcId="{5DFDF849-937E-4345-B90D-B0101F3CC912}" destId="{4312FEEE-B607-40DE-85D2-0E708B4B5EE7}" srcOrd="0" destOrd="0" presId="urn:microsoft.com/office/officeart/2005/8/layout/cycle3#1"/>
    <dgm:cxn modelId="{C0B4173C-55DC-4111-B207-C0CD271F3CD5}" type="presOf" srcId="{08B7E417-B2DA-4956-8F40-DFFACC82716D}" destId="{0EAC1BB0-2E46-42B9-BA4D-1EBB855EDF09}" srcOrd="0" destOrd="0" presId="urn:microsoft.com/office/officeart/2005/8/layout/cycle3#1"/>
    <dgm:cxn modelId="{CD339449-D43E-4F0C-8A7A-38F44A941727}" type="presOf" srcId="{A39109A4-7945-4985-9316-A33A3C5BC511}" destId="{9AB81E34-ADF9-4B6C-A8B5-692F9B2C0246}" srcOrd="0" destOrd="0" presId="urn:microsoft.com/office/officeart/2005/8/layout/cycle3#1"/>
    <dgm:cxn modelId="{0CA21879-9A5D-4AFE-8272-05AB3235B4EA}" srcId="{74C3F700-7D81-4F20-B1DC-84A617961B74}" destId="{A47363B3-2E24-4DEC-AD21-B6B2FEC51A59}" srcOrd="0" destOrd="0" parTransId="{30505B57-7F4A-4694-AE9F-B1BEF2B59130}" sibTransId="{08B7E417-B2DA-4956-8F40-DFFACC82716D}"/>
    <dgm:cxn modelId="{39C357DA-5492-434E-AA5B-67FBC1520FC3}" type="presOf" srcId="{74C3F700-7D81-4F20-B1DC-84A617961B74}" destId="{D35A0481-B7E8-4391-A8BC-9A9FA10B9284}" srcOrd="0" destOrd="0" presId="urn:microsoft.com/office/officeart/2005/8/layout/cycle3#1"/>
    <dgm:cxn modelId="{F7F51B59-4121-41F2-907C-73A5E0EAFA1F}" srcId="{74C3F700-7D81-4F20-B1DC-84A617961B74}" destId="{5DFDF849-937E-4345-B90D-B0101F3CC912}" srcOrd="3" destOrd="0" parTransId="{583D8C22-C018-4CFB-85E7-7131C71CFC39}" sibTransId="{45937F09-A067-4A63-843E-CD574E46AC82}"/>
    <dgm:cxn modelId="{A2B0278E-15FB-4C7E-B815-2FBDB2B2CC57}" srcId="{74C3F700-7D81-4F20-B1DC-84A617961B74}" destId="{4585ED26-B54A-4ED9-83CE-BA0CF5484C3D}" srcOrd="4" destOrd="0" parTransId="{F40211A2-321D-4557-B966-B00E251B192C}" sibTransId="{D308FFCE-6F63-433A-9557-148A5FCFBAE6}"/>
    <dgm:cxn modelId="{62A77379-53F2-41AE-93E4-C8D6C73B4EB1}" srcId="{74C3F700-7D81-4F20-B1DC-84A617961B74}" destId="{A12680AE-53B5-4A67-9EC5-513AF20B0F00}" srcOrd="2" destOrd="0" parTransId="{2FB1C03D-8619-4C4A-AD62-2CA763A29D83}" sibTransId="{78C9C7A6-C787-4B81-9D97-35B5728626F1}"/>
    <dgm:cxn modelId="{26CB122B-B1E3-42AA-BA0D-E15237A75D21}" type="presParOf" srcId="{D35A0481-B7E8-4391-A8BC-9A9FA10B9284}" destId="{85DDAE8E-FDF5-48A6-8010-51F1A3CA6718}" srcOrd="0" destOrd="0" presId="urn:microsoft.com/office/officeart/2005/8/layout/cycle3#1"/>
    <dgm:cxn modelId="{E9A56DD9-D9EE-4768-8521-8EF86914B0F3}" type="presParOf" srcId="{85DDAE8E-FDF5-48A6-8010-51F1A3CA6718}" destId="{5A3ED623-A5E9-41D3-AF26-2EB6B1A0E403}" srcOrd="0" destOrd="0" presId="urn:microsoft.com/office/officeart/2005/8/layout/cycle3#1"/>
    <dgm:cxn modelId="{D1F42CAE-DE99-4303-9FA5-E181D4225AD4}" type="presParOf" srcId="{85DDAE8E-FDF5-48A6-8010-51F1A3CA6718}" destId="{0EAC1BB0-2E46-42B9-BA4D-1EBB855EDF09}" srcOrd="1" destOrd="0" presId="urn:microsoft.com/office/officeart/2005/8/layout/cycle3#1"/>
    <dgm:cxn modelId="{0983CC25-234E-42CC-B7BD-25ECBFB574D2}" type="presParOf" srcId="{85DDAE8E-FDF5-48A6-8010-51F1A3CA6718}" destId="{9AB81E34-ADF9-4B6C-A8B5-692F9B2C0246}" srcOrd="2" destOrd="0" presId="urn:microsoft.com/office/officeart/2005/8/layout/cycle3#1"/>
    <dgm:cxn modelId="{9BC0038A-DA66-44F2-8A88-DEBAA1A21911}" type="presParOf" srcId="{85DDAE8E-FDF5-48A6-8010-51F1A3CA6718}" destId="{BC0CA91A-599E-4EF2-AEFC-C698150F5F1E}" srcOrd="3" destOrd="0" presId="urn:microsoft.com/office/officeart/2005/8/layout/cycle3#1"/>
    <dgm:cxn modelId="{609588DC-6CCD-45A8-A77B-FFF4C6A347A6}" type="presParOf" srcId="{85DDAE8E-FDF5-48A6-8010-51F1A3CA6718}" destId="{4312FEEE-B607-40DE-85D2-0E708B4B5EE7}" srcOrd="4" destOrd="0" presId="urn:microsoft.com/office/officeart/2005/8/layout/cycle3#1"/>
    <dgm:cxn modelId="{B6612BCB-1B9C-45A5-9208-C087434CEA18}" type="presParOf" srcId="{85DDAE8E-FDF5-48A6-8010-51F1A3CA6718}" destId="{11D45DEF-500B-4261-86E2-E61928BC25C6}" srcOrd="5" destOrd="0" presId="urn:microsoft.com/office/officeart/2005/8/layout/cycle3#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B4F696-627C-44C9-BB9A-A3CF17FC5464}">
      <dsp:nvSpPr>
        <dsp:cNvPr id="0" name=""/>
        <dsp:cNvSpPr/>
      </dsp:nvSpPr>
      <dsp:spPr bwMode="auto">
        <a:xfrm>
          <a:off x="1151" y="0"/>
          <a:ext cx="1792188" cy="2834640"/>
        </a:xfrm>
        <a:prstGeom prst="roundRect">
          <a:avLst>
            <a:gd name="adj" fmla="val 10000"/>
          </a:avLst>
        </a:prstGeom>
        <a:solidFill>
          <a:srgbClr val="44C1A3">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defRPr/>
          </a:pPr>
          <a:r>
            <a:rPr lang="uk-UA" sz="1000" b="1" kern="1200">
              <a:solidFill>
                <a:sysClr val="windowText" lastClr="000000"/>
              </a:solidFill>
              <a:latin typeface="Calibri"/>
              <a:ea typeface="+mn-ea"/>
              <a:cs typeface="Arial"/>
            </a:rPr>
            <a:t>Стратегічний рівень</a:t>
          </a:r>
          <a:endParaRPr sz="1000" kern="1200">
            <a:solidFill>
              <a:sysClr val="window" lastClr="FFFFFF"/>
            </a:solidFill>
            <a:latin typeface="Calibri"/>
            <a:ea typeface="+mn-ea"/>
            <a:cs typeface="Arial"/>
          </a:endParaRPr>
        </a:p>
        <a:p>
          <a:pPr lvl="0" algn="ctr" defTabSz="444500">
            <a:lnSpc>
              <a:spcPct val="90000"/>
            </a:lnSpc>
            <a:spcBef>
              <a:spcPct val="0"/>
            </a:spcBef>
            <a:spcAft>
              <a:spcPct val="35000"/>
            </a:spcAft>
            <a:defRPr/>
          </a:pPr>
          <a:r>
            <a:rPr lang="uk-UA" sz="1000" kern="1200">
              <a:solidFill>
                <a:sysClr val="window" lastClr="FFFFFF"/>
              </a:solidFill>
              <a:latin typeface="Calibri"/>
              <a:ea typeface="+mn-ea"/>
              <a:cs typeface="Arial"/>
            </a:rPr>
            <a:t>головний лікар</a:t>
          </a:r>
          <a:endParaRPr sz="1000" kern="1200">
            <a:solidFill>
              <a:sysClr val="window" lastClr="FFFFFF"/>
            </a:solidFill>
            <a:latin typeface="Calibri"/>
            <a:ea typeface="+mn-ea"/>
            <a:cs typeface="Arial"/>
          </a:endParaRPr>
        </a:p>
      </dsp:txBody>
      <dsp:txXfrm>
        <a:off x="34361" y="1167066"/>
        <a:ext cx="1725768" cy="1067436"/>
      </dsp:txXfrm>
    </dsp:sp>
    <dsp:sp modelId="{46EE6F24-4354-46AA-B356-1BBB34E9AA87}">
      <dsp:nvSpPr>
        <dsp:cNvPr id="0" name=""/>
        <dsp:cNvSpPr/>
      </dsp:nvSpPr>
      <dsp:spPr bwMode="auto">
        <a:xfrm>
          <a:off x="425278" y="170078"/>
          <a:ext cx="943935" cy="943935"/>
        </a:xfrm>
        <a:prstGeom prst="ellipse">
          <a:avLst/>
        </a:prstGeom>
        <a:blipFill>
          <a:blip xmlns:r="http://schemas.openxmlformats.org/officeDocument/2006/relationships" r:embed="rId1"/>
          <a:stretch>
            <a:fillRect l="-25000" r="-25000"/>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89826D75-DD2D-460A-ABD9-922EB1250C92}">
      <dsp:nvSpPr>
        <dsp:cNvPr id="0" name=""/>
        <dsp:cNvSpPr/>
      </dsp:nvSpPr>
      <dsp:spPr bwMode="auto">
        <a:xfrm>
          <a:off x="1847105" y="0"/>
          <a:ext cx="1792188" cy="2834640"/>
        </a:xfrm>
        <a:prstGeom prst="roundRect">
          <a:avLst>
            <a:gd name="adj" fmla="val 10000"/>
          </a:avLst>
        </a:prstGeom>
        <a:solidFill>
          <a:srgbClr val="44C1A3">
            <a:hueOff val="822717"/>
            <a:satOff val="3566"/>
            <a:lumOff val="2353"/>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defRPr/>
          </a:pPr>
          <a:r>
            <a:rPr lang="uk-UA" sz="1000" b="1" kern="1200">
              <a:solidFill>
                <a:sysClr val="windowText" lastClr="000000"/>
              </a:solidFill>
              <a:latin typeface="Calibri"/>
              <a:ea typeface="+mn-ea"/>
              <a:cs typeface="Arial"/>
            </a:rPr>
            <a:t>Тактичний рівень</a:t>
          </a:r>
          <a:endParaRPr sz="1000" kern="1200">
            <a:solidFill>
              <a:sysClr val="window" lastClr="FFFFFF"/>
            </a:solidFill>
            <a:latin typeface="Calibri"/>
            <a:ea typeface="+mn-ea"/>
            <a:cs typeface="Arial"/>
          </a:endParaRPr>
        </a:p>
        <a:p>
          <a:pPr lvl="0" algn="ctr" defTabSz="444500">
            <a:lnSpc>
              <a:spcPct val="90000"/>
            </a:lnSpc>
            <a:spcBef>
              <a:spcPct val="0"/>
            </a:spcBef>
            <a:spcAft>
              <a:spcPct val="35000"/>
            </a:spcAft>
            <a:defRPr/>
          </a:pPr>
          <a:r>
            <a:rPr lang="uk-UA" sz="1000" kern="1200">
              <a:solidFill>
                <a:sysClr val="window" lastClr="FFFFFF"/>
              </a:solidFill>
              <a:latin typeface="Calibri"/>
              <a:ea typeface="+mn-ea"/>
              <a:cs typeface="Arial"/>
            </a:rPr>
            <a:t>заступники головного лікаря по медичній частині </a:t>
          </a:r>
          <a:endParaRPr sz="1000" kern="1200">
            <a:solidFill>
              <a:sysClr val="window" lastClr="FFFFFF"/>
            </a:solidFill>
            <a:latin typeface="Calibri"/>
            <a:ea typeface="+mn-ea"/>
            <a:cs typeface="Arial"/>
          </a:endParaRPr>
        </a:p>
      </dsp:txBody>
      <dsp:txXfrm>
        <a:off x="1880315" y="1167066"/>
        <a:ext cx="1725768" cy="1067436"/>
      </dsp:txXfrm>
    </dsp:sp>
    <dsp:sp modelId="{4BF82099-E51B-4109-B921-A32DFBC480DD}">
      <dsp:nvSpPr>
        <dsp:cNvPr id="0" name=""/>
        <dsp:cNvSpPr/>
      </dsp:nvSpPr>
      <dsp:spPr bwMode="auto">
        <a:xfrm>
          <a:off x="2271232" y="170078"/>
          <a:ext cx="943935" cy="943935"/>
        </a:xfrm>
        <a:prstGeom prst="ellipse">
          <a:avLst/>
        </a:prstGeom>
        <a:blipFill rotWithShape="1">
          <a:blip xmlns:r="http://schemas.openxmlformats.org/officeDocument/2006/relationships" r:embed="rId2"/>
          <a:stretch>
            <a:fillRect/>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75AD1ED9-AA18-48A3-9064-2355B2CA8BC8}">
      <dsp:nvSpPr>
        <dsp:cNvPr id="0" name=""/>
        <dsp:cNvSpPr/>
      </dsp:nvSpPr>
      <dsp:spPr bwMode="auto">
        <a:xfrm>
          <a:off x="3693059" y="0"/>
          <a:ext cx="1792188" cy="2834640"/>
        </a:xfrm>
        <a:prstGeom prst="roundRect">
          <a:avLst>
            <a:gd name="adj" fmla="val 10000"/>
          </a:avLst>
        </a:prstGeom>
        <a:solidFill>
          <a:srgbClr val="44C1A3">
            <a:hueOff val="1645434"/>
            <a:satOff val="7132"/>
            <a:lumOff val="4706"/>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defRPr/>
          </a:pPr>
          <a:r>
            <a:rPr lang="uk-UA" sz="1000" b="1" kern="1200">
              <a:solidFill>
                <a:sysClr val="windowText" lastClr="000000"/>
              </a:solidFill>
              <a:latin typeface="Calibri"/>
              <a:ea typeface="+mn-ea"/>
              <a:cs typeface="Arial"/>
            </a:rPr>
            <a:t>Оперативний рівень</a:t>
          </a:r>
          <a:endParaRPr sz="1000" kern="1200">
            <a:solidFill>
              <a:sysClr val="window" lastClr="FFFFFF"/>
            </a:solidFill>
            <a:latin typeface="Calibri"/>
            <a:ea typeface="+mn-ea"/>
            <a:cs typeface="Arial"/>
          </a:endParaRPr>
        </a:p>
        <a:p>
          <a:pPr lvl="0" algn="ctr" defTabSz="444500">
            <a:lnSpc>
              <a:spcPct val="90000"/>
            </a:lnSpc>
            <a:spcBef>
              <a:spcPct val="0"/>
            </a:spcBef>
            <a:spcAft>
              <a:spcPct val="35000"/>
            </a:spcAft>
            <a:defRPr/>
          </a:pPr>
          <a:r>
            <a:rPr lang="uk-UA" sz="1000" kern="1200">
              <a:solidFill>
                <a:sysClr val="window" lastClr="FFFFFF"/>
              </a:solidFill>
              <a:latin typeface="Calibri"/>
              <a:ea typeface="+mn-ea"/>
              <a:cs typeface="Arial"/>
            </a:rPr>
            <a:t>керівники підрозділів, що не мають у підпорядкуванні інших керівників</a:t>
          </a:r>
          <a:endParaRPr sz="1000" kern="1200">
            <a:solidFill>
              <a:sysClr val="window" lastClr="FFFFFF"/>
            </a:solidFill>
            <a:latin typeface="Calibri"/>
            <a:ea typeface="+mn-ea"/>
            <a:cs typeface="Arial"/>
          </a:endParaRPr>
        </a:p>
        <a:p>
          <a:pPr lvl="0" algn="ctr" defTabSz="444500">
            <a:lnSpc>
              <a:spcPct val="90000"/>
            </a:lnSpc>
            <a:spcBef>
              <a:spcPct val="0"/>
            </a:spcBef>
            <a:spcAft>
              <a:spcPct val="35000"/>
            </a:spcAft>
            <a:defRPr/>
          </a:pPr>
          <a:r>
            <a:rPr lang="uk-UA" sz="1000" kern="1200">
              <a:solidFill>
                <a:sysClr val="window" lastClr="FFFFFF"/>
              </a:solidFill>
              <a:latin typeface="Calibri"/>
              <a:ea typeface="+mn-ea"/>
              <a:cs typeface="Arial"/>
            </a:rPr>
            <a:t> </a:t>
          </a:r>
          <a:endParaRPr sz="1000" kern="1200">
            <a:solidFill>
              <a:sysClr val="window" lastClr="FFFFFF"/>
            </a:solidFill>
            <a:latin typeface="Calibri"/>
            <a:ea typeface="+mn-ea"/>
            <a:cs typeface="Arial"/>
          </a:endParaRPr>
        </a:p>
      </dsp:txBody>
      <dsp:txXfrm>
        <a:off x="3726269" y="1167066"/>
        <a:ext cx="1725768" cy="1067436"/>
      </dsp:txXfrm>
    </dsp:sp>
    <dsp:sp modelId="{65D8F3C2-17B8-4E43-8B3B-2F9045863405}">
      <dsp:nvSpPr>
        <dsp:cNvPr id="0" name=""/>
        <dsp:cNvSpPr/>
      </dsp:nvSpPr>
      <dsp:spPr bwMode="auto">
        <a:xfrm>
          <a:off x="4117186" y="170078"/>
          <a:ext cx="943935" cy="943935"/>
        </a:xfrm>
        <a:prstGeom prst="ellipse">
          <a:avLst/>
        </a:prstGeom>
        <a:blipFill>
          <a:blip xmlns:r="http://schemas.openxmlformats.org/officeDocument/2006/relationships" r:embed="rId3"/>
          <a:stretch>
            <a:fillRect l="-25000" r="-25000"/>
          </a:stretch>
        </a:blip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4382EA2D-7293-40C7-9CE1-B1DDC96DA2E1}">
      <dsp:nvSpPr>
        <dsp:cNvPr id="0" name=""/>
        <dsp:cNvSpPr/>
      </dsp:nvSpPr>
      <dsp:spPr bwMode="auto">
        <a:xfrm>
          <a:off x="219456" y="2267712"/>
          <a:ext cx="5047488" cy="425196"/>
        </a:xfrm>
        <a:prstGeom prst="leftRightArrow">
          <a:avLst>
            <a:gd name="adj1" fmla="val 50000"/>
            <a:gd name="adj2" fmla="val 50000"/>
          </a:avLst>
        </a:prstGeom>
        <a:solidFill>
          <a:srgbClr val="44C1A3">
            <a:tint val="4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AC1BB0-2E46-42B9-BA4D-1EBB855EDF09}">
      <dsp:nvSpPr>
        <dsp:cNvPr id="0" name=""/>
        <dsp:cNvSpPr/>
      </dsp:nvSpPr>
      <dsp:spPr bwMode="auto">
        <a:xfrm>
          <a:off x="1190494" y="-14654"/>
          <a:ext cx="2777750" cy="2777750"/>
        </a:xfrm>
        <a:prstGeom prst="circularArrow">
          <a:avLst>
            <a:gd name="adj1" fmla="val 5544"/>
            <a:gd name="adj2" fmla="val 330680"/>
            <a:gd name="adj3" fmla="val 13849062"/>
            <a:gd name="adj4" fmla="val 17341613"/>
            <a:gd name="adj5" fmla="val 5757"/>
          </a:avLst>
        </a:prstGeom>
        <a:solidFill>
          <a:srgbClr val="44C1A3">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5A3ED623-A5E9-41D3-AF26-2EB6B1A0E403}">
      <dsp:nvSpPr>
        <dsp:cNvPr id="0" name=""/>
        <dsp:cNvSpPr/>
      </dsp:nvSpPr>
      <dsp:spPr bwMode="auto">
        <a:xfrm>
          <a:off x="1949640" y="547"/>
          <a:ext cx="1259458" cy="629729"/>
        </a:xfrm>
        <a:prstGeom prst="roundRect">
          <a:avLst>
            <a:gd name="adj" fmla="val 16667"/>
          </a:avLst>
        </a:prstGeom>
        <a:solidFill>
          <a:srgbClr val="44C1A3">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defRPr/>
          </a:pPr>
          <a:r>
            <a:rPr lang="uk-UA" sz="1500" kern="1200">
              <a:solidFill>
                <a:sysClr val="window" lastClr="FFFFFF"/>
              </a:solidFill>
              <a:latin typeface="Calibri"/>
              <a:ea typeface="+mn-ea"/>
              <a:cs typeface="Arial"/>
            </a:rPr>
            <a:t>Планування</a:t>
          </a:r>
          <a:endParaRPr sz="1500" kern="1200">
            <a:solidFill>
              <a:sysClr val="window" lastClr="FFFFFF"/>
            </a:solidFill>
            <a:latin typeface="Calibri"/>
            <a:ea typeface="+mn-ea"/>
            <a:cs typeface="Arial"/>
          </a:endParaRPr>
        </a:p>
      </dsp:txBody>
      <dsp:txXfrm>
        <a:off x="1980381" y="31288"/>
        <a:ext cx="1197976" cy="568247"/>
      </dsp:txXfrm>
    </dsp:sp>
    <dsp:sp modelId="{9AB81E34-ADF9-4B6C-A8B5-692F9B2C0246}">
      <dsp:nvSpPr>
        <dsp:cNvPr id="0" name=""/>
        <dsp:cNvSpPr/>
      </dsp:nvSpPr>
      <dsp:spPr bwMode="auto">
        <a:xfrm>
          <a:off x="3076207" y="819045"/>
          <a:ext cx="1259458" cy="629729"/>
        </a:xfrm>
        <a:prstGeom prst="roundRect">
          <a:avLst>
            <a:gd name="adj" fmla="val 16667"/>
          </a:avLst>
        </a:prstGeom>
        <a:solidFill>
          <a:srgbClr val="44C1A3">
            <a:hueOff val="411359"/>
            <a:satOff val="1783"/>
            <a:lumOff val="1177"/>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defRPr/>
          </a:pPr>
          <a:r>
            <a:rPr lang="uk-UA" sz="1500" kern="1200">
              <a:solidFill>
                <a:sysClr val="window" lastClr="FFFFFF"/>
              </a:solidFill>
              <a:latin typeface="Calibri"/>
              <a:ea typeface="+mn-ea"/>
              <a:cs typeface="Arial"/>
            </a:rPr>
            <a:t>Організація</a:t>
          </a:r>
          <a:endParaRPr sz="1500" kern="1200">
            <a:solidFill>
              <a:sysClr val="window" lastClr="FFFFFF"/>
            </a:solidFill>
            <a:latin typeface="Calibri"/>
            <a:ea typeface="+mn-ea"/>
            <a:cs typeface="Arial"/>
          </a:endParaRPr>
        </a:p>
      </dsp:txBody>
      <dsp:txXfrm>
        <a:off x="3106948" y="849786"/>
        <a:ext cx="1197976" cy="568247"/>
      </dsp:txXfrm>
    </dsp:sp>
    <dsp:sp modelId="{BC0CA91A-599E-4EF2-AEFC-C698150F5F1E}">
      <dsp:nvSpPr>
        <dsp:cNvPr id="0" name=""/>
        <dsp:cNvSpPr/>
      </dsp:nvSpPr>
      <dsp:spPr bwMode="auto">
        <a:xfrm>
          <a:off x="2645897" y="2143403"/>
          <a:ext cx="1259458" cy="629729"/>
        </a:xfrm>
        <a:prstGeom prst="roundRect">
          <a:avLst>
            <a:gd name="adj" fmla="val 16667"/>
          </a:avLst>
        </a:prstGeom>
        <a:solidFill>
          <a:srgbClr val="44C1A3">
            <a:hueOff val="822717"/>
            <a:satOff val="3566"/>
            <a:lumOff val="2353"/>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defRPr/>
          </a:pPr>
          <a:r>
            <a:rPr lang="uk-UA" sz="1500" kern="1200">
              <a:solidFill>
                <a:sysClr val="window" lastClr="FFFFFF"/>
              </a:solidFill>
              <a:latin typeface="Calibri"/>
              <a:ea typeface="+mn-ea"/>
              <a:cs typeface="Arial"/>
            </a:rPr>
            <a:t>Координація</a:t>
          </a:r>
          <a:endParaRPr sz="1500" kern="1200">
            <a:solidFill>
              <a:sysClr val="window" lastClr="FFFFFF"/>
            </a:solidFill>
            <a:latin typeface="Calibri"/>
            <a:ea typeface="+mn-ea"/>
            <a:cs typeface="Arial"/>
          </a:endParaRPr>
        </a:p>
      </dsp:txBody>
      <dsp:txXfrm>
        <a:off x="2676638" y="2174144"/>
        <a:ext cx="1197976" cy="568247"/>
      </dsp:txXfrm>
    </dsp:sp>
    <dsp:sp modelId="{4312FEEE-B607-40DE-85D2-0E708B4B5EE7}">
      <dsp:nvSpPr>
        <dsp:cNvPr id="0" name=""/>
        <dsp:cNvSpPr/>
      </dsp:nvSpPr>
      <dsp:spPr bwMode="auto">
        <a:xfrm>
          <a:off x="1253384" y="2143403"/>
          <a:ext cx="1259458" cy="629729"/>
        </a:xfrm>
        <a:prstGeom prst="roundRect">
          <a:avLst>
            <a:gd name="adj" fmla="val 16667"/>
          </a:avLst>
        </a:prstGeom>
        <a:solidFill>
          <a:srgbClr val="44C1A3">
            <a:hueOff val="1234076"/>
            <a:satOff val="5349"/>
            <a:lumOff val="353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defRPr/>
          </a:pPr>
          <a:r>
            <a:rPr lang="uk-UA" sz="1500" kern="1200">
              <a:solidFill>
                <a:sysClr val="window" lastClr="FFFFFF"/>
              </a:solidFill>
              <a:latin typeface="Calibri"/>
              <a:ea typeface="+mn-ea"/>
              <a:cs typeface="Arial"/>
            </a:rPr>
            <a:t>Мотивація</a:t>
          </a:r>
          <a:endParaRPr sz="1500" kern="1200">
            <a:solidFill>
              <a:sysClr val="window" lastClr="FFFFFF"/>
            </a:solidFill>
            <a:latin typeface="Calibri"/>
            <a:ea typeface="+mn-ea"/>
            <a:cs typeface="Arial"/>
          </a:endParaRPr>
        </a:p>
      </dsp:txBody>
      <dsp:txXfrm>
        <a:off x="1284125" y="2174144"/>
        <a:ext cx="1197976" cy="568247"/>
      </dsp:txXfrm>
    </dsp:sp>
    <dsp:sp modelId="{11D45DEF-500B-4261-86E2-E61928BC25C6}">
      <dsp:nvSpPr>
        <dsp:cNvPr id="0" name=""/>
        <dsp:cNvSpPr/>
      </dsp:nvSpPr>
      <dsp:spPr bwMode="auto">
        <a:xfrm>
          <a:off x="823074" y="819045"/>
          <a:ext cx="1259458" cy="629729"/>
        </a:xfrm>
        <a:prstGeom prst="roundRect">
          <a:avLst>
            <a:gd name="adj" fmla="val 16667"/>
          </a:avLst>
        </a:prstGeom>
        <a:solidFill>
          <a:srgbClr val="44C1A3">
            <a:hueOff val="1645434"/>
            <a:satOff val="7132"/>
            <a:lumOff val="4706"/>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defRPr/>
          </a:pPr>
          <a:r>
            <a:rPr lang="uk-UA" sz="1500" kern="1200">
              <a:solidFill>
                <a:sysClr val="window" lastClr="FFFFFF"/>
              </a:solidFill>
              <a:latin typeface="Calibri"/>
              <a:ea typeface="+mn-ea"/>
              <a:cs typeface="Arial"/>
            </a:rPr>
            <a:t>Контроль</a:t>
          </a:r>
          <a:endParaRPr sz="1500" kern="1200">
            <a:solidFill>
              <a:sysClr val="window" lastClr="FFFFFF"/>
            </a:solidFill>
            <a:latin typeface="Calibri"/>
            <a:ea typeface="+mn-ea"/>
            <a:cs typeface="Arial"/>
          </a:endParaRPr>
        </a:p>
      </dsp:txBody>
      <dsp:txXfrm>
        <a:off x="853815" y="849786"/>
        <a:ext cx="1197976" cy="568247"/>
      </dsp:txXfrm>
    </dsp:sp>
  </dsp:spTree>
</dsp:drawing>
</file>

<file path=word/diagrams/layout1.xml><?xml version="1.0" encoding="utf-8"?>
<dgm:layoutDef xmlns:dgm="http://schemas.openxmlformats.org/drawingml/2006/diagram" xmlns:a="http://schemas.openxmlformats.org/drawingml/2006/main" uniqueId="urn:microsoft.com/office/officeart/2005/8/layout/hList7#1">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varLst>
      <dgm:dir/>
      <dgm:resizeHandles val="exact"/>
    </dgm:varLst>
    <dgm:layoutNode name="fgShape" styleLbl="fgShp">
      <dgm:alg type="sp"/>
      <dgm:shape xmlns:r="http://schemas.openxmlformats.org/officeDocument/2006/relationships" type="leftRightArrow" r:blip="" zOrderOff="99999">
        <dgm:adjLst/>
      </dgm:shape>
      <dgm:presOf/>
      <dgm:constrLst/>
      <dgm:ruleLst/>
    </dgm:layoutNode>
    <dgm:layoutNode name="linComp">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choose name="Name1">
        <dgm:if name="Name2" func="var" arg="dir" op="equ" val="norm">
          <dgm:alg type="lin"/>
        </dgm:if>
        <dgm:else name="Name3">
          <dgm:alg type="lin">
            <dgm:param type="linDir" val="fromR"/>
          </dgm:alg>
        </dgm:else>
      </dgm:choose>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varLst>
              <dgm:bulletEnabled val="1"/>
            </dgm:var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cycle3#1">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varLst>
            <dgm:bulletEnabled val="1"/>
          </dgm:varLst>
        </dgm:layoutNode>
        <dgm:layoutNode name="sibTrans" styleLbl="bgShp">
          <dgm:ruleLst/>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layoutNode>
        <dgm:layoutNode name="node2">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varLst>
            <dgm:bulletEnabled val="1"/>
          </dgm:var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ruleLst/>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forEach name="nodesFirstNodeForEach" axis="ch" ptType="node" cnt="1">
            <dgm:layoutNode name="nodeFirstNode">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varLst>
                <dgm:bulletEnabled val="1"/>
              </dgm:varLst>
            </dgm:layoutNode>
            <dgm:forEach name="sibTransForEach" axis="followSib" ptType="sibTrans" cnt="1">
              <dgm:layoutNode name="sibTransFirstNode" styleLbl="bgShp">
                <dgm:shape xmlns:r="http://schemas.openxmlformats.org/officeDocument/2006/relationships" type="conn" r:blip="" zOrderOff="-2">
                  <dgm:adjLst/>
                </dgm:shape>
                <dgm:presOf axis="self"/>
                <dgm:ruleLst/>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layoutNode>
            </dgm:forEach>
          </dgm:forEach>
          <dgm:forEach name="followingNodesForEach" axis="ch" ptType="node" st="2">
            <dgm:layoutNode name="nodeFollowingNodes">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varLst>
                <dgm:bulletEnabled val="1"/>
              </dgm:var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Пересічна">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1F984C-50B0-4E11-B078-EFEA55489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99</Pages>
  <Words>108628</Words>
  <Characters>61918</Characters>
  <Application>Microsoft Office Word</Application>
  <DocSecurity>0</DocSecurity>
  <Lines>515</Lines>
  <Paragraphs>340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170206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Князькова Валентина Яківна</cp:lastModifiedBy>
  <cp:revision>27</cp:revision>
  <cp:lastPrinted>2025-12-12T08:25:00Z</cp:lastPrinted>
  <dcterms:created xsi:type="dcterms:W3CDTF">2025-11-12T10:15:00Z</dcterms:created>
  <dcterms:modified xsi:type="dcterms:W3CDTF">2025-12-12T08:26:00Z</dcterms:modified>
</cp:coreProperties>
</file>