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1FFC0F" w14:textId="77777777" w:rsidR="003C626E" w:rsidRDefault="001A5B20">
      <w:pPr>
        <w:jc w:val="center"/>
        <w:rPr>
          <w:rFonts w:ascii="Times New Roman" w:hAnsi="Times New Roman" w:cs="Times New Roman"/>
          <w:b/>
          <w:caps/>
          <w:color w:val="auto"/>
          <w:sz w:val="28"/>
          <w:szCs w:val="28"/>
        </w:rPr>
      </w:pPr>
      <w:r>
        <w:rPr>
          <w:rFonts w:ascii="Times New Roman" w:hAnsi="Times New Roman" w:cs="Times New Roman"/>
          <w:b/>
          <w:caps/>
          <w:color w:val="auto"/>
          <w:sz w:val="28"/>
          <w:szCs w:val="28"/>
        </w:rPr>
        <w:t xml:space="preserve">Міністерство ОХОРОНИ ЗДОРОВ’Я України  </w:t>
      </w:r>
    </w:p>
    <w:p w14:paraId="321FFC10" w14:textId="77777777" w:rsidR="003C626E" w:rsidRDefault="003C626E">
      <w:pPr>
        <w:jc w:val="center"/>
        <w:rPr>
          <w:rFonts w:ascii="Times New Roman" w:hAnsi="Times New Roman" w:cs="Times New Roman"/>
          <w:b/>
          <w:color w:val="auto"/>
          <w:sz w:val="28"/>
          <w:szCs w:val="28"/>
        </w:rPr>
      </w:pPr>
    </w:p>
    <w:p w14:paraId="321FFC11" w14:textId="77777777" w:rsidR="003C626E" w:rsidRDefault="001A5B20">
      <w:pPr>
        <w:jc w:val="center"/>
        <w:rPr>
          <w:rFonts w:ascii="Times New Roman" w:hAnsi="Times New Roman" w:cs="Times New Roman"/>
          <w:b/>
          <w:caps/>
          <w:color w:val="auto"/>
          <w:sz w:val="28"/>
          <w:szCs w:val="28"/>
        </w:rPr>
      </w:pPr>
      <w:r>
        <w:rPr>
          <w:rFonts w:ascii="Times New Roman" w:hAnsi="Times New Roman" w:cs="Times New Roman"/>
          <w:b/>
          <w:color w:val="auto"/>
          <w:sz w:val="28"/>
          <w:szCs w:val="28"/>
        </w:rPr>
        <w:t xml:space="preserve">ОДЕСЬКИЙ НАЦІОНАЛЬНИЙ МЕДИЧНИЙ </w:t>
      </w:r>
      <w:r>
        <w:rPr>
          <w:rFonts w:ascii="Times New Roman" w:hAnsi="Times New Roman" w:cs="Times New Roman"/>
          <w:b/>
          <w:caps/>
          <w:color w:val="auto"/>
          <w:sz w:val="28"/>
          <w:szCs w:val="28"/>
        </w:rPr>
        <w:t>УНІВЕРСИТЕТ</w:t>
      </w:r>
    </w:p>
    <w:p w14:paraId="321FFC12" w14:textId="77777777" w:rsidR="003C626E" w:rsidRDefault="003C626E">
      <w:pPr>
        <w:spacing w:line="360" w:lineRule="auto"/>
        <w:jc w:val="center"/>
        <w:rPr>
          <w:rFonts w:ascii="Times New Roman" w:hAnsi="Times New Roman" w:cs="Times New Roman"/>
          <w:b/>
          <w:color w:val="auto"/>
          <w:sz w:val="28"/>
          <w:szCs w:val="28"/>
        </w:rPr>
      </w:pPr>
    </w:p>
    <w:p w14:paraId="321FFC13" w14:textId="77777777" w:rsidR="003C626E" w:rsidRDefault="001A5B20">
      <w:pPr>
        <w:spacing w:line="360" w:lineRule="auto"/>
        <w:jc w:val="center"/>
        <w:rPr>
          <w:rFonts w:ascii="Times New Roman" w:hAnsi="Times New Roman" w:cs="Times New Roman"/>
          <w:b/>
          <w:color w:val="auto"/>
          <w:sz w:val="28"/>
          <w:szCs w:val="28"/>
        </w:rPr>
      </w:pPr>
      <w:r>
        <w:rPr>
          <w:rFonts w:ascii="Times New Roman" w:hAnsi="Times New Roman" w:cs="Times New Roman"/>
          <w:b/>
          <w:color w:val="auto"/>
          <w:sz w:val="28"/>
          <w:szCs w:val="28"/>
        </w:rPr>
        <w:t>Медико-фармацевтичний факультет</w:t>
      </w:r>
    </w:p>
    <w:p w14:paraId="321FFC14" w14:textId="77777777" w:rsidR="003C626E" w:rsidRDefault="001A5B20">
      <w:pPr>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 xml:space="preserve"> </w:t>
      </w:r>
    </w:p>
    <w:p w14:paraId="321FFC15" w14:textId="77777777" w:rsidR="003C626E" w:rsidRDefault="001A5B20">
      <w:pPr>
        <w:spacing w:line="276" w:lineRule="auto"/>
        <w:jc w:val="center"/>
        <w:rPr>
          <w:rFonts w:ascii="Times New Roman" w:hAnsi="Times New Roman" w:cs="Times New Roman"/>
          <w:color w:val="auto"/>
          <w:sz w:val="32"/>
          <w:szCs w:val="32"/>
        </w:rPr>
      </w:pPr>
      <w:r>
        <w:rPr>
          <w:rFonts w:ascii="Times New Roman" w:hAnsi="Times New Roman" w:cs="Times New Roman"/>
          <w:color w:val="auto"/>
          <w:sz w:val="32"/>
          <w:szCs w:val="32"/>
        </w:rPr>
        <w:t>ІСМАІЛОВ ГЕОРГІЙ ТИМУРОВИЧ</w:t>
      </w:r>
    </w:p>
    <w:p w14:paraId="321FFC16" w14:textId="77777777" w:rsidR="003C626E" w:rsidRDefault="003C626E">
      <w:pPr>
        <w:spacing w:line="276" w:lineRule="auto"/>
        <w:jc w:val="center"/>
        <w:rPr>
          <w:rFonts w:ascii="Times New Roman" w:hAnsi="Times New Roman" w:cs="Times New Roman"/>
          <w:color w:val="auto"/>
          <w:sz w:val="32"/>
          <w:szCs w:val="32"/>
        </w:rPr>
      </w:pPr>
    </w:p>
    <w:p w14:paraId="321FFC17" w14:textId="77777777" w:rsidR="003C626E" w:rsidRDefault="001A5B20">
      <w:pPr>
        <w:jc w:val="center"/>
        <w:rPr>
          <w:rFonts w:ascii="Times New Roman" w:hAnsi="Times New Roman" w:cs="Times New Roman"/>
          <w:b/>
          <w:color w:val="auto"/>
          <w:sz w:val="28"/>
          <w:szCs w:val="28"/>
        </w:rPr>
      </w:pPr>
      <w:r>
        <w:rPr>
          <w:rFonts w:ascii="Times New Roman" w:hAnsi="Times New Roman" w:cs="Times New Roman"/>
          <w:b/>
          <w:color w:val="auto"/>
          <w:sz w:val="28"/>
          <w:szCs w:val="28"/>
        </w:rPr>
        <w:t xml:space="preserve">УДОСКОНАЛЕННЯ ОРГАНІЗАЦІЇ КОНТРОЛЮ ЯКОСТІ НАДАННЯ МЕДИЧНИХ ПОСЛУГ </w:t>
      </w:r>
    </w:p>
    <w:p w14:paraId="321FFC18" w14:textId="77777777" w:rsidR="003C626E" w:rsidRDefault="001A5B20">
      <w:pPr>
        <w:jc w:val="center"/>
        <w:rPr>
          <w:rFonts w:ascii="Times New Roman" w:hAnsi="Times New Roman" w:cs="Times New Roman"/>
          <w:b/>
          <w:color w:val="auto"/>
          <w:sz w:val="28"/>
          <w:szCs w:val="28"/>
        </w:rPr>
      </w:pPr>
      <w:r>
        <w:rPr>
          <w:rFonts w:ascii="Times New Roman" w:hAnsi="Times New Roman" w:cs="Times New Roman"/>
          <w:b/>
          <w:color w:val="auto"/>
          <w:sz w:val="28"/>
          <w:szCs w:val="28"/>
        </w:rPr>
        <w:t>Improvement of the organization of quality control in the provision of medical services</w:t>
      </w:r>
    </w:p>
    <w:p w14:paraId="321FFC19" w14:textId="77777777" w:rsidR="003C626E" w:rsidRDefault="003C626E">
      <w:pPr>
        <w:spacing w:line="276" w:lineRule="auto"/>
        <w:jc w:val="center"/>
        <w:rPr>
          <w:rFonts w:ascii="Times New Roman" w:hAnsi="Times New Roman" w:cs="Times New Roman"/>
          <w:b/>
          <w:color w:val="auto"/>
          <w:sz w:val="32"/>
          <w:szCs w:val="32"/>
        </w:rPr>
      </w:pPr>
    </w:p>
    <w:p w14:paraId="321FFC1A" w14:textId="77777777" w:rsidR="003C626E" w:rsidRDefault="001A5B20">
      <w:pPr>
        <w:jc w:val="center"/>
        <w:rPr>
          <w:rFonts w:ascii="Times New Roman" w:hAnsi="Times New Roman" w:cs="Times New Roman"/>
          <w:color w:val="auto"/>
          <w:sz w:val="28"/>
          <w:szCs w:val="28"/>
        </w:rPr>
      </w:pPr>
      <w:r>
        <w:rPr>
          <w:rFonts w:ascii="Times New Roman" w:hAnsi="Times New Roman" w:cs="Times New Roman"/>
          <w:color w:val="auto"/>
          <w:sz w:val="28"/>
          <w:szCs w:val="28"/>
        </w:rPr>
        <w:t>Спеціальність 073 Менеджмент</w:t>
      </w:r>
    </w:p>
    <w:p w14:paraId="321FFC1B" w14:textId="77777777" w:rsidR="003C626E" w:rsidRDefault="001A5B20">
      <w:pPr>
        <w:jc w:val="center"/>
        <w:rPr>
          <w:rFonts w:ascii="Times New Roman" w:hAnsi="Times New Roman" w:cs="Times New Roman"/>
          <w:color w:val="auto"/>
          <w:sz w:val="28"/>
          <w:szCs w:val="28"/>
        </w:rPr>
      </w:pPr>
      <w:r>
        <w:rPr>
          <w:rFonts w:ascii="Times New Roman" w:hAnsi="Times New Roman" w:cs="Times New Roman"/>
          <w:color w:val="auto"/>
          <w:sz w:val="28"/>
          <w:szCs w:val="28"/>
        </w:rPr>
        <w:t>Галузь знань: 07 Управління та адміністрування</w:t>
      </w:r>
    </w:p>
    <w:p w14:paraId="321FFC1C" w14:textId="77777777" w:rsidR="003C626E" w:rsidRDefault="003C626E">
      <w:pPr>
        <w:jc w:val="center"/>
        <w:rPr>
          <w:rFonts w:ascii="Times New Roman" w:hAnsi="Times New Roman" w:cs="Times New Roman"/>
          <w:b/>
          <w:color w:val="auto"/>
          <w:sz w:val="28"/>
          <w:szCs w:val="28"/>
        </w:rPr>
      </w:pPr>
    </w:p>
    <w:p w14:paraId="321FFC1D" w14:textId="77777777" w:rsidR="003C626E" w:rsidRDefault="001A5B20">
      <w:pPr>
        <w:jc w:val="center"/>
        <w:rPr>
          <w:rFonts w:ascii="Times New Roman" w:hAnsi="Times New Roman" w:cs="Times New Roman"/>
          <w:b/>
          <w:color w:val="auto"/>
          <w:sz w:val="28"/>
          <w:szCs w:val="28"/>
        </w:rPr>
      </w:pPr>
      <w:r>
        <w:rPr>
          <w:rFonts w:ascii="Times New Roman" w:hAnsi="Times New Roman" w:cs="Times New Roman"/>
          <w:b/>
          <w:color w:val="auto"/>
          <w:sz w:val="28"/>
          <w:szCs w:val="28"/>
        </w:rPr>
        <w:t>Кваліфікаційна робота</w:t>
      </w:r>
    </w:p>
    <w:p w14:paraId="321FFC1E" w14:textId="77777777" w:rsidR="003C626E" w:rsidRDefault="001A5B20">
      <w:pPr>
        <w:jc w:val="center"/>
        <w:rPr>
          <w:rFonts w:ascii="Times New Roman" w:hAnsi="Times New Roman" w:cs="Times New Roman"/>
          <w:color w:val="auto"/>
          <w:sz w:val="28"/>
          <w:szCs w:val="28"/>
        </w:rPr>
      </w:pPr>
      <w:r>
        <w:rPr>
          <w:rFonts w:ascii="Times New Roman" w:hAnsi="Times New Roman" w:cs="Times New Roman"/>
          <w:color w:val="auto"/>
          <w:sz w:val="28"/>
          <w:szCs w:val="28"/>
        </w:rPr>
        <w:t>на здобуття ступеня вищої освіти «магістр»</w:t>
      </w:r>
    </w:p>
    <w:p w14:paraId="321FFC1F" w14:textId="77777777" w:rsidR="003C626E" w:rsidRDefault="003C626E">
      <w:pPr>
        <w:spacing w:line="276" w:lineRule="auto"/>
        <w:jc w:val="center"/>
        <w:rPr>
          <w:rFonts w:ascii="Times New Roman" w:hAnsi="Times New Roman" w:cs="Times New Roman"/>
          <w:b/>
          <w:color w:val="auto"/>
          <w:sz w:val="32"/>
          <w:szCs w:val="32"/>
        </w:rPr>
      </w:pPr>
    </w:p>
    <w:p w14:paraId="321FFC20" w14:textId="77777777" w:rsidR="003C626E" w:rsidRDefault="003C626E">
      <w:pPr>
        <w:jc w:val="center"/>
        <w:rPr>
          <w:rFonts w:ascii="Times New Roman" w:hAnsi="Times New Roman" w:cs="Times New Roman"/>
          <w:b/>
          <w:color w:val="auto"/>
          <w:sz w:val="28"/>
          <w:szCs w:val="28"/>
        </w:rPr>
      </w:pPr>
    </w:p>
    <w:p w14:paraId="321FFC21" w14:textId="77777777" w:rsidR="003C626E" w:rsidRDefault="003C626E">
      <w:pPr>
        <w:jc w:val="center"/>
        <w:rPr>
          <w:rFonts w:ascii="Times New Roman" w:hAnsi="Times New Roman" w:cs="Times New Roman"/>
          <w:b/>
          <w:color w:val="auto"/>
          <w:sz w:val="28"/>
          <w:szCs w:val="28"/>
        </w:rPr>
      </w:pPr>
    </w:p>
    <w:tbl>
      <w:tblPr>
        <w:tblW w:w="5000" w:type="pct"/>
        <w:tblCellMar>
          <w:left w:w="0" w:type="dxa"/>
          <w:right w:w="0" w:type="dxa"/>
        </w:tblCellMar>
        <w:tblLook w:val="04A0" w:firstRow="1" w:lastRow="0" w:firstColumn="1" w:lastColumn="0" w:noHBand="0" w:noVBand="1"/>
      </w:tblPr>
      <w:tblGrid>
        <w:gridCol w:w="4679"/>
        <w:gridCol w:w="4675"/>
      </w:tblGrid>
      <w:tr w:rsidR="003C626E" w14:paraId="321FFC29" w14:textId="77777777">
        <w:trPr>
          <w:trHeight w:val="1933"/>
        </w:trPr>
        <w:tc>
          <w:tcPr>
            <w:tcW w:w="2501" w:type="pct"/>
            <w:shd w:val="clear" w:color="auto" w:fill="auto"/>
            <w:tcMar>
              <w:top w:w="0" w:type="dxa"/>
              <w:left w:w="108" w:type="dxa"/>
              <w:bottom w:w="0" w:type="dxa"/>
              <w:right w:w="108" w:type="dxa"/>
            </w:tcMar>
          </w:tcPr>
          <w:p w14:paraId="321FFC22" w14:textId="77777777" w:rsidR="003C626E" w:rsidRDefault="003C626E">
            <w:pPr>
              <w:spacing w:line="360" w:lineRule="auto"/>
              <w:jc w:val="center"/>
              <w:rPr>
                <w:rFonts w:ascii="Times New Roman" w:hAnsi="Times New Roman" w:cs="Times New Roman"/>
                <w:color w:val="auto"/>
                <w:sz w:val="28"/>
                <w:szCs w:val="28"/>
              </w:rPr>
            </w:pPr>
          </w:p>
          <w:p w14:paraId="321FFC23" w14:textId="77777777" w:rsidR="003C626E" w:rsidRDefault="003C626E">
            <w:pPr>
              <w:spacing w:line="360" w:lineRule="auto"/>
              <w:jc w:val="center"/>
              <w:rPr>
                <w:rFonts w:ascii="Times New Roman" w:hAnsi="Times New Roman" w:cs="Times New Roman"/>
                <w:color w:val="auto"/>
                <w:sz w:val="28"/>
                <w:szCs w:val="28"/>
              </w:rPr>
            </w:pPr>
          </w:p>
        </w:tc>
        <w:tc>
          <w:tcPr>
            <w:tcW w:w="2499" w:type="pct"/>
            <w:shd w:val="clear" w:color="auto" w:fill="auto"/>
            <w:tcMar>
              <w:top w:w="0" w:type="dxa"/>
              <w:left w:w="108" w:type="dxa"/>
              <w:bottom w:w="0" w:type="dxa"/>
              <w:right w:w="108" w:type="dxa"/>
            </w:tcMar>
          </w:tcPr>
          <w:p w14:paraId="321FFC24" w14:textId="77777777" w:rsidR="003C626E" w:rsidRDefault="001A5B20">
            <w:pPr>
              <w:rPr>
                <w:rFonts w:ascii="Times New Roman" w:hAnsi="Times New Roman" w:cs="Times New Roman"/>
                <w:b/>
                <w:color w:val="auto"/>
                <w:sz w:val="28"/>
                <w:szCs w:val="28"/>
              </w:rPr>
            </w:pPr>
            <w:r>
              <w:rPr>
                <w:rFonts w:ascii="Times New Roman" w:hAnsi="Times New Roman" w:cs="Times New Roman"/>
                <w:b/>
                <w:color w:val="auto"/>
                <w:sz w:val="28"/>
                <w:szCs w:val="28"/>
              </w:rPr>
              <w:t xml:space="preserve">Науковий керівник: </w:t>
            </w:r>
          </w:p>
          <w:p w14:paraId="321FFC25" w14:textId="77777777" w:rsidR="003C626E" w:rsidRDefault="001A5B20">
            <w:pPr>
              <w:rPr>
                <w:rFonts w:ascii="Times New Roman" w:hAnsi="Times New Roman" w:cs="Times New Roman"/>
                <w:color w:val="auto"/>
                <w:sz w:val="28"/>
                <w:szCs w:val="28"/>
              </w:rPr>
            </w:pPr>
            <w:r>
              <w:rPr>
                <w:rFonts w:ascii="Times New Roman" w:hAnsi="Times New Roman" w:cs="Times New Roman"/>
                <w:color w:val="auto"/>
                <w:sz w:val="28"/>
                <w:szCs w:val="28"/>
              </w:rPr>
              <w:t>д.екон.н., професор Криленко В.І.</w:t>
            </w:r>
          </w:p>
          <w:p w14:paraId="321FFC26" w14:textId="77777777" w:rsidR="003C626E" w:rsidRDefault="003C626E">
            <w:pPr>
              <w:rPr>
                <w:rFonts w:ascii="Times New Roman" w:hAnsi="Times New Roman" w:cs="Times New Roman"/>
                <w:color w:val="auto"/>
                <w:sz w:val="28"/>
                <w:szCs w:val="28"/>
              </w:rPr>
            </w:pPr>
          </w:p>
          <w:p w14:paraId="321FFC27" w14:textId="77777777" w:rsidR="003C626E" w:rsidRDefault="001A5B20">
            <w:pPr>
              <w:rPr>
                <w:rFonts w:ascii="Times New Roman" w:hAnsi="Times New Roman" w:cs="Times New Roman"/>
                <w:b/>
                <w:color w:val="auto"/>
                <w:sz w:val="28"/>
                <w:szCs w:val="28"/>
              </w:rPr>
            </w:pPr>
            <w:r>
              <w:rPr>
                <w:rFonts w:ascii="Times New Roman" w:hAnsi="Times New Roman" w:cs="Times New Roman"/>
                <w:b/>
                <w:color w:val="auto"/>
                <w:sz w:val="28"/>
                <w:szCs w:val="28"/>
              </w:rPr>
              <w:t>Рецензент:</w:t>
            </w:r>
          </w:p>
          <w:p w14:paraId="321FFC28" w14:textId="77777777" w:rsidR="003C626E" w:rsidRDefault="001A5B20">
            <w:pPr>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к.екон.н., доцент Нижниченко Я.Є.</w:t>
            </w:r>
          </w:p>
        </w:tc>
      </w:tr>
    </w:tbl>
    <w:p w14:paraId="321FFC2A" w14:textId="77777777" w:rsidR="003C626E" w:rsidRDefault="003C626E">
      <w:pPr>
        <w:tabs>
          <w:tab w:val="left" w:pos="0"/>
        </w:tabs>
        <w:spacing w:line="360" w:lineRule="auto"/>
        <w:rPr>
          <w:rFonts w:ascii="Times New Roman" w:hAnsi="Times New Roman" w:cs="Times New Roman"/>
          <w:color w:val="auto"/>
          <w:sz w:val="28"/>
          <w:szCs w:val="28"/>
        </w:rPr>
      </w:pPr>
    </w:p>
    <w:tbl>
      <w:tblPr>
        <w:tblStyle w:val="afc"/>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gridCol w:w="4815"/>
      </w:tblGrid>
      <w:tr w:rsidR="003C626E" w14:paraId="321FFC3A" w14:textId="77777777">
        <w:tc>
          <w:tcPr>
            <w:tcW w:w="4683" w:type="dxa"/>
          </w:tcPr>
          <w:p w14:paraId="321FFC2B" w14:textId="77777777" w:rsidR="003C626E" w:rsidRDefault="001A5B20">
            <w:pPr>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Рекомендовано до захисту: </w:t>
            </w:r>
          </w:p>
          <w:p w14:paraId="321FFC2C" w14:textId="77777777" w:rsidR="003C626E" w:rsidRDefault="003C626E">
            <w:pPr>
              <w:rPr>
                <w:rFonts w:ascii="Times New Roman" w:eastAsia="Calibri" w:hAnsi="Times New Roman" w:cs="Times New Roman"/>
                <w:color w:val="auto"/>
                <w:sz w:val="28"/>
                <w:szCs w:val="28"/>
                <w:lang w:eastAsia="en-US" w:bidi="ar-SA"/>
              </w:rPr>
            </w:pPr>
          </w:p>
          <w:p w14:paraId="321FFC2D" w14:textId="77777777" w:rsidR="003C626E" w:rsidRDefault="001A5B20">
            <w:pPr>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Протокол засідання кафедри </w:t>
            </w:r>
          </w:p>
          <w:p w14:paraId="321FFC2E" w14:textId="77777777" w:rsidR="003C626E" w:rsidRDefault="003C626E">
            <w:pPr>
              <w:tabs>
                <w:tab w:val="left" w:pos="0"/>
              </w:tabs>
              <w:spacing w:line="360" w:lineRule="auto"/>
              <w:rPr>
                <w:rFonts w:ascii="Times New Roman" w:eastAsia="Calibri" w:hAnsi="Times New Roman" w:cs="Times New Roman"/>
                <w:color w:val="auto"/>
                <w:sz w:val="28"/>
                <w:szCs w:val="28"/>
                <w:lang w:eastAsia="en-US" w:bidi="ar-SA"/>
              </w:rPr>
            </w:pPr>
          </w:p>
          <w:p w14:paraId="321FFC2F" w14:textId="77777777" w:rsidR="003C626E" w:rsidRDefault="001A5B20">
            <w:pPr>
              <w:tabs>
                <w:tab w:val="left" w:pos="0"/>
              </w:tabs>
              <w:spacing w:line="360" w:lineRule="auto"/>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__ від «___» _______ 2025 р.</w:t>
            </w:r>
          </w:p>
          <w:p w14:paraId="321FFC30" w14:textId="77777777" w:rsidR="003C626E" w:rsidRDefault="003C626E">
            <w:pPr>
              <w:tabs>
                <w:tab w:val="left" w:pos="0"/>
              </w:tabs>
              <w:spacing w:line="360" w:lineRule="auto"/>
              <w:rPr>
                <w:rFonts w:ascii="Times New Roman" w:eastAsia="Calibri" w:hAnsi="Times New Roman" w:cs="Times New Roman"/>
                <w:color w:val="auto"/>
                <w:sz w:val="28"/>
                <w:szCs w:val="28"/>
                <w:lang w:eastAsia="en-US" w:bidi="ar-SA"/>
              </w:rPr>
            </w:pPr>
          </w:p>
          <w:p w14:paraId="321FFC31" w14:textId="77777777" w:rsidR="003C626E" w:rsidRDefault="001A5B20">
            <w:pPr>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 xml:space="preserve">Гарант ОПП </w:t>
            </w:r>
            <w:r>
              <w:rPr>
                <w:rFonts w:ascii="Times New Roman" w:eastAsia="TimesNewRomanPSMT" w:hAnsi="Times New Roman" w:cs="Times New Roman"/>
                <w:color w:val="auto"/>
                <w:sz w:val="28"/>
                <w:szCs w:val="28"/>
                <w:lang w:eastAsia="en-US" w:bidi="ar-SA"/>
              </w:rPr>
              <w:t xml:space="preserve">______ </w:t>
            </w:r>
            <w:r>
              <w:rPr>
                <w:rFonts w:ascii="Times New Roman" w:eastAsia="Calibri" w:hAnsi="Times New Roman" w:cs="Times New Roman"/>
                <w:color w:val="auto"/>
                <w:sz w:val="28"/>
                <w:szCs w:val="28"/>
                <w:lang w:eastAsia="en-US" w:bidi="ar-SA"/>
              </w:rPr>
              <w:t>Вікторія БОРЩ</w:t>
            </w:r>
          </w:p>
          <w:p w14:paraId="321FFC32" w14:textId="77777777" w:rsidR="003C626E" w:rsidRDefault="003C626E">
            <w:pPr>
              <w:rPr>
                <w:rFonts w:ascii="Times New Roman" w:hAnsi="Times New Roman" w:cs="Times New Roman"/>
                <w:color w:val="auto"/>
                <w:sz w:val="28"/>
                <w:szCs w:val="28"/>
              </w:rPr>
            </w:pPr>
          </w:p>
        </w:tc>
        <w:tc>
          <w:tcPr>
            <w:tcW w:w="4815" w:type="dxa"/>
          </w:tcPr>
          <w:p w14:paraId="321FFC33" w14:textId="77777777" w:rsidR="003C626E" w:rsidRDefault="001A5B20">
            <w:pPr>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Захищено на засіданні ЕК № ___</w:t>
            </w:r>
          </w:p>
          <w:p w14:paraId="321FFC34" w14:textId="77777777" w:rsidR="003C626E" w:rsidRDefault="003C626E">
            <w:pPr>
              <w:rPr>
                <w:rFonts w:ascii="Times New Roman" w:eastAsia="Calibri" w:hAnsi="Times New Roman" w:cs="Times New Roman"/>
                <w:color w:val="auto"/>
                <w:sz w:val="28"/>
                <w:szCs w:val="28"/>
                <w:lang w:eastAsia="en-US" w:bidi="ar-SA"/>
              </w:rPr>
            </w:pPr>
          </w:p>
          <w:p w14:paraId="321FFC35" w14:textId="77777777" w:rsidR="003C626E" w:rsidRDefault="001A5B20">
            <w:pPr>
              <w:rPr>
                <w:rFonts w:ascii="Times New Roman" w:eastAsia="Calibri" w:hAnsi="Times New Roman" w:cs="Times New Roman"/>
                <w:color w:val="auto"/>
                <w:sz w:val="28"/>
                <w:szCs w:val="28"/>
                <w:lang w:eastAsia="en-US" w:bidi="ar-SA"/>
              </w:rPr>
            </w:pPr>
            <w:r>
              <w:rPr>
                <w:rFonts w:ascii="Times New Roman" w:eastAsia="Calibri" w:hAnsi="Times New Roman" w:cs="Times New Roman"/>
                <w:color w:val="auto"/>
                <w:sz w:val="28"/>
                <w:szCs w:val="28"/>
                <w:lang w:eastAsia="en-US" w:bidi="ar-SA"/>
              </w:rPr>
              <w:t>Протокол № __ від «__» ___</w:t>
            </w:r>
            <w:r>
              <w:rPr>
                <w:rFonts w:ascii="Times New Roman" w:eastAsia="TimesNewRomanPSMT" w:hAnsi="Times New Roman" w:cs="Times New Roman"/>
                <w:color w:val="auto"/>
                <w:sz w:val="28"/>
                <w:szCs w:val="28"/>
                <w:lang w:eastAsia="en-US" w:bidi="ar-SA"/>
              </w:rPr>
              <w:t xml:space="preserve">_ 2025 </w:t>
            </w:r>
            <w:r>
              <w:rPr>
                <w:rFonts w:ascii="Times New Roman" w:eastAsia="Calibri" w:hAnsi="Times New Roman" w:cs="Times New Roman"/>
                <w:color w:val="auto"/>
                <w:sz w:val="28"/>
                <w:szCs w:val="28"/>
                <w:lang w:eastAsia="en-US" w:bidi="ar-SA"/>
              </w:rPr>
              <w:t>р.</w:t>
            </w:r>
          </w:p>
          <w:p w14:paraId="321FFC36" w14:textId="77777777" w:rsidR="003C626E" w:rsidRDefault="003C626E">
            <w:pPr>
              <w:tabs>
                <w:tab w:val="left" w:pos="0"/>
              </w:tabs>
              <w:spacing w:line="360" w:lineRule="auto"/>
              <w:rPr>
                <w:rFonts w:ascii="Times New Roman" w:hAnsi="Times New Roman" w:cs="Times New Roman"/>
                <w:color w:val="auto"/>
                <w:sz w:val="28"/>
                <w:szCs w:val="28"/>
              </w:rPr>
            </w:pPr>
          </w:p>
          <w:p w14:paraId="321FFC37" w14:textId="77777777" w:rsidR="003C626E" w:rsidRDefault="001A5B20">
            <w:pPr>
              <w:tabs>
                <w:tab w:val="left" w:pos="0"/>
              </w:tabs>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 xml:space="preserve">Оцінка </w:t>
            </w:r>
          </w:p>
          <w:p w14:paraId="321FFC38" w14:textId="77777777" w:rsidR="003C626E" w:rsidRDefault="001A5B20">
            <w:pPr>
              <w:tabs>
                <w:tab w:val="left" w:pos="0"/>
              </w:tabs>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_________ / __________ / _________</w:t>
            </w:r>
          </w:p>
          <w:p w14:paraId="321FFC39" w14:textId="77777777" w:rsidR="003C626E" w:rsidRDefault="001A5B20">
            <w:pPr>
              <w:rPr>
                <w:rFonts w:ascii="Times New Roman" w:hAnsi="Times New Roman" w:cs="Times New Roman"/>
                <w:color w:val="auto"/>
                <w:sz w:val="28"/>
                <w:szCs w:val="28"/>
              </w:rPr>
            </w:pPr>
            <w:r>
              <w:rPr>
                <w:rFonts w:ascii="Times New Roman" w:eastAsia="Calibri" w:hAnsi="Times New Roman" w:cs="Times New Roman"/>
                <w:color w:val="auto"/>
                <w:sz w:val="28"/>
                <w:szCs w:val="28"/>
                <w:lang w:eastAsia="en-US" w:bidi="ar-SA"/>
              </w:rPr>
              <w:t>Голова ЕК</w:t>
            </w:r>
            <w:r>
              <w:rPr>
                <w:rFonts w:ascii="Times New Roman" w:eastAsia="TimesNewRomanPSMT" w:hAnsi="Times New Roman" w:cs="Times New Roman"/>
                <w:color w:val="auto"/>
                <w:sz w:val="28"/>
                <w:szCs w:val="28"/>
                <w:lang w:eastAsia="en-US" w:bidi="ar-SA"/>
              </w:rPr>
              <w:t>_______Олена САДЧЕНКО</w:t>
            </w:r>
          </w:p>
        </w:tc>
      </w:tr>
    </w:tbl>
    <w:p w14:paraId="321FFC3B" w14:textId="77777777" w:rsidR="003C626E" w:rsidRDefault="003C626E">
      <w:pPr>
        <w:tabs>
          <w:tab w:val="left" w:pos="0"/>
        </w:tabs>
        <w:spacing w:line="360" w:lineRule="auto"/>
        <w:rPr>
          <w:rFonts w:ascii="Times New Roman" w:hAnsi="Times New Roman" w:cs="Times New Roman"/>
          <w:color w:val="auto"/>
          <w:sz w:val="28"/>
          <w:szCs w:val="28"/>
        </w:rPr>
      </w:pPr>
    </w:p>
    <w:p w14:paraId="321FFC3C" w14:textId="77777777" w:rsidR="003C626E" w:rsidRDefault="003C626E">
      <w:pPr>
        <w:tabs>
          <w:tab w:val="left" w:pos="0"/>
        </w:tabs>
        <w:spacing w:line="360" w:lineRule="auto"/>
        <w:jc w:val="center"/>
        <w:rPr>
          <w:rFonts w:ascii="Times New Roman" w:hAnsi="Times New Roman" w:cs="Times New Roman"/>
          <w:b/>
          <w:color w:val="auto"/>
          <w:sz w:val="28"/>
          <w:szCs w:val="28"/>
        </w:rPr>
      </w:pPr>
    </w:p>
    <w:p w14:paraId="321FFC3D" w14:textId="77777777" w:rsidR="003C626E" w:rsidRDefault="001A5B20">
      <w:pPr>
        <w:tabs>
          <w:tab w:val="left" w:pos="0"/>
        </w:tabs>
        <w:spacing w:line="360" w:lineRule="auto"/>
        <w:jc w:val="center"/>
        <w:rPr>
          <w:rFonts w:ascii="Times New Roman" w:hAnsi="Times New Roman" w:cs="Times New Roman"/>
          <w:sz w:val="28"/>
          <w:szCs w:val="28"/>
        </w:rPr>
      </w:pPr>
      <w:r>
        <w:rPr>
          <w:rFonts w:ascii="Times New Roman" w:hAnsi="Times New Roman" w:cs="Times New Roman"/>
          <w:b/>
          <w:color w:val="auto"/>
          <w:sz w:val="28"/>
          <w:szCs w:val="28"/>
        </w:rPr>
        <w:t>Одеса 2025</w:t>
      </w:r>
    </w:p>
    <w:p w14:paraId="321FFC3E" w14:textId="77777777" w:rsidR="003C626E" w:rsidRDefault="001A5B20">
      <w:pPr>
        <w:widowControl/>
        <w:spacing w:line="360" w:lineRule="auto"/>
        <w:jc w:val="center"/>
        <w:rPr>
          <w:rFonts w:ascii="Times New Roman Полужирный" w:eastAsiaTheme="minorHAnsi" w:hAnsi="Times New Roman Полужирный" w:cs="Times New Roman"/>
          <w:b/>
          <w:bCs/>
          <w:caps/>
          <w:color w:val="auto"/>
          <w:sz w:val="28"/>
          <w:szCs w:val="28"/>
          <w:lang w:eastAsia="en-US" w:bidi="ar-SA"/>
        </w:rPr>
      </w:pPr>
      <w:r>
        <w:rPr>
          <w:rFonts w:ascii="Times New Roman Полужирный" w:eastAsiaTheme="minorHAnsi" w:hAnsi="Times New Roman Полужирный" w:cs="Times New Roman"/>
          <w:b/>
          <w:bCs/>
          <w:caps/>
          <w:color w:val="auto"/>
          <w:sz w:val="28"/>
          <w:szCs w:val="28"/>
          <w:lang w:eastAsia="en-US" w:bidi="ar-SA"/>
        </w:rPr>
        <w:lastRenderedPageBreak/>
        <w:t xml:space="preserve">Анотація </w:t>
      </w:r>
    </w:p>
    <w:p w14:paraId="321FFC3F" w14:textId="77777777" w:rsidR="003C626E" w:rsidRDefault="003C626E">
      <w:pPr>
        <w:widowControl/>
        <w:spacing w:line="360" w:lineRule="auto"/>
        <w:jc w:val="both"/>
        <w:rPr>
          <w:rFonts w:ascii="Times New Roman" w:eastAsiaTheme="minorHAnsi" w:hAnsi="Times New Roman" w:cs="Times New Roman"/>
          <w:color w:val="auto"/>
          <w:sz w:val="28"/>
          <w:szCs w:val="28"/>
          <w:lang w:eastAsia="en-US" w:bidi="ar-SA"/>
        </w:rPr>
      </w:pPr>
    </w:p>
    <w:p w14:paraId="321FFC40" w14:textId="4F7BF46C" w:rsidR="003C626E" w:rsidRDefault="001A5B20">
      <w:pPr>
        <w:widowControl/>
        <w:spacing w:line="276" w:lineRule="auto"/>
        <w:ind w:firstLine="708"/>
        <w:jc w:val="both"/>
        <w:rPr>
          <w:rFonts w:ascii="Times New Roman" w:eastAsiaTheme="minorHAnsi" w:hAnsi="Times New Roman" w:cs="Times New Roman"/>
          <w:color w:val="auto"/>
          <w:sz w:val="28"/>
          <w:szCs w:val="28"/>
          <w:lang w:eastAsia="en-US" w:bidi="ar-SA"/>
        </w:rPr>
      </w:pPr>
      <w:r>
        <w:rPr>
          <w:rFonts w:ascii="Times New Roman" w:eastAsiaTheme="minorHAnsi" w:hAnsi="Times New Roman" w:cs="Times New Roman"/>
          <w:color w:val="auto"/>
          <w:sz w:val="28"/>
          <w:szCs w:val="28"/>
          <w:lang w:eastAsia="en-US" w:bidi="ar-SA"/>
        </w:rPr>
        <w:t xml:space="preserve">Ісмаілов Г.Т. </w:t>
      </w:r>
      <w:r>
        <w:rPr>
          <w:rFonts w:ascii="Times New Roman" w:hAnsi="Times New Roman" w:cs="Times New Roman"/>
          <w:color w:val="auto"/>
          <w:sz w:val="28"/>
          <w:szCs w:val="28"/>
        </w:rPr>
        <w:t>Удосконалення організації контролю якості надання медичних послуг</w:t>
      </w:r>
      <w:r>
        <w:rPr>
          <w:rFonts w:ascii="Times New Roman" w:eastAsia="TimesNewRomanPSMT" w:hAnsi="Times New Roman" w:cs="Times New Roman"/>
          <w:color w:val="auto"/>
          <w:sz w:val="28"/>
          <w:szCs w:val="28"/>
          <w:lang w:eastAsia="en-US" w:bidi="ar-SA"/>
        </w:rPr>
        <w:t xml:space="preserve">: </w:t>
      </w:r>
      <w:r>
        <w:rPr>
          <w:rFonts w:ascii="Times New Roman" w:eastAsiaTheme="minorHAnsi" w:hAnsi="Times New Roman" w:cs="Times New Roman"/>
          <w:color w:val="auto"/>
          <w:sz w:val="28"/>
          <w:szCs w:val="28"/>
          <w:lang w:eastAsia="en-US" w:bidi="ar-SA"/>
        </w:rPr>
        <w:t>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 та психології. Науковий керівник: Криленко В.І., д. е. н. - Одеса, 2025. 9</w:t>
      </w:r>
      <w:r w:rsidR="00553724">
        <w:rPr>
          <w:rFonts w:ascii="Times New Roman" w:eastAsiaTheme="minorHAnsi" w:hAnsi="Times New Roman" w:cs="Times New Roman"/>
          <w:color w:val="auto"/>
          <w:sz w:val="28"/>
          <w:szCs w:val="28"/>
          <w:lang w:eastAsia="en-US" w:bidi="ar-SA"/>
        </w:rPr>
        <w:t>0</w:t>
      </w:r>
      <w:r>
        <w:rPr>
          <w:rFonts w:ascii="Times New Roman" w:eastAsiaTheme="minorHAnsi" w:hAnsi="Times New Roman" w:cs="Times New Roman"/>
          <w:color w:val="auto"/>
          <w:sz w:val="28"/>
          <w:szCs w:val="28"/>
          <w:lang w:eastAsia="en-US" w:bidi="ar-SA"/>
        </w:rPr>
        <w:t xml:space="preserve"> с.</w:t>
      </w:r>
    </w:p>
    <w:p w14:paraId="321FFC41" w14:textId="72F62B6D" w:rsidR="003C626E" w:rsidRDefault="001A5B20">
      <w:pPr>
        <w:widowControl/>
        <w:spacing w:line="276" w:lineRule="auto"/>
        <w:ind w:firstLine="708"/>
        <w:jc w:val="both"/>
        <w:rPr>
          <w:rFonts w:ascii="Times New Roman" w:eastAsiaTheme="minorHAnsi" w:hAnsi="Times New Roman" w:cs="Times New Roman"/>
          <w:color w:val="auto"/>
          <w:sz w:val="28"/>
          <w:szCs w:val="28"/>
          <w:lang w:eastAsia="en-US" w:bidi="ar-SA"/>
        </w:rPr>
      </w:pPr>
      <w:r>
        <w:rPr>
          <w:rFonts w:ascii="Times New Roman" w:eastAsiaTheme="minorHAnsi" w:hAnsi="Times New Roman" w:cs="Times New Roman"/>
          <w:i/>
          <w:color w:val="auto"/>
          <w:sz w:val="28"/>
          <w:szCs w:val="28"/>
          <w:lang w:eastAsia="en-US" w:bidi="ar-SA"/>
        </w:rPr>
        <w:t>Анотація</w:t>
      </w:r>
      <w:r>
        <w:rPr>
          <w:rFonts w:ascii="Times New Roman" w:eastAsiaTheme="minorHAnsi" w:hAnsi="Times New Roman" w:cs="Times New Roman"/>
          <w:color w:val="auto"/>
          <w:sz w:val="28"/>
          <w:szCs w:val="28"/>
          <w:lang w:eastAsia="en-US" w:bidi="ar-SA"/>
        </w:rPr>
        <w:t>. Кваліфікаційну роботу виконано на надзвичайно актуальну тему, пов’язану із дослідженням напрямів вдосконалення організації контролю якості надання медичних послуг. Розглянуто систему управління та контролю якості медичної допомоги в умовах модернізації охорони здоров’я. Окрему увагу приділено значенню управління якістю медичної допомоги як пріоритетного вектору модернізації системи охорони здоров’я.  Розглянуто контроль якості медичної допомоги та проаналізовано особливості його здійснення на різних рівнях. Внутрішні аудити в медичному закладі охарактеризовано як складову внутрішнього контролю якості та безпеки медичної допомоги. Проведено аналіз сучасного стану організації контролю якості медичних послуг у Комунальному некомерційному підприємстві «Міська клінічна лікарня № 11» Одеської міської ради. В цьому контексті здійснено загальну характеристику Комунального некомерційного підприємства «Міська клінічна лікарня № 11» Одеської міської ради, проведено аналіз та оцінку фінансового стану та ефективності управління КНП «Міська клінічна лікарня № 11» ОМР, оцінено існуючу систему контролю якості медичних послуг у КНП «Міська клінічна лікарня №11» ОМР. Центральне місце роботи відведено формуванню заходів щодо удосконалення організації контролю якості надання медичних послуг. Пропоновано основні заходи покращення надання медичної  допомоги на базі стоматологічного відділення БМЦ ОНМедУ. Пропоновано заходи, що сприяють о</w:t>
      </w:r>
      <w:r w:rsidR="001365B6">
        <w:rPr>
          <w:rFonts w:ascii="Times New Roman" w:eastAsiaTheme="minorHAnsi" w:hAnsi="Times New Roman" w:cs="Times New Roman"/>
          <w:color w:val="auto"/>
          <w:sz w:val="28"/>
          <w:szCs w:val="28"/>
          <w:lang w:eastAsia="en-US" w:bidi="ar-SA"/>
        </w:rPr>
        <w:t>п</w:t>
      </w:r>
      <w:r>
        <w:rPr>
          <w:rFonts w:ascii="Times New Roman" w:eastAsiaTheme="minorHAnsi" w:hAnsi="Times New Roman" w:cs="Times New Roman"/>
          <w:color w:val="auto"/>
          <w:sz w:val="28"/>
          <w:szCs w:val="28"/>
          <w:lang w:eastAsia="en-US" w:bidi="ar-SA"/>
        </w:rPr>
        <w:t>тимізації процесів моніторингу та внутрішнього аудиту медичних послуг у КНП «Міська клінічна лікарня № 11» Одеської міської ради. Розраховано очікувані результати та ефекти від реалізації запропонованих заходів у КНП «МКЛ №11» Одеської міської ради.</w:t>
      </w:r>
    </w:p>
    <w:p w14:paraId="321FFC42" w14:textId="77777777" w:rsidR="003C626E" w:rsidRDefault="001A5B20">
      <w:pPr>
        <w:widowControl/>
        <w:spacing w:line="276" w:lineRule="auto"/>
        <w:ind w:firstLine="708"/>
        <w:jc w:val="both"/>
        <w:rPr>
          <w:rFonts w:ascii="Times New Roman" w:eastAsiaTheme="minorHAnsi" w:hAnsi="Times New Roman" w:cs="Times New Roman"/>
          <w:color w:val="auto"/>
          <w:sz w:val="28"/>
          <w:szCs w:val="28"/>
          <w:lang w:eastAsia="en-US" w:bidi="ar-SA"/>
        </w:rPr>
      </w:pPr>
      <w:r>
        <w:rPr>
          <w:rFonts w:ascii="Times New Roman" w:eastAsiaTheme="minorHAnsi" w:hAnsi="Times New Roman" w:cs="Times New Roman"/>
          <w:b/>
          <w:color w:val="auto"/>
          <w:sz w:val="28"/>
          <w:szCs w:val="28"/>
          <w:lang w:eastAsia="en-US" w:bidi="ar-SA"/>
        </w:rPr>
        <w:t>Ключові слова:</w:t>
      </w:r>
      <w:r>
        <w:rPr>
          <w:rFonts w:ascii="Times New Roman" w:eastAsiaTheme="minorHAnsi" w:hAnsi="Times New Roman" w:cs="Times New Roman"/>
          <w:color w:val="auto"/>
          <w:sz w:val="28"/>
          <w:szCs w:val="28"/>
          <w:lang w:eastAsia="en-US" w:bidi="ar-SA"/>
        </w:rPr>
        <w:t xml:space="preserve"> заклади охорони здоров’я, якість медичної допомоги, </w:t>
      </w:r>
      <w:r>
        <w:rPr>
          <w:rFonts w:ascii="Times New Roman" w:hAnsi="Times New Roman" w:cs="Times New Roman"/>
          <w:color w:val="auto"/>
          <w:sz w:val="28"/>
          <w:szCs w:val="28"/>
          <w:shd w:val="clear" w:color="auto" w:fill="FFFFFF"/>
        </w:rPr>
        <w:t xml:space="preserve">якість медичних </w:t>
      </w:r>
      <w:r>
        <w:rPr>
          <w:rFonts w:ascii="Times New Roman" w:eastAsiaTheme="minorHAnsi" w:hAnsi="Times New Roman" w:cs="Times New Roman"/>
          <w:color w:val="auto"/>
          <w:sz w:val="28"/>
          <w:szCs w:val="28"/>
          <w:lang w:eastAsia="en-US" w:bidi="ar-SA"/>
        </w:rPr>
        <w:t>послуг, КНП «Міська клінічна лікарня № 11» Одеської міської ради</w:t>
      </w:r>
      <w:r>
        <w:rPr>
          <w:rFonts w:ascii="Times New Roman" w:hAnsi="Times New Roman" w:cs="Times New Roman"/>
          <w:color w:val="auto"/>
          <w:sz w:val="28"/>
          <w:szCs w:val="28"/>
          <w:shd w:val="clear" w:color="auto" w:fill="FFFFFF"/>
        </w:rPr>
        <w:t xml:space="preserve">, </w:t>
      </w:r>
      <w:r>
        <w:rPr>
          <w:rFonts w:ascii="Times New Roman" w:eastAsiaTheme="minorHAnsi" w:hAnsi="Times New Roman" w:cs="Times New Roman"/>
          <w:color w:val="auto"/>
          <w:sz w:val="28"/>
          <w:szCs w:val="28"/>
          <w:lang w:eastAsia="en-US" w:bidi="ar-SA"/>
        </w:rPr>
        <w:t>контроль якості, внутрішній контроль, SWOT</w:t>
      </w:r>
      <w:r>
        <w:rPr>
          <w:rFonts w:ascii="Times New Roman" w:eastAsia="TimesNewRomanPSMT" w:hAnsi="Times New Roman" w:cs="Times New Roman"/>
          <w:color w:val="auto"/>
          <w:sz w:val="28"/>
          <w:szCs w:val="28"/>
          <w:lang w:eastAsia="en-US" w:bidi="ar-SA"/>
        </w:rPr>
        <w:t>-</w:t>
      </w:r>
      <w:r>
        <w:rPr>
          <w:rFonts w:ascii="Times New Roman" w:eastAsiaTheme="minorHAnsi" w:hAnsi="Times New Roman" w:cs="Times New Roman"/>
          <w:color w:val="auto"/>
          <w:sz w:val="28"/>
          <w:szCs w:val="28"/>
          <w:lang w:eastAsia="en-US" w:bidi="ar-SA"/>
        </w:rPr>
        <w:t>аналіз, оптимізація контролю якості медичних послуг.</w:t>
      </w:r>
    </w:p>
    <w:p w14:paraId="321FFC43"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4"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5"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6"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7"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8"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9"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A"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B"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C"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D"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E"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4F"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0"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1"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2"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3"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4"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5"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6"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7"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8"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9"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A"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B"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C"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D"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E"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5F"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60"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61"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62"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63"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64"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65"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66" w14:textId="3F2B5412"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7C451DDD" w14:textId="77777777" w:rsidR="001365B6" w:rsidRDefault="001365B6">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67" w14:textId="77777777" w:rsidR="003C626E" w:rsidRDefault="003C626E">
      <w:pPr>
        <w:widowControl/>
        <w:spacing w:line="360" w:lineRule="auto"/>
        <w:ind w:firstLine="708"/>
        <w:jc w:val="both"/>
        <w:rPr>
          <w:rFonts w:ascii="TimesNewRoman" w:eastAsiaTheme="minorHAnsi" w:hAnsi="TimesNewRoman" w:cs="TimesNewRoman"/>
          <w:color w:val="auto"/>
          <w:sz w:val="23"/>
          <w:szCs w:val="23"/>
          <w:lang w:eastAsia="en-US" w:bidi="ar-SA"/>
        </w:rPr>
      </w:pPr>
    </w:p>
    <w:p w14:paraId="321FFC68" w14:textId="77777777" w:rsidR="003C626E" w:rsidRDefault="001A5B20">
      <w:pPr>
        <w:spacing w:line="360" w:lineRule="auto"/>
        <w:jc w:val="center"/>
        <w:rPr>
          <w:rFonts w:ascii="Times New Roman" w:hAnsi="Times New Roman" w:cs="Times New Roman"/>
          <w:b/>
          <w:color w:val="auto"/>
          <w:sz w:val="28"/>
          <w:szCs w:val="28"/>
        </w:rPr>
      </w:pPr>
      <w:r>
        <w:rPr>
          <w:rFonts w:ascii="Times New Roman" w:hAnsi="Times New Roman" w:cs="Times New Roman"/>
          <w:b/>
          <w:color w:val="auto"/>
          <w:sz w:val="28"/>
          <w:szCs w:val="28"/>
        </w:rPr>
        <w:lastRenderedPageBreak/>
        <w:t>ЗМІСТ</w:t>
      </w:r>
    </w:p>
    <w:p w14:paraId="321FFC69" w14:textId="77777777" w:rsidR="003C626E" w:rsidRDefault="003C626E">
      <w:pPr>
        <w:spacing w:line="360" w:lineRule="auto"/>
        <w:jc w:val="center"/>
        <w:rPr>
          <w:rFonts w:ascii="Times New Roman" w:hAnsi="Times New Roman" w:cs="Times New Roman"/>
          <w:b/>
          <w:color w:val="auto"/>
          <w:sz w:val="28"/>
          <w:szCs w:val="28"/>
        </w:rPr>
      </w:pPr>
    </w:p>
    <w:tbl>
      <w:tblPr>
        <w:tblStyle w:val="15"/>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56"/>
      </w:tblGrid>
      <w:tr w:rsidR="003C626E" w14:paraId="321FFC7D" w14:textId="77777777">
        <w:tc>
          <w:tcPr>
            <w:tcW w:w="9356" w:type="dxa"/>
          </w:tcPr>
          <w:p w14:paraId="321FFC6A" w14:textId="77777777" w:rsidR="003C626E" w:rsidRDefault="001A5B20" w:rsidP="001A5B20">
            <w:pPr>
              <w:rPr>
                <w:rFonts w:ascii="Times New Roman" w:eastAsia="Microsoft YaHei" w:hAnsi="Times New Roman" w:cs="Times New Roman"/>
                <w:sz w:val="28"/>
                <w:szCs w:val="28"/>
              </w:rPr>
            </w:pPr>
            <w:r>
              <w:rPr>
                <w:rFonts w:ascii="Times New Roman" w:eastAsia="Microsoft YaHei" w:hAnsi="Times New Roman" w:cs="Times New Roman"/>
                <w:sz w:val="28"/>
                <w:szCs w:val="28"/>
              </w:rPr>
              <w:t>ВСТУП………………………………………………………………………...…6</w:t>
            </w:r>
          </w:p>
          <w:p w14:paraId="7C21A089" w14:textId="77777777" w:rsidR="001A5B20" w:rsidRDefault="001A5B20" w:rsidP="001A5B20">
            <w:pPr>
              <w:rPr>
                <w:rFonts w:ascii="Times New Roman" w:eastAsia="Microsoft YaHei" w:hAnsi="Times New Roman" w:cs="Times New Roman"/>
                <w:sz w:val="28"/>
                <w:szCs w:val="28"/>
              </w:rPr>
            </w:pPr>
          </w:p>
          <w:p w14:paraId="321FFC6B" w14:textId="1889DE4B" w:rsidR="003C626E" w:rsidRDefault="001A5B20" w:rsidP="001A5B20">
            <w:pPr>
              <w:rPr>
                <w:rFonts w:ascii="Times New Roman" w:eastAsia="Microsoft YaHei" w:hAnsi="Times New Roman" w:cs="Times New Roman"/>
                <w:sz w:val="28"/>
                <w:szCs w:val="28"/>
              </w:rPr>
            </w:pPr>
            <w:r>
              <w:rPr>
                <w:rFonts w:ascii="Times New Roman" w:eastAsia="Microsoft YaHei" w:hAnsi="Times New Roman" w:cs="Times New Roman"/>
                <w:sz w:val="28"/>
                <w:szCs w:val="28"/>
              </w:rPr>
              <w:t>РОЗДІЛ 1. СИСТЕМА УПРАВЛІННЯ ТА КОНТРОЛЮ ЯКОСТІ МЕДИЧНОЇ ДОПОМОГИ В УМОВАХ МОДЕРНІЗАЦІЇ ОХОРОНИ ЗДОРОВ’Я……………………………………………………………………...12</w:t>
            </w:r>
          </w:p>
          <w:p w14:paraId="321FFC6C" w14:textId="77777777" w:rsidR="003C626E" w:rsidRDefault="001A5B20" w:rsidP="001A5B20">
            <w:pPr>
              <w:tabs>
                <w:tab w:val="left" w:pos="1021"/>
              </w:tabs>
              <w:ind w:firstLine="599"/>
              <w:rPr>
                <w:rFonts w:ascii="Times New Roman" w:eastAsia="Microsoft YaHei" w:hAnsi="Times New Roman" w:cs="Times New Roman"/>
                <w:sz w:val="28"/>
                <w:szCs w:val="28"/>
              </w:rPr>
            </w:pPr>
            <w:r>
              <w:rPr>
                <w:rFonts w:ascii="Times New Roman" w:eastAsia="Microsoft YaHei" w:hAnsi="Times New Roman" w:cs="Times New Roman"/>
                <w:sz w:val="28"/>
                <w:szCs w:val="28"/>
              </w:rPr>
              <w:t>1.1.</w:t>
            </w:r>
            <w:r>
              <w:rPr>
                <w:rFonts w:ascii="Times New Roman" w:eastAsia="Microsoft YaHei" w:hAnsi="Times New Roman" w:cs="Times New Roman"/>
                <w:sz w:val="28"/>
                <w:szCs w:val="28"/>
              </w:rPr>
              <w:tab/>
              <w:t>Управління якістю медичної допомоги як пріоритетний вектор модернізації системи охорони здоров’я…………………………………..….12</w:t>
            </w:r>
          </w:p>
          <w:p w14:paraId="321FFC6D" w14:textId="77777777" w:rsidR="003C626E" w:rsidRDefault="001A5B20" w:rsidP="001A5B20">
            <w:pPr>
              <w:tabs>
                <w:tab w:val="left" w:pos="924"/>
                <w:tab w:val="left" w:pos="1021"/>
              </w:tabs>
              <w:ind w:firstLine="599"/>
              <w:rPr>
                <w:rFonts w:ascii="Times New Roman" w:eastAsia="Microsoft YaHei" w:hAnsi="Times New Roman" w:cs="Times New Roman"/>
                <w:sz w:val="28"/>
                <w:szCs w:val="28"/>
              </w:rPr>
            </w:pPr>
            <w:r>
              <w:rPr>
                <w:rFonts w:ascii="Times New Roman" w:eastAsia="Microsoft YaHei" w:hAnsi="Times New Roman" w:cs="Times New Roman"/>
                <w:sz w:val="28"/>
                <w:szCs w:val="28"/>
              </w:rPr>
              <w:t>1.2.</w:t>
            </w:r>
            <w:r>
              <w:rPr>
                <w:rFonts w:ascii="Times New Roman" w:eastAsia="Microsoft YaHei" w:hAnsi="Times New Roman" w:cs="Times New Roman"/>
                <w:sz w:val="28"/>
                <w:szCs w:val="28"/>
              </w:rPr>
              <w:tab/>
              <w:t>Контроль якості медичної допомоги та особливості його здійснення на різних рівнях…………………………………………………...23</w:t>
            </w:r>
          </w:p>
          <w:p w14:paraId="321FFC6E" w14:textId="79BC06AB" w:rsidR="003C626E" w:rsidRDefault="001A5B20" w:rsidP="001A5B20">
            <w:pPr>
              <w:tabs>
                <w:tab w:val="left" w:pos="1026"/>
              </w:tabs>
              <w:ind w:firstLine="599"/>
              <w:rPr>
                <w:rFonts w:ascii="Times New Roman" w:eastAsia="Microsoft YaHei" w:hAnsi="Times New Roman" w:cs="Times New Roman"/>
                <w:sz w:val="28"/>
                <w:szCs w:val="28"/>
              </w:rPr>
            </w:pPr>
            <w:r>
              <w:rPr>
                <w:rFonts w:ascii="Times New Roman" w:eastAsia="Microsoft YaHei" w:hAnsi="Times New Roman" w:cs="Times New Roman"/>
                <w:sz w:val="28"/>
                <w:szCs w:val="28"/>
              </w:rPr>
              <w:t>1.3. Управлінський аудит в медичному закладі як складова внутрішнього контролю якості та безпеки медичної допомоги....................35</w:t>
            </w:r>
          </w:p>
          <w:p w14:paraId="321FFC6F" w14:textId="249D275C" w:rsidR="003C626E" w:rsidRDefault="001A5B20" w:rsidP="001A5B20">
            <w:pPr>
              <w:tabs>
                <w:tab w:val="left" w:pos="1026"/>
              </w:tabs>
              <w:ind w:firstLine="459"/>
              <w:rPr>
                <w:rFonts w:ascii="Times New Roman" w:eastAsia="Microsoft YaHei" w:hAnsi="Times New Roman" w:cs="Times New Roman"/>
                <w:sz w:val="28"/>
                <w:szCs w:val="28"/>
              </w:rPr>
            </w:pPr>
            <w:r>
              <w:rPr>
                <w:rFonts w:ascii="Times New Roman" w:eastAsia="Microsoft YaHei" w:hAnsi="Times New Roman" w:cs="Times New Roman"/>
                <w:sz w:val="28"/>
                <w:szCs w:val="28"/>
              </w:rPr>
              <w:t>Висновок до розділу 1…………………………………………………….41</w:t>
            </w:r>
          </w:p>
          <w:p w14:paraId="40B25591" w14:textId="669A0D83" w:rsidR="001A5B20" w:rsidRDefault="001A5B20" w:rsidP="001A5B20">
            <w:pPr>
              <w:rPr>
                <w:rFonts w:ascii="Times New Roman" w:eastAsia="Microsoft YaHei" w:hAnsi="Times New Roman" w:cs="Times New Roman"/>
                <w:sz w:val="28"/>
                <w:szCs w:val="28"/>
              </w:rPr>
            </w:pPr>
          </w:p>
          <w:p w14:paraId="321FFC70" w14:textId="77F9AEC3" w:rsidR="003C626E" w:rsidRDefault="001A5B20" w:rsidP="001A5B20">
            <w:pPr>
              <w:rPr>
                <w:rFonts w:ascii="Times New Roman" w:eastAsia="Microsoft YaHei" w:hAnsi="Times New Roman" w:cs="Times New Roman"/>
                <w:sz w:val="28"/>
                <w:szCs w:val="28"/>
              </w:rPr>
            </w:pPr>
            <w:r>
              <w:rPr>
                <w:rFonts w:ascii="Times New Roman" w:eastAsia="Microsoft YaHei" w:hAnsi="Times New Roman" w:cs="Times New Roman"/>
                <w:sz w:val="28"/>
                <w:szCs w:val="28"/>
              </w:rPr>
              <w:t>РОЗДІЛ 2. АНАЛІЗ СУЧАСНОГО СТАНУ СИСТЕМИ УПРАВЛІННЯ ЯКІСТЮ МЕДИЧНИХ ПОСЛУГ У КОМУНАЛЬНОМУ НЕКОМЕРЦІЙНОМУ ПІДПРИЄМСТВІ «МІСЬКА КЛІНІЧНА ЛІКАРНЯ № 11» ОДЕСЬКОЇ МІСЬКОЇ РАДИ………………………………………….43</w:t>
            </w:r>
          </w:p>
          <w:p w14:paraId="321FFC71" w14:textId="77777777" w:rsidR="003C626E" w:rsidRDefault="001A5B20" w:rsidP="001A5B20">
            <w:pPr>
              <w:ind w:firstLine="459"/>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2.1. Загальна характеристика Комунального некомерційного підприємства «Міська клінічна лікарня № 11» Одеської міської ради…….43 </w:t>
            </w:r>
          </w:p>
          <w:p w14:paraId="321FFC72" w14:textId="676B14C9" w:rsidR="003C626E" w:rsidRDefault="001A5B20" w:rsidP="001A5B20">
            <w:pPr>
              <w:ind w:firstLine="459"/>
              <w:rPr>
                <w:rFonts w:ascii="Times New Roman" w:eastAsia="Microsoft YaHei" w:hAnsi="Times New Roman" w:cs="Times New Roman"/>
                <w:sz w:val="28"/>
                <w:szCs w:val="28"/>
              </w:rPr>
            </w:pPr>
            <w:r>
              <w:rPr>
                <w:rFonts w:ascii="Times New Roman" w:eastAsia="Microsoft YaHei" w:hAnsi="Times New Roman" w:cs="Times New Roman"/>
                <w:sz w:val="28"/>
                <w:szCs w:val="28"/>
              </w:rPr>
              <w:t>2.2. Аналіз та оцінка фінансового стану та системи управління КНП «Міська клінічна лікарня № 11» ОМР…………………………..……………52</w:t>
            </w:r>
          </w:p>
          <w:p w14:paraId="321FFC73" w14:textId="63CD94A9" w:rsidR="003C626E" w:rsidRDefault="001A5B20" w:rsidP="001A5B20">
            <w:pPr>
              <w:ind w:firstLine="459"/>
              <w:rPr>
                <w:rFonts w:ascii="Times New Roman" w:eastAsia="Microsoft YaHei" w:hAnsi="Times New Roman" w:cs="Times New Roman"/>
                <w:sz w:val="28"/>
                <w:szCs w:val="28"/>
              </w:rPr>
            </w:pPr>
            <w:r>
              <w:rPr>
                <w:rFonts w:ascii="Times New Roman" w:eastAsia="Microsoft YaHei" w:hAnsi="Times New Roman" w:cs="Times New Roman"/>
                <w:sz w:val="28"/>
                <w:szCs w:val="28"/>
              </w:rPr>
              <w:t>2.3. Оцінка існуючої системи управління якістю медичних послуг у КНП «Міська клінічна лікарня №11» ОМР………………………………….60</w:t>
            </w:r>
          </w:p>
          <w:p w14:paraId="321FFC74" w14:textId="77777777" w:rsidR="003C626E" w:rsidRDefault="001A5B20" w:rsidP="001A5B20">
            <w:pPr>
              <w:tabs>
                <w:tab w:val="left" w:pos="1026"/>
              </w:tabs>
              <w:ind w:firstLine="459"/>
              <w:rPr>
                <w:rFonts w:ascii="Times New Roman" w:eastAsia="Microsoft YaHei" w:hAnsi="Times New Roman" w:cs="Times New Roman"/>
                <w:sz w:val="28"/>
                <w:szCs w:val="28"/>
              </w:rPr>
            </w:pPr>
            <w:r>
              <w:rPr>
                <w:rFonts w:ascii="Times New Roman" w:eastAsia="Microsoft YaHei" w:hAnsi="Times New Roman" w:cs="Times New Roman"/>
                <w:sz w:val="28"/>
                <w:szCs w:val="28"/>
              </w:rPr>
              <w:t>Висновок до розділу 2…………………………………………………….66</w:t>
            </w:r>
          </w:p>
          <w:p w14:paraId="52A53B23" w14:textId="77777777" w:rsidR="001A5B20" w:rsidRDefault="001A5B20" w:rsidP="001A5B20">
            <w:pPr>
              <w:rPr>
                <w:rFonts w:ascii="Times New Roman" w:eastAsia="Microsoft YaHei" w:hAnsi="Times New Roman" w:cs="Times New Roman"/>
                <w:sz w:val="28"/>
                <w:szCs w:val="28"/>
              </w:rPr>
            </w:pPr>
          </w:p>
          <w:p w14:paraId="321FFC75" w14:textId="036E72F9" w:rsidR="003C626E" w:rsidRDefault="001A5B20" w:rsidP="001A5B20">
            <w:pPr>
              <w:rPr>
                <w:rFonts w:ascii="Times New Roman" w:eastAsia="Microsoft YaHei" w:hAnsi="Times New Roman" w:cs="Times New Roman"/>
                <w:sz w:val="28"/>
                <w:szCs w:val="28"/>
              </w:rPr>
            </w:pPr>
            <w:r>
              <w:rPr>
                <w:rFonts w:ascii="Times New Roman" w:eastAsia="Microsoft YaHei" w:hAnsi="Times New Roman" w:cs="Times New Roman"/>
                <w:sz w:val="28"/>
                <w:szCs w:val="28"/>
              </w:rPr>
              <w:t>РОЗДІЛ 3. НАПРЯМИ УДОСКОНАЛЕННЯ ОРГАНІЗАЦІЇ СИСТЕМИ УПРАВЛІННЯ ТА КОНТРОЛЮ ЯКОСТІ НАДАННЯ МЕДИЧНИХ ПОСЛУГ……………………………………………………………………….</w:t>
            </w:r>
            <w:r w:rsidR="00553724">
              <w:rPr>
                <w:rFonts w:ascii="Times New Roman" w:eastAsia="Microsoft YaHei" w:hAnsi="Times New Roman" w:cs="Times New Roman"/>
                <w:sz w:val="28"/>
                <w:szCs w:val="28"/>
              </w:rPr>
              <w:t>.</w:t>
            </w:r>
            <w:r>
              <w:rPr>
                <w:rFonts w:ascii="Times New Roman" w:eastAsia="Microsoft YaHei" w:hAnsi="Times New Roman" w:cs="Times New Roman"/>
                <w:sz w:val="28"/>
                <w:szCs w:val="28"/>
              </w:rPr>
              <w:t>69</w:t>
            </w:r>
          </w:p>
          <w:p w14:paraId="321FFC76" w14:textId="5EC53857" w:rsidR="003C626E" w:rsidRDefault="001A5B20" w:rsidP="001A5B20">
            <w:pPr>
              <w:ind w:firstLine="459"/>
              <w:rPr>
                <w:rFonts w:ascii="Times New Roman" w:eastAsia="Microsoft YaHei" w:hAnsi="Times New Roman" w:cs="Times New Roman"/>
                <w:sz w:val="28"/>
                <w:szCs w:val="28"/>
              </w:rPr>
            </w:pPr>
            <w:r>
              <w:rPr>
                <w:rFonts w:ascii="Times New Roman" w:eastAsia="Microsoft YaHei" w:hAnsi="Times New Roman" w:cs="Times New Roman"/>
                <w:sz w:val="28"/>
                <w:szCs w:val="28"/>
              </w:rPr>
              <w:t>3.1. Оптимізація процесів управлінського аудиту медичних послуг у КНП «Міська клінічна лікарня № 11» Одеської міської ради…….………..69</w:t>
            </w:r>
          </w:p>
          <w:p w14:paraId="321FFC78" w14:textId="7F586758" w:rsidR="003C626E" w:rsidRDefault="001A5B20" w:rsidP="001A5B20">
            <w:pPr>
              <w:ind w:firstLine="459"/>
              <w:rPr>
                <w:rFonts w:ascii="Times New Roman" w:eastAsia="Microsoft YaHei" w:hAnsi="Times New Roman" w:cs="Times New Roman"/>
                <w:sz w:val="28"/>
                <w:szCs w:val="28"/>
              </w:rPr>
            </w:pPr>
            <w:r>
              <w:rPr>
                <w:rFonts w:ascii="Times New Roman" w:eastAsia="Microsoft YaHei" w:hAnsi="Times New Roman" w:cs="Times New Roman"/>
                <w:sz w:val="28"/>
                <w:szCs w:val="28"/>
              </w:rPr>
              <w:t>3.2. Очікувані результати та ефекти від реалізації запропонованих заходів у КНП «МКЛ №11» Одеської міської ради …………………….…..73</w:t>
            </w:r>
          </w:p>
          <w:p w14:paraId="321FFC79" w14:textId="329ACEA3" w:rsidR="003C626E" w:rsidRDefault="001A5B20" w:rsidP="001A5B20">
            <w:pPr>
              <w:ind w:firstLine="459"/>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Висновок до </w:t>
            </w:r>
            <w:r w:rsidR="00553724">
              <w:rPr>
                <w:rFonts w:ascii="Times New Roman" w:eastAsia="Microsoft YaHei" w:hAnsi="Times New Roman" w:cs="Times New Roman"/>
                <w:sz w:val="28"/>
                <w:szCs w:val="28"/>
              </w:rPr>
              <w:t>розділу 3………………………………………………….…75</w:t>
            </w:r>
          </w:p>
          <w:p w14:paraId="4E3D60E5" w14:textId="77777777" w:rsidR="001A5B20" w:rsidRDefault="001A5B20" w:rsidP="001A5B20">
            <w:pPr>
              <w:jc w:val="both"/>
              <w:rPr>
                <w:rFonts w:ascii="Times New Roman" w:eastAsia="Microsoft YaHei" w:hAnsi="Times New Roman" w:cs="Times New Roman"/>
                <w:sz w:val="28"/>
                <w:szCs w:val="28"/>
              </w:rPr>
            </w:pPr>
          </w:p>
          <w:p w14:paraId="321FFC7A" w14:textId="1A40BA43" w:rsidR="003C626E" w:rsidRDefault="001A5B20" w:rsidP="001A5B20">
            <w:pPr>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ВИСНОВ</w:t>
            </w:r>
            <w:r w:rsidR="00553724">
              <w:rPr>
                <w:rFonts w:ascii="Times New Roman" w:eastAsia="Microsoft YaHei" w:hAnsi="Times New Roman" w:cs="Times New Roman"/>
                <w:sz w:val="28"/>
                <w:szCs w:val="28"/>
              </w:rPr>
              <w:t>О</w:t>
            </w:r>
            <w:r>
              <w:rPr>
                <w:rFonts w:ascii="Times New Roman" w:eastAsia="Microsoft YaHei" w:hAnsi="Times New Roman" w:cs="Times New Roman"/>
                <w:sz w:val="28"/>
                <w:szCs w:val="28"/>
              </w:rPr>
              <w:t>К………………………………</w:t>
            </w:r>
            <w:r w:rsidR="00553724">
              <w:rPr>
                <w:rFonts w:ascii="Times New Roman" w:eastAsia="Microsoft YaHei" w:hAnsi="Times New Roman" w:cs="Times New Roman"/>
                <w:sz w:val="28"/>
                <w:szCs w:val="28"/>
              </w:rPr>
              <w:t>……………………………………78</w:t>
            </w:r>
          </w:p>
          <w:p w14:paraId="321FFC7B" w14:textId="1890026F" w:rsidR="003C626E" w:rsidRDefault="001A5B20" w:rsidP="001A5B20">
            <w:pPr>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СПИСОК ЛІТЕРАТУРИ……………………………</w:t>
            </w:r>
            <w:r w:rsidR="00553724">
              <w:rPr>
                <w:rFonts w:ascii="Times New Roman" w:eastAsia="Microsoft YaHei" w:hAnsi="Times New Roman" w:cs="Times New Roman"/>
                <w:sz w:val="28"/>
                <w:szCs w:val="28"/>
              </w:rPr>
              <w:t>…………………………8</w:t>
            </w:r>
            <w:r>
              <w:rPr>
                <w:rFonts w:ascii="Times New Roman" w:eastAsia="Microsoft YaHei" w:hAnsi="Times New Roman" w:cs="Times New Roman"/>
                <w:sz w:val="28"/>
                <w:szCs w:val="28"/>
              </w:rPr>
              <w:t>3</w:t>
            </w:r>
          </w:p>
          <w:p w14:paraId="321FFC7C" w14:textId="77FBD1FA" w:rsidR="003C626E" w:rsidRDefault="001A5B20" w:rsidP="001A5B20">
            <w:pPr>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ДОДА</w:t>
            </w:r>
            <w:r w:rsidR="00553724">
              <w:rPr>
                <w:rFonts w:ascii="Times New Roman" w:eastAsia="Microsoft YaHei" w:hAnsi="Times New Roman" w:cs="Times New Roman"/>
                <w:sz w:val="28"/>
                <w:szCs w:val="28"/>
              </w:rPr>
              <w:t>ТКИ……………………………………………………………………...9</w:t>
            </w:r>
            <w:r>
              <w:rPr>
                <w:rFonts w:ascii="Times New Roman" w:eastAsia="Microsoft YaHei" w:hAnsi="Times New Roman" w:cs="Times New Roman"/>
                <w:sz w:val="28"/>
                <w:szCs w:val="28"/>
              </w:rPr>
              <w:t>0</w:t>
            </w:r>
          </w:p>
        </w:tc>
      </w:tr>
    </w:tbl>
    <w:p w14:paraId="321FFC7E" w14:textId="77777777" w:rsidR="003C626E" w:rsidRDefault="003C626E">
      <w:pPr>
        <w:spacing w:line="360" w:lineRule="auto"/>
        <w:rPr>
          <w:rFonts w:ascii="Times New Roman" w:hAnsi="Times New Roman" w:cs="Times New Roman"/>
          <w:b/>
          <w:color w:val="auto"/>
          <w:sz w:val="28"/>
          <w:szCs w:val="28"/>
        </w:rPr>
      </w:pPr>
    </w:p>
    <w:p w14:paraId="0FF05F9D" w14:textId="77777777" w:rsidR="001A5B20" w:rsidRDefault="001A5B20">
      <w:pPr>
        <w:widowControl/>
        <w:spacing w:after="200" w:line="276" w:lineRule="auto"/>
        <w:jc w:val="center"/>
        <w:rPr>
          <w:rFonts w:ascii="Times New Roman" w:hAnsi="Times New Roman" w:cs="Times New Roman"/>
          <w:b/>
          <w:color w:val="auto"/>
          <w:sz w:val="28"/>
          <w:szCs w:val="28"/>
        </w:rPr>
      </w:pPr>
    </w:p>
    <w:p w14:paraId="3DE51D26" w14:textId="77777777" w:rsidR="001A5B20" w:rsidRDefault="001A5B20">
      <w:pPr>
        <w:widowControl/>
        <w:spacing w:after="200" w:line="276" w:lineRule="auto"/>
        <w:jc w:val="center"/>
        <w:rPr>
          <w:rFonts w:ascii="Times New Roman" w:hAnsi="Times New Roman" w:cs="Times New Roman"/>
          <w:b/>
          <w:color w:val="auto"/>
          <w:sz w:val="28"/>
          <w:szCs w:val="28"/>
        </w:rPr>
      </w:pPr>
    </w:p>
    <w:p w14:paraId="321FFC7F" w14:textId="6F6CD99C" w:rsidR="003C626E" w:rsidRDefault="001A5B20">
      <w:pPr>
        <w:widowControl/>
        <w:spacing w:after="200" w:line="276" w:lineRule="auto"/>
        <w:jc w:val="center"/>
        <w:rPr>
          <w:rFonts w:ascii="Times New Roman" w:hAnsi="Times New Roman" w:cs="Times New Roman"/>
          <w:b/>
          <w:color w:val="auto"/>
          <w:sz w:val="28"/>
          <w:szCs w:val="28"/>
        </w:rPr>
      </w:pPr>
      <w:r>
        <w:rPr>
          <w:rFonts w:ascii="Times New Roman" w:hAnsi="Times New Roman" w:cs="Times New Roman"/>
          <w:b/>
          <w:color w:val="auto"/>
          <w:sz w:val="28"/>
          <w:szCs w:val="28"/>
        </w:rPr>
        <w:lastRenderedPageBreak/>
        <w:t>ПЕРЕЛІК УМОВНИХ ПОЗНАЧЕНЬ</w:t>
      </w:r>
    </w:p>
    <w:p w14:paraId="321FFC80" w14:textId="77777777" w:rsidR="003C626E" w:rsidRDefault="003C626E">
      <w:pPr>
        <w:widowControl/>
        <w:spacing w:after="200" w:line="276" w:lineRule="auto"/>
        <w:jc w:val="center"/>
        <w:rPr>
          <w:rFonts w:ascii="Times New Roman" w:hAnsi="Times New Roman" w:cs="Times New Roman"/>
          <w:b/>
          <w:color w:val="auto"/>
          <w:sz w:val="28"/>
          <w:szCs w:val="28"/>
        </w:rPr>
      </w:pPr>
    </w:p>
    <w:p w14:paraId="321FFC81"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ЗОЗ – заклад охорони здоров’я</w:t>
      </w:r>
    </w:p>
    <w:p w14:paraId="321FFC82"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ЯМД – якість медичної допомоги</w:t>
      </w:r>
    </w:p>
    <w:p w14:paraId="321FFC83"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ДЕЦ МОЗ -</w:t>
      </w:r>
      <w:r>
        <w:rPr>
          <w:rFonts w:ascii="Microsoft YaHei" w:eastAsia="Microsoft YaHei" w:hAnsi="Microsoft YaHei" w:cs="Microsoft YaHei"/>
        </w:rPr>
        <w:t xml:space="preserve"> </w:t>
      </w:r>
      <w:r>
        <w:rPr>
          <w:rFonts w:ascii="Times New Roman" w:eastAsia="Microsoft YaHei" w:hAnsi="Times New Roman" w:cs="Times New Roman"/>
          <w:sz w:val="28"/>
          <w:szCs w:val="28"/>
        </w:rPr>
        <w:t xml:space="preserve">Державний експертний центр Міністерства охорони здоров’я України </w:t>
      </w:r>
    </w:p>
    <w:p w14:paraId="321FFC84"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ЛК – лікарська комісія</w:t>
      </w:r>
    </w:p>
    <w:p w14:paraId="321FFC85"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ЛКЯ – лікарська комісія якості</w:t>
      </w:r>
    </w:p>
    <w:p w14:paraId="321FFC86"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КНП «МКЛ № 11» ОМР - Комунальне некомерційне підприємство «Міська клінічна лікарня № 11» Одеської міської ради</w:t>
      </w:r>
    </w:p>
    <w:p w14:paraId="321FFC87" w14:textId="77777777" w:rsidR="003C626E" w:rsidRDefault="001A5B20">
      <w:pPr>
        <w:widowControl/>
        <w:spacing w:after="200" w:line="276" w:lineRule="auto"/>
        <w:jc w:val="center"/>
        <w:rPr>
          <w:rFonts w:ascii="Times New Roman" w:hAnsi="Times New Roman" w:cs="Times New Roman"/>
          <w:b/>
          <w:color w:val="auto"/>
          <w:sz w:val="28"/>
          <w:szCs w:val="28"/>
        </w:rPr>
      </w:pPr>
      <w:r>
        <w:rPr>
          <w:rFonts w:ascii="Times New Roman" w:hAnsi="Times New Roman" w:cs="Times New Roman"/>
          <w:b/>
          <w:color w:val="auto"/>
          <w:sz w:val="28"/>
          <w:szCs w:val="28"/>
        </w:rPr>
        <w:br w:type="page" w:clear="all"/>
      </w:r>
    </w:p>
    <w:p w14:paraId="321FFC88" w14:textId="77777777" w:rsidR="003C626E" w:rsidRDefault="001A5B20">
      <w:pPr>
        <w:widowControl/>
        <w:spacing w:after="200" w:line="276" w:lineRule="auto"/>
        <w:jc w:val="center"/>
        <w:rPr>
          <w:rFonts w:ascii="Times New Roman" w:hAnsi="Times New Roman" w:cs="Times New Roman"/>
          <w:b/>
          <w:color w:val="auto"/>
          <w:sz w:val="28"/>
          <w:szCs w:val="28"/>
        </w:rPr>
      </w:pPr>
      <w:r>
        <w:rPr>
          <w:rFonts w:ascii="Times New Roman" w:hAnsi="Times New Roman" w:cs="Times New Roman"/>
          <w:b/>
          <w:color w:val="auto"/>
          <w:sz w:val="28"/>
          <w:szCs w:val="28"/>
        </w:rPr>
        <w:lastRenderedPageBreak/>
        <w:t>ВСТУП</w:t>
      </w:r>
    </w:p>
    <w:p w14:paraId="321FFC89" w14:textId="77777777" w:rsidR="003C626E" w:rsidRDefault="003C626E">
      <w:pPr>
        <w:widowControl/>
        <w:spacing w:after="200" w:line="276" w:lineRule="auto"/>
        <w:jc w:val="center"/>
        <w:rPr>
          <w:rFonts w:ascii="Times New Roman" w:hAnsi="Times New Roman" w:cs="Times New Roman"/>
          <w:b/>
          <w:color w:val="auto"/>
          <w:sz w:val="28"/>
          <w:szCs w:val="28"/>
        </w:rPr>
      </w:pPr>
    </w:p>
    <w:p w14:paraId="321FFC8A" w14:textId="77777777" w:rsidR="003C626E" w:rsidRDefault="001A5B20">
      <w:pPr>
        <w:spacing w:line="360" w:lineRule="auto"/>
        <w:ind w:firstLine="709"/>
        <w:jc w:val="both"/>
        <w:rPr>
          <w:rFonts w:ascii="Times New Roman" w:hAnsi="Times New Roman" w:cs="Times New Roman"/>
          <w:color w:val="auto"/>
          <w:sz w:val="28"/>
          <w:szCs w:val="28"/>
        </w:rPr>
      </w:pPr>
      <w:r>
        <w:rPr>
          <w:rFonts w:ascii="Times New Roman" w:hAnsi="Times New Roman" w:cs="Times New Roman"/>
          <w:i/>
          <w:color w:val="auto"/>
          <w:sz w:val="28"/>
          <w:szCs w:val="28"/>
        </w:rPr>
        <w:t>Актуальність теми.</w:t>
      </w:r>
      <w:r>
        <w:rPr>
          <w:rFonts w:ascii="Times New Roman" w:hAnsi="Times New Roman" w:cs="Times New Roman"/>
          <w:color w:val="auto"/>
          <w:sz w:val="28"/>
          <w:szCs w:val="28"/>
        </w:rPr>
        <w:t xml:space="preserve"> </w:t>
      </w:r>
    </w:p>
    <w:p w14:paraId="321FFC8B" w14:textId="77777777" w:rsidR="003C626E" w:rsidRDefault="001A5B20">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Сьогодні національна система охорони здоров’я перебуває в стадії глибокої трансформації, яка спрямована на підвищення прозорості,  ефективності та пацієнтоорієнтованості медичної допомоги. Одним із основних напрямів цих змін є удосконалення системи контролю якості медичних послуг, адже саме якість медичної допомоги безпосередньо впливає як на результати лікування, так і на рівень довіри пацієнтів до медичних закладів та на загальний стан громадського здоров’я.</w:t>
      </w:r>
    </w:p>
    <w:p w14:paraId="321FFC8C" w14:textId="77777777" w:rsidR="003C626E" w:rsidRDefault="001A5B20">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Особливого значення проблема забезпечення належної якості медичних послуг набуває в умовах обмежених фінансових ресурсів, суттєвого зростання навантаження на медичні заклади, дефіциту кваліфікованих кадрів та необхідності дотримання міжнародних стандартів акредитації. Система контролю якості, що наразі застосовується, часто має фрагментарний характер та переважно орієнтується на формальні показники, що значно знижує її ефективність і не завжди дозволяє своєчасно виявляти відхилення у процесах надання медичної допомоги.</w:t>
      </w:r>
    </w:p>
    <w:p w14:paraId="321FFC8D" w14:textId="77777777" w:rsidR="003C626E" w:rsidRDefault="001A5B20">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Удосконалення організації контролю якості представляє собою впровадження прогресивних методів моніторингу, аудиту та оцінювання результатів медичної діяльності, розробку єдиних критеріїв і стандартів, підвищення відповідальності персоналу та використання цифрових технологій для автоматизації процесів. Це дозволить забезпечити правильність та прозорість управлінських рішень, суттєво скоротити кількість помилок, значно підвищити ефективність використання наявних ресурсів і забезпечити підвищення рівня задоволеності пацієнтів.</w:t>
      </w:r>
    </w:p>
    <w:p w14:paraId="321FFC8E" w14:textId="77777777" w:rsidR="003C626E" w:rsidRDefault="001A5B20">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Особливої актуальності обрана тема набуває у контексті децентралізації системи охорони здоров’я, що передбачає впровадження механізмів фінансування за принципом «гроші йдуть за пацієнтом». За таких умов конкурентоспроможність медичного закладу визначається не тільки обсягами </w:t>
      </w:r>
      <w:r>
        <w:rPr>
          <w:rFonts w:ascii="Times New Roman" w:hAnsi="Times New Roman" w:cs="Times New Roman"/>
          <w:color w:val="auto"/>
          <w:sz w:val="28"/>
          <w:szCs w:val="28"/>
        </w:rPr>
        <w:lastRenderedPageBreak/>
        <w:t>наданих медичних послуг, а й надійною якістю медичної допомоги, що гарантована ефективно організованою системою контролю.</w:t>
      </w:r>
    </w:p>
    <w:p w14:paraId="321FFC8F" w14:textId="77777777" w:rsidR="003C626E" w:rsidRDefault="001A5B20">
      <w:pPr>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rPr>
        <w:t>Отже, удосконалення організації контролю якості надання медичних послуг є невід’ємною  складовою підвищення ефективності функціонування медичних закладів, оптимізації використання власних та залучених ресурсів, суттєвого підвищення рівня довіри населення до системи охорони здоров’я та інтеграції України у європейський простір якості медичної допомоги.</w:t>
      </w:r>
    </w:p>
    <w:p w14:paraId="321FFC90" w14:textId="77777777" w:rsidR="003C626E" w:rsidRDefault="001A5B20">
      <w:pPr>
        <w:spacing w:line="360" w:lineRule="auto"/>
        <w:ind w:firstLine="709"/>
        <w:jc w:val="both"/>
        <w:rPr>
          <w:rFonts w:ascii="Times New Roman" w:hAnsi="Times New Roman" w:cs="Times New Roman"/>
          <w:color w:val="auto"/>
          <w:sz w:val="28"/>
          <w:szCs w:val="28"/>
        </w:rPr>
      </w:pPr>
      <w:r>
        <w:rPr>
          <w:rFonts w:ascii="Times New Roman" w:hAnsi="Times New Roman" w:cs="Times New Roman"/>
          <w:i/>
          <w:color w:val="auto"/>
          <w:sz w:val="28"/>
          <w:szCs w:val="28"/>
        </w:rPr>
        <w:t>Мета і завдання дослідження</w:t>
      </w:r>
      <w:r>
        <w:rPr>
          <w:rFonts w:ascii="Times New Roman" w:hAnsi="Times New Roman" w:cs="Times New Roman"/>
          <w:color w:val="auto"/>
          <w:sz w:val="28"/>
          <w:szCs w:val="28"/>
        </w:rPr>
        <w:t xml:space="preserve">. </w:t>
      </w:r>
    </w:p>
    <w:p w14:paraId="321FFC91" w14:textId="77777777" w:rsidR="003C626E" w:rsidRDefault="001A5B20">
      <w:pPr>
        <w:spacing w:line="360" w:lineRule="auto"/>
        <w:ind w:firstLine="708"/>
        <w:jc w:val="both"/>
        <w:rPr>
          <w:rFonts w:ascii="Times New Roman" w:hAnsi="Times New Roman" w:cs="Times New Roman"/>
          <w:color w:val="auto"/>
          <w:sz w:val="28"/>
          <w:szCs w:val="28"/>
        </w:rPr>
      </w:pPr>
      <w:r>
        <w:rPr>
          <w:rFonts w:ascii="Times New Roman" w:hAnsi="Times New Roman" w:cs="Times New Roman"/>
          <w:i/>
          <w:color w:val="auto"/>
          <w:sz w:val="28"/>
          <w:szCs w:val="28"/>
        </w:rPr>
        <w:t xml:space="preserve">Метою дослідження </w:t>
      </w:r>
      <w:r>
        <w:rPr>
          <w:rFonts w:ascii="Times New Roman" w:hAnsi="Times New Roman" w:cs="Times New Roman"/>
          <w:color w:val="auto"/>
          <w:sz w:val="28"/>
          <w:szCs w:val="28"/>
        </w:rPr>
        <w:t>є розроблення теоретико-методичних підходів і практичних рішень, спрямованих на вдосконалення системи організації контролю якості медичних послуг у сучасних умовах функціонування закладів охорони здоров’я.</w:t>
      </w:r>
    </w:p>
    <w:p w14:paraId="321FFC92" w14:textId="77777777" w:rsidR="003C626E" w:rsidRDefault="001A5B20">
      <w:pPr>
        <w:spacing w:line="360" w:lineRule="auto"/>
        <w:ind w:firstLine="709"/>
        <w:jc w:val="both"/>
        <w:rPr>
          <w:rFonts w:ascii="Times New Roman" w:hAnsi="Times New Roman" w:cs="Times New Roman"/>
          <w:bCs/>
          <w:i/>
          <w:color w:val="auto"/>
          <w:sz w:val="28"/>
          <w:szCs w:val="28"/>
        </w:rPr>
      </w:pPr>
      <w:r>
        <w:rPr>
          <w:rFonts w:ascii="Times New Roman" w:hAnsi="Times New Roman" w:cs="Times New Roman"/>
          <w:bCs/>
          <w:color w:val="auto"/>
          <w:sz w:val="28"/>
          <w:szCs w:val="28"/>
        </w:rPr>
        <w:t>Згідно з поставленою метою, визначено наступні</w:t>
      </w:r>
      <w:r>
        <w:rPr>
          <w:rFonts w:ascii="Times New Roman" w:hAnsi="Times New Roman" w:cs="Times New Roman"/>
          <w:bCs/>
          <w:i/>
          <w:color w:val="auto"/>
          <w:sz w:val="28"/>
          <w:szCs w:val="28"/>
        </w:rPr>
        <w:t xml:space="preserve"> завдання дослідження:</w:t>
      </w:r>
    </w:p>
    <w:p w14:paraId="321FFC93" w14:textId="77777777" w:rsidR="003C626E" w:rsidRDefault="001A5B20">
      <w:pPr>
        <w:pStyle w:val="aff2"/>
        <w:tabs>
          <w:tab w:val="left" w:pos="1276"/>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розглянути управління якістю медичної допомоги як пріоритетний вектор модернізації системи охорони здоров’я;</w:t>
      </w:r>
    </w:p>
    <w:p w14:paraId="321FFC94" w14:textId="77777777" w:rsidR="003C626E" w:rsidRDefault="001A5B20">
      <w:pPr>
        <w:pStyle w:val="aff2"/>
        <w:tabs>
          <w:tab w:val="left" w:pos="1276"/>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охарактеризувати контроль якості медичної допомоги та підкреслити особливості його здійснення на різних рівнях;</w:t>
      </w:r>
    </w:p>
    <w:p w14:paraId="321FFC95" w14:textId="77777777" w:rsidR="003C626E" w:rsidRDefault="001A5B20">
      <w:pPr>
        <w:pStyle w:val="aff2"/>
        <w:tabs>
          <w:tab w:val="left" w:pos="1276"/>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навести характеристику внутрішніх аудитів в медичному закладі як складової внутрішнього контролю якості та безпеки медичної допомоги;</w:t>
      </w:r>
    </w:p>
    <w:p w14:paraId="321FFC96" w14:textId="77777777" w:rsidR="003C626E" w:rsidRDefault="001A5B20">
      <w:pPr>
        <w:pStyle w:val="aff2"/>
        <w:tabs>
          <w:tab w:val="left" w:pos="1276"/>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навести загальну характеристику Комунального некомерційного підприємства «Міська клінічна лікарня № 11» Одеської міської ради</w:t>
      </w:r>
      <w:r>
        <w:t xml:space="preserve"> </w:t>
      </w:r>
      <w:r>
        <w:rPr>
          <w:rFonts w:ascii="Times New Roman" w:hAnsi="Times New Roman" w:cs="Times New Roman"/>
          <w:sz w:val="28"/>
          <w:szCs w:val="28"/>
        </w:rPr>
        <w:t>та основних напрямів його діяльності;</w:t>
      </w:r>
    </w:p>
    <w:p w14:paraId="321FFC97" w14:textId="77777777" w:rsidR="003C626E" w:rsidRDefault="001A5B20">
      <w:pPr>
        <w:pStyle w:val="aff2"/>
        <w:tabs>
          <w:tab w:val="left" w:pos="1276"/>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провести аналіз та оцінку фінансового стану та ефективності управління КНП «Міська клінічна лікарня № 11» ОМР;</w:t>
      </w:r>
    </w:p>
    <w:p w14:paraId="321FFC98" w14:textId="77777777" w:rsidR="003C626E" w:rsidRDefault="001A5B20">
      <w:pPr>
        <w:pStyle w:val="aff2"/>
        <w:tabs>
          <w:tab w:val="left" w:pos="1276"/>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здійснити оцінку існуючої системи контролю якості медичних послуг у КНП «Міська клінічна лікарня №11» ОМР;</w:t>
      </w:r>
    </w:p>
    <w:p w14:paraId="321FFC99" w14:textId="77777777" w:rsidR="003C626E" w:rsidRDefault="001A5B20">
      <w:pPr>
        <w:pStyle w:val="aff2"/>
        <w:tabs>
          <w:tab w:val="left" w:pos="1276"/>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розробити напрями оптимізації процесів моніторингу та внутрішнього аудиту медичних послуг у КНП «Міська клінічна лікарня № 11» Одеської міської ради;</w:t>
      </w:r>
    </w:p>
    <w:p w14:paraId="321FFC9B" w14:textId="147B8224" w:rsidR="003C626E" w:rsidRDefault="001A5B20">
      <w:pPr>
        <w:pStyle w:val="aff2"/>
        <w:tabs>
          <w:tab w:val="left" w:pos="1276"/>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розрахувати очікувані результати та ефекти від реалізації </w:t>
      </w:r>
      <w:r>
        <w:rPr>
          <w:rFonts w:ascii="Times New Roman" w:hAnsi="Times New Roman" w:cs="Times New Roman"/>
          <w:sz w:val="28"/>
          <w:szCs w:val="28"/>
        </w:rPr>
        <w:lastRenderedPageBreak/>
        <w:t>запропонованих заходів у КНП «МКЛ №11» Одеської міської ради</w:t>
      </w:r>
      <w:r>
        <w:rPr>
          <w:rFonts w:ascii="Times New Roman" w:eastAsia="Times New Roman" w:hAnsi="Times New Roman" w:cs="Times New Roman"/>
          <w:color w:val="auto"/>
          <w:sz w:val="28"/>
          <w:szCs w:val="28"/>
          <w:lang w:eastAsia="en-US" w:bidi="ar-SA"/>
        </w:rPr>
        <w:t>.</w:t>
      </w:r>
    </w:p>
    <w:p w14:paraId="321FFC9C" w14:textId="77777777" w:rsidR="003C626E" w:rsidRDefault="001A5B20">
      <w:pPr>
        <w:spacing w:line="360" w:lineRule="auto"/>
        <w:ind w:firstLine="709"/>
        <w:jc w:val="both"/>
        <w:rPr>
          <w:rFonts w:ascii="Times New Roman" w:hAnsi="Times New Roman" w:cs="Times New Roman"/>
          <w:color w:val="auto"/>
          <w:sz w:val="28"/>
          <w:szCs w:val="28"/>
        </w:rPr>
      </w:pPr>
      <w:r>
        <w:rPr>
          <w:rFonts w:ascii="Times New Roman" w:hAnsi="Times New Roman" w:cs="Times New Roman"/>
          <w:i/>
          <w:color w:val="auto"/>
          <w:sz w:val="28"/>
          <w:szCs w:val="28"/>
        </w:rPr>
        <w:t xml:space="preserve">Об’єкт дослідження </w:t>
      </w:r>
      <w:r>
        <w:rPr>
          <w:rFonts w:ascii="Times New Roman" w:hAnsi="Times New Roman" w:cs="Times New Roman"/>
          <w:color w:val="auto"/>
          <w:sz w:val="28"/>
          <w:szCs w:val="28"/>
        </w:rPr>
        <w:t>– сучасна система контролю якості надання медичних послуг на прикладі роботи КНП «МКЛ №11» Одеської міської ради.</w:t>
      </w:r>
    </w:p>
    <w:p w14:paraId="321FFC9D" w14:textId="77777777" w:rsidR="003C626E" w:rsidRDefault="001A5B20">
      <w:pPr>
        <w:spacing w:line="360" w:lineRule="auto"/>
        <w:ind w:firstLine="709"/>
        <w:jc w:val="both"/>
        <w:rPr>
          <w:rFonts w:ascii="Times New Roman" w:hAnsi="Times New Roman" w:cs="Times New Roman"/>
          <w:color w:val="auto"/>
          <w:sz w:val="28"/>
          <w:szCs w:val="28"/>
        </w:rPr>
      </w:pPr>
      <w:r>
        <w:rPr>
          <w:rFonts w:ascii="Times New Roman" w:hAnsi="Times New Roman" w:cs="Times New Roman"/>
          <w:i/>
          <w:color w:val="auto"/>
          <w:sz w:val="28"/>
          <w:szCs w:val="28"/>
        </w:rPr>
        <w:t>Предмет дослідження</w:t>
      </w:r>
      <w:r>
        <w:rPr>
          <w:rFonts w:ascii="Times New Roman" w:hAnsi="Times New Roman" w:cs="Times New Roman"/>
          <w:color w:val="auto"/>
          <w:sz w:val="28"/>
          <w:szCs w:val="28"/>
        </w:rPr>
        <w:t xml:space="preserve"> – сукупність теоретичних та практичних аспектів щодо покращення та вдосконалення контролю якості надання медичних послуг на прикладі Комунального некомерційного підприємства «Міська клінічна лікарня № 11» Одеської міської ради.</w:t>
      </w:r>
    </w:p>
    <w:p w14:paraId="321FFC9E" w14:textId="77777777" w:rsidR="003C626E" w:rsidRDefault="001A5B20">
      <w:pPr>
        <w:spacing w:line="360" w:lineRule="auto"/>
        <w:ind w:firstLine="709"/>
        <w:jc w:val="both"/>
        <w:rPr>
          <w:rFonts w:ascii="Times New Roman" w:hAnsi="Times New Roman" w:cs="Times New Roman"/>
          <w:i/>
          <w:color w:val="auto"/>
          <w:sz w:val="28"/>
          <w:szCs w:val="28"/>
        </w:rPr>
      </w:pPr>
      <w:r>
        <w:rPr>
          <w:rFonts w:ascii="Times New Roman" w:hAnsi="Times New Roman" w:cs="Times New Roman"/>
          <w:i/>
          <w:color w:val="auto"/>
          <w:sz w:val="28"/>
          <w:szCs w:val="28"/>
        </w:rPr>
        <w:t>Методи дослідження.</w:t>
      </w:r>
    </w:p>
    <w:p w14:paraId="321FFC9F" w14:textId="77777777" w:rsidR="003C626E" w:rsidRDefault="001A5B20">
      <w:pPr>
        <w:tabs>
          <w:tab w:val="left" w:pos="993"/>
        </w:tabs>
        <w:spacing w:line="360" w:lineRule="auto"/>
        <w:ind w:firstLine="709"/>
        <w:jc w:val="both"/>
        <w:rPr>
          <w:rFonts w:ascii="Times New Roman" w:eastAsia="TimesNewRomanPSMT" w:hAnsi="Times New Roman" w:cs="Times New Roman"/>
          <w:color w:val="auto"/>
          <w:sz w:val="28"/>
          <w:szCs w:val="28"/>
        </w:rPr>
      </w:pPr>
      <w:r>
        <w:rPr>
          <w:rFonts w:ascii="Times New Roman" w:hAnsi="Times New Roman" w:cs="Times New Roman"/>
          <w:bCs/>
          <w:color w:val="auto"/>
          <w:sz w:val="28"/>
          <w:szCs w:val="28"/>
        </w:rPr>
        <w:t xml:space="preserve">При написанні випускної кваліфікаційної роботи використовувались </w:t>
      </w:r>
      <w:r>
        <w:rPr>
          <w:rFonts w:ascii="Times New Roman" w:eastAsia="TimesNewRomanPSMT" w:hAnsi="Times New Roman" w:cs="Times New Roman"/>
          <w:color w:val="auto"/>
          <w:sz w:val="28"/>
          <w:szCs w:val="28"/>
        </w:rPr>
        <w:t xml:space="preserve">наступні методи дослідження: </w:t>
      </w:r>
    </w:p>
    <w:p w14:paraId="321FFCA0" w14:textId="77777777" w:rsidR="003C626E" w:rsidRDefault="001A5B20">
      <w:pPr>
        <w:pStyle w:val="aff2"/>
        <w:numPr>
          <w:ilvl w:val="0"/>
          <w:numId w:val="15"/>
        </w:numPr>
        <w:tabs>
          <w:tab w:val="left" w:pos="993"/>
        </w:tabs>
        <w:spacing w:line="360" w:lineRule="auto"/>
        <w:ind w:left="0" w:firstLine="709"/>
        <w:jc w:val="both"/>
        <w:rPr>
          <w:rFonts w:ascii="Times New Roman" w:eastAsia="TimesNewRomanPSMT" w:hAnsi="Times New Roman" w:cs="Times New Roman"/>
          <w:color w:val="auto"/>
          <w:sz w:val="28"/>
          <w:szCs w:val="28"/>
        </w:rPr>
      </w:pPr>
      <w:r>
        <w:rPr>
          <w:rFonts w:ascii="Times New Roman" w:eastAsia="TimesNewRomanPSMT" w:hAnsi="Times New Roman" w:cs="Times New Roman"/>
          <w:color w:val="auto"/>
          <w:sz w:val="28"/>
          <w:szCs w:val="28"/>
        </w:rPr>
        <w:t>загальнонаукові: аналіз (для вивчення складових системи управління якістю, виявлення проблем і факторів, що впливають на ефективність контролю), синтез (для узагальнення результатів аналізу та формування цілісного уявлення про систему контролю якості), індукція (для узагальнення на основі окремих спостережень чи фактів з діяльності медичного закладу), дедукція (для перевірки гіпотез, сформульованих на основі загальних закономірностей функціонування системи охорони здоров’я), системний аналіз (для розгляду системи контролю якості як комплексу взаємопов’язаних елементів);</w:t>
      </w:r>
    </w:p>
    <w:p w14:paraId="321FFCA1" w14:textId="77777777" w:rsidR="003C626E" w:rsidRDefault="001A5B20">
      <w:pPr>
        <w:pStyle w:val="aff2"/>
        <w:numPr>
          <w:ilvl w:val="0"/>
          <w:numId w:val="15"/>
        </w:numPr>
        <w:tabs>
          <w:tab w:val="left" w:pos="993"/>
        </w:tabs>
        <w:spacing w:line="360" w:lineRule="auto"/>
        <w:ind w:left="0" w:firstLine="709"/>
        <w:jc w:val="both"/>
        <w:rPr>
          <w:rFonts w:ascii="Times New Roman" w:eastAsia="TimesNewRomanPSMT" w:hAnsi="Times New Roman" w:cs="Times New Roman"/>
          <w:color w:val="auto"/>
          <w:sz w:val="28"/>
          <w:szCs w:val="28"/>
        </w:rPr>
      </w:pPr>
      <w:r>
        <w:rPr>
          <w:rFonts w:ascii="Times New Roman" w:eastAsia="TimesNewRomanPSMT" w:hAnsi="Times New Roman" w:cs="Times New Roman"/>
          <w:color w:val="auto"/>
          <w:sz w:val="28"/>
          <w:szCs w:val="28"/>
        </w:rPr>
        <w:t>спеціальні: статистичний аналіз (для обробки показників діяльності медичного закладу, фінансових результатів тощо), SWOT-аналіз (для оцінки сильних і слабких сторін, можливостей та загроз системи управління якістю, моніторинг( для відстеження динаміки показників якості медичної допомоги та результатів внутрішнього аудиту, метод економіко-математичного моделювання (для прогнозування результатів впровадження нових управлінських рішень).</w:t>
      </w:r>
    </w:p>
    <w:p w14:paraId="321FFCA2" w14:textId="54BBACF0" w:rsidR="003C626E" w:rsidRDefault="003C626E">
      <w:pPr>
        <w:spacing w:line="360" w:lineRule="auto"/>
        <w:ind w:firstLine="709"/>
        <w:jc w:val="both"/>
        <w:rPr>
          <w:rFonts w:ascii="Times New Roman" w:hAnsi="Times New Roman" w:cs="Times New Roman"/>
          <w:color w:val="auto"/>
          <w:sz w:val="28"/>
          <w:szCs w:val="28"/>
        </w:rPr>
      </w:pPr>
    </w:p>
    <w:p w14:paraId="3EE65126" w14:textId="30253C6B" w:rsidR="001365B6" w:rsidRDefault="001365B6">
      <w:pPr>
        <w:spacing w:line="360" w:lineRule="auto"/>
        <w:ind w:firstLine="709"/>
        <w:jc w:val="both"/>
        <w:rPr>
          <w:rFonts w:ascii="Times New Roman" w:hAnsi="Times New Roman" w:cs="Times New Roman"/>
          <w:color w:val="auto"/>
          <w:sz w:val="28"/>
          <w:szCs w:val="28"/>
        </w:rPr>
      </w:pPr>
    </w:p>
    <w:p w14:paraId="1F8B95FD" w14:textId="17DDEA0A" w:rsidR="001365B6" w:rsidRDefault="001365B6">
      <w:pPr>
        <w:spacing w:line="360" w:lineRule="auto"/>
        <w:ind w:firstLine="709"/>
        <w:jc w:val="both"/>
        <w:rPr>
          <w:rFonts w:ascii="Times New Roman" w:hAnsi="Times New Roman" w:cs="Times New Roman"/>
          <w:color w:val="auto"/>
          <w:sz w:val="28"/>
          <w:szCs w:val="28"/>
        </w:rPr>
      </w:pPr>
    </w:p>
    <w:p w14:paraId="3768431F" w14:textId="77777777" w:rsidR="001365B6" w:rsidRDefault="001365B6">
      <w:pPr>
        <w:spacing w:line="360" w:lineRule="auto"/>
        <w:ind w:firstLine="709"/>
        <w:jc w:val="both"/>
        <w:rPr>
          <w:rFonts w:ascii="Times New Roman" w:hAnsi="Times New Roman" w:cs="Times New Roman"/>
          <w:color w:val="auto"/>
          <w:sz w:val="28"/>
          <w:szCs w:val="28"/>
        </w:rPr>
      </w:pPr>
    </w:p>
    <w:p w14:paraId="321FFCA3" w14:textId="77777777" w:rsidR="003C626E" w:rsidRDefault="001A5B20">
      <w:pPr>
        <w:shd w:val="clear" w:color="auto" w:fill="FFFFFF"/>
        <w:spacing w:line="360" w:lineRule="auto"/>
        <w:ind w:right="45" w:firstLine="709"/>
        <w:jc w:val="both"/>
        <w:rPr>
          <w:rFonts w:ascii="Times New Roman" w:eastAsia="TimesNewRomanPSMT" w:hAnsi="Times New Roman" w:cs="Times New Roman"/>
          <w:i/>
          <w:color w:val="auto"/>
          <w:sz w:val="28"/>
          <w:szCs w:val="28"/>
        </w:rPr>
      </w:pPr>
      <w:r>
        <w:rPr>
          <w:rFonts w:ascii="Times New Roman" w:eastAsia="TimesNewRomanPSMT" w:hAnsi="Times New Roman" w:cs="Times New Roman"/>
          <w:i/>
          <w:color w:val="auto"/>
          <w:sz w:val="28"/>
          <w:szCs w:val="28"/>
        </w:rPr>
        <w:lastRenderedPageBreak/>
        <w:t>Інформаційна база.</w:t>
      </w:r>
    </w:p>
    <w:p w14:paraId="321FFCA4" w14:textId="77777777" w:rsidR="003C626E" w:rsidRDefault="001A5B20">
      <w:pPr>
        <w:shd w:val="clear" w:color="auto" w:fill="FFFFFF"/>
        <w:spacing w:line="360" w:lineRule="auto"/>
        <w:ind w:right="45" w:firstLine="709"/>
        <w:jc w:val="both"/>
        <w:rPr>
          <w:rFonts w:ascii="Times New Roman" w:eastAsia="TimesNewRomanPSMT" w:hAnsi="Times New Roman" w:cs="Times New Roman"/>
          <w:color w:val="auto"/>
          <w:sz w:val="28"/>
          <w:szCs w:val="28"/>
        </w:rPr>
      </w:pPr>
      <w:r>
        <w:rPr>
          <w:rFonts w:ascii="Times New Roman" w:eastAsia="TimesNewRomanPSMT" w:hAnsi="Times New Roman" w:cs="Times New Roman"/>
          <w:color w:val="auto"/>
          <w:sz w:val="28"/>
          <w:szCs w:val="28"/>
        </w:rPr>
        <w:t xml:space="preserve">Емпіричну базу та фактологічне підґрунтя дослідження сформували наукові праці вітчизняних і зарубіжних учених, а також офіційні нормативно-правові документи, ухвалені Кабінетом Міністрів України та Міністерством охорони здоров’я України. Інформаційною основою слугували статистичні дані Державної служби статистики України, Головного управління статистики в Одеській області, ДЗ «Центр медичної статистики МОЗ України» і матеріали Всесвітньої організації охорони здоров’я. Додатково використано аналітичні звіти та офіційні документи Одеської обласної державної адміністрації, Одеської міської ради, а також внутрішню документацію Комунального некомерційного підприємства «Міська клінічна лікарня № 11» Одеської міської ради. </w:t>
      </w:r>
    </w:p>
    <w:p w14:paraId="321FFCA5" w14:textId="77777777" w:rsidR="003C626E" w:rsidRDefault="001A5B20">
      <w:pPr>
        <w:shd w:val="clear" w:color="auto" w:fill="FFFFFF"/>
        <w:spacing w:line="360" w:lineRule="auto"/>
        <w:ind w:right="45" w:firstLine="709"/>
        <w:jc w:val="both"/>
        <w:rPr>
          <w:rFonts w:ascii="Times New Roman" w:hAnsi="Times New Roman" w:cs="Times New Roman"/>
          <w:color w:val="auto"/>
          <w:sz w:val="28"/>
          <w:szCs w:val="28"/>
        </w:rPr>
      </w:pPr>
      <w:r>
        <w:rPr>
          <w:rFonts w:ascii="Times New Roman" w:hAnsi="Times New Roman" w:cs="Times New Roman"/>
          <w:i/>
          <w:color w:val="auto"/>
          <w:sz w:val="28"/>
          <w:szCs w:val="28"/>
        </w:rPr>
        <w:t>Теоретичне та практичне значення отриманих результатів</w:t>
      </w:r>
      <w:r>
        <w:rPr>
          <w:rFonts w:ascii="Times New Roman" w:hAnsi="Times New Roman" w:cs="Times New Roman"/>
          <w:color w:val="auto"/>
          <w:sz w:val="28"/>
          <w:szCs w:val="28"/>
        </w:rPr>
        <w:t xml:space="preserve">. </w:t>
      </w:r>
    </w:p>
    <w:p w14:paraId="321FFCA6" w14:textId="77777777" w:rsidR="003C626E" w:rsidRDefault="001A5B20">
      <w:pPr>
        <w:tabs>
          <w:tab w:val="left" w:pos="993"/>
        </w:tabs>
        <w:spacing w:line="360" w:lineRule="auto"/>
        <w:ind w:firstLine="708"/>
        <w:jc w:val="both"/>
        <w:rPr>
          <w:rStyle w:val="fontstyle11"/>
          <w:rFonts w:ascii="Times New Roman" w:hAnsi="Times New Roman" w:cs="Times New Roman"/>
          <w:color w:val="auto"/>
          <w:sz w:val="28"/>
          <w:szCs w:val="28"/>
        </w:rPr>
      </w:pPr>
      <w:r>
        <w:rPr>
          <w:rStyle w:val="fontstyle11"/>
          <w:rFonts w:ascii="Times New Roman" w:hAnsi="Times New Roman" w:cs="Times New Roman"/>
          <w:color w:val="auto"/>
          <w:sz w:val="28"/>
          <w:szCs w:val="28"/>
        </w:rPr>
        <w:t>Дослідження якості надання медичної допомоги показало, що ефективність діяльності закладу охорони здоров’я безпосередньо залежить від рівня організації внутрішнього контролю, професійної компетентності персоналу, раціонального використання ресурсів і впровадження сучасних інформаційно-аналітичних систем. Аналіз функціонування КНП «Міська клінічна лікарня № 11» ОМР свідчить, що заклад має розвинену систему управління якістю, однак існує потреба у її подальшому вдосконаленні з урахуванням сучасних вимог до медичного менеджменту та цифрової трансформації галузі.</w:t>
      </w:r>
    </w:p>
    <w:p w14:paraId="321FFCA7" w14:textId="77777777" w:rsidR="003C626E" w:rsidRDefault="001A5B20">
      <w:pPr>
        <w:tabs>
          <w:tab w:val="left" w:pos="993"/>
        </w:tabs>
        <w:spacing w:line="360" w:lineRule="auto"/>
        <w:ind w:firstLine="708"/>
        <w:jc w:val="both"/>
        <w:rPr>
          <w:rStyle w:val="fontstyle11"/>
          <w:rFonts w:ascii="Times New Roman" w:hAnsi="Times New Roman" w:cs="Times New Roman"/>
          <w:color w:val="auto"/>
          <w:sz w:val="28"/>
          <w:szCs w:val="28"/>
        </w:rPr>
      </w:pPr>
      <w:r>
        <w:rPr>
          <w:rStyle w:val="fontstyle11"/>
          <w:rFonts w:ascii="Times New Roman" w:hAnsi="Times New Roman" w:cs="Times New Roman"/>
          <w:color w:val="auto"/>
          <w:sz w:val="28"/>
          <w:szCs w:val="28"/>
        </w:rPr>
        <w:t xml:space="preserve">Виявлено, що якість медичної допомоги формується під впливом як внутрішніх, так і зовнішніх чинників. До внутрішніх належать рівень кваліфікації медичного персоналу, забезпеченість лікарні матеріально-технічними ресурсами, дотримання клінічних протоколів та стандартів лікування, організація внутрішнього моніторингу і зворотного зв’язку з пацієнтами. Зовнішні чинники включають фінансово-економічну політику держави у сфері охорони здоров’я, вимоги Національної служби здоров’я України (НСЗУ), нормативно-правове забезпечення та державний контроль </w:t>
      </w:r>
      <w:r>
        <w:rPr>
          <w:rStyle w:val="fontstyle11"/>
          <w:rFonts w:ascii="Times New Roman" w:hAnsi="Times New Roman" w:cs="Times New Roman"/>
          <w:color w:val="auto"/>
          <w:sz w:val="28"/>
          <w:szCs w:val="28"/>
        </w:rPr>
        <w:lastRenderedPageBreak/>
        <w:t>якості медичних послуг.</w:t>
      </w:r>
    </w:p>
    <w:p w14:paraId="321FFCA8" w14:textId="77777777" w:rsidR="003C626E" w:rsidRDefault="001A5B20">
      <w:pPr>
        <w:tabs>
          <w:tab w:val="left" w:pos="993"/>
        </w:tabs>
        <w:spacing w:line="360" w:lineRule="auto"/>
        <w:ind w:firstLine="708"/>
        <w:jc w:val="both"/>
        <w:rPr>
          <w:rStyle w:val="fontstyle11"/>
          <w:rFonts w:ascii="Times New Roman" w:hAnsi="Times New Roman" w:cs="Times New Roman"/>
          <w:color w:val="auto"/>
          <w:sz w:val="28"/>
          <w:szCs w:val="28"/>
        </w:rPr>
      </w:pPr>
      <w:r>
        <w:rPr>
          <w:rStyle w:val="fontstyle11"/>
          <w:rFonts w:ascii="Times New Roman" w:hAnsi="Times New Roman" w:cs="Times New Roman"/>
          <w:color w:val="auto"/>
          <w:sz w:val="28"/>
          <w:szCs w:val="28"/>
        </w:rPr>
        <w:t>Існуюча система контролю якості у КНП «МКЛ № 11» ОМР загалом функціонує ефективно, однак має низку недоліків, які стримують її потенціал. Серед основних проблем - недостатня автоматизація процесів збору та аналізу інформації, нерівномірне навантаження на персонал, обмежені можливості для внутрішнього аудиту, а також потреба у системній мотивації працівників до дотримання стандартів якості. Частина процедур контролю здійснюється вручну, що підвищує ризики помилок і затримок у прийнятті управлінських рішень.</w:t>
      </w:r>
    </w:p>
    <w:p w14:paraId="321FFCA9" w14:textId="77777777" w:rsidR="003C626E" w:rsidRDefault="001A5B20">
      <w:pPr>
        <w:tabs>
          <w:tab w:val="left" w:pos="993"/>
        </w:tabs>
        <w:spacing w:line="360" w:lineRule="auto"/>
        <w:ind w:firstLine="708"/>
        <w:jc w:val="both"/>
        <w:rPr>
          <w:rStyle w:val="fontstyle11"/>
          <w:rFonts w:ascii="Times New Roman" w:hAnsi="Times New Roman" w:cs="Times New Roman"/>
          <w:color w:val="auto"/>
          <w:sz w:val="28"/>
          <w:szCs w:val="28"/>
        </w:rPr>
      </w:pPr>
      <w:r>
        <w:rPr>
          <w:rStyle w:val="fontstyle11"/>
          <w:rFonts w:ascii="Times New Roman" w:hAnsi="Times New Roman" w:cs="Times New Roman"/>
          <w:color w:val="auto"/>
          <w:sz w:val="28"/>
          <w:szCs w:val="28"/>
        </w:rPr>
        <w:t>Проведений аналіз внутрішніх аудитів показав, що у закладі вже існують механізми моніторингу результатів лікування, дотримання клінічних стандартів, ведення медичної документації, проте вони потребують уніфікації та інтеграції в єдину цифрову платформу. Важливо, щоб система контролю якості не лише виявляла відхилення, а й сприяла профілактиці їх виникнення, забезпечувала аналітичний зворотний зв’язок для адміністрації та медичного персоналу.</w:t>
      </w:r>
    </w:p>
    <w:p w14:paraId="321FFCAA" w14:textId="77777777" w:rsidR="003C626E" w:rsidRDefault="001A5B20">
      <w:pPr>
        <w:tabs>
          <w:tab w:val="left" w:pos="993"/>
        </w:tabs>
        <w:spacing w:line="360" w:lineRule="auto"/>
        <w:ind w:firstLine="708"/>
        <w:jc w:val="both"/>
        <w:rPr>
          <w:rStyle w:val="fontstyle11"/>
          <w:rFonts w:ascii="Times New Roman" w:hAnsi="Times New Roman" w:cs="Times New Roman"/>
          <w:color w:val="auto"/>
          <w:sz w:val="28"/>
          <w:szCs w:val="28"/>
        </w:rPr>
      </w:pPr>
      <w:r>
        <w:rPr>
          <w:rStyle w:val="fontstyle11"/>
          <w:rFonts w:ascii="Times New Roman" w:hAnsi="Times New Roman" w:cs="Times New Roman"/>
          <w:color w:val="auto"/>
          <w:sz w:val="28"/>
          <w:szCs w:val="28"/>
        </w:rPr>
        <w:t xml:space="preserve">Таким чином, результати дослідження доводять, що підвищення якості медичної допомоги можливе за умови впровадження комплексної системи управління якістю, орієнтованої на доказову медицину, цифровізацію процесів, мотивацію працівників і підвищення прозорості управлінських рішень. Це дозволить не лише покращити результати лікування, а й підвищити довіру пацієнтів до системи охорони здоров’я загалом. </w:t>
      </w:r>
    </w:p>
    <w:p w14:paraId="321FFCAB" w14:textId="77777777" w:rsidR="003C626E" w:rsidRDefault="001A5B20">
      <w:pPr>
        <w:tabs>
          <w:tab w:val="left" w:pos="993"/>
        </w:tabs>
        <w:spacing w:line="360" w:lineRule="auto"/>
        <w:ind w:firstLine="708"/>
        <w:jc w:val="both"/>
        <w:rPr>
          <w:rFonts w:ascii="Times New Roman" w:hAnsi="Times New Roman" w:cs="Times New Roman"/>
          <w:color w:val="auto"/>
          <w:sz w:val="28"/>
          <w:szCs w:val="28"/>
          <w:shd w:val="clear" w:color="auto" w:fill="FFFFFF"/>
        </w:rPr>
      </w:pPr>
      <w:r>
        <w:rPr>
          <w:rFonts w:ascii="Times New Roman" w:hAnsi="Times New Roman" w:cs="Times New Roman"/>
          <w:color w:val="auto"/>
          <w:sz w:val="28"/>
          <w:szCs w:val="28"/>
        </w:rPr>
        <w:t>Запропоновано шляхи покращення і вдосконалення контролю якості надання медичних послуг</w:t>
      </w:r>
      <w:r>
        <w:rPr>
          <w:rFonts w:ascii="Times New Roman" w:hAnsi="Times New Roman" w:cs="Times New Roman"/>
          <w:sz w:val="28"/>
          <w:szCs w:val="28"/>
        </w:rPr>
        <w:t xml:space="preserve"> у </w:t>
      </w:r>
      <w:r>
        <w:rPr>
          <w:rFonts w:ascii="Times New Roman" w:hAnsi="Times New Roman" w:cs="Times New Roman"/>
          <w:color w:val="auto"/>
          <w:sz w:val="28"/>
          <w:szCs w:val="28"/>
        </w:rPr>
        <w:t>Комунальному некомерційному підприємстві «Міська клінічна лікарня № 11» Одеської міської ради</w:t>
      </w:r>
      <w:r>
        <w:rPr>
          <w:rFonts w:ascii="Times New Roman" w:hAnsi="Times New Roman" w:cs="Times New Roman"/>
          <w:color w:val="auto"/>
          <w:sz w:val="28"/>
          <w:szCs w:val="28"/>
          <w:shd w:val="clear" w:color="auto" w:fill="FFFFFF"/>
        </w:rPr>
        <w:t>:</w:t>
      </w:r>
    </w:p>
    <w:p w14:paraId="321FFCAC" w14:textId="77777777" w:rsidR="003C626E" w:rsidRDefault="001A5B20">
      <w:pPr>
        <w:pStyle w:val="aff2"/>
        <w:numPr>
          <w:ilvl w:val="0"/>
          <w:numId w:val="15"/>
        </w:numPr>
        <w:tabs>
          <w:tab w:val="left" w:pos="993"/>
        </w:tabs>
        <w:spacing w:line="360" w:lineRule="auto"/>
        <w:ind w:left="0"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цифровізація контролю якості, </w:t>
      </w:r>
    </w:p>
    <w:p w14:paraId="321FFCAD" w14:textId="77777777" w:rsidR="003C626E" w:rsidRDefault="001A5B20">
      <w:pPr>
        <w:pStyle w:val="aff2"/>
        <w:numPr>
          <w:ilvl w:val="0"/>
          <w:numId w:val="15"/>
        </w:numPr>
        <w:tabs>
          <w:tab w:val="left" w:pos="993"/>
        </w:tabs>
        <w:spacing w:line="360" w:lineRule="auto"/>
        <w:ind w:left="0"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підвищення мотивації персоналу, </w:t>
      </w:r>
    </w:p>
    <w:p w14:paraId="321FFCAE" w14:textId="77777777" w:rsidR="003C626E" w:rsidRDefault="001A5B20">
      <w:pPr>
        <w:pStyle w:val="aff2"/>
        <w:numPr>
          <w:ilvl w:val="0"/>
          <w:numId w:val="15"/>
        </w:numPr>
        <w:tabs>
          <w:tab w:val="left" w:pos="993"/>
        </w:tabs>
        <w:spacing w:line="360" w:lineRule="auto"/>
        <w:ind w:left="0"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оптимізація комунікацій, </w:t>
      </w:r>
    </w:p>
    <w:p w14:paraId="321FFCAF" w14:textId="77777777" w:rsidR="003C626E" w:rsidRDefault="001A5B20">
      <w:pPr>
        <w:pStyle w:val="aff2"/>
        <w:numPr>
          <w:ilvl w:val="0"/>
          <w:numId w:val="15"/>
        </w:numPr>
        <w:tabs>
          <w:tab w:val="left" w:pos="993"/>
        </w:tabs>
        <w:spacing w:line="360" w:lineRule="auto"/>
        <w:ind w:left="0"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використання методів доказової аналітики.</w:t>
      </w:r>
    </w:p>
    <w:p w14:paraId="321FFCB0" w14:textId="77777777" w:rsidR="003C626E" w:rsidRDefault="001A5B20">
      <w:pPr>
        <w:pStyle w:val="aff2"/>
        <w:numPr>
          <w:ilvl w:val="0"/>
          <w:numId w:val="15"/>
        </w:numPr>
        <w:tabs>
          <w:tab w:val="left" w:pos="993"/>
        </w:tabs>
        <w:spacing w:line="360" w:lineRule="auto"/>
        <w:ind w:left="0"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розробка та впровадження єдиної електронної системи моніторингу </w:t>
      </w:r>
      <w:r>
        <w:rPr>
          <w:rFonts w:ascii="Times New Roman" w:hAnsi="Times New Roman" w:cs="Times New Roman"/>
          <w:color w:val="auto"/>
          <w:sz w:val="28"/>
          <w:szCs w:val="28"/>
        </w:rPr>
        <w:lastRenderedPageBreak/>
        <w:t xml:space="preserve">якості, </w:t>
      </w:r>
    </w:p>
    <w:p w14:paraId="321FFCB1" w14:textId="77777777" w:rsidR="003C626E" w:rsidRDefault="001A5B20">
      <w:pPr>
        <w:pStyle w:val="aff2"/>
        <w:numPr>
          <w:ilvl w:val="0"/>
          <w:numId w:val="15"/>
        </w:numPr>
        <w:tabs>
          <w:tab w:val="left" w:pos="993"/>
        </w:tabs>
        <w:spacing w:line="360" w:lineRule="auto"/>
        <w:ind w:left="0"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проведення щоквартальних внутрішніх аудитів з участю мультидисциплінарних команд, </w:t>
      </w:r>
    </w:p>
    <w:p w14:paraId="321FFCB2" w14:textId="77777777" w:rsidR="003C626E" w:rsidRDefault="001A5B20">
      <w:pPr>
        <w:pStyle w:val="aff2"/>
        <w:numPr>
          <w:ilvl w:val="0"/>
          <w:numId w:val="15"/>
        </w:numPr>
        <w:tabs>
          <w:tab w:val="left" w:pos="993"/>
        </w:tabs>
        <w:spacing w:line="360" w:lineRule="auto"/>
        <w:ind w:left="0"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посилення аналітичної складової аудиту через використання BI-інструментів, </w:t>
      </w:r>
    </w:p>
    <w:p w14:paraId="321FFCB3" w14:textId="77777777" w:rsidR="003C626E" w:rsidRDefault="001A5B20">
      <w:pPr>
        <w:pStyle w:val="aff2"/>
        <w:numPr>
          <w:ilvl w:val="0"/>
          <w:numId w:val="15"/>
        </w:numPr>
        <w:tabs>
          <w:tab w:val="left" w:pos="993"/>
        </w:tabs>
        <w:spacing w:line="360" w:lineRule="auto"/>
        <w:ind w:left="0"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залучення персоналу до системи мотивації за показниками якості, налагодження співпраці з ОНМедУ для розвитку методологічної бази внутрішнього контролю.</w:t>
      </w:r>
    </w:p>
    <w:p w14:paraId="321FFCB4" w14:textId="77777777" w:rsidR="003C626E" w:rsidRDefault="001A5B20">
      <w:pPr>
        <w:pStyle w:val="aff2"/>
        <w:tabs>
          <w:tab w:val="left" w:pos="993"/>
        </w:tabs>
        <w:spacing w:line="360" w:lineRule="auto"/>
        <w:ind w:left="0" w:firstLine="708"/>
        <w:jc w:val="both"/>
        <w:rPr>
          <w:rFonts w:ascii="Times New Roman" w:hAnsi="Times New Roman" w:cs="Times New Roman"/>
          <w:color w:val="auto"/>
          <w:sz w:val="28"/>
          <w:szCs w:val="28"/>
        </w:rPr>
      </w:pPr>
      <w:r>
        <w:rPr>
          <w:rFonts w:ascii="Times New Roman" w:hAnsi="Times New Roman" w:cs="Times New Roman"/>
          <w:i/>
          <w:color w:val="auto"/>
          <w:sz w:val="28"/>
          <w:szCs w:val="28"/>
        </w:rPr>
        <w:t>Апробація результатів роботи.</w:t>
      </w:r>
    </w:p>
    <w:p w14:paraId="321FFCB5" w14:textId="77777777" w:rsidR="003C626E" w:rsidRDefault="001A5B20">
      <w:pPr>
        <w:tabs>
          <w:tab w:val="left" w:pos="993"/>
        </w:tabs>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Апробація результатів і висновків випускної кваліфікаційної роботи реалізована шляхом участі у ІІ Міжнародній науково-практичній конференції «Сучасні  напрями  змін  в управлінні охороною  здоров’я:  модернізація, якість, психологія та комунікація» з тезами на тему «Удосконалення організації контролю якості надання медичних послуг» 30 травня  2025  року. м. Одеса. ОНМедУ, 2025. С. 107-109. URL: </w:t>
      </w:r>
      <w:hyperlink r:id="rId11" w:tooltip="https://repo.odmu.edu.ua/xmlui/handle/123456789/18227" w:history="1">
        <w:r>
          <w:rPr>
            <w:rStyle w:val="aff6"/>
            <w:rFonts w:ascii="Times New Roman" w:hAnsi="Times New Roman" w:cs="Times New Roman"/>
            <w:color w:val="auto"/>
            <w:sz w:val="28"/>
            <w:szCs w:val="28"/>
            <w:u w:val="none"/>
          </w:rPr>
          <w:t>https://repo.odmu.edu.ua/xmlui/handle/123456789/18227</w:t>
        </w:r>
      </w:hyperlink>
      <w:r>
        <w:rPr>
          <w:rFonts w:ascii="Times New Roman" w:hAnsi="Times New Roman" w:cs="Times New Roman"/>
          <w:color w:val="auto"/>
          <w:sz w:val="28"/>
          <w:szCs w:val="28"/>
        </w:rPr>
        <w:t xml:space="preserve"> </w:t>
      </w:r>
    </w:p>
    <w:p w14:paraId="321FFCB6" w14:textId="77777777" w:rsidR="003C626E" w:rsidRDefault="001A5B20">
      <w:pPr>
        <w:tabs>
          <w:tab w:val="left" w:pos="993"/>
        </w:tabs>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Структура кваліфікаційної роботи. </w:t>
      </w:r>
    </w:p>
    <w:p w14:paraId="321FFCB7" w14:textId="77777777" w:rsidR="003C626E" w:rsidRDefault="001A5B20">
      <w:pPr>
        <w:tabs>
          <w:tab w:val="left" w:pos="993"/>
        </w:tabs>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Робота складається із вступу, трьох розділів, висновків, списку використаних джерел, додатків. </w:t>
      </w:r>
    </w:p>
    <w:p w14:paraId="321FFCB8" w14:textId="77777777" w:rsidR="003C626E" w:rsidRDefault="001A5B20">
      <w:pPr>
        <w:spacing w:line="360" w:lineRule="auto"/>
        <w:ind w:firstLine="708"/>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Загальний обсяг роботи складає </w:t>
      </w:r>
      <w:r>
        <w:rPr>
          <w:rFonts w:ascii="Times New Roman" w:hAnsi="Times New Roman" w:cs="Times New Roman"/>
          <w:color w:val="auto"/>
          <w:sz w:val="28"/>
          <w:szCs w:val="28"/>
          <w:lang w:val="ru-RU"/>
        </w:rPr>
        <w:t>99</w:t>
      </w:r>
      <w:r>
        <w:rPr>
          <w:rFonts w:ascii="Times New Roman" w:hAnsi="Times New Roman" w:cs="Times New Roman"/>
          <w:color w:val="auto"/>
          <w:sz w:val="28"/>
          <w:szCs w:val="28"/>
        </w:rPr>
        <w:t xml:space="preserve"> сторінок, список літератури містить </w:t>
      </w:r>
      <w:r>
        <w:rPr>
          <w:rFonts w:ascii="Times New Roman" w:hAnsi="Times New Roman" w:cs="Times New Roman"/>
          <w:color w:val="auto"/>
          <w:sz w:val="28"/>
          <w:szCs w:val="28"/>
          <w:lang w:val="ru-RU"/>
        </w:rPr>
        <w:t>51</w:t>
      </w:r>
      <w:r>
        <w:rPr>
          <w:rFonts w:ascii="Times New Roman" w:hAnsi="Times New Roman" w:cs="Times New Roman"/>
          <w:color w:val="auto"/>
          <w:sz w:val="28"/>
          <w:szCs w:val="28"/>
        </w:rPr>
        <w:t xml:space="preserve"> найменування. У роботі вміщено </w:t>
      </w:r>
      <w:r>
        <w:rPr>
          <w:rFonts w:ascii="Times New Roman" w:hAnsi="Times New Roman" w:cs="Times New Roman"/>
          <w:color w:val="auto"/>
          <w:sz w:val="28"/>
          <w:szCs w:val="28"/>
          <w:lang w:val="en-US"/>
        </w:rPr>
        <w:t>17</w:t>
      </w:r>
      <w:r>
        <w:rPr>
          <w:rFonts w:ascii="Times New Roman" w:hAnsi="Times New Roman" w:cs="Times New Roman"/>
          <w:color w:val="auto"/>
          <w:sz w:val="28"/>
          <w:szCs w:val="28"/>
        </w:rPr>
        <w:t xml:space="preserve"> таблиць, </w:t>
      </w:r>
      <w:r>
        <w:rPr>
          <w:rFonts w:ascii="Times New Roman" w:hAnsi="Times New Roman" w:cs="Times New Roman"/>
          <w:color w:val="auto"/>
          <w:sz w:val="28"/>
          <w:szCs w:val="28"/>
          <w:lang w:val="ru-RU"/>
        </w:rPr>
        <w:t>1</w:t>
      </w:r>
      <w:r>
        <w:rPr>
          <w:rFonts w:ascii="Times New Roman" w:hAnsi="Times New Roman" w:cs="Times New Roman"/>
          <w:color w:val="auto"/>
          <w:sz w:val="28"/>
          <w:szCs w:val="28"/>
          <w:lang w:val="en-US"/>
        </w:rPr>
        <w:t>2</w:t>
      </w:r>
      <w:r>
        <w:rPr>
          <w:rFonts w:ascii="Times New Roman" w:hAnsi="Times New Roman" w:cs="Times New Roman"/>
          <w:color w:val="auto"/>
          <w:sz w:val="28"/>
          <w:szCs w:val="28"/>
        </w:rPr>
        <w:t xml:space="preserve"> рисунків та 1 додаток.</w:t>
      </w:r>
    </w:p>
    <w:p w14:paraId="321FFCB9" w14:textId="77777777" w:rsidR="003C626E" w:rsidRDefault="003C626E">
      <w:pPr>
        <w:spacing w:line="360" w:lineRule="auto"/>
        <w:ind w:firstLine="708"/>
        <w:jc w:val="both"/>
        <w:rPr>
          <w:rFonts w:ascii="Times New Roman" w:hAnsi="Times New Roman" w:cs="Times New Roman"/>
          <w:color w:val="auto"/>
          <w:sz w:val="28"/>
          <w:szCs w:val="28"/>
        </w:rPr>
      </w:pPr>
    </w:p>
    <w:p w14:paraId="321FFCBA" w14:textId="77777777" w:rsidR="003C626E" w:rsidRDefault="003C626E">
      <w:pPr>
        <w:spacing w:line="360" w:lineRule="auto"/>
        <w:ind w:firstLine="708"/>
        <w:jc w:val="both"/>
        <w:rPr>
          <w:rFonts w:ascii="Times New Roman" w:hAnsi="Times New Roman" w:cs="Times New Roman"/>
          <w:color w:val="auto"/>
          <w:sz w:val="28"/>
          <w:szCs w:val="28"/>
        </w:rPr>
      </w:pPr>
    </w:p>
    <w:p w14:paraId="321FFCBB" w14:textId="77777777" w:rsidR="003C626E" w:rsidRDefault="003C626E">
      <w:pPr>
        <w:spacing w:line="360" w:lineRule="auto"/>
        <w:ind w:firstLine="708"/>
        <w:jc w:val="both"/>
        <w:rPr>
          <w:rFonts w:ascii="Times New Roman" w:hAnsi="Times New Roman" w:cs="Times New Roman"/>
          <w:color w:val="auto"/>
          <w:sz w:val="28"/>
          <w:szCs w:val="28"/>
        </w:rPr>
      </w:pPr>
    </w:p>
    <w:p w14:paraId="321FFCBC" w14:textId="77777777" w:rsidR="003C626E" w:rsidRDefault="003C626E">
      <w:pPr>
        <w:spacing w:line="360" w:lineRule="auto"/>
        <w:ind w:firstLine="708"/>
        <w:jc w:val="both"/>
        <w:rPr>
          <w:rFonts w:ascii="Times New Roman" w:hAnsi="Times New Roman" w:cs="Times New Roman"/>
          <w:color w:val="auto"/>
          <w:sz w:val="28"/>
          <w:szCs w:val="28"/>
        </w:rPr>
      </w:pPr>
    </w:p>
    <w:p w14:paraId="321FFCBD" w14:textId="77777777" w:rsidR="003C626E" w:rsidRDefault="003C626E">
      <w:pPr>
        <w:spacing w:line="360" w:lineRule="auto"/>
        <w:ind w:firstLine="708"/>
        <w:jc w:val="both"/>
        <w:rPr>
          <w:rFonts w:ascii="Times New Roman" w:hAnsi="Times New Roman" w:cs="Times New Roman"/>
          <w:color w:val="auto"/>
          <w:sz w:val="28"/>
          <w:szCs w:val="28"/>
        </w:rPr>
      </w:pPr>
    </w:p>
    <w:p w14:paraId="321FFCBE" w14:textId="77777777" w:rsidR="003C626E" w:rsidRDefault="003C626E">
      <w:pPr>
        <w:spacing w:line="360" w:lineRule="auto"/>
        <w:ind w:firstLine="708"/>
        <w:jc w:val="both"/>
        <w:rPr>
          <w:rFonts w:ascii="Times New Roman" w:hAnsi="Times New Roman" w:cs="Times New Roman"/>
          <w:color w:val="auto"/>
          <w:sz w:val="28"/>
          <w:szCs w:val="28"/>
        </w:rPr>
      </w:pPr>
    </w:p>
    <w:p w14:paraId="321FFCBF" w14:textId="77777777" w:rsidR="003C626E" w:rsidRDefault="003C626E">
      <w:pPr>
        <w:spacing w:line="360" w:lineRule="auto"/>
        <w:ind w:firstLine="708"/>
        <w:jc w:val="both"/>
        <w:rPr>
          <w:rFonts w:ascii="Times New Roman" w:hAnsi="Times New Roman" w:cs="Times New Roman"/>
          <w:color w:val="auto"/>
          <w:sz w:val="28"/>
          <w:szCs w:val="28"/>
        </w:rPr>
      </w:pPr>
    </w:p>
    <w:p w14:paraId="321FFCC0" w14:textId="77777777" w:rsidR="003C626E" w:rsidRDefault="003C626E">
      <w:pPr>
        <w:spacing w:line="360" w:lineRule="auto"/>
        <w:ind w:firstLine="708"/>
        <w:jc w:val="both"/>
        <w:rPr>
          <w:rFonts w:ascii="Times New Roman" w:hAnsi="Times New Roman" w:cs="Times New Roman"/>
          <w:color w:val="auto"/>
          <w:sz w:val="28"/>
          <w:szCs w:val="28"/>
        </w:rPr>
      </w:pPr>
    </w:p>
    <w:p w14:paraId="321FFCC1" w14:textId="77777777" w:rsidR="003C626E" w:rsidRDefault="003C626E">
      <w:pPr>
        <w:spacing w:line="360" w:lineRule="auto"/>
        <w:ind w:firstLine="708"/>
        <w:jc w:val="both"/>
        <w:rPr>
          <w:rFonts w:ascii="Times New Roman" w:hAnsi="Times New Roman" w:cs="Times New Roman"/>
          <w:color w:val="auto"/>
          <w:sz w:val="28"/>
          <w:szCs w:val="28"/>
        </w:rPr>
      </w:pPr>
    </w:p>
    <w:p w14:paraId="321FFCC2" w14:textId="77777777" w:rsidR="003C626E" w:rsidRDefault="001A5B20">
      <w:pPr>
        <w:spacing w:line="360" w:lineRule="auto"/>
        <w:ind w:firstLine="709"/>
        <w:jc w:val="center"/>
        <w:rPr>
          <w:rFonts w:ascii="Microsoft YaHei" w:eastAsia="Microsoft YaHei" w:hAnsi="Microsoft YaHei" w:cs="Microsoft YaHei"/>
        </w:rPr>
      </w:pPr>
      <w:r>
        <w:rPr>
          <w:rFonts w:ascii="Times New Roman" w:eastAsia="Microsoft YaHei" w:hAnsi="Times New Roman" w:cs="Times New Roman"/>
          <w:b/>
          <w:sz w:val="28"/>
          <w:szCs w:val="28"/>
        </w:rPr>
        <w:lastRenderedPageBreak/>
        <w:t>РОЗДІЛ 1</w:t>
      </w:r>
    </w:p>
    <w:p w14:paraId="321FFCC3" w14:textId="77777777" w:rsidR="003C626E" w:rsidRDefault="001A5B20">
      <w:pPr>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СИСТЕМА УПРАВЛІННЯ ТА КОНТРОЛЮ ЯКОСТІ МЕДИЧНОЇ ДОПОМОГИ В УМОВАХ МОДЕРНІЗАЦІЇ ОХОРОНИ ЗДОРОВ’Я</w:t>
      </w:r>
    </w:p>
    <w:p w14:paraId="321FFCC4" w14:textId="77777777" w:rsidR="003C626E" w:rsidRDefault="003C626E">
      <w:pPr>
        <w:spacing w:line="360" w:lineRule="auto"/>
        <w:ind w:firstLine="709"/>
        <w:jc w:val="center"/>
        <w:rPr>
          <w:rFonts w:ascii="Times New Roman" w:eastAsia="Microsoft YaHei" w:hAnsi="Times New Roman" w:cs="Times New Roman"/>
          <w:sz w:val="28"/>
          <w:szCs w:val="28"/>
        </w:rPr>
      </w:pPr>
    </w:p>
    <w:p w14:paraId="321FFCC5" w14:textId="77777777" w:rsidR="003C626E" w:rsidRDefault="001A5B20">
      <w:pPr>
        <w:numPr>
          <w:ilvl w:val="1"/>
          <w:numId w:val="34"/>
        </w:numPr>
        <w:tabs>
          <w:tab w:val="left" w:pos="993"/>
          <w:tab w:val="left" w:pos="1276"/>
        </w:tabs>
        <w:spacing w:line="360" w:lineRule="auto"/>
        <w:ind w:left="0" w:firstLine="709"/>
        <w:contextualSpacing/>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Управління якістю медичної допомоги як пріоритетний вектор модернізації системи охорони здоров’я</w:t>
      </w:r>
    </w:p>
    <w:p w14:paraId="321FFCC6"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Для України та багатьох інших країн різної політичної та ідеологічної орієнтації, різного типу системи охорони здоров’я вкрай актуальними є проблеми, пов’язані з організацією, управлінням та ефективним функціонуванням системи забезпечення якості медичної допомоги (ЯМД).</w:t>
      </w:r>
    </w:p>
    <w:p w14:paraId="321FFCC7"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Правовим забезпеченням ЯМД виступають такі міжнародні документи, як Загальна декларація прав людини </w:t>
      </w:r>
      <w:r>
        <w:rPr>
          <w:rFonts w:ascii="Times New Roman" w:eastAsia="Microsoft YaHei" w:hAnsi="Times New Roman" w:cs="Times New Roman"/>
          <w:sz w:val="28"/>
          <w:szCs w:val="28"/>
          <w:lang w:val="en-US"/>
        </w:rPr>
        <w:t>[</w:t>
      </w:r>
      <w:r>
        <w:rPr>
          <w:rFonts w:ascii="Times New Roman" w:eastAsia="Microsoft YaHei" w:hAnsi="Times New Roman" w:cs="Times New Roman"/>
          <w:sz w:val="28"/>
          <w:szCs w:val="28"/>
        </w:rPr>
        <w:t>1</w:t>
      </w:r>
      <w:r>
        <w:rPr>
          <w:rFonts w:ascii="Times New Roman" w:eastAsia="Microsoft YaHei" w:hAnsi="Times New Roman" w:cs="Times New Roman"/>
          <w:sz w:val="28"/>
          <w:szCs w:val="28"/>
          <w:lang w:val="en-US"/>
        </w:rPr>
        <w:t>]</w:t>
      </w:r>
      <w:r>
        <w:rPr>
          <w:rFonts w:ascii="Times New Roman" w:eastAsia="Microsoft YaHei" w:hAnsi="Times New Roman" w:cs="Times New Roman"/>
          <w:sz w:val="28"/>
          <w:szCs w:val="28"/>
        </w:rPr>
        <w:t>, Європейська соціальна хартія [2], Міжнародний кодекс медичної етики [3], Лісабонська декларація стосовно прав пацієнта [4], Політика ВООЗ - «Здоров’я-XXI: основи політики досягнення здоров’я для всіх у Європейському регіоні»</w:t>
      </w:r>
      <w:r>
        <w:rPr>
          <w:rFonts w:ascii="Microsoft YaHei" w:eastAsia="Microsoft YaHei" w:hAnsi="Microsoft YaHei" w:cs="Microsoft YaHei"/>
        </w:rPr>
        <w:t xml:space="preserve"> </w:t>
      </w:r>
      <w:r>
        <w:rPr>
          <w:rFonts w:ascii="Times New Roman" w:eastAsia="Microsoft YaHei" w:hAnsi="Times New Roman" w:cs="Times New Roman"/>
          <w:sz w:val="28"/>
          <w:szCs w:val="28"/>
        </w:rPr>
        <w:t>[5].</w:t>
      </w:r>
    </w:p>
    <w:p w14:paraId="321FFCC8"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Правове забезпечення ЯМД на державному рівні представлено такими документами, як: Конституція України [6], Закон України «Основи законодавства України про охорону здоров’я»</w:t>
      </w:r>
      <w:r>
        <w:rPr>
          <w:rFonts w:ascii="Microsoft YaHei" w:eastAsia="Microsoft YaHei" w:hAnsi="Microsoft YaHei" w:cs="Microsoft YaHei"/>
        </w:rPr>
        <w:t xml:space="preserve"> </w:t>
      </w:r>
      <w:r>
        <w:rPr>
          <w:rFonts w:ascii="Times New Roman" w:eastAsia="Microsoft YaHei" w:hAnsi="Times New Roman" w:cs="Times New Roman"/>
          <w:sz w:val="28"/>
          <w:szCs w:val="28"/>
        </w:rPr>
        <w:t>[7],  Закон України «Про захист населення від інфекційних хвороб»</w:t>
      </w:r>
      <w:r>
        <w:rPr>
          <w:rFonts w:ascii="Microsoft YaHei" w:eastAsia="Microsoft YaHei" w:hAnsi="Microsoft YaHei" w:cs="Microsoft YaHei"/>
        </w:rPr>
        <w:t xml:space="preserve"> </w:t>
      </w:r>
      <w:r>
        <w:rPr>
          <w:rFonts w:ascii="Times New Roman" w:eastAsia="Microsoft YaHei" w:hAnsi="Times New Roman" w:cs="Times New Roman"/>
          <w:sz w:val="28"/>
          <w:szCs w:val="28"/>
        </w:rPr>
        <w:t>[8], Ліцензійні умови провадження господарської діяльності з медичної практики, затверджені Постановою кабінету Міністрів України від 02.03.2016 № 285 [9], Порядок державної акредитації закладу охорони здоров’я, затверджений Постановою Кабінету Міністрів України від 15.07.1997 № 765 [10], Наказ Міністерства охорони здоров’я України від 28.09.2012 №752 «Про порядок контролю якості медичної допомоги»</w:t>
      </w:r>
      <w:r>
        <w:rPr>
          <w:rFonts w:ascii="Microsoft YaHei" w:eastAsia="Microsoft YaHei" w:hAnsi="Microsoft YaHei" w:cs="Microsoft YaHei"/>
        </w:rPr>
        <w:t xml:space="preserve"> </w:t>
      </w:r>
      <w:r>
        <w:rPr>
          <w:rFonts w:ascii="Times New Roman" w:eastAsia="Microsoft YaHei" w:hAnsi="Times New Roman" w:cs="Times New Roman"/>
          <w:sz w:val="28"/>
          <w:szCs w:val="28"/>
        </w:rPr>
        <w:t>[11].</w:t>
      </w:r>
    </w:p>
    <w:p w14:paraId="321FFCC9"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Домінантними слід вважати такі підходи до менеджменту якості, які ґрунтуються на:</w:t>
      </w:r>
    </w:p>
    <w:p w14:paraId="321FFCCA"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міжнародних стандартах ISO серії 9000 [12];</w:t>
      </w:r>
    </w:p>
    <w:p w14:paraId="321FFCCB"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концепції загального менеджменту якості (ТQM) [13, с.88].</w:t>
      </w:r>
    </w:p>
    <w:p w14:paraId="321FFCCC"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За позицією Європейського бюро ВООЗ, до складу елементів ЯМД слід </w:t>
      </w:r>
      <w:r>
        <w:rPr>
          <w:rFonts w:ascii="Times New Roman" w:eastAsia="Microsoft YaHei" w:hAnsi="Times New Roman" w:cs="Times New Roman"/>
          <w:sz w:val="28"/>
          <w:szCs w:val="28"/>
        </w:rPr>
        <w:lastRenderedPageBreak/>
        <w:t>відносити такі характеристики:</w:t>
      </w:r>
    </w:p>
    <w:p w14:paraId="321FFCCD"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оптимальність використання ресурсів;</w:t>
      </w:r>
    </w:p>
    <w:p w14:paraId="321FFCCE"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кваліфікація спеціаліста;</w:t>
      </w:r>
    </w:p>
    <w:p w14:paraId="321FFCCF"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задоволеність пацієнта від взаємодії з медичним закладом;</w:t>
      </w:r>
    </w:p>
    <w:p w14:paraId="321FFCD0"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ризик для пацієнта.</w:t>
      </w:r>
    </w:p>
    <w:p w14:paraId="321FFCD1"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Існують різні підходи до визначення якості медичної допомоги: адекватність, ефективність, морально-етичні норми, економічність.</w:t>
      </w:r>
      <w:r>
        <w:rPr>
          <w:rFonts w:ascii="Microsoft YaHei" w:eastAsia="Microsoft YaHei" w:hAnsi="Microsoft YaHei" w:cs="Microsoft YaHei"/>
        </w:rPr>
        <w:t xml:space="preserve"> </w:t>
      </w:r>
      <w:r>
        <w:rPr>
          <w:rFonts w:ascii="Times New Roman" w:eastAsia="Microsoft YaHei" w:hAnsi="Times New Roman" w:cs="Times New Roman"/>
          <w:sz w:val="28"/>
          <w:szCs w:val="28"/>
        </w:rPr>
        <w:t>Визначення ЯМД також міститься і в загальних європейських стандартах ІСО 9000 [12], що розповсюджуються на сферу виробництва та надання послуг, у тому числі медичних, і в ДСТУ ISO 9000:2007 [14].</w:t>
      </w:r>
    </w:p>
    <w:p w14:paraId="321FFCD2"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Державні органи сьогодні аналізують результати роботи медичних закладів, основи якого затверджуються в облікових і звітних документах (річних звітах про діяльність та статистичних даних), а також в результатах окремих досліджень. Цих досліджень та аналізу недостатньо для здійснення оцінки ЯМД та розробки напрямків її покращання.</w:t>
      </w:r>
    </w:p>
    <w:p w14:paraId="321FFCD3"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Контроль виступає головним механізмом забезпечення якості.</w:t>
      </w:r>
      <w:r>
        <w:rPr>
          <w:rFonts w:ascii="Microsoft YaHei" w:eastAsia="Microsoft YaHei" w:hAnsi="Microsoft YaHei" w:cs="Microsoft YaHei"/>
        </w:rPr>
        <w:t xml:space="preserve"> </w:t>
      </w:r>
      <w:r>
        <w:rPr>
          <w:rFonts w:ascii="Times New Roman" w:eastAsia="Microsoft YaHei" w:hAnsi="Times New Roman" w:cs="Times New Roman"/>
          <w:sz w:val="28"/>
          <w:szCs w:val="28"/>
        </w:rPr>
        <w:t>Як система він розглядається в контексті сукупності взаємопов’язаних між собою елементів: мети, завдань, суб’єктів і об’єктів, функцій контролю, методів його проведення, засобів його здійснення, джерел інформації, критеріїв системи якості та результатів здійсненого контролю</w:t>
      </w:r>
      <w:r>
        <w:rPr>
          <w:rFonts w:ascii="Microsoft YaHei" w:eastAsia="Microsoft YaHei" w:hAnsi="Microsoft YaHei" w:cs="Microsoft YaHei"/>
        </w:rPr>
        <w:t xml:space="preserve"> </w:t>
      </w:r>
      <w:r>
        <w:rPr>
          <w:rFonts w:ascii="Times New Roman" w:eastAsia="Microsoft YaHei" w:hAnsi="Times New Roman" w:cs="Times New Roman"/>
          <w:sz w:val="28"/>
          <w:szCs w:val="28"/>
        </w:rPr>
        <w:t>[15].</w:t>
      </w:r>
    </w:p>
    <w:p w14:paraId="321FFCD4"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Як функція управління контроль передбачає:</w:t>
      </w:r>
    </w:p>
    <w:p w14:paraId="321FFCD5"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збір та обробку даних про фактично отримані характеристики ЯМД на основі здійснення їх моніторингу за визначеними критеріями;</w:t>
      </w:r>
    </w:p>
    <w:p w14:paraId="321FFCD6"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порівняння отриманих даних з протоколами, стандартами, нормативами, інструкціями;</w:t>
      </w:r>
    </w:p>
    <w:p w14:paraId="321FFCD7"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виявлення та оцінку невідповідностей (відхилень);</w:t>
      </w:r>
    </w:p>
    <w:p w14:paraId="321FFCD8"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аналіз причин виявлених відхилень;</w:t>
      </w:r>
    </w:p>
    <w:p w14:paraId="321FFCD9"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прийняття управлінського рішення, спрямованого на покращення ЯМД на основі використання отриманої аналітичної інформації.</w:t>
      </w:r>
    </w:p>
    <w:p w14:paraId="321FFCDA"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Залежно від суб’єкта здійснення контролю ЯМД його поділяють на </w:t>
      </w:r>
      <w:r>
        <w:rPr>
          <w:rFonts w:ascii="Times New Roman" w:eastAsia="Microsoft YaHei" w:hAnsi="Times New Roman" w:cs="Times New Roman"/>
          <w:sz w:val="28"/>
          <w:szCs w:val="28"/>
        </w:rPr>
        <w:lastRenderedPageBreak/>
        <w:t>відомчий, позавідомчий та громадський (рис. 1.1).</w:t>
      </w:r>
    </w:p>
    <w:p w14:paraId="321FFCDB"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CDC"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w:drawing>
          <wp:inline distT="0" distB="0" distL="0" distR="0" wp14:anchorId="322002FC" wp14:editId="322002FD">
            <wp:extent cx="4853940" cy="1615440"/>
            <wp:effectExtent l="0" t="0" r="22860" b="41910"/>
            <wp:docPr id="1"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321FFCDD"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1.1. Види контролю в закладах охорони здоров’я</w:t>
      </w:r>
    </w:p>
    <w:p w14:paraId="321FFCDE"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побудовано автором</w:t>
      </w:r>
    </w:p>
    <w:p w14:paraId="321FFCDF"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CE0"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відомчому рівні основним методом контролю якості є медична ревізія (експертиза), основною метою якої є ретроспективна оцінка медичної допомоги, наданої пацієнту, її результати, недоліки, причини недоліків з застосуванням санкцій до причетних.</w:t>
      </w:r>
      <w:r>
        <w:rPr>
          <w:rFonts w:ascii="Microsoft YaHei" w:eastAsia="Microsoft YaHei" w:hAnsi="Microsoft YaHei" w:cs="Microsoft YaHei"/>
        </w:rPr>
        <w:t xml:space="preserve"> </w:t>
      </w:r>
      <w:r>
        <w:rPr>
          <w:rFonts w:ascii="Times New Roman" w:eastAsia="Microsoft YaHei" w:hAnsi="Times New Roman" w:cs="Times New Roman"/>
          <w:sz w:val="28"/>
          <w:szCs w:val="28"/>
        </w:rPr>
        <w:t>Працівники медичних закладів не підтримують об’єктивну оцінку діяльності, тому що для них експертиза ЯМД носить «каральний» характер</w:t>
      </w:r>
      <w:r>
        <w:rPr>
          <w:rFonts w:ascii="Microsoft YaHei" w:eastAsia="Microsoft YaHei" w:hAnsi="Microsoft YaHei" w:cs="Microsoft YaHei"/>
        </w:rPr>
        <w:t xml:space="preserve"> </w:t>
      </w:r>
      <w:r>
        <w:rPr>
          <w:rFonts w:ascii="Times New Roman" w:eastAsia="Microsoft YaHei" w:hAnsi="Times New Roman" w:cs="Times New Roman"/>
          <w:sz w:val="28"/>
          <w:szCs w:val="28"/>
        </w:rPr>
        <w:t>[16].</w:t>
      </w:r>
    </w:p>
    <w:p w14:paraId="321FFCE1"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Аудит (перевірка) якості представляє собою систематичне незалежне дослідження для констатації того, чи відповідають отримані результати планам діяльність в сфері якості і наскільки ефективно вони реалізуються, чи відповідають вони вимогам досягнення поставлених цілей. До механізмів забезпечення якості надання медичної допомоги відносяться: </w:t>
      </w:r>
    </w:p>
    <w:p w14:paraId="321FFCE2" w14:textId="77777777" w:rsidR="003C626E" w:rsidRDefault="001A5B20">
      <w:pPr>
        <w:numPr>
          <w:ilvl w:val="0"/>
          <w:numId w:val="32"/>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ліцензування;</w:t>
      </w:r>
    </w:p>
    <w:p w14:paraId="321FFCE3" w14:textId="77777777" w:rsidR="003C626E" w:rsidRDefault="001A5B20">
      <w:pPr>
        <w:numPr>
          <w:ilvl w:val="0"/>
          <w:numId w:val="32"/>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акредитація;</w:t>
      </w:r>
    </w:p>
    <w:p w14:paraId="321FFCE4" w14:textId="77777777" w:rsidR="003C626E" w:rsidRDefault="001A5B20">
      <w:pPr>
        <w:numPr>
          <w:ilvl w:val="0"/>
          <w:numId w:val="32"/>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сертифікація;</w:t>
      </w:r>
    </w:p>
    <w:p w14:paraId="321FFCE5" w14:textId="77777777" w:rsidR="003C626E" w:rsidRDefault="001A5B20">
      <w:pPr>
        <w:numPr>
          <w:ilvl w:val="0"/>
          <w:numId w:val="32"/>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стандартизація;</w:t>
      </w:r>
    </w:p>
    <w:p w14:paraId="321FFCE6" w14:textId="77777777" w:rsidR="003C626E" w:rsidRDefault="001A5B20">
      <w:pPr>
        <w:numPr>
          <w:ilvl w:val="0"/>
          <w:numId w:val="32"/>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клінічний аудит;</w:t>
      </w:r>
    </w:p>
    <w:p w14:paraId="321FFCE7" w14:textId="77777777" w:rsidR="003C626E" w:rsidRDefault="001A5B20">
      <w:pPr>
        <w:numPr>
          <w:ilvl w:val="0"/>
          <w:numId w:val="32"/>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бенчмаркінг.</w:t>
      </w:r>
    </w:p>
    <w:p w14:paraId="321FFCE8"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Ліцензування - це процес, завдяки якому уряд надає дозвіл практикуючому лікарю або медичному закладу на здійснення незалежної </w:t>
      </w:r>
      <w:r>
        <w:rPr>
          <w:rFonts w:ascii="Times New Roman" w:eastAsia="Microsoft YaHei" w:hAnsi="Times New Roman" w:cs="Times New Roman"/>
          <w:sz w:val="28"/>
          <w:szCs w:val="28"/>
        </w:rPr>
        <w:lastRenderedPageBreak/>
        <w:t>професійної діяльності (зазвичай це відбувається після того, як буде перевірено дотримання обов’язкових мінімальних стандартів). В Україні вимоги ліцензування поширюється на виключно всіх юридичних осіб усіх організаційно-правових форм та фізичних осіб-ФОП, що займаються господарською діяльністю з медичного напряму.</w:t>
      </w:r>
    </w:p>
    <w:p w14:paraId="321FFCE9"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Акредитація медичних закладів спрямована на забезпечення безперервного підвищення якості і передбачає досягнення оптимальних стандартів [17].</w:t>
      </w:r>
    </w:p>
    <w:p w14:paraId="321FFCEA"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Досягнення  акредитаційних стандартів публічно підтверджується національним органом з акредитування шляхом проведення незалежного зовнішнього оцінювання того чи іншого закладу.</w:t>
      </w:r>
    </w:p>
    <w:p w14:paraId="321FFCEB"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більшості країн Європейського союзу акредитація медичних закладів здійснюється незалежною структурою, в Україні ця функція покладена на МОЗ.</w:t>
      </w:r>
    </w:p>
    <w:p w14:paraId="321FFCEC"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Сертифікація представляє собою підтвердження відповідності медичного закладу міжнародним стандартам ISO 9000 [12]. Застосування такого підходу в галузі охорони здоров’я гарантує чіткість та прозорість у діяльності медичних закладів, сприяє істотному підвищенню якості та ефективності лікування хворих, призводить до зниження його вартості і зростанню задоволеності пацієнтів рівнем медичного обслуговування.</w:t>
      </w:r>
    </w:p>
    <w:p w14:paraId="321FFCED"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Стандартизація вимагає наявності медичних стандартів (МС), клінічних рекомендацій (настанов) і протоколів надання медичної допомоги. Сучасна Україна демонструє гармонізацію зі світовою практикою порядку розробки медико-технологічних документів та дотримується загальноприйнятих міжнародних правил.</w:t>
      </w:r>
    </w:p>
    <w:p w14:paraId="321FFCEE"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Медичні стандарти ґрунтуються на принципах доказової медицини, а саме: Evidence-Based Medicine, а їх інформаційним джерелом виступають клінічні рекомендації, тобто Clinical Practice Guidelines.</w:t>
      </w:r>
    </w:p>
    <w:p w14:paraId="321FFCEF"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Клінічний аудит (внутрішній і зовнішній) проводиться з метою здійснення оцінки та підвищення якості медичної допомоги та полягає в </w:t>
      </w:r>
      <w:r>
        <w:rPr>
          <w:rFonts w:ascii="Times New Roman" w:eastAsia="Microsoft YaHei" w:hAnsi="Times New Roman" w:cs="Times New Roman"/>
          <w:sz w:val="28"/>
          <w:szCs w:val="28"/>
        </w:rPr>
        <w:lastRenderedPageBreak/>
        <w:t xml:space="preserve">порівнянні поточної медичної практики з передовими рекомендаціями та стандартами заради вдосконалення медичних послуг. </w:t>
      </w:r>
    </w:p>
    <w:p w14:paraId="321FFCF0"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Принципові відмінності клінічного аудиту від контролю відображені в таблиці 1.1.</w:t>
      </w:r>
    </w:p>
    <w:p w14:paraId="321FFCF1" w14:textId="77777777" w:rsidR="003C626E" w:rsidRDefault="001A5B20">
      <w:pPr>
        <w:tabs>
          <w:tab w:val="left" w:pos="993"/>
          <w:tab w:val="left" w:pos="1276"/>
        </w:tabs>
        <w:spacing w:line="360" w:lineRule="auto"/>
        <w:ind w:firstLine="709"/>
        <w:contextualSpacing/>
        <w:jc w:val="right"/>
        <w:rPr>
          <w:rFonts w:ascii="Times New Roman" w:eastAsia="Microsoft YaHei" w:hAnsi="Times New Roman" w:cs="Times New Roman"/>
          <w:sz w:val="28"/>
          <w:szCs w:val="28"/>
        </w:rPr>
      </w:pPr>
      <w:r>
        <w:rPr>
          <w:rFonts w:ascii="Times New Roman" w:eastAsia="Microsoft YaHei" w:hAnsi="Times New Roman" w:cs="Times New Roman"/>
          <w:sz w:val="28"/>
          <w:szCs w:val="28"/>
        </w:rPr>
        <w:t>Таблиця 1.1</w:t>
      </w:r>
    </w:p>
    <w:p w14:paraId="321FFCF2"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Принципові відмінності клінічного аудиту від контролю</w:t>
      </w:r>
    </w:p>
    <w:tbl>
      <w:tblPr>
        <w:tblStyle w:val="26"/>
        <w:tblW w:w="0" w:type="auto"/>
        <w:jc w:val="center"/>
        <w:tblLook w:val="04A0" w:firstRow="1" w:lastRow="0" w:firstColumn="1" w:lastColumn="0" w:noHBand="0" w:noVBand="1"/>
      </w:tblPr>
      <w:tblGrid>
        <w:gridCol w:w="4536"/>
        <w:gridCol w:w="4389"/>
      </w:tblGrid>
      <w:tr w:rsidR="003C626E" w14:paraId="321FFCF5" w14:textId="77777777">
        <w:trPr>
          <w:jc w:val="center"/>
        </w:trPr>
        <w:tc>
          <w:tcPr>
            <w:tcW w:w="4536" w:type="dxa"/>
            <w:shd w:val="clear" w:color="auto" w:fill="F2DBDB" w:themeFill="accent2" w:themeFillTint="33"/>
            <w:vAlign w:val="center"/>
          </w:tcPr>
          <w:p w14:paraId="321FFCF3"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rPr>
            </w:pPr>
            <w:r>
              <w:rPr>
                <w:rFonts w:ascii="Times New Roman" w:eastAsia="Microsoft YaHei" w:hAnsi="Times New Roman" w:cs="Times New Roman"/>
              </w:rPr>
              <w:t>КОНТРОЛЬ</w:t>
            </w:r>
          </w:p>
        </w:tc>
        <w:tc>
          <w:tcPr>
            <w:tcW w:w="4389" w:type="dxa"/>
            <w:shd w:val="clear" w:color="auto" w:fill="F2DBDB" w:themeFill="accent2" w:themeFillTint="33"/>
            <w:vAlign w:val="center"/>
          </w:tcPr>
          <w:p w14:paraId="321FFCF4"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rPr>
            </w:pPr>
            <w:r>
              <w:rPr>
                <w:rFonts w:ascii="Times New Roman" w:eastAsia="Microsoft YaHei" w:hAnsi="Times New Roman" w:cs="Times New Roman"/>
              </w:rPr>
              <w:t>КЛІНІЧНИЙ АУДИТ</w:t>
            </w:r>
          </w:p>
        </w:tc>
      </w:tr>
      <w:tr w:rsidR="003C626E" w14:paraId="321FFCF8" w14:textId="77777777">
        <w:trPr>
          <w:jc w:val="center"/>
        </w:trPr>
        <w:tc>
          <w:tcPr>
            <w:tcW w:w="4536" w:type="dxa"/>
            <w:shd w:val="clear" w:color="auto" w:fill="FBD4B4" w:themeFill="accent6" w:themeFillTint="66"/>
            <w:vAlign w:val="center"/>
          </w:tcPr>
          <w:p w14:paraId="321FFCF6"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1. Встановлення відповідності за одним або кількома параметрами.</w:t>
            </w:r>
          </w:p>
        </w:tc>
        <w:tc>
          <w:tcPr>
            <w:tcW w:w="4389" w:type="dxa"/>
            <w:shd w:val="clear" w:color="auto" w:fill="CCC0D9" w:themeFill="accent4" w:themeFillTint="66"/>
            <w:vAlign w:val="center"/>
          </w:tcPr>
          <w:p w14:paraId="321FFCF7"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1. Збір и аналіз об’єктивної інформації щодо професійної діяльності.</w:t>
            </w:r>
          </w:p>
        </w:tc>
      </w:tr>
      <w:tr w:rsidR="003C626E" w14:paraId="321FFCFC" w14:textId="77777777">
        <w:trPr>
          <w:jc w:val="center"/>
        </w:trPr>
        <w:tc>
          <w:tcPr>
            <w:tcW w:w="4536" w:type="dxa"/>
            <w:shd w:val="clear" w:color="auto" w:fill="FBD4B4" w:themeFill="accent6" w:themeFillTint="66"/>
            <w:vAlign w:val="center"/>
          </w:tcPr>
          <w:p w14:paraId="321FFCF9"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2. Формалізований процес.</w:t>
            </w:r>
          </w:p>
        </w:tc>
        <w:tc>
          <w:tcPr>
            <w:tcW w:w="4389" w:type="dxa"/>
            <w:shd w:val="clear" w:color="auto" w:fill="CCC0D9" w:themeFill="accent4" w:themeFillTint="66"/>
            <w:vAlign w:val="center"/>
          </w:tcPr>
          <w:p w14:paraId="321FFCFA"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 xml:space="preserve">2. Процес, що потребує неформального творчого підходу, однак не виключене </w:t>
            </w:r>
          </w:p>
          <w:p w14:paraId="321FFCFB"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використання формалізованих критеріїв.</w:t>
            </w:r>
          </w:p>
        </w:tc>
      </w:tr>
      <w:tr w:rsidR="003C626E" w14:paraId="321FFD00" w14:textId="77777777">
        <w:trPr>
          <w:jc w:val="center"/>
        </w:trPr>
        <w:tc>
          <w:tcPr>
            <w:tcW w:w="4536" w:type="dxa"/>
            <w:shd w:val="clear" w:color="auto" w:fill="FBD4B4" w:themeFill="accent6" w:themeFillTint="66"/>
            <w:vAlign w:val="center"/>
          </w:tcPr>
          <w:p w14:paraId="321FFCFD"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 xml:space="preserve">3. Ціль контролю – встановлення відповідності заздалегідь встановленому </w:t>
            </w:r>
          </w:p>
          <w:p w14:paraId="321FFCFE"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рівню.</w:t>
            </w:r>
          </w:p>
        </w:tc>
        <w:tc>
          <w:tcPr>
            <w:tcW w:w="4389" w:type="dxa"/>
            <w:shd w:val="clear" w:color="auto" w:fill="CCC0D9" w:themeFill="accent4" w:themeFillTint="66"/>
            <w:vAlign w:val="center"/>
          </w:tcPr>
          <w:p w14:paraId="321FFCFF"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3. Ціль аудиту – визначення рівня, до якого слід прагнути.</w:t>
            </w:r>
          </w:p>
        </w:tc>
      </w:tr>
      <w:tr w:rsidR="003C626E" w14:paraId="321FFD04" w14:textId="77777777">
        <w:trPr>
          <w:jc w:val="center"/>
        </w:trPr>
        <w:tc>
          <w:tcPr>
            <w:tcW w:w="4536" w:type="dxa"/>
            <w:shd w:val="clear" w:color="auto" w:fill="FBD4B4" w:themeFill="accent6" w:themeFillTint="66"/>
            <w:vAlign w:val="center"/>
          </w:tcPr>
          <w:p w14:paraId="321FFD01"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 xml:space="preserve">4. Як правило, зовнішня процедура по відношенню до виконавця, проте не </w:t>
            </w:r>
          </w:p>
          <w:p w14:paraId="321FFD02"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виключений самоконтроль.</w:t>
            </w:r>
          </w:p>
        </w:tc>
        <w:tc>
          <w:tcPr>
            <w:tcW w:w="4389" w:type="dxa"/>
            <w:shd w:val="clear" w:color="auto" w:fill="CCC0D9" w:themeFill="accent4" w:themeFillTint="66"/>
            <w:vAlign w:val="center"/>
          </w:tcPr>
          <w:p w14:paraId="321FFD03" w14:textId="77777777" w:rsidR="003C626E" w:rsidRDefault="001A5B20">
            <w:pPr>
              <w:tabs>
                <w:tab w:val="left" w:pos="993"/>
                <w:tab w:val="left" w:pos="1276"/>
              </w:tabs>
              <w:ind w:firstLine="34"/>
              <w:contextualSpacing/>
              <w:rPr>
                <w:rFonts w:ascii="Times New Roman" w:eastAsia="Microsoft YaHei" w:hAnsi="Times New Roman" w:cs="Times New Roman"/>
              </w:rPr>
            </w:pPr>
            <w:r>
              <w:rPr>
                <w:rFonts w:ascii="Times New Roman" w:eastAsia="Microsoft YaHei" w:hAnsi="Times New Roman" w:cs="Times New Roman"/>
              </w:rPr>
              <w:t>4. Як правило, складова діяльності медичного працівника, однак можливий і зовнішній аудит.</w:t>
            </w:r>
          </w:p>
        </w:tc>
      </w:tr>
    </w:tbl>
    <w:p w14:paraId="321FFD05"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сформовано автором</w:t>
      </w:r>
    </w:p>
    <w:p w14:paraId="321FFD06"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D07"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Бенчмаркінг представляє собою вивчення кращої практики медичних закладів та інших медичних служб. Цей процес дозволяє зіставляти надані послуги з результатами лікування пацієнтів, спонукає до впровадження відповідних змін, гарантуює контроль якості та безперервне покращення якості медичного обслуговування</w:t>
      </w:r>
      <w:r>
        <w:rPr>
          <w:rFonts w:ascii="Microsoft YaHei" w:eastAsia="Microsoft YaHei" w:hAnsi="Microsoft YaHei" w:cs="Microsoft YaHei"/>
        </w:rPr>
        <w:t xml:space="preserve"> </w:t>
      </w:r>
      <w:r>
        <w:rPr>
          <w:rFonts w:ascii="Times New Roman" w:eastAsia="Microsoft YaHei" w:hAnsi="Times New Roman" w:cs="Times New Roman"/>
          <w:sz w:val="28"/>
          <w:szCs w:val="28"/>
        </w:rPr>
        <w:t>[18].</w:t>
      </w:r>
    </w:p>
    <w:p w14:paraId="321FFD08"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Бенчмаркінг є одним із головних компонентів планування та пов’язаний із постановкою конкретних цілей; його часто ототожнюють з циклом Демінга-Шухарта. Основне призначення та мета застосування бенчмаркінгу - ідентифікація відмінностей із еталоном (порівнюваним аналогом),  виявлення причин цих відмінностей та визначення можливостей щодо подальшого вдосконалення об’єктів бенчмаркінгу (табл. 1.2).</w:t>
      </w:r>
    </w:p>
    <w:p w14:paraId="321FFD09" w14:textId="77777777" w:rsidR="003C626E" w:rsidRDefault="003C626E">
      <w:pPr>
        <w:tabs>
          <w:tab w:val="left" w:pos="993"/>
          <w:tab w:val="left" w:pos="1276"/>
        </w:tabs>
        <w:spacing w:line="360" w:lineRule="auto"/>
        <w:ind w:firstLine="709"/>
        <w:contextualSpacing/>
        <w:jc w:val="right"/>
        <w:rPr>
          <w:rFonts w:ascii="Times New Roman" w:eastAsia="Microsoft YaHei" w:hAnsi="Times New Roman" w:cs="Times New Roman"/>
          <w:sz w:val="28"/>
          <w:szCs w:val="28"/>
        </w:rPr>
      </w:pPr>
    </w:p>
    <w:p w14:paraId="321FFD0A" w14:textId="77777777" w:rsidR="003C626E" w:rsidRDefault="003C626E">
      <w:pPr>
        <w:tabs>
          <w:tab w:val="left" w:pos="993"/>
          <w:tab w:val="left" w:pos="1276"/>
        </w:tabs>
        <w:spacing w:line="360" w:lineRule="auto"/>
        <w:ind w:firstLine="709"/>
        <w:contextualSpacing/>
        <w:jc w:val="right"/>
        <w:rPr>
          <w:rFonts w:ascii="Times New Roman" w:eastAsia="Microsoft YaHei" w:hAnsi="Times New Roman" w:cs="Times New Roman"/>
          <w:sz w:val="28"/>
          <w:szCs w:val="28"/>
        </w:rPr>
      </w:pPr>
    </w:p>
    <w:p w14:paraId="321FFD0B" w14:textId="77777777" w:rsidR="003C626E" w:rsidRDefault="003C626E">
      <w:pPr>
        <w:tabs>
          <w:tab w:val="left" w:pos="993"/>
          <w:tab w:val="left" w:pos="1276"/>
        </w:tabs>
        <w:spacing w:line="360" w:lineRule="auto"/>
        <w:ind w:firstLine="709"/>
        <w:contextualSpacing/>
        <w:jc w:val="right"/>
        <w:rPr>
          <w:rFonts w:ascii="Times New Roman" w:eastAsia="Microsoft YaHei" w:hAnsi="Times New Roman" w:cs="Times New Roman"/>
          <w:sz w:val="28"/>
          <w:szCs w:val="28"/>
        </w:rPr>
      </w:pPr>
    </w:p>
    <w:p w14:paraId="321FFD0C" w14:textId="77777777" w:rsidR="003C626E" w:rsidRDefault="001A5B20">
      <w:pPr>
        <w:tabs>
          <w:tab w:val="left" w:pos="993"/>
          <w:tab w:val="left" w:pos="1276"/>
        </w:tabs>
        <w:spacing w:line="360" w:lineRule="auto"/>
        <w:ind w:firstLine="709"/>
        <w:contextualSpacing/>
        <w:jc w:val="right"/>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Таблиця 1.2</w:t>
      </w:r>
    </w:p>
    <w:p w14:paraId="321FFD0D"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 xml:space="preserve">Характеристика параметрів якості в охороні здоров’я </w:t>
      </w:r>
    </w:p>
    <w:tbl>
      <w:tblPr>
        <w:tblStyle w:val="26"/>
        <w:tblW w:w="0" w:type="auto"/>
        <w:jc w:val="center"/>
        <w:tblLook w:val="04A0" w:firstRow="1" w:lastRow="0" w:firstColumn="1" w:lastColumn="0" w:noHBand="0" w:noVBand="1"/>
      </w:tblPr>
      <w:tblGrid>
        <w:gridCol w:w="2117"/>
        <w:gridCol w:w="6523"/>
      </w:tblGrid>
      <w:tr w:rsidR="003C626E" w14:paraId="321FFD10" w14:textId="77777777">
        <w:trPr>
          <w:jc w:val="center"/>
        </w:trPr>
        <w:tc>
          <w:tcPr>
            <w:tcW w:w="2117" w:type="dxa"/>
            <w:shd w:val="clear" w:color="auto" w:fill="E5B8B7" w:themeFill="accent2" w:themeFillTint="66"/>
            <w:vAlign w:val="center"/>
          </w:tcPr>
          <w:p w14:paraId="321FFD0E" w14:textId="77777777" w:rsidR="003C626E" w:rsidRDefault="001A5B20">
            <w:pPr>
              <w:tabs>
                <w:tab w:val="left" w:pos="993"/>
                <w:tab w:val="left" w:pos="1276"/>
              </w:tabs>
              <w:contextualSpacing/>
              <w:jc w:val="center"/>
              <w:rPr>
                <w:rFonts w:ascii="Times New Roman" w:eastAsia="Microsoft YaHei" w:hAnsi="Times New Roman" w:cs="Times New Roman"/>
              </w:rPr>
            </w:pPr>
            <w:r>
              <w:rPr>
                <w:rFonts w:ascii="Times New Roman" w:eastAsia="Microsoft YaHei" w:hAnsi="Times New Roman" w:cs="Times New Roman"/>
              </w:rPr>
              <w:t>Параметр</w:t>
            </w:r>
          </w:p>
        </w:tc>
        <w:tc>
          <w:tcPr>
            <w:tcW w:w="6523" w:type="dxa"/>
            <w:shd w:val="clear" w:color="auto" w:fill="E5B8B7" w:themeFill="accent2" w:themeFillTint="66"/>
            <w:vAlign w:val="center"/>
          </w:tcPr>
          <w:p w14:paraId="321FFD0F" w14:textId="77777777" w:rsidR="003C626E" w:rsidRDefault="001A5B20">
            <w:pPr>
              <w:tabs>
                <w:tab w:val="left" w:pos="993"/>
                <w:tab w:val="left" w:pos="1276"/>
              </w:tabs>
              <w:contextualSpacing/>
              <w:jc w:val="center"/>
              <w:rPr>
                <w:rFonts w:ascii="Times New Roman" w:eastAsia="Microsoft YaHei" w:hAnsi="Times New Roman" w:cs="Times New Roman"/>
              </w:rPr>
            </w:pPr>
            <w:r>
              <w:rPr>
                <w:rFonts w:ascii="Times New Roman" w:eastAsia="Microsoft YaHei" w:hAnsi="Times New Roman" w:cs="Times New Roman"/>
              </w:rPr>
              <w:t>Характеристика</w:t>
            </w:r>
          </w:p>
        </w:tc>
      </w:tr>
      <w:tr w:rsidR="003C626E" w14:paraId="321FFD13" w14:textId="77777777">
        <w:trPr>
          <w:jc w:val="center"/>
        </w:trPr>
        <w:tc>
          <w:tcPr>
            <w:tcW w:w="2117" w:type="dxa"/>
            <w:shd w:val="clear" w:color="auto" w:fill="C6D9F1" w:themeFill="text2" w:themeFillTint="33"/>
            <w:vAlign w:val="center"/>
          </w:tcPr>
          <w:p w14:paraId="321FFD11"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Технологічне виконання</w:t>
            </w:r>
          </w:p>
        </w:tc>
        <w:tc>
          <w:tcPr>
            <w:tcW w:w="6523" w:type="dxa"/>
            <w:shd w:val="clear" w:color="auto" w:fill="FDE9D9" w:themeFill="accent6" w:themeFillTint="33"/>
            <w:vAlign w:val="center"/>
          </w:tcPr>
          <w:p w14:paraId="321FFD12"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Рівень дотримання медичним персоналом і закладом установлених технічних стандартів і вимог якості під час надання допомоги</w:t>
            </w:r>
          </w:p>
        </w:tc>
      </w:tr>
      <w:tr w:rsidR="003C626E" w14:paraId="321FFD16" w14:textId="77777777">
        <w:trPr>
          <w:jc w:val="center"/>
        </w:trPr>
        <w:tc>
          <w:tcPr>
            <w:tcW w:w="2117" w:type="dxa"/>
            <w:shd w:val="clear" w:color="auto" w:fill="C6D9F1" w:themeFill="text2" w:themeFillTint="33"/>
            <w:vAlign w:val="center"/>
          </w:tcPr>
          <w:p w14:paraId="321FFD14"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Результативність послуг</w:t>
            </w:r>
          </w:p>
        </w:tc>
        <w:tc>
          <w:tcPr>
            <w:tcW w:w="6523" w:type="dxa"/>
            <w:shd w:val="clear" w:color="auto" w:fill="FDE9D9" w:themeFill="accent6" w:themeFillTint="33"/>
            <w:vAlign w:val="center"/>
          </w:tcPr>
          <w:p w14:paraId="321FFD15"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Показник, що відображає ступінь досягнення запланованих лікувальних або профілактичних результатів</w:t>
            </w:r>
          </w:p>
        </w:tc>
      </w:tr>
      <w:tr w:rsidR="003C626E" w14:paraId="321FFD19" w14:textId="77777777">
        <w:trPr>
          <w:jc w:val="center"/>
        </w:trPr>
        <w:tc>
          <w:tcPr>
            <w:tcW w:w="2117" w:type="dxa"/>
            <w:shd w:val="clear" w:color="auto" w:fill="C6D9F1" w:themeFill="text2" w:themeFillTint="33"/>
            <w:vAlign w:val="center"/>
          </w:tcPr>
          <w:p w14:paraId="321FFD17"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Ефективність послуг</w:t>
            </w:r>
          </w:p>
        </w:tc>
        <w:tc>
          <w:tcPr>
            <w:tcW w:w="6523" w:type="dxa"/>
            <w:shd w:val="clear" w:color="auto" w:fill="FDE9D9" w:themeFill="accent6" w:themeFillTint="33"/>
            <w:vAlign w:val="center"/>
          </w:tcPr>
          <w:p w14:paraId="321FFD18"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Співвідношення отриманого результату до ресурсів, витрачених на його досягнення; відображає економічну доцільність медичних втручань</w:t>
            </w:r>
          </w:p>
        </w:tc>
      </w:tr>
      <w:tr w:rsidR="003C626E" w14:paraId="321FFD1D" w14:textId="77777777">
        <w:trPr>
          <w:jc w:val="center"/>
        </w:trPr>
        <w:tc>
          <w:tcPr>
            <w:tcW w:w="2117" w:type="dxa"/>
            <w:shd w:val="clear" w:color="auto" w:fill="C6D9F1" w:themeFill="text2" w:themeFillTint="33"/>
            <w:vAlign w:val="center"/>
          </w:tcPr>
          <w:p w14:paraId="321FFD1A" w14:textId="77777777" w:rsidR="003C626E" w:rsidRDefault="003C626E">
            <w:pPr>
              <w:tabs>
                <w:tab w:val="left" w:pos="993"/>
                <w:tab w:val="left" w:pos="1276"/>
              </w:tabs>
              <w:contextualSpacing/>
              <w:rPr>
                <w:rFonts w:ascii="Times New Roman" w:eastAsia="Microsoft YaHei" w:hAnsi="Times New Roman" w:cs="Times New Roman"/>
              </w:rPr>
            </w:pPr>
          </w:p>
          <w:p w14:paraId="321FFD1B"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Безпека</w:t>
            </w:r>
          </w:p>
        </w:tc>
        <w:tc>
          <w:tcPr>
            <w:tcW w:w="6523" w:type="dxa"/>
            <w:shd w:val="clear" w:color="auto" w:fill="FDE9D9" w:themeFill="accent6" w:themeFillTint="33"/>
            <w:vAlign w:val="center"/>
          </w:tcPr>
          <w:p w14:paraId="321FFD1C"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 xml:space="preserve">Рівень зниження ризиків, пов’язаних із можливими ускладненнями, інфекціями чи побічними діями під час лікування </w:t>
            </w:r>
          </w:p>
        </w:tc>
      </w:tr>
      <w:tr w:rsidR="003C626E" w14:paraId="321FFD20" w14:textId="77777777">
        <w:trPr>
          <w:jc w:val="center"/>
        </w:trPr>
        <w:tc>
          <w:tcPr>
            <w:tcW w:w="2117" w:type="dxa"/>
            <w:shd w:val="clear" w:color="auto" w:fill="C6D9F1" w:themeFill="text2" w:themeFillTint="33"/>
            <w:vAlign w:val="center"/>
          </w:tcPr>
          <w:p w14:paraId="321FFD1E"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Доступність послуг</w:t>
            </w:r>
          </w:p>
        </w:tc>
        <w:tc>
          <w:tcPr>
            <w:tcW w:w="6523" w:type="dxa"/>
            <w:shd w:val="clear" w:color="auto" w:fill="FDE9D9" w:themeFill="accent6" w:themeFillTint="33"/>
            <w:vAlign w:val="center"/>
          </w:tcPr>
          <w:p w14:paraId="321FFD1F"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 xml:space="preserve">Міра усунення бар’єрів — територіальних, фінансових, соціальних, мовних чи організаційних — для отримання медичної допомоги </w:t>
            </w:r>
          </w:p>
        </w:tc>
      </w:tr>
      <w:tr w:rsidR="003C626E" w14:paraId="321FFD23" w14:textId="77777777">
        <w:trPr>
          <w:jc w:val="center"/>
        </w:trPr>
        <w:tc>
          <w:tcPr>
            <w:tcW w:w="2117" w:type="dxa"/>
            <w:shd w:val="clear" w:color="auto" w:fill="C6D9F1" w:themeFill="text2" w:themeFillTint="33"/>
            <w:vAlign w:val="center"/>
          </w:tcPr>
          <w:p w14:paraId="321FFD21"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Міжособисті відносин</w:t>
            </w:r>
          </w:p>
        </w:tc>
        <w:tc>
          <w:tcPr>
            <w:tcW w:w="6523" w:type="dxa"/>
            <w:shd w:val="clear" w:color="auto" w:fill="FDE9D9" w:themeFill="accent6" w:themeFillTint="33"/>
            <w:vAlign w:val="center"/>
          </w:tcPr>
          <w:p w14:paraId="321FFD22"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Наявність довіри, взаємоповаги, конфіденційності, емпатії та ефективної комунікації між медичним працівником і пацієнтом</w:t>
            </w:r>
          </w:p>
        </w:tc>
      </w:tr>
      <w:tr w:rsidR="003C626E" w14:paraId="321FFD26" w14:textId="77777777">
        <w:trPr>
          <w:jc w:val="center"/>
        </w:trPr>
        <w:tc>
          <w:tcPr>
            <w:tcW w:w="2117" w:type="dxa"/>
            <w:shd w:val="clear" w:color="auto" w:fill="C6D9F1" w:themeFill="text2" w:themeFillTint="33"/>
            <w:vAlign w:val="center"/>
          </w:tcPr>
          <w:p w14:paraId="321FFD24"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Безперервність послуг</w:t>
            </w:r>
          </w:p>
        </w:tc>
        <w:tc>
          <w:tcPr>
            <w:tcW w:w="6523" w:type="dxa"/>
            <w:shd w:val="clear" w:color="auto" w:fill="FDE9D9" w:themeFill="accent6" w:themeFillTint="33"/>
            <w:vAlign w:val="center"/>
          </w:tcPr>
          <w:p w14:paraId="321FFD25"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Забезпечення послідовного спостереження та лікування пацієнта одним або узгодженою командою фахівців протягом усього періоду медичного супроводу</w:t>
            </w:r>
          </w:p>
        </w:tc>
      </w:tr>
      <w:tr w:rsidR="003C626E" w14:paraId="321FFD29" w14:textId="77777777">
        <w:trPr>
          <w:jc w:val="center"/>
        </w:trPr>
        <w:tc>
          <w:tcPr>
            <w:tcW w:w="2117" w:type="dxa"/>
            <w:shd w:val="clear" w:color="auto" w:fill="C6D9F1" w:themeFill="text2" w:themeFillTint="33"/>
            <w:vAlign w:val="center"/>
          </w:tcPr>
          <w:p w14:paraId="321FFD27"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Інфраструктура і комфорт</w:t>
            </w:r>
          </w:p>
        </w:tc>
        <w:tc>
          <w:tcPr>
            <w:tcW w:w="6523" w:type="dxa"/>
            <w:shd w:val="clear" w:color="auto" w:fill="FDE9D9" w:themeFill="accent6" w:themeFillTint="33"/>
            <w:vAlign w:val="center"/>
          </w:tcPr>
          <w:p w14:paraId="321FFD28"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Стан матеріально-технічної бази медичного закладу: чистота, зручність, приватність та естетичне середовище, що формує довіру пацієнтів</w:t>
            </w:r>
          </w:p>
        </w:tc>
      </w:tr>
      <w:tr w:rsidR="003C626E" w14:paraId="321FFD2C" w14:textId="77777777">
        <w:trPr>
          <w:jc w:val="center"/>
        </w:trPr>
        <w:tc>
          <w:tcPr>
            <w:tcW w:w="2117" w:type="dxa"/>
            <w:shd w:val="clear" w:color="auto" w:fill="C6D9F1" w:themeFill="text2" w:themeFillTint="33"/>
            <w:vAlign w:val="center"/>
          </w:tcPr>
          <w:p w14:paraId="321FFD2A"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Вибір</w:t>
            </w:r>
          </w:p>
        </w:tc>
        <w:tc>
          <w:tcPr>
            <w:tcW w:w="6523" w:type="dxa"/>
            <w:shd w:val="clear" w:color="auto" w:fill="FDE9D9" w:themeFill="accent6" w:themeFillTint="33"/>
            <w:vAlign w:val="center"/>
          </w:tcPr>
          <w:p w14:paraId="321FFD2B"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Можливість пацієнта самостійно обирати лікаря, медичний заклад, страхову програму або метод лікування згідно з власними уподобаннями</w:t>
            </w:r>
          </w:p>
        </w:tc>
      </w:tr>
    </w:tbl>
    <w:p w14:paraId="321FFD2D"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сформовано автором</w:t>
      </w:r>
    </w:p>
    <w:p w14:paraId="321FFD2E" w14:textId="77777777" w:rsidR="003C626E" w:rsidRDefault="003C626E">
      <w:pPr>
        <w:tabs>
          <w:tab w:val="left" w:pos="993"/>
          <w:tab w:val="left" w:pos="1276"/>
        </w:tabs>
        <w:spacing w:line="360" w:lineRule="auto"/>
        <w:ind w:left="720"/>
        <w:contextualSpacing/>
        <w:rPr>
          <w:rFonts w:ascii="Times New Roman" w:eastAsia="Microsoft YaHei" w:hAnsi="Times New Roman" w:cs="Times New Roman"/>
        </w:rPr>
      </w:pPr>
    </w:p>
    <w:p w14:paraId="321FFD2F"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сучасній світовій практиці з питань управління якістю в галузі охорони здоров’я широкого застосування набув total quality management (ТQМ) - метод загального управління якістю, що дозволяє досягти значного прогресу в розвитку медичної галузі. Він представляє собою цілий комплекс різних підходів до якості, управління та ефективності, який спрямований на постійне покращення якості всієї організації в цілому, мінімізацію витрат та постачання продукту точно у визначений строк.</w:t>
      </w:r>
    </w:p>
    <w:p w14:paraId="321FFD30"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Основоположна ідея цієї системи ґрунтується на принципі «покращенню немає межі». Ця принципово нова технологія управління має дуже широкі можливості TQM, вона вимагає участі всіх робітників на всіх рівнях організаційної структури закладу та спрямована на досягнення </w:t>
      </w:r>
      <w:r>
        <w:rPr>
          <w:rFonts w:ascii="Times New Roman" w:eastAsia="Microsoft YaHei" w:hAnsi="Times New Roman" w:cs="Times New Roman"/>
          <w:sz w:val="28"/>
          <w:szCs w:val="28"/>
        </w:rPr>
        <w:lastRenderedPageBreak/>
        <w:t>довгострокового успіху медичного закладу через задоволення вимог пацієнта і загальної вигоди, як для членів даної організації, так і для суспільства в цілому</w:t>
      </w:r>
      <w:r>
        <w:rPr>
          <w:rFonts w:ascii="Microsoft YaHei" w:eastAsia="Microsoft YaHei" w:hAnsi="Microsoft YaHei" w:cs="Microsoft YaHei"/>
        </w:rPr>
        <w:t xml:space="preserve"> </w:t>
      </w:r>
      <w:r>
        <w:rPr>
          <w:rFonts w:ascii="Times New Roman" w:eastAsia="Microsoft YaHei" w:hAnsi="Times New Roman" w:cs="Times New Roman"/>
          <w:sz w:val="28"/>
          <w:szCs w:val="28"/>
        </w:rPr>
        <w:t>[13].</w:t>
      </w:r>
    </w:p>
    <w:p w14:paraId="321FFD31"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Мета даної технології не полягає у виявленні та покаранні тих працівників, результати або практика роботи яких не співпадають зі встановленими нормами. Постійна модифікація самої системи та її безперервне вдосконалення забезпечує новий підхід до поліпшення якості – динамічний, інтегрований і комплексний,  спрямований на покращення результатів роботи всієї системи. Велика увага при впровадженні TQM приділяється оволодінню політикою постійних динамічних змін та її адаптації (рис. 1.2).</w:t>
      </w:r>
    </w:p>
    <w:p w14:paraId="321FFD32"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g">
            <w:drawing>
              <wp:inline distT="0" distB="0" distL="0" distR="0" wp14:anchorId="322002FE" wp14:editId="322002FF">
                <wp:extent cx="5623560" cy="3093720"/>
                <wp:effectExtent l="0" t="0" r="0" b="0"/>
                <wp:docPr id="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rotWithShape="1">
                        <a:blip r:embed="rId17"/>
                        <a:stretch/>
                      </pic:blipFill>
                      <pic:spPr bwMode="auto">
                        <a:xfrm>
                          <a:off x="0" y="0"/>
                          <a:ext cx="5623560" cy="3093720"/>
                        </a:xfrm>
                        <a:prstGeom prst="rect">
                          <a:avLst/>
                        </a:prstGeom>
                      </pic:spPr>
                    </pic:pi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width:442.80pt;height:243.60pt;mso-wrap-distance-left:0.00pt;mso-wrap-distance-top:0.00pt;mso-wrap-distance-right:0.00pt;mso-wrap-distance-bottom:0.00pt;z-index:1;" stroked="false">
                <v:imagedata r:id="rId22" o:title=""/>
                <o:lock v:ext="edit" rotation="t"/>
              </v:shape>
            </w:pict>
          </mc:Fallback>
        </mc:AlternateContent>
      </w:r>
    </w:p>
    <w:p w14:paraId="321FFD33"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b/>
          <w:sz w:val="28"/>
          <w:szCs w:val="28"/>
        </w:rPr>
        <w:t>Рис. 1.2. Управління якістю - total quality management (ТQМ)</w:t>
      </w:r>
      <w:r>
        <w:rPr>
          <w:rFonts w:ascii="Times New Roman" w:eastAsia="Microsoft YaHei" w:hAnsi="Times New Roman" w:cs="Times New Roman"/>
          <w:b/>
          <w:sz w:val="28"/>
          <w:szCs w:val="28"/>
        </w:rPr>
        <w:br/>
        <w:t xml:space="preserve">          </w:t>
      </w:r>
      <w:r>
        <w:rPr>
          <w:rFonts w:ascii="Times New Roman" w:eastAsia="Microsoft YaHei" w:hAnsi="Times New Roman" w:cs="Times New Roman"/>
          <w:i/>
        </w:rPr>
        <w:t>Джерело: сформовано автором</w:t>
      </w:r>
    </w:p>
    <w:p w14:paraId="321FFD34"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D35"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 основних компонентів якості відносяться: якість структури, якість процесів, якість результатів (рис. 1.3).</w:t>
      </w:r>
    </w:p>
    <w:p w14:paraId="321FFD36" w14:textId="77777777" w:rsidR="003C626E" w:rsidRDefault="001A5B20">
      <w:pPr>
        <w:tabs>
          <w:tab w:val="left" w:pos="993"/>
          <w:tab w:val="left" w:pos="1276"/>
        </w:tabs>
        <w:spacing w:line="360" w:lineRule="auto"/>
        <w:ind w:firstLine="284"/>
        <w:contextualSpacing/>
        <w:rPr>
          <w:rFonts w:ascii="Times New Roman" w:eastAsia="Microsoft YaHei" w:hAnsi="Times New Roman" w:cs="Times New Roman"/>
          <w:sz w:val="28"/>
          <w:szCs w:val="28"/>
        </w:rPr>
      </w:pPr>
      <w:r>
        <w:rPr>
          <w:rFonts w:ascii="Microsoft YaHei" w:eastAsia="Microsoft YaHei" w:hAnsi="Microsoft YaHei" w:cs="Microsoft YaHei"/>
          <w:noProof/>
          <w:lang w:bidi="ar-SA"/>
        </w:rPr>
        <w:lastRenderedPageBreak/>
        <mc:AlternateContent>
          <mc:Choice Requires="wpg">
            <w:drawing>
              <wp:inline distT="0" distB="0" distL="0" distR="0" wp14:anchorId="32200300" wp14:editId="32200301">
                <wp:extent cx="5699760" cy="3817620"/>
                <wp:effectExtent l="0" t="0" r="0" b="0"/>
                <wp:docPr id="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rotWithShape="1">
                        <a:blip r:embed="rId23"/>
                        <a:stretch/>
                      </pic:blipFill>
                      <pic:spPr bwMode="auto">
                        <a:xfrm>
                          <a:off x="0" y="0"/>
                          <a:ext cx="5699760" cy="3817620"/>
                        </a:xfrm>
                        <a:prstGeom prst="rect">
                          <a:avLst/>
                        </a:prstGeom>
                      </pic:spPr>
                    </pic:pi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 o:spid="_x0000_s1" type="#_x0000_t75" style="width:448.80pt;height:300.60pt;mso-wrap-distance-left:0.00pt;mso-wrap-distance-top:0.00pt;mso-wrap-distance-right:0.00pt;mso-wrap-distance-bottom:0.00pt;z-index:1;" stroked="false">
                <v:imagedata r:id="rId24" o:title=""/>
                <o:lock v:ext="edit" rotation="t"/>
              </v:shape>
            </w:pict>
          </mc:Fallback>
        </mc:AlternateContent>
      </w:r>
    </w:p>
    <w:p w14:paraId="321FFD37"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1.3. Система якості медичної допомоги</w:t>
      </w:r>
    </w:p>
    <w:p w14:paraId="321FFD38"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сформовано автором</w:t>
      </w:r>
    </w:p>
    <w:p w14:paraId="321FFD39"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i/>
        </w:rPr>
      </w:pPr>
    </w:p>
    <w:p w14:paraId="321FFD3A"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процесі організації виробництва медичних послуг в галузі охорони здоров’я виробничим циклом виступає завершення лікувально-діагностичного процесу, досягнення кінцевого результату у формі закінченого випадку [19]. До всіх процесів в медичній галузі може бути успішно застосований цикл Демінга-Шухарта «Plan - Do - Check - Act» (PDCA), який означає:</w:t>
      </w:r>
    </w:p>
    <w:p w14:paraId="321FFD3B"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розробка цілей і процесів - планування (plan);</w:t>
      </w:r>
    </w:p>
    <w:p w14:paraId="321FFD3C"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впровадження процесів  - здійснення (do);</w:t>
      </w:r>
    </w:p>
    <w:p w14:paraId="321FFD3D"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безперервний контроль та вимірювання процесів - перевірка (check);</w:t>
      </w:r>
    </w:p>
    <w:p w14:paraId="321FFD3E"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дії щодо вдосконалення процесів - дія (act) (рис. 1.4).</w:t>
      </w:r>
    </w:p>
    <w:p w14:paraId="321FFD3F"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w:lastRenderedPageBreak/>
        <mc:AlternateContent>
          <mc:Choice Requires="wpg">
            <w:drawing>
              <wp:inline distT="0" distB="0" distL="0" distR="0" wp14:anchorId="32200302" wp14:editId="32200303">
                <wp:extent cx="5405579" cy="3048000"/>
                <wp:effectExtent l="0" t="0" r="5080" b="0"/>
                <wp:docPr id="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rotWithShape="1">
                        <a:blip r:embed="rId25"/>
                        <a:stretch/>
                      </pic:blipFill>
                      <pic:spPr bwMode="auto">
                        <a:xfrm>
                          <a:off x="0" y="0"/>
                          <a:ext cx="5434675" cy="3064406"/>
                        </a:xfrm>
                        <a:prstGeom prst="rect">
                          <a:avLst/>
                        </a:prstGeom>
                      </pic:spPr>
                    </pic:pi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 o:spid="_x0000_s2" type="#_x0000_t75" style="width:425.64pt;height:240.00pt;mso-wrap-distance-left:0.00pt;mso-wrap-distance-top:0.00pt;mso-wrap-distance-right:0.00pt;mso-wrap-distance-bottom:0.00pt;z-index:1;" stroked="false">
                <v:imagedata r:id="rId26" o:title=""/>
                <o:lock v:ext="edit" rotation="t"/>
              </v:shape>
            </w:pict>
          </mc:Fallback>
        </mc:AlternateContent>
      </w:r>
    </w:p>
    <w:p w14:paraId="321FFD40" w14:textId="77777777" w:rsidR="003C626E" w:rsidRDefault="001A5B20">
      <w:pPr>
        <w:tabs>
          <w:tab w:val="left" w:pos="993"/>
          <w:tab w:val="left" w:pos="1276"/>
        </w:tabs>
        <w:spacing w:line="360" w:lineRule="auto"/>
        <w:ind w:left="720"/>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1.4. Цикл забезпечення якості (цикл Демінга-Шухарта)</w:t>
      </w:r>
    </w:p>
    <w:p w14:paraId="321FFD41"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сформовано автором</w:t>
      </w:r>
    </w:p>
    <w:p w14:paraId="321FFD42" w14:textId="77777777" w:rsidR="003C626E" w:rsidRDefault="003C626E">
      <w:pPr>
        <w:tabs>
          <w:tab w:val="left" w:pos="993"/>
          <w:tab w:val="left" w:pos="1276"/>
        </w:tabs>
        <w:spacing w:line="360" w:lineRule="auto"/>
        <w:ind w:left="720"/>
        <w:contextualSpacing/>
        <w:jc w:val="both"/>
        <w:rPr>
          <w:rFonts w:ascii="Times New Roman" w:eastAsia="Microsoft YaHei" w:hAnsi="Times New Roman" w:cs="Times New Roman"/>
          <w:b/>
          <w:color w:val="auto"/>
          <w:sz w:val="28"/>
          <w:szCs w:val="28"/>
        </w:rPr>
      </w:pPr>
    </w:p>
    <w:p w14:paraId="321FFD43"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Низька якість медичної допомоги призводить до небажаних негативних наслідків</w:t>
      </w:r>
      <w:r>
        <w:rPr>
          <w:rFonts w:ascii="Times New Roman" w:eastAsia="Microsoft YaHei" w:hAnsi="Times New Roman" w:cs="Times New Roman"/>
          <w:color w:val="auto"/>
          <w:sz w:val="28"/>
          <w:szCs w:val="28"/>
          <w:lang w:val="ru-RU"/>
        </w:rPr>
        <w:t xml:space="preserve">: </w:t>
      </w:r>
      <w:r>
        <w:rPr>
          <w:rFonts w:ascii="Times New Roman" w:eastAsia="Microsoft YaHei" w:hAnsi="Times New Roman" w:cs="Times New Roman"/>
          <w:color w:val="auto"/>
          <w:sz w:val="28"/>
          <w:szCs w:val="28"/>
        </w:rPr>
        <w:t>вона значно знижує можливості впливу на загальний стан здоров’я населення та спричиняє марнотратне витрачання обмежених фінансових ресурсів системи.</w:t>
      </w:r>
    </w:p>
    <w:p w14:paraId="321FFD44"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Розрізняють три моделі управління ЯМД (рис. 1.5).</w:t>
      </w:r>
    </w:p>
    <w:p w14:paraId="321FFD45"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w:drawing>
          <wp:inline distT="0" distB="0" distL="0" distR="0" wp14:anchorId="32200304" wp14:editId="32200305">
            <wp:extent cx="5478780" cy="2903220"/>
            <wp:effectExtent l="0" t="0" r="0" b="0"/>
            <wp:docPr id="5"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321FFD46"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1.5. Моделі управління якістю медичних послуг</w:t>
      </w:r>
    </w:p>
    <w:p w14:paraId="321FFD47"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сформовано автором</w:t>
      </w:r>
    </w:p>
    <w:p w14:paraId="321FFD48"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Управління ЯМД в Україні у реальних умовах ґрунтується на професійно-бюрократичному варіанті.</w:t>
      </w:r>
    </w:p>
    <w:p w14:paraId="321FFD49"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При застосуванні професійної моделі єдиною гарантією якості виступає високий кваліфікаційний рівень і професійна майстерність [20, с. 63]. Бюрократична – це суворий контроль і чітке забезпечення якості. Орієнтація індустріальної моделі спрямована на задоволення потреб пацієнтів і їх очікувань, а також інтересів усіх інших учасників надання медичної допомоги, а саме: лікарів, медичних сестер тощо. Індустріальна модель є прикладом реалізації сучасної концепції постійного та безперервного покращення ЯМД (табл. 1.3).</w:t>
      </w:r>
    </w:p>
    <w:p w14:paraId="321FFD4A" w14:textId="77777777" w:rsidR="003C626E" w:rsidRDefault="001A5B20">
      <w:pPr>
        <w:tabs>
          <w:tab w:val="left" w:pos="993"/>
          <w:tab w:val="left" w:pos="1276"/>
        </w:tabs>
        <w:spacing w:line="360" w:lineRule="auto"/>
        <w:ind w:firstLine="709"/>
        <w:contextualSpacing/>
        <w:jc w:val="right"/>
        <w:rPr>
          <w:rFonts w:ascii="Times New Roman" w:eastAsia="Microsoft YaHei" w:hAnsi="Times New Roman" w:cs="Times New Roman"/>
          <w:sz w:val="28"/>
          <w:szCs w:val="28"/>
        </w:rPr>
      </w:pPr>
      <w:r>
        <w:rPr>
          <w:rFonts w:ascii="Times New Roman" w:eastAsia="Microsoft YaHei" w:hAnsi="Times New Roman" w:cs="Times New Roman"/>
          <w:sz w:val="28"/>
          <w:szCs w:val="28"/>
        </w:rPr>
        <w:t>Таблиця 1.3</w:t>
      </w:r>
    </w:p>
    <w:p w14:paraId="321FFD4B"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Моделі управління якістю медичних послуг</w:t>
      </w:r>
    </w:p>
    <w:tbl>
      <w:tblPr>
        <w:tblStyle w:val="26"/>
        <w:tblW w:w="0" w:type="auto"/>
        <w:tblInd w:w="421" w:type="dxa"/>
        <w:tblLook w:val="04A0" w:firstRow="1" w:lastRow="0" w:firstColumn="1" w:lastColumn="0" w:noHBand="0" w:noVBand="1"/>
      </w:tblPr>
      <w:tblGrid>
        <w:gridCol w:w="557"/>
        <w:gridCol w:w="1567"/>
        <w:gridCol w:w="1104"/>
        <w:gridCol w:w="776"/>
        <w:gridCol w:w="2107"/>
        <w:gridCol w:w="1011"/>
        <w:gridCol w:w="1801"/>
      </w:tblGrid>
      <w:tr w:rsidR="003C626E" w14:paraId="321FFD53" w14:textId="77777777">
        <w:trPr>
          <w:cantSplit/>
          <w:trHeight w:val="1517"/>
        </w:trPr>
        <w:tc>
          <w:tcPr>
            <w:tcW w:w="557" w:type="dxa"/>
            <w:textDirection w:val="btLr"/>
            <w:vAlign w:val="center"/>
          </w:tcPr>
          <w:p w14:paraId="321FFD4C"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Моделі</w:t>
            </w:r>
          </w:p>
        </w:tc>
        <w:tc>
          <w:tcPr>
            <w:tcW w:w="1567" w:type="dxa"/>
            <w:vAlign w:val="center"/>
          </w:tcPr>
          <w:p w14:paraId="321FFD4D" w14:textId="77777777" w:rsidR="003C626E" w:rsidRDefault="001A5B20">
            <w:pPr>
              <w:tabs>
                <w:tab w:val="left" w:pos="993"/>
                <w:tab w:val="left" w:pos="1276"/>
              </w:tabs>
              <w:contextualSpacing/>
              <w:jc w:val="center"/>
              <w:rPr>
                <w:rFonts w:ascii="Times New Roman" w:eastAsia="Microsoft YaHei" w:hAnsi="Times New Roman" w:cs="Times New Roman"/>
              </w:rPr>
            </w:pPr>
            <w:r>
              <w:rPr>
                <w:rFonts w:ascii="Times New Roman" w:eastAsia="Microsoft YaHei" w:hAnsi="Times New Roman" w:cs="Times New Roman"/>
              </w:rPr>
              <w:t>Мета</w:t>
            </w:r>
          </w:p>
        </w:tc>
        <w:tc>
          <w:tcPr>
            <w:tcW w:w="1104" w:type="dxa"/>
            <w:vAlign w:val="center"/>
          </w:tcPr>
          <w:p w14:paraId="321FFD4E" w14:textId="77777777" w:rsidR="003C626E" w:rsidRDefault="001A5B20">
            <w:pPr>
              <w:tabs>
                <w:tab w:val="left" w:pos="993"/>
                <w:tab w:val="left" w:pos="1276"/>
              </w:tabs>
              <w:contextualSpacing/>
              <w:jc w:val="center"/>
              <w:rPr>
                <w:rFonts w:ascii="Times New Roman" w:eastAsia="Microsoft YaHei" w:hAnsi="Times New Roman" w:cs="Times New Roman"/>
              </w:rPr>
            </w:pPr>
            <w:r>
              <w:rPr>
                <w:rFonts w:ascii="Times New Roman" w:eastAsia="Microsoft YaHei" w:hAnsi="Times New Roman" w:cs="Times New Roman"/>
              </w:rPr>
              <w:t>Об’єкт</w:t>
            </w:r>
          </w:p>
        </w:tc>
        <w:tc>
          <w:tcPr>
            <w:tcW w:w="776" w:type="dxa"/>
            <w:textDirection w:val="btLr"/>
            <w:vAlign w:val="center"/>
          </w:tcPr>
          <w:p w14:paraId="321FFD4F"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Періодич-ність</w:t>
            </w:r>
          </w:p>
        </w:tc>
        <w:tc>
          <w:tcPr>
            <w:tcW w:w="2107" w:type="dxa"/>
            <w:vAlign w:val="center"/>
          </w:tcPr>
          <w:p w14:paraId="321FFD50" w14:textId="77777777" w:rsidR="003C626E" w:rsidRDefault="001A5B20">
            <w:pPr>
              <w:tabs>
                <w:tab w:val="left" w:pos="993"/>
                <w:tab w:val="left" w:pos="1276"/>
              </w:tabs>
              <w:contextualSpacing/>
              <w:jc w:val="center"/>
              <w:rPr>
                <w:rFonts w:ascii="Times New Roman" w:eastAsia="Microsoft YaHei" w:hAnsi="Times New Roman" w:cs="Times New Roman"/>
              </w:rPr>
            </w:pPr>
            <w:r>
              <w:rPr>
                <w:rFonts w:ascii="Times New Roman" w:eastAsia="Microsoft YaHei" w:hAnsi="Times New Roman" w:cs="Times New Roman"/>
              </w:rPr>
              <w:t>Механізми управлінської дії</w:t>
            </w:r>
          </w:p>
        </w:tc>
        <w:tc>
          <w:tcPr>
            <w:tcW w:w="1011" w:type="dxa"/>
            <w:textDirection w:val="btLr"/>
            <w:vAlign w:val="center"/>
          </w:tcPr>
          <w:p w14:paraId="321FFD51"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Відпові-дальність за результат</w:t>
            </w:r>
          </w:p>
        </w:tc>
        <w:tc>
          <w:tcPr>
            <w:tcW w:w="1801" w:type="dxa"/>
            <w:vAlign w:val="center"/>
          </w:tcPr>
          <w:p w14:paraId="321FFD52" w14:textId="77777777" w:rsidR="003C626E" w:rsidRDefault="001A5B20">
            <w:pPr>
              <w:tabs>
                <w:tab w:val="left" w:pos="993"/>
                <w:tab w:val="left" w:pos="1276"/>
              </w:tabs>
              <w:contextualSpacing/>
              <w:jc w:val="center"/>
              <w:rPr>
                <w:rFonts w:ascii="Times New Roman" w:eastAsia="Microsoft YaHei" w:hAnsi="Times New Roman" w:cs="Times New Roman"/>
              </w:rPr>
            </w:pPr>
            <w:r>
              <w:rPr>
                <w:rFonts w:ascii="Times New Roman" w:eastAsia="Microsoft YaHei" w:hAnsi="Times New Roman" w:cs="Times New Roman"/>
              </w:rPr>
              <w:t>Мотивація персоналу</w:t>
            </w:r>
          </w:p>
        </w:tc>
      </w:tr>
      <w:tr w:rsidR="003C626E" w14:paraId="321FFD5F" w14:textId="77777777">
        <w:trPr>
          <w:cantSplit/>
          <w:trHeight w:val="1134"/>
        </w:trPr>
        <w:tc>
          <w:tcPr>
            <w:tcW w:w="557" w:type="dxa"/>
            <w:textDirection w:val="btLr"/>
          </w:tcPr>
          <w:p w14:paraId="321FFD54"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Професійна</w:t>
            </w:r>
          </w:p>
        </w:tc>
        <w:tc>
          <w:tcPr>
            <w:tcW w:w="1567" w:type="dxa"/>
            <w:vAlign w:val="center"/>
          </w:tcPr>
          <w:p w14:paraId="321FFD55"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Поліпшення клінічного стану пацієнта</w:t>
            </w:r>
          </w:p>
        </w:tc>
        <w:tc>
          <w:tcPr>
            <w:tcW w:w="1104" w:type="dxa"/>
            <w:textDirection w:val="btLr"/>
          </w:tcPr>
          <w:p w14:paraId="321FFD56"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Процес</w:t>
            </w:r>
          </w:p>
          <w:p w14:paraId="321FFD57"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Результат</w:t>
            </w:r>
          </w:p>
        </w:tc>
        <w:tc>
          <w:tcPr>
            <w:tcW w:w="776" w:type="dxa"/>
            <w:textDirection w:val="btLr"/>
            <w:vAlign w:val="center"/>
          </w:tcPr>
          <w:p w14:paraId="321FFD58"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Епізодично</w:t>
            </w:r>
          </w:p>
        </w:tc>
        <w:tc>
          <w:tcPr>
            <w:tcW w:w="2107" w:type="dxa"/>
            <w:vAlign w:val="center"/>
          </w:tcPr>
          <w:p w14:paraId="321FFD59" w14:textId="77777777" w:rsidR="003C626E" w:rsidRDefault="001A5B20">
            <w:pPr>
              <w:tabs>
                <w:tab w:val="left" w:pos="993"/>
                <w:tab w:val="left" w:pos="1276"/>
              </w:tabs>
              <w:ind w:left="12" w:hanging="12"/>
              <w:contextualSpacing/>
              <w:rPr>
                <w:rFonts w:ascii="Times New Roman" w:eastAsia="Microsoft YaHei" w:hAnsi="Times New Roman" w:cs="Times New Roman"/>
              </w:rPr>
            </w:pPr>
            <w:r>
              <w:rPr>
                <w:rFonts w:ascii="Times New Roman" w:eastAsia="Microsoft YaHei" w:hAnsi="Times New Roman" w:cs="Times New Roman"/>
              </w:rPr>
              <w:t>Аналіз клінічних випадків із несприятливим результатом, проведення консиліумів</w:t>
            </w:r>
          </w:p>
        </w:tc>
        <w:tc>
          <w:tcPr>
            <w:tcW w:w="1011" w:type="dxa"/>
            <w:textDirection w:val="btLr"/>
            <w:vAlign w:val="center"/>
          </w:tcPr>
          <w:p w14:paraId="321FFD5A"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Медичний персонал</w:t>
            </w:r>
          </w:p>
        </w:tc>
        <w:tc>
          <w:tcPr>
            <w:tcW w:w="1801" w:type="dxa"/>
            <w:textDirection w:val="btLr"/>
            <w:vAlign w:val="center"/>
          </w:tcPr>
          <w:p w14:paraId="321FFD5B" w14:textId="77777777" w:rsidR="003C626E" w:rsidRDefault="001A5B20">
            <w:pPr>
              <w:tabs>
                <w:tab w:val="left" w:pos="993"/>
                <w:tab w:val="left" w:pos="1276"/>
              </w:tabs>
              <w:ind w:left="113" w:right="113"/>
              <w:contextualSpacing/>
              <w:rPr>
                <w:rFonts w:ascii="Times New Roman" w:eastAsia="Microsoft YaHei" w:hAnsi="Times New Roman" w:cs="Times New Roman"/>
              </w:rPr>
            </w:pPr>
            <w:r>
              <w:rPr>
                <w:rFonts w:ascii="Times New Roman" w:eastAsia="Microsoft YaHei" w:hAnsi="Times New Roman" w:cs="Times New Roman"/>
              </w:rPr>
              <w:t>Визнання</w:t>
            </w:r>
          </w:p>
          <w:p w14:paraId="321FFD5C" w14:textId="77777777" w:rsidR="003C626E" w:rsidRDefault="001A5B20">
            <w:pPr>
              <w:tabs>
                <w:tab w:val="left" w:pos="993"/>
                <w:tab w:val="left" w:pos="1276"/>
              </w:tabs>
              <w:ind w:left="113" w:right="113"/>
              <w:contextualSpacing/>
              <w:rPr>
                <w:rFonts w:ascii="Times New Roman" w:eastAsia="Microsoft YaHei" w:hAnsi="Times New Roman" w:cs="Times New Roman"/>
              </w:rPr>
            </w:pPr>
            <w:r>
              <w:rPr>
                <w:rFonts w:ascii="Times New Roman" w:eastAsia="Microsoft YaHei" w:hAnsi="Times New Roman" w:cs="Times New Roman"/>
              </w:rPr>
              <w:t>професіоналізму</w:t>
            </w:r>
          </w:p>
          <w:p w14:paraId="321FFD5D" w14:textId="77777777" w:rsidR="003C626E" w:rsidRDefault="001A5B20">
            <w:pPr>
              <w:tabs>
                <w:tab w:val="left" w:pos="993"/>
                <w:tab w:val="left" w:pos="1276"/>
              </w:tabs>
              <w:ind w:left="113" w:right="113"/>
              <w:contextualSpacing/>
              <w:rPr>
                <w:rFonts w:ascii="Times New Roman" w:eastAsia="Microsoft YaHei" w:hAnsi="Times New Roman" w:cs="Times New Roman"/>
                <w:lang w:val="ru-RU"/>
              </w:rPr>
            </w:pPr>
            <w:r>
              <w:rPr>
                <w:rFonts w:ascii="Times New Roman" w:eastAsia="Microsoft YaHei" w:hAnsi="Times New Roman" w:cs="Times New Roman"/>
              </w:rPr>
              <w:t xml:space="preserve">пацієнтами </w:t>
            </w:r>
            <w:r>
              <w:rPr>
                <w:rFonts w:ascii="Times New Roman" w:eastAsia="Microsoft YaHei" w:hAnsi="Times New Roman" w:cs="Times New Roman"/>
                <w:lang w:val="ru-RU"/>
              </w:rPr>
              <w:t>та</w:t>
            </w:r>
          </w:p>
          <w:p w14:paraId="321FFD5E" w14:textId="77777777" w:rsidR="003C626E" w:rsidRDefault="001A5B20">
            <w:pPr>
              <w:tabs>
                <w:tab w:val="left" w:pos="993"/>
                <w:tab w:val="left" w:pos="1276"/>
              </w:tabs>
              <w:ind w:left="113" w:right="113"/>
              <w:contextualSpacing/>
              <w:rPr>
                <w:rFonts w:ascii="Times New Roman" w:eastAsia="Microsoft YaHei" w:hAnsi="Times New Roman" w:cs="Times New Roman"/>
              </w:rPr>
            </w:pPr>
            <w:r>
              <w:rPr>
                <w:rFonts w:ascii="Times New Roman" w:eastAsia="Microsoft YaHei" w:hAnsi="Times New Roman" w:cs="Times New Roman"/>
              </w:rPr>
              <w:t>колегами</w:t>
            </w:r>
          </w:p>
        </w:tc>
      </w:tr>
      <w:tr w:rsidR="003C626E" w14:paraId="321FFD68" w14:textId="77777777">
        <w:trPr>
          <w:cantSplit/>
          <w:trHeight w:val="1134"/>
        </w:trPr>
        <w:tc>
          <w:tcPr>
            <w:tcW w:w="557" w:type="dxa"/>
            <w:textDirection w:val="btLr"/>
          </w:tcPr>
          <w:p w14:paraId="321FFD60"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Бюрократична</w:t>
            </w:r>
          </w:p>
        </w:tc>
        <w:tc>
          <w:tcPr>
            <w:tcW w:w="1567" w:type="dxa"/>
            <w:vAlign w:val="center"/>
          </w:tcPr>
          <w:p w14:paraId="321FFD61"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Підвищення показників здоров’я населення, дотримання нормативних вимог</w:t>
            </w:r>
          </w:p>
        </w:tc>
        <w:tc>
          <w:tcPr>
            <w:tcW w:w="1104" w:type="dxa"/>
            <w:textDirection w:val="btLr"/>
          </w:tcPr>
          <w:p w14:paraId="321FFD62"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Процес</w:t>
            </w:r>
          </w:p>
          <w:p w14:paraId="321FFD63"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Структура</w:t>
            </w:r>
          </w:p>
        </w:tc>
        <w:tc>
          <w:tcPr>
            <w:tcW w:w="776" w:type="dxa"/>
            <w:textDirection w:val="btLr"/>
            <w:vAlign w:val="center"/>
          </w:tcPr>
          <w:p w14:paraId="321FFD64"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Епізодично</w:t>
            </w:r>
          </w:p>
        </w:tc>
        <w:tc>
          <w:tcPr>
            <w:tcW w:w="2107" w:type="dxa"/>
            <w:vAlign w:val="center"/>
          </w:tcPr>
          <w:p w14:paraId="321FFD65" w14:textId="77777777" w:rsidR="003C626E" w:rsidRDefault="001A5B20">
            <w:pPr>
              <w:tabs>
                <w:tab w:val="left" w:pos="993"/>
                <w:tab w:val="left" w:pos="1276"/>
              </w:tabs>
              <w:ind w:left="12" w:hanging="12"/>
              <w:contextualSpacing/>
              <w:rPr>
                <w:rFonts w:ascii="Times New Roman" w:eastAsia="Microsoft YaHei" w:hAnsi="Times New Roman" w:cs="Times New Roman"/>
              </w:rPr>
            </w:pPr>
            <w:r>
              <w:rPr>
                <w:rFonts w:ascii="Times New Roman" w:eastAsia="Microsoft YaHei" w:hAnsi="Times New Roman" w:cs="Times New Roman"/>
              </w:rPr>
              <w:t>Контроль, ведення статистичного обліку і звітності, стандартизація, сертифікація, ліцензування, акредитація</w:t>
            </w:r>
          </w:p>
        </w:tc>
        <w:tc>
          <w:tcPr>
            <w:tcW w:w="1011" w:type="dxa"/>
            <w:textDirection w:val="btLr"/>
            <w:vAlign w:val="center"/>
          </w:tcPr>
          <w:p w14:paraId="321FFD66"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Медичний персонал, адміністрація</w:t>
            </w:r>
          </w:p>
        </w:tc>
        <w:tc>
          <w:tcPr>
            <w:tcW w:w="1801" w:type="dxa"/>
            <w:textDirection w:val="btLr"/>
            <w:vAlign w:val="center"/>
          </w:tcPr>
          <w:p w14:paraId="321FFD67" w14:textId="77777777" w:rsidR="003C626E" w:rsidRDefault="001A5B20">
            <w:pPr>
              <w:tabs>
                <w:tab w:val="left" w:pos="993"/>
                <w:tab w:val="left" w:pos="1276"/>
              </w:tabs>
              <w:ind w:left="113" w:right="113"/>
              <w:contextualSpacing/>
              <w:rPr>
                <w:rFonts w:ascii="Times New Roman" w:eastAsia="Microsoft YaHei" w:hAnsi="Times New Roman" w:cs="Times New Roman"/>
              </w:rPr>
            </w:pPr>
            <w:r>
              <w:rPr>
                <w:rFonts w:ascii="Times New Roman" w:eastAsia="Microsoft YaHei" w:hAnsi="Times New Roman" w:cs="Times New Roman"/>
              </w:rPr>
              <w:t>Система покарань: декваліфікація, пониження категорії, позбавлення ліцензії</w:t>
            </w:r>
          </w:p>
        </w:tc>
      </w:tr>
      <w:tr w:rsidR="003C626E" w14:paraId="321FFD76" w14:textId="77777777">
        <w:trPr>
          <w:cantSplit/>
          <w:trHeight w:val="1134"/>
        </w:trPr>
        <w:tc>
          <w:tcPr>
            <w:tcW w:w="557" w:type="dxa"/>
            <w:textDirection w:val="btLr"/>
          </w:tcPr>
          <w:p w14:paraId="321FFD69"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Індустріальна</w:t>
            </w:r>
          </w:p>
        </w:tc>
        <w:tc>
          <w:tcPr>
            <w:tcW w:w="1567" w:type="dxa"/>
            <w:vAlign w:val="center"/>
          </w:tcPr>
          <w:p w14:paraId="321FFD6A" w14:textId="77777777" w:rsidR="003C626E" w:rsidRDefault="001A5B20">
            <w:pPr>
              <w:tabs>
                <w:tab w:val="left" w:pos="993"/>
                <w:tab w:val="left" w:pos="1276"/>
              </w:tabs>
              <w:ind w:left="9"/>
              <w:contextualSpacing/>
              <w:rPr>
                <w:rFonts w:ascii="Times New Roman" w:eastAsia="Microsoft YaHei" w:hAnsi="Times New Roman" w:cs="Times New Roman"/>
              </w:rPr>
            </w:pPr>
            <w:r>
              <w:rPr>
                <w:rFonts w:ascii="Times New Roman" w:eastAsia="Microsoft YaHei" w:hAnsi="Times New Roman" w:cs="Times New Roman"/>
              </w:rPr>
              <w:t>Задоволення потреб</w:t>
            </w:r>
          </w:p>
          <w:p w14:paraId="321FFD6B" w14:textId="77777777" w:rsidR="003C626E" w:rsidRDefault="001A5B20">
            <w:pPr>
              <w:tabs>
                <w:tab w:val="left" w:pos="993"/>
                <w:tab w:val="left" w:pos="1276"/>
              </w:tabs>
              <w:ind w:left="9"/>
              <w:contextualSpacing/>
              <w:rPr>
                <w:rFonts w:ascii="Times New Roman" w:eastAsia="Microsoft YaHei" w:hAnsi="Times New Roman" w:cs="Times New Roman"/>
              </w:rPr>
            </w:pPr>
            <w:r>
              <w:rPr>
                <w:rFonts w:ascii="Times New Roman" w:eastAsia="Microsoft YaHei" w:hAnsi="Times New Roman" w:cs="Times New Roman"/>
              </w:rPr>
              <w:t>пацієнтів,</w:t>
            </w:r>
          </w:p>
          <w:p w14:paraId="321FFD6C" w14:textId="77777777" w:rsidR="003C626E" w:rsidRDefault="001A5B20">
            <w:pPr>
              <w:tabs>
                <w:tab w:val="left" w:pos="993"/>
                <w:tab w:val="left" w:pos="1276"/>
              </w:tabs>
              <w:ind w:left="9"/>
              <w:contextualSpacing/>
              <w:rPr>
                <w:rFonts w:ascii="Times New Roman" w:eastAsia="Microsoft YaHei" w:hAnsi="Times New Roman" w:cs="Times New Roman"/>
              </w:rPr>
            </w:pPr>
            <w:r>
              <w:rPr>
                <w:rFonts w:ascii="Times New Roman" w:eastAsia="Microsoft YaHei" w:hAnsi="Times New Roman" w:cs="Times New Roman"/>
              </w:rPr>
              <w:t>персоналу</w:t>
            </w:r>
          </w:p>
          <w:p w14:paraId="321FFD6D" w14:textId="77777777" w:rsidR="003C626E" w:rsidRDefault="001A5B20">
            <w:pPr>
              <w:tabs>
                <w:tab w:val="left" w:pos="993"/>
                <w:tab w:val="left" w:pos="1276"/>
              </w:tabs>
              <w:ind w:left="9"/>
              <w:contextualSpacing/>
              <w:rPr>
                <w:rFonts w:ascii="Times New Roman" w:eastAsia="Microsoft YaHei" w:hAnsi="Times New Roman" w:cs="Times New Roman"/>
              </w:rPr>
            </w:pPr>
            <w:r>
              <w:rPr>
                <w:rFonts w:ascii="Times New Roman" w:eastAsia="Microsoft YaHei" w:hAnsi="Times New Roman" w:cs="Times New Roman"/>
              </w:rPr>
              <w:t>та інтересів</w:t>
            </w:r>
          </w:p>
          <w:p w14:paraId="321FFD6E"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держави</w:t>
            </w:r>
          </w:p>
        </w:tc>
        <w:tc>
          <w:tcPr>
            <w:tcW w:w="1104" w:type="dxa"/>
            <w:textDirection w:val="btLr"/>
          </w:tcPr>
          <w:p w14:paraId="321FFD6F"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Процес</w:t>
            </w:r>
          </w:p>
          <w:p w14:paraId="321FFD70"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Результат</w:t>
            </w:r>
          </w:p>
          <w:p w14:paraId="321FFD71"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Структура</w:t>
            </w:r>
          </w:p>
        </w:tc>
        <w:tc>
          <w:tcPr>
            <w:tcW w:w="776" w:type="dxa"/>
            <w:textDirection w:val="btLr"/>
            <w:vAlign w:val="center"/>
          </w:tcPr>
          <w:p w14:paraId="321FFD72"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Постійно</w:t>
            </w:r>
          </w:p>
        </w:tc>
        <w:tc>
          <w:tcPr>
            <w:tcW w:w="2107" w:type="dxa"/>
            <w:vAlign w:val="center"/>
          </w:tcPr>
          <w:p w14:paraId="321FFD73" w14:textId="77777777" w:rsidR="003C626E" w:rsidRDefault="001A5B20">
            <w:pPr>
              <w:tabs>
                <w:tab w:val="left" w:pos="993"/>
                <w:tab w:val="left" w:pos="1276"/>
              </w:tabs>
              <w:ind w:left="12" w:hanging="12"/>
              <w:contextualSpacing/>
              <w:rPr>
                <w:rFonts w:ascii="Times New Roman" w:eastAsia="Microsoft YaHei" w:hAnsi="Times New Roman" w:cs="Times New Roman"/>
              </w:rPr>
            </w:pPr>
            <w:r>
              <w:rPr>
                <w:rFonts w:ascii="Times New Roman" w:eastAsia="Microsoft YaHei" w:hAnsi="Times New Roman" w:cs="Times New Roman"/>
              </w:rPr>
              <w:t>Програми безперервного поліпшення якості, самооцінка діяльності, навчання персоналу, клінічний аудит</w:t>
            </w:r>
          </w:p>
        </w:tc>
        <w:tc>
          <w:tcPr>
            <w:tcW w:w="1011" w:type="dxa"/>
            <w:textDirection w:val="btLr"/>
            <w:vAlign w:val="center"/>
          </w:tcPr>
          <w:p w14:paraId="321FFD74" w14:textId="77777777" w:rsidR="003C626E" w:rsidRDefault="001A5B20">
            <w:pPr>
              <w:tabs>
                <w:tab w:val="left" w:pos="993"/>
                <w:tab w:val="left" w:pos="1276"/>
              </w:tabs>
              <w:ind w:left="113" w:right="113"/>
              <w:contextualSpacing/>
              <w:jc w:val="center"/>
              <w:rPr>
                <w:rFonts w:ascii="Times New Roman" w:eastAsia="Microsoft YaHei" w:hAnsi="Times New Roman" w:cs="Times New Roman"/>
              </w:rPr>
            </w:pPr>
            <w:r>
              <w:rPr>
                <w:rFonts w:ascii="Times New Roman" w:eastAsia="Microsoft YaHei" w:hAnsi="Times New Roman" w:cs="Times New Roman"/>
              </w:rPr>
              <w:t>Увесь персонал закладу, адміністрація, держава, пацієнти</w:t>
            </w:r>
          </w:p>
        </w:tc>
        <w:tc>
          <w:tcPr>
            <w:tcW w:w="1801" w:type="dxa"/>
            <w:textDirection w:val="btLr"/>
            <w:vAlign w:val="center"/>
          </w:tcPr>
          <w:p w14:paraId="321FFD75" w14:textId="77777777" w:rsidR="003C626E" w:rsidRDefault="001A5B20">
            <w:pPr>
              <w:tabs>
                <w:tab w:val="left" w:pos="993"/>
                <w:tab w:val="left" w:pos="1276"/>
              </w:tabs>
              <w:ind w:left="113" w:right="113"/>
              <w:contextualSpacing/>
              <w:rPr>
                <w:rFonts w:ascii="Times New Roman" w:eastAsia="Microsoft YaHei" w:hAnsi="Times New Roman" w:cs="Times New Roman"/>
              </w:rPr>
            </w:pPr>
            <w:r>
              <w:rPr>
                <w:rFonts w:ascii="Times New Roman" w:eastAsia="Microsoft YaHei" w:hAnsi="Times New Roman" w:cs="Times New Roman"/>
              </w:rPr>
              <w:t>Професійне самоствердження, відмова від системи покарань, матеріальне стимулювання</w:t>
            </w:r>
          </w:p>
        </w:tc>
      </w:tr>
    </w:tbl>
    <w:p w14:paraId="321FFD77"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сформовано на основі [21]</w:t>
      </w:r>
    </w:p>
    <w:p w14:paraId="321FFD78" w14:textId="77777777" w:rsidR="003C626E" w:rsidRDefault="003C626E">
      <w:pPr>
        <w:tabs>
          <w:tab w:val="left" w:pos="993"/>
          <w:tab w:val="left" w:pos="1276"/>
        </w:tabs>
        <w:spacing w:line="360" w:lineRule="auto"/>
        <w:ind w:firstLine="709"/>
        <w:contextualSpacing/>
        <w:jc w:val="center"/>
        <w:rPr>
          <w:rFonts w:ascii="Times New Roman" w:eastAsia="Microsoft YaHei" w:hAnsi="Times New Roman" w:cs="Times New Roman"/>
          <w:sz w:val="28"/>
          <w:szCs w:val="28"/>
        </w:rPr>
      </w:pPr>
    </w:p>
    <w:p w14:paraId="321FFD79"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 xml:space="preserve">Створення ефективної системи управління ЯМД - один з самих пріоритетних напрямків реформування та трансформації медичної галузі. Цей процес визначає поточні та стратегічні перспективи функціонування будь-якого сучасного медичного закладу. Стратегія управління ЯМД потребує подальшого вдосконалення  та послідовної реалізації (рис. 1.7). </w:t>
      </w:r>
    </w:p>
    <w:p w14:paraId="321FFD7A"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sz w:val="28"/>
          <w:szCs w:val="28"/>
        </w:rPr>
      </w:pPr>
      <w:r>
        <w:rPr>
          <w:rFonts w:ascii="Times New Roman" w:eastAsia="Microsoft YaHei" w:hAnsi="Times New Roman" w:cs="Times New Roman"/>
          <w:noProof/>
          <w:sz w:val="28"/>
          <w:szCs w:val="28"/>
          <w:lang w:bidi="ar-SA"/>
        </w:rPr>
        <mc:AlternateContent>
          <mc:Choice Requires="wpg">
            <w:drawing>
              <wp:inline distT="0" distB="0" distL="0" distR="0" wp14:anchorId="32200306" wp14:editId="32200307">
                <wp:extent cx="5935980" cy="3863340"/>
                <wp:effectExtent l="0" t="0" r="7620" b="381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rotWithShape="1">
                        <a:blip r:embed="rId32"/>
                        <a:stretch/>
                      </pic:blipFill>
                      <pic:spPr bwMode="auto">
                        <a:xfrm>
                          <a:off x="0" y="0"/>
                          <a:ext cx="5943927" cy="3868512"/>
                        </a:xfrm>
                        <a:prstGeom prst="rect">
                          <a:avLst/>
                        </a:prstGeom>
                      </pic:spPr>
                    </pic:pi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 o:spid="_x0000_s3" type="#_x0000_t75" style="width:467.40pt;height:304.20pt;mso-wrap-distance-left:0.00pt;mso-wrap-distance-top:0.00pt;mso-wrap-distance-right:0.00pt;mso-wrap-distance-bottom:0.00pt;z-index:1;" stroked="false">
                <v:imagedata r:id="rId33" o:title=""/>
                <o:lock v:ext="edit" rotation="t"/>
              </v:shape>
            </w:pict>
          </mc:Fallback>
        </mc:AlternateContent>
      </w:r>
    </w:p>
    <w:p w14:paraId="321FFD7B"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1.7. Стратегія управління ЯМД</w:t>
      </w:r>
    </w:p>
    <w:p w14:paraId="321FFD7C"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сформовано автором</w:t>
      </w:r>
    </w:p>
    <w:p w14:paraId="321FFD7D"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b/>
          <w:sz w:val="28"/>
          <w:szCs w:val="28"/>
        </w:rPr>
      </w:pPr>
    </w:p>
    <w:p w14:paraId="321FFD7E"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Наразі</w:t>
      </w:r>
      <w:r>
        <w:rPr>
          <w:rFonts w:ascii="Times New Roman" w:eastAsia="Microsoft YaHei" w:hAnsi="Times New Roman" w:cs="Times New Roman"/>
          <w:sz w:val="28"/>
          <w:szCs w:val="28"/>
          <w:lang w:val="ru-RU"/>
        </w:rPr>
        <w:t xml:space="preserve"> в</w:t>
      </w:r>
      <w:r>
        <w:rPr>
          <w:rFonts w:ascii="Times New Roman" w:eastAsia="Microsoft YaHei" w:hAnsi="Times New Roman" w:cs="Times New Roman"/>
          <w:sz w:val="28"/>
          <w:szCs w:val="28"/>
        </w:rPr>
        <w:t xml:space="preserve"> Україні слід розробити та впровадити в роботу закладів охорони здоров’я комплекс заходів, спрямованих на запровадження системи управління якістю на всіх етапах надання медичної допомоги. Доцільно визначити індикатори якості медичних послуг, які забезпечуватимуть постійне вдосконалення рівня обслуговування відповідно до чинної методології. Також важливо створити систему моніторингу, що дозволить оцінювати ефективність функціонування служби управління ЯМД</w:t>
      </w:r>
      <w:r>
        <w:rPr>
          <w:rFonts w:ascii="Microsoft YaHei" w:eastAsia="Microsoft YaHei" w:hAnsi="Microsoft YaHei" w:cs="Microsoft YaHei"/>
        </w:rPr>
        <w:t xml:space="preserve"> </w:t>
      </w:r>
      <w:r>
        <w:rPr>
          <w:rFonts w:ascii="Times New Roman" w:eastAsia="Microsoft YaHei" w:hAnsi="Times New Roman" w:cs="Times New Roman"/>
          <w:sz w:val="28"/>
          <w:szCs w:val="28"/>
        </w:rPr>
        <w:t>[22, с. 13].</w:t>
      </w:r>
    </w:p>
    <w:p w14:paraId="321FFD7F"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Індикатор - це чітко визначений вимірюваний показник, який відображає один із трьох основних аспектів забезпечення якості медичної допомоги: </w:t>
      </w:r>
      <w:r>
        <w:rPr>
          <w:rFonts w:ascii="Times New Roman" w:eastAsia="Microsoft YaHei" w:hAnsi="Times New Roman" w:cs="Times New Roman"/>
          <w:sz w:val="28"/>
          <w:szCs w:val="28"/>
        </w:rPr>
        <w:lastRenderedPageBreak/>
        <w:t>структуру, процес або результат.</w:t>
      </w:r>
    </w:p>
    <w:p w14:paraId="321FFD80"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Подальший розвиток системи індикаторів якості медичної допомоги в Україні пов’язується зі створенням та вдосконаленням загальнодержавних баз даних, упровадженням сучасних інформаційних технологій, покращенням автоматизованої обробки електронних даних, а також із підвищенням точності й повноти медичної інформації [23, с. 23].</w:t>
      </w:r>
    </w:p>
    <w:p w14:paraId="321FFD81"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Найбільш ефективними системами індикаторів ЯМД в розвинених країнах є наступні:</w:t>
      </w:r>
    </w:p>
    <w:p w14:paraId="321FFD82" w14:textId="77777777" w:rsidR="003C626E" w:rsidRDefault="001A5B20">
      <w:pPr>
        <w:numPr>
          <w:ilvl w:val="0"/>
          <w:numId w:val="33"/>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NHS Digital Indicator Portal – портал індикаторів охорони здоров’я та догляду Великої Британії </w:t>
      </w:r>
    </w:p>
    <w:p w14:paraId="321FFD83" w14:textId="77777777" w:rsidR="003C626E" w:rsidRDefault="001A5B20">
      <w:pPr>
        <w:numPr>
          <w:ilvl w:val="0"/>
          <w:numId w:val="33"/>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AHRQ Quality Indicators – портал індикаторів якості медичної допомоги Агенції з Досліджень та Якості в охороні здоров’я США </w:t>
      </w:r>
    </w:p>
    <w:p w14:paraId="321FFD84" w14:textId="77777777" w:rsidR="003C626E" w:rsidRDefault="001A5B20">
      <w:pPr>
        <w:numPr>
          <w:ilvl w:val="0"/>
          <w:numId w:val="33"/>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CIHI Health indicators - портал індикаторів Канадського Інституту медичної інформації.</w:t>
      </w:r>
    </w:p>
    <w:p w14:paraId="321FFD85"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Очікуваним результатом має стати повне охоплення та відображення за допомогою індикаторів усіх етапів упровадження стандартів структури, процесу й результатів надання медичної допомоги, що забезпечить безперервне вдосконалення її якості для населення.</w:t>
      </w:r>
    </w:p>
    <w:p w14:paraId="321FFD86" w14:textId="77777777" w:rsidR="003C626E" w:rsidRDefault="003C626E">
      <w:pPr>
        <w:spacing w:line="360" w:lineRule="auto"/>
        <w:ind w:firstLine="709"/>
        <w:jc w:val="both"/>
        <w:rPr>
          <w:rFonts w:ascii="Times New Roman" w:eastAsia="Microsoft YaHei" w:hAnsi="Times New Roman" w:cs="Times New Roman"/>
          <w:sz w:val="28"/>
          <w:szCs w:val="28"/>
        </w:rPr>
      </w:pPr>
    </w:p>
    <w:p w14:paraId="321FFD87" w14:textId="77777777" w:rsidR="003C626E" w:rsidRDefault="001A5B20">
      <w:pPr>
        <w:numPr>
          <w:ilvl w:val="1"/>
          <w:numId w:val="31"/>
        </w:numPr>
        <w:tabs>
          <w:tab w:val="left" w:pos="993"/>
          <w:tab w:val="left" w:pos="1276"/>
        </w:tabs>
        <w:spacing w:line="360" w:lineRule="auto"/>
        <w:ind w:left="0" w:firstLine="709"/>
        <w:contextualSpacing/>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Контроль якості медичної допомоги та особливості його здійснення на різних рівнях</w:t>
      </w:r>
    </w:p>
    <w:p w14:paraId="321FFD88"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Наказ Міністерства охорони здоров’я України «Про порядок контролю якості медичної допомоги» від 28.09.2012 № 752 </w:t>
      </w:r>
      <w:r>
        <w:rPr>
          <w:rFonts w:ascii="Times New Roman" w:eastAsia="Microsoft YaHei" w:hAnsi="Times New Roman" w:cs="Times New Roman"/>
          <w:sz w:val="28"/>
          <w:szCs w:val="28"/>
          <w:lang w:val="en-US"/>
        </w:rPr>
        <w:t>[</w:t>
      </w:r>
      <w:r>
        <w:rPr>
          <w:rFonts w:ascii="Times New Roman" w:eastAsia="Microsoft YaHei" w:hAnsi="Times New Roman" w:cs="Times New Roman"/>
          <w:sz w:val="28"/>
          <w:szCs w:val="28"/>
        </w:rPr>
        <w:t>11</w:t>
      </w:r>
      <w:r>
        <w:rPr>
          <w:rFonts w:ascii="Times New Roman" w:eastAsia="Microsoft YaHei" w:hAnsi="Times New Roman" w:cs="Times New Roman"/>
          <w:sz w:val="28"/>
          <w:szCs w:val="28"/>
          <w:lang w:val="en-US"/>
        </w:rPr>
        <w:t xml:space="preserve">] </w:t>
      </w:r>
      <w:r>
        <w:rPr>
          <w:rFonts w:ascii="Times New Roman" w:eastAsia="Microsoft YaHei" w:hAnsi="Times New Roman" w:cs="Times New Roman"/>
          <w:sz w:val="28"/>
          <w:szCs w:val="28"/>
        </w:rPr>
        <w:t xml:space="preserve">визначає поняття якості медичної допомоги (ЯМД). Під ЯМД розуміється сукупність характеристик, що відображають своєчасність надання медичної допомоги, правильність вибору методів профілактики, діагностики, лікування та реабілітації під час надання медичної допомоги, ступінь досягнення запланованого результату. Іншими словами, ЯМД – це характеристика, що відображає ступінь адекватності технологій, обраних для досягнення поставленої мети та дотримання професійних стандартів при даному виді патології з урахуванням </w:t>
      </w:r>
      <w:r>
        <w:rPr>
          <w:rFonts w:ascii="Times New Roman" w:eastAsia="Microsoft YaHei" w:hAnsi="Times New Roman" w:cs="Times New Roman"/>
          <w:sz w:val="28"/>
          <w:szCs w:val="28"/>
        </w:rPr>
        <w:lastRenderedPageBreak/>
        <w:t>індивідуальних особливостей пацієнта та рівня конкретного медичного закладу.</w:t>
      </w:r>
    </w:p>
    <w:p w14:paraId="321FFD89"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Управління ЯМД - сукупність заходів організаційного, економічного, правового, наукового та медичного характеру, спрямованих на забезпечення правильного виконання медичних технологій, зниження ризику погіршення стану пацієнтів та несприятливого соціального прогнозу внаслідок медичної допомоги, оптимізацію витрачання ресурсів медичних установ</w:t>
      </w:r>
      <w:r>
        <w:rPr>
          <w:rFonts w:ascii="Microsoft YaHei" w:eastAsia="Microsoft YaHei" w:hAnsi="Microsoft YaHei" w:cs="Microsoft YaHei"/>
        </w:rPr>
        <w:t xml:space="preserve"> </w:t>
      </w:r>
      <w:r>
        <w:rPr>
          <w:rFonts w:ascii="Times New Roman" w:eastAsia="Microsoft YaHei" w:hAnsi="Times New Roman" w:cs="Times New Roman"/>
          <w:sz w:val="28"/>
          <w:szCs w:val="28"/>
        </w:rPr>
        <w:t>[24, с. 43].</w:t>
      </w:r>
    </w:p>
    <w:p w14:paraId="321FFD8A"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Під забезпеченням якості слід розуміти медичні заходи, спрямовані на досягнення заданого рівня ЯМД та задоволеності пацієнта медичною послугою. Метою діяльності медичного закладу є надання якісної та безпечної медичної допомоги населенню. Забезпечення високої ЯМД необхідно як саме собою, так і як рішення інших проблем управління: досягнення оптимальних фінансових показників, зниження витрат, зменшення кількості виробничих конфліктів, вирішення проблем задоволеності пацієнтів тощо.</w:t>
      </w:r>
    </w:p>
    <w:p w14:paraId="321FFD8B"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Найважливішою функцією управління ЯМД є контроль, включаючи експертизу якості. Система контролю ЯМД передбачає об’єктивну оцінку якості та підвищення ефективності надання медичної допомоги населенню. Це сукупність служб, але в рівні медичних установ - підрозділів, які забезпечують планомірну діяльність із збору та аналізу даних про стан ЯМД, розроблення та реалізацію управлінських рішень щодо поліпшення ЯМД з метою забезпечення прав громадян у отриманні медичної допомоги належної якості та необхідного обсягу.</w:t>
      </w:r>
    </w:p>
    <w:p w14:paraId="321FFD8C"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основі контролю ЯМД лежать статистичний аналіз дефектів надання медичної допомоги, стандарти та порядки надання медичної допомоги, затверджені наказами МОЗ України, які відповідають гарантованому обсягу медичної допомоги, інші нормативно-правові акти (накази, клінічні рекомендації, клінічні протоколи, методичні рекомендації та вказівки тощо)</w:t>
      </w:r>
      <w:r>
        <w:rPr>
          <w:rFonts w:ascii="Microsoft YaHei" w:eastAsia="Microsoft YaHei" w:hAnsi="Microsoft YaHei" w:cs="Microsoft YaHei"/>
        </w:rPr>
        <w:t xml:space="preserve"> </w:t>
      </w:r>
      <w:r>
        <w:rPr>
          <w:rFonts w:ascii="Times New Roman" w:eastAsia="Microsoft YaHei" w:hAnsi="Times New Roman" w:cs="Times New Roman"/>
          <w:sz w:val="28"/>
          <w:szCs w:val="28"/>
        </w:rPr>
        <w:t>[25].</w:t>
      </w:r>
    </w:p>
    <w:p w14:paraId="321FFD8D"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Система управління ЯМД включає:</w:t>
      </w:r>
    </w:p>
    <w:p w14:paraId="321FFD8E"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контроль якості проведення лікувально-діагностичного процесу та </w:t>
      </w:r>
      <w:r>
        <w:rPr>
          <w:rFonts w:ascii="Times New Roman" w:eastAsia="Microsoft YaHei" w:hAnsi="Times New Roman" w:cs="Times New Roman"/>
          <w:sz w:val="28"/>
          <w:szCs w:val="28"/>
        </w:rPr>
        <w:lastRenderedPageBreak/>
        <w:t>його результатів;</w:t>
      </w:r>
    </w:p>
    <w:p w14:paraId="321FFD8F"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здійснення експертної оцінки якості надання медичної допомоги;</w:t>
      </w:r>
    </w:p>
    <w:p w14:paraId="321FFD90"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планування кінцевих результатів;</w:t>
      </w:r>
    </w:p>
    <w:p w14:paraId="321FFD91"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статистичну обробку та аналіз отриманої інформації;</w:t>
      </w:r>
    </w:p>
    <w:p w14:paraId="321FFD92" w14:textId="77777777" w:rsidR="003C626E" w:rsidRDefault="001A5B20">
      <w:pPr>
        <w:tabs>
          <w:tab w:val="left" w:pos="851"/>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виявлення дефектів лікувально-діагностичного процесу та їх попередження;</w:t>
      </w:r>
    </w:p>
    <w:p w14:paraId="321FFD93"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підготовку пропозицій щодо покращення ЯМД для керівників медичних закладів та органів управління охороною здоров’я.</w:t>
      </w:r>
    </w:p>
    <w:p w14:paraId="321FFD94"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ЯМД багато в чому залежить від кадрового, фінансового, матеріально-технічного та лікарського забезпечення медичних закладів. Ці фактори належать до структури надання медичної допомоги [26]. Нагадаємо, що при аналізі ЯМД традиційно оцінюють три взаємопов’язані компоненти тріади Донабедіана:</w:t>
      </w:r>
    </w:p>
    <w:p w14:paraId="321FFD95"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1) ресурси та структуру надання медичної допомоги (матеріально-технічне та лікарське забезпечення, рівень професійної підготовки працівників, фінансове, інформаційне та нормативно-правове забезпечення, умови перебування пацієнтів у медичних закладах тощо);</w:t>
      </w:r>
    </w:p>
    <w:p w14:paraId="321FFD96"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2) основні та допоміжні процеси надання медичної допомоги та їх взаємодія (медичні, управлінські та інформаційні технології, координація діяльності різних структурних підрозділів медичних закладів та окремих працівників тощо);</w:t>
      </w:r>
    </w:p>
    <w:p w14:paraId="321FFD97"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3) результати надання медичної допомоги.</w:t>
      </w:r>
    </w:p>
    <w:p w14:paraId="321FFD98"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Таким чином, контроль ЯМД включає не лише експертизу, а й:</w:t>
      </w:r>
    </w:p>
    <w:p w14:paraId="321FFD99"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1) оцінку стану та ефективності використання матеріально-технічних, фінансових, інформаційних та кадрових ресурсів медичного закладу;</w:t>
      </w:r>
    </w:p>
    <w:p w14:paraId="321FFD9A"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2) вивчення задоволеності пацієнтів та інших заінтересованих сторін якістю медичного обслуговування;</w:t>
      </w:r>
    </w:p>
    <w:p w14:paraId="321FFD9B"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3) розрахунок та аналіз показників, що характеризують якість та ефективність медичної допомоги;</w:t>
      </w:r>
    </w:p>
    <w:p w14:paraId="321FFD9C"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4) оцінку ефективності системи управління якістю у медичному закладі.</w:t>
      </w:r>
    </w:p>
    <w:p w14:paraId="321FFD9D"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Оцінка якості медичної діяльності закладів охорони здоров’я також включає показники їх організаційної діяльності та стану здоров’я населення, що обслуговується (поширеність та пізнє виявлення соціально-значущих захворювань, первинний вихід на інвалідність та смертність осіб працездатного віку, інвалідність у дитячому віці, ефективність реабілітації хворих та інвалідів, дитячої та дитячої смертності тощо). Найважливішим критерієм оцінки якості є задоволеність споживачів та інших зацікавлених сторін, а також самооцінка працівників медичних закладів</w:t>
      </w:r>
      <w:r>
        <w:rPr>
          <w:rFonts w:ascii="Microsoft YaHei" w:eastAsia="Microsoft YaHei" w:hAnsi="Microsoft YaHei" w:cs="Microsoft YaHei"/>
        </w:rPr>
        <w:t xml:space="preserve"> </w:t>
      </w:r>
      <w:r>
        <w:rPr>
          <w:rFonts w:ascii="Times New Roman" w:eastAsia="Microsoft YaHei" w:hAnsi="Times New Roman" w:cs="Times New Roman"/>
          <w:sz w:val="28"/>
          <w:szCs w:val="28"/>
        </w:rPr>
        <w:t>[27].</w:t>
      </w:r>
    </w:p>
    <w:p w14:paraId="321FFD9E"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Таким чином, залежно від поставлених цілей контроль якості може включати:</w:t>
      </w:r>
    </w:p>
    <w:p w14:paraId="321FFD9F"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аналіз результатів надання медичної допомоги;</w:t>
      </w:r>
    </w:p>
    <w:p w14:paraId="321FFDA0"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аналіз процесу надання медичної допомоги;</w:t>
      </w:r>
    </w:p>
    <w:p w14:paraId="321FFDA1"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медико-економічний та фінансовий аналіз медичної діяльності;</w:t>
      </w:r>
    </w:p>
    <w:p w14:paraId="321FFDA2" w14:textId="77777777" w:rsidR="003C626E" w:rsidRDefault="001A5B20">
      <w:pPr>
        <w:tabs>
          <w:tab w:val="left" w:pos="851"/>
          <w:tab w:val="left" w:pos="993"/>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аналіз результативності та ефективності організації медичного обслуговування окремих статево-вікових та соціальних груп населення та осіб з певними захворюваннями;</w:t>
      </w:r>
    </w:p>
    <w:p w14:paraId="321FFDA3"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вивчення задоволеності пацієнтів та інших зацікавлених сторін медичним обслуговуванням;</w:t>
      </w:r>
    </w:p>
    <w:p w14:paraId="321FFDA4"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перевірку виконання договірних зобов’язань між суб’єктами системи медичного страхування з питань якості, обсягу та умов надання медичної допомоги та її оплати;</w:t>
      </w:r>
    </w:p>
    <w:p w14:paraId="321FFDA5"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оцінку організації та ЯМД особам працездатного віку;</w:t>
      </w:r>
    </w:p>
    <w:p w14:paraId="321FFDA6"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перевірку дотримання порядку видачі документів, що засвідчують тимчасову непрацездатність;</w:t>
      </w:r>
    </w:p>
    <w:p w14:paraId="321FFDA7"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оцінку можливостей закладу охорони здоров’я гарантувати необхідний рівень ЯМД;</w:t>
      </w:r>
    </w:p>
    <w:p w14:paraId="321FFDA8"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перевірку правильності застосування та обґрунтованості тарифів, відповідності пред’явлених до оплати рахунків виконаному обсягу та ЯМД;</w:t>
      </w:r>
    </w:p>
    <w:p w14:paraId="321FFDA9"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інші види контролю, які здійснюються суб’єктами контролю в межах своїх повноважень.</w:t>
      </w:r>
    </w:p>
    <w:p w14:paraId="321FFDAA"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На основі результатів контролю розробляють пропозиції щодо вдосконалення організації та підвищення ЯМД, а потім контролюють їх виконання.</w:t>
      </w:r>
    </w:p>
    <w:p w14:paraId="321FFDAB"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Суб’єкти контролю організують свою експертну діяльність відповідно до законодавства України. Експертиза ЯМД повинна проводитись за єдиними науково обґрунтованими методологічними принципами, що забезпечує достовірність та порівнянність її результатів</w:t>
      </w:r>
      <w:r>
        <w:rPr>
          <w:rFonts w:ascii="Microsoft YaHei" w:eastAsia="Microsoft YaHei" w:hAnsi="Microsoft YaHei" w:cs="Microsoft YaHei"/>
        </w:rPr>
        <w:t xml:space="preserve"> </w:t>
      </w:r>
      <w:r>
        <w:rPr>
          <w:rFonts w:ascii="Times New Roman" w:eastAsia="Microsoft YaHei" w:hAnsi="Times New Roman" w:cs="Times New Roman"/>
          <w:sz w:val="28"/>
          <w:szCs w:val="28"/>
        </w:rPr>
        <w:t>[28].</w:t>
      </w:r>
    </w:p>
    <w:p w14:paraId="321FFDAC"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Забезпечення громадян України гарантованим обсягом медичної допомоги за належної її якості та безпеки для пацієнта можливе шляхом:</w:t>
      </w:r>
    </w:p>
    <w:p w14:paraId="321FFDAD"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1) запровадження медико-економічних стандартів;</w:t>
      </w:r>
    </w:p>
    <w:p w14:paraId="321FFDAE"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2) впровадження системи гарантійних зобов’язань за обсягом, якістю та безпекою медичної допомоги;</w:t>
      </w:r>
    </w:p>
    <w:p w14:paraId="321FFDAF"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3) розробки та впровадження методів, методик, технічних та програмних засобів проведення експертизи якості та безпеки медичних послуг, що забезпечують об’єктивну та оперативну експертизу ЯМД;</w:t>
      </w:r>
    </w:p>
    <w:p w14:paraId="321FFDB0"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4) стимулювання впровадження нових медичних та інформаційних технологій, високоефективного обладнання, медичної техніки, інструментів, матеріалів, лікарських засобів, біопрепаратів, що покращують якість та безпеку медичної допомоги;</w:t>
      </w:r>
    </w:p>
    <w:p w14:paraId="321FFDB1"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5) контролю та нагляду за дотриманням вимог стандартів та ліцензійною діяльністю.</w:t>
      </w:r>
    </w:p>
    <w:p w14:paraId="321FFDB2"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Забезпечення доступності медичної допомоги можливе при:</w:t>
      </w:r>
    </w:p>
    <w:p w14:paraId="321FFDB3"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1) наданні гарантованого обсягу медичної допомоги населенню;</w:t>
      </w:r>
    </w:p>
    <w:p w14:paraId="321FFDB4"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2) реальної можливості вибору пацієнтом лікаря та медичного закладу;</w:t>
      </w:r>
    </w:p>
    <w:p w14:paraId="321FFDB5"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3) надання необхідної та достовірної інформації про медичні та страхові послуги, якість та безпеку послуг із зазначенням відомостей про сертифікацію та ліцензування виконавців послуг, про права та обов’язки пацієнтів.</w:t>
      </w:r>
    </w:p>
    <w:p w14:paraId="321FFDB6"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Правова та соціальна захищеність пацієнтів можлива при реалізації наступних напрямків:</w:t>
      </w:r>
    </w:p>
    <w:p w14:paraId="321FFDB7"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1) сувора персоніфікація громадянина, у тому числі і як суб’єкта </w:t>
      </w:r>
      <w:r>
        <w:rPr>
          <w:rFonts w:ascii="Times New Roman" w:eastAsia="Microsoft YaHei" w:hAnsi="Times New Roman" w:cs="Times New Roman"/>
          <w:sz w:val="28"/>
          <w:szCs w:val="28"/>
        </w:rPr>
        <w:lastRenderedPageBreak/>
        <w:t>медичного страхування, що дозволяють відобразити індивідуальну історію відносин пацієнта із системою охорони здоров’я;</w:t>
      </w:r>
    </w:p>
    <w:p w14:paraId="321FFDB8"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2) моніторинг стану здоров’я населення за встановленою системою критеріїв на різних рівнях;</w:t>
      </w:r>
    </w:p>
    <w:p w14:paraId="321FFDB9"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3) розробка та впровадження системи інформаційної безпеки населення у вигляді системи заходів, що забезпечують безпеку населення від безвідповідальної, неперевіреної та непрофесійної інформації на медичні теми, насамперед через засоби масової інформації, від непрофесійних рекомендацій.</w:t>
      </w:r>
    </w:p>
    <w:p w14:paraId="321FFDBA"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Контроль за ЯМД здійснюється шляхом оцінки якості лікувально-діагностичного процесу, результатів та структури (ресурсів до надання медичної допомоги (попередній контроль), безпосередньо в процесі надання медичної допомоги (поточний контроль) та після закінчення лікування (заключний контроль) всіма учасниками системи – лікуючий лікар, завідувач відділення, заступник головного лікаря та інші</w:t>
      </w:r>
      <w:r>
        <w:rPr>
          <w:rFonts w:ascii="Microsoft YaHei" w:eastAsia="Microsoft YaHei" w:hAnsi="Microsoft YaHei" w:cs="Microsoft YaHei"/>
        </w:rPr>
        <w:t xml:space="preserve"> </w:t>
      </w:r>
      <w:r>
        <w:rPr>
          <w:rFonts w:ascii="Times New Roman" w:eastAsia="Microsoft YaHei" w:hAnsi="Times New Roman" w:cs="Times New Roman"/>
          <w:sz w:val="28"/>
          <w:szCs w:val="28"/>
        </w:rPr>
        <w:t>[29].</w:t>
      </w:r>
    </w:p>
    <w:p w14:paraId="321FFDBB"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Найбільш поширений заключний контроль - експертиза ЯМД після її надання. Попередній контроль та поточний контроль поширені значно рідше.</w:t>
      </w:r>
    </w:p>
    <w:p w14:paraId="321FFDBC"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Основними завданнями контролю є виявлення дефектів та помилок у процесі надання медичної допомоги та усунення їх у майбутньому на основі розробки відповідних коригувальних профілактичних заходів.</w:t>
      </w:r>
    </w:p>
    <w:p w14:paraId="321FFDBD"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Експертиза ЯМД - дослідження закінченого випадку (випадків) надання медичної допомоги, яке виконує експерт, на основі аналізу відхилення від встановленої норми (стандартів). До завдань експерта входить виявлення дефектів та помилок, допущених під час надання медичної допомоги, з описом їх реальних та можливих наслідків, з’ясуванням причин їх виникнення, складанням мотивованого висновку про належну/неналежну якість надання медичної допомоги.</w:t>
      </w:r>
    </w:p>
    <w:p w14:paraId="321FFDBE"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Експертиза ЯМД проводиться у разі:</w:t>
      </w:r>
    </w:p>
    <w:p w14:paraId="321FFDBF"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претензії пацієнта (або його родичів), групи пацієнтів, громадських організацій на захист прав пацієнтів;</w:t>
      </w:r>
    </w:p>
    <w:p w14:paraId="321FFDC0"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 претензій страхових медичних організацій;</w:t>
      </w:r>
    </w:p>
    <w:p w14:paraId="321FFDC1"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негативного результату медичної допомоги (ускладнений перебіг захворювання, хронізація при неповному одужанні, інвалідизація, летальний кінець), якого можна було уникнути;</w:t>
      </w:r>
    </w:p>
    <w:p w14:paraId="321FFDC2"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масових захворювань із невстановленої причини;</w:t>
      </w:r>
    </w:p>
    <w:p w14:paraId="321FFDC3"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ініціативи самого медичного закладу або вищого управління охороною здоров’я;</w:t>
      </w:r>
    </w:p>
    <w:p w14:paraId="321FFDC4"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ініціативи страхової організації.</w:t>
      </w:r>
    </w:p>
    <w:p w14:paraId="321FFDC5"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Предметом контролю якості та експертизи є:</w:t>
      </w:r>
    </w:p>
    <w:p w14:paraId="321FFDC6"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лікувально-діагностичний процес у конкретному клінічному випадку;</w:t>
      </w:r>
    </w:p>
    <w:p w14:paraId="321FFDC7"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дії лікаря (групи лікарів) у певній сукупності клінічних випадків;</w:t>
      </w:r>
    </w:p>
    <w:p w14:paraId="321FFDC8"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дія лікарського засобу у конкретних клінічних випадках;</w:t>
      </w:r>
    </w:p>
    <w:p w14:paraId="321FFDC9"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рівень якості та безпеки медичної допомоги за певний період;</w:t>
      </w:r>
    </w:p>
    <w:p w14:paraId="321FFDCA"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рівень кваліфікації медичного персоналу;</w:t>
      </w:r>
    </w:p>
    <w:p w14:paraId="321FFDCB"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рівень здоров’я населення певного регіону або зміни цього рівня внаслідок виконання соціальної чи цільової медичної програми</w:t>
      </w:r>
      <w:r>
        <w:rPr>
          <w:rFonts w:ascii="Microsoft YaHei" w:eastAsia="Microsoft YaHei" w:hAnsi="Microsoft YaHei" w:cs="Microsoft YaHei"/>
        </w:rPr>
        <w:t xml:space="preserve"> </w:t>
      </w:r>
      <w:r>
        <w:rPr>
          <w:rFonts w:ascii="Times New Roman" w:eastAsia="Microsoft YaHei" w:hAnsi="Times New Roman" w:cs="Times New Roman"/>
          <w:sz w:val="28"/>
          <w:szCs w:val="28"/>
        </w:rPr>
        <w:t>[30].</w:t>
      </w:r>
    </w:p>
    <w:p w14:paraId="321FFDCC"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Цілями контролю якості та експертизи є:</w:t>
      </w:r>
    </w:p>
    <w:p w14:paraId="321FFDCD"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1) оцінка правильності дії або рішення лікаря, відділення медичного закладу чи закладу охорони здоров’я загалом у конкретному клінічному випадку;</w:t>
      </w:r>
    </w:p>
    <w:p w14:paraId="321FFDCE"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2) оцінка професійного рівня медичного працівника або групи медичних працівників, зайнятих у діагностичному чи лікувальному процесі певного виду, щодо їх дій та рішень у сукупності клінічних випадків;</w:t>
      </w:r>
    </w:p>
    <w:p w14:paraId="321FFDCF"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3) оцінка якості та безпеки медичної допомоги у таких випадках:</w:t>
      </w:r>
    </w:p>
    <w:p w14:paraId="321FFDD0"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при виконанні діагностичних та лікувальних процедур без відхилення від технології;</w:t>
      </w:r>
    </w:p>
    <w:p w14:paraId="321FFDD1"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при виконанні діагностичних та лікувальних процедур при відхиленні від технологій;</w:t>
      </w:r>
    </w:p>
    <w:p w14:paraId="321FFDD2"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при виконанні діагностичних та лікувальних процедур в екстремальних умовах;</w:t>
      </w:r>
    </w:p>
    <w:p w14:paraId="321FFDD3"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 при порушенні правил поведінки та розпоряджень лікарів з боку пацієнта;</w:t>
      </w:r>
    </w:p>
    <w:p w14:paraId="321FFDD4"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4) дотримання стандартів та порядків надання медичної допомоги;</w:t>
      </w:r>
    </w:p>
    <w:p w14:paraId="321FFDD5"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5) оцінка дотримання вимог інших нормативно-правових документів у сфері якості та організації медичної допомоги.</w:t>
      </w:r>
    </w:p>
    <w:p w14:paraId="321FFDD6"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Контроль якості медичної допомоги та експертиза конкретного клінічного випадку здійснюються на наступних рівнях:</w:t>
      </w:r>
    </w:p>
    <w:p w14:paraId="321FFDD7"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рівень 1 - завідувач відділенням (підрозділом);</w:t>
      </w:r>
    </w:p>
    <w:p w14:paraId="321FFDD8"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рівень 2 – заступники керівника медичного закладу;</w:t>
      </w:r>
    </w:p>
    <w:p w14:paraId="321FFDD9"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рівень 3 – лікарська комісія медичного закладу;</w:t>
      </w:r>
    </w:p>
    <w:p w14:paraId="321FFDDA"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рівень 4 – органи управління охороною здоров’я міст (районів);</w:t>
      </w:r>
    </w:p>
    <w:p w14:paraId="321FFDDB"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рівень 5 – орган управління охороною здоров’я суб’єкта України.</w:t>
      </w:r>
    </w:p>
    <w:p w14:paraId="321FFDDC"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Найважливішу роль системі контролю ЯМД грає самостійний контроль безпосереднім виконавцем (самоконтроль лікарів та інших медичних працівників). Головне тут – формування у працівників мотивації до виявлення дефектів надання медичної допомоги та постійного вдосконалення лікувально-діагностичного процесу на основі відкритого обговорення проблем якості, власних помилок та помилок колег, що природно, передбачає формування відповідного морально-психологічного клімату у трудовому колективі, що стимулює виявлення та демонстрації засудження з боку своїх колег</w:t>
      </w:r>
      <w:r>
        <w:rPr>
          <w:rFonts w:ascii="Microsoft YaHei" w:eastAsia="Microsoft YaHei" w:hAnsi="Microsoft YaHei" w:cs="Microsoft YaHei"/>
        </w:rPr>
        <w:t xml:space="preserve"> </w:t>
      </w:r>
      <w:r>
        <w:rPr>
          <w:rFonts w:ascii="Times New Roman" w:eastAsia="Microsoft YaHei" w:hAnsi="Times New Roman" w:cs="Times New Roman"/>
          <w:sz w:val="28"/>
          <w:szCs w:val="28"/>
        </w:rPr>
        <w:t>[31].</w:t>
      </w:r>
    </w:p>
    <w:p w14:paraId="321FFDDD"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Отже, контроль ЯМД здійснюється в першу чергу лікарем (самоконтроль).</w:t>
      </w:r>
    </w:p>
    <w:p w14:paraId="321FFDDE"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1. При аналізі медичної амбулаторної карти хворого та особистого огляду лікар поліклініки виключає дефекти, наявність яких сприяє зниженню якості медичної допомоги.</w:t>
      </w:r>
    </w:p>
    <w:p w14:paraId="321FFDDF"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2. При аналізі медичної карти стаціонарного хворого та особистого огляду лікар стаціонару виключає дефекти, наявність яких призведе до зниження ЯМД, та своєчасно проводить коригування лікувально-діагностичних заходів.</w:t>
      </w:r>
    </w:p>
    <w:p w14:paraId="321FFDE0"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При наданні медичної допомоги лікарем необхідно суворе дотримання вимог чинного законодавства, стандартів медичної допомоги та інших нормативно-правових актів у галузі ЯМД.</w:t>
      </w:r>
    </w:p>
    <w:p w14:paraId="321FFDE1"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І рівні контроль здійснюється завідувачем відділення.</w:t>
      </w:r>
    </w:p>
    <w:p w14:paraId="321FFDE2"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Завідувач поліклінічним відділенням визначає рівень якості лікування у процесі спостереження за пацієнтом, диспансеризації за відповідністю набору стандартних показників для кожної нозологічної форми, закладених у стандартах медичної допомоги, фактичного виконання; оцінює стан здоров’я прикріпленого населення, залежно від результатів експертної оцінки якості медичної допомоги.</w:t>
      </w:r>
    </w:p>
    <w:p w14:paraId="321FFDE3"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Завідувач поліклінічним відділенням може використовувати будь-які форми контролю:</w:t>
      </w:r>
    </w:p>
    <w:p w14:paraId="321FFDE4"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особистий огляд пацієнта;</w:t>
      </w:r>
    </w:p>
    <w:p w14:paraId="321FFDE5"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вивчення первинної медичної документації (заочно);</w:t>
      </w:r>
    </w:p>
    <w:p w14:paraId="321FFDE6"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відвідування хворого вдома тощо.</w:t>
      </w:r>
    </w:p>
    <w:p w14:paraId="321FFDE7"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Охоплення контролем у завідувача відділення має становити 100% хворих.</w:t>
      </w:r>
    </w:p>
    <w:p w14:paraId="321FFDE8"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Завідувач стаціонарного відділення оцінює рівень якості лікування хворого окремими лікарями з історій хвороби та в результаті особистого огляду хворих</w:t>
      </w:r>
      <w:r>
        <w:rPr>
          <w:rFonts w:ascii="Microsoft YaHei" w:eastAsia="Microsoft YaHei" w:hAnsi="Microsoft YaHei" w:cs="Microsoft YaHei"/>
        </w:rPr>
        <w:t xml:space="preserve"> </w:t>
      </w:r>
      <w:r>
        <w:rPr>
          <w:rFonts w:ascii="Times New Roman" w:eastAsia="Microsoft YaHei" w:hAnsi="Times New Roman" w:cs="Times New Roman"/>
          <w:sz w:val="28"/>
          <w:szCs w:val="28"/>
        </w:rPr>
        <w:t>[32].</w:t>
      </w:r>
    </w:p>
    <w:p w14:paraId="321FFDE9"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Оцінка ЯМД конкретному пацієнтові на рівні завідувача стаціонарного відділення здійснюється у 100% випадків для своєчасної корекції лікувально-діагностичного процесу при спільних оглядах з лікарями.</w:t>
      </w:r>
    </w:p>
    <w:p w14:paraId="321FFDEA"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Експертиза процесу надання медичної допомоги проводиться за окремими закінченими у даному підрозділі випадками. Експертиза проводиться за медичною документацією (медичною картою стаціонарного хворого, картою амбулаторного хворого та ін.). За потреби може бути проведена та очна експертиза.</w:t>
      </w:r>
    </w:p>
    <w:p w14:paraId="321FFDEB"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Експертному контролю підлягають:</w:t>
      </w:r>
    </w:p>
    <w:p w14:paraId="321FFDEC"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випадки повторної госпіталізації з приводу одного і того ж </w:t>
      </w:r>
      <w:r>
        <w:rPr>
          <w:rFonts w:ascii="Times New Roman" w:eastAsia="Microsoft YaHei" w:hAnsi="Times New Roman" w:cs="Times New Roman"/>
          <w:sz w:val="28"/>
          <w:szCs w:val="28"/>
        </w:rPr>
        <w:lastRenderedPageBreak/>
        <w:t>захворювання протягом року;</w:t>
      </w:r>
    </w:p>
    <w:p w14:paraId="321FFDED"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випадки захворювань з подовженими або укороченими термінами лікування (або тимчасової непрацездатності).</w:t>
      </w:r>
    </w:p>
    <w:p w14:paraId="321FFDEE"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Оцінка якості надання медичної допомоги конкретному пацієнту фіксується у первинній медичній документації або уніфікованій формі журналу обліку результатів контролю ЯМД та формі зведеної інформації про обсяги та результати контролю.</w:t>
      </w:r>
    </w:p>
    <w:p w14:paraId="321FFDEF"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Результати експертизи ЯМД з закінченого випадку за наявності дефектів реєструються в експертному протоколі (або картах експертної оцінки), що містить формалізований опис дефектів та помилок, їх можливих наслідків та експертний висновок встановленої форми</w:t>
      </w:r>
      <w:r>
        <w:rPr>
          <w:rFonts w:ascii="Microsoft YaHei" w:eastAsia="Microsoft YaHei" w:hAnsi="Microsoft YaHei" w:cs="Microsoft YaHei"/>
        </w:rPr>
        <w:t xml:space="preserve"> </w:t>
      </w:r>
      <w:r>
        <w:rPr>
          <w:rFonts w:ascii="Times New Roman" w:eastAsia="Microsoft YaHei" w:hAnsi="Times New Roman" w:cs="Times New Roman"/>
          <w:sz w:val="28"/>
          <w:szCs w:val="28"/>
        </w:rPr>
        <w:t>[33, с. 28].</w:t>
      </w:r>
    </w:p>
    <w:p w14:paraId="321FFDF0"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ІІ рівні контроль здійснюється заступниками головного лікаря медичної установи.</w:t>
      </w:r>
    </w:p>
    <w:p w14:paraId="321FFDF1"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Контроль ЯМД на ІІ рівні здійснюється заступниками керівника медичної установи на основі:</w:t>
      </w:r>
    </w:p>
    <w:p w14:paraId="321FFDF2"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аналізу первинної медичної документації;</w:t>
      </w:r>
    </w:p>
    <w:p w14:paraId="321FFDF3"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особистого огляду пацієнтів;</w:t>
      </w:r>
    </w:p>
    <w:p w14:paraId="321FFDF4"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при обході підрозділів закладу;</w:t>
      </w:r>
    </w:p>
    <w:p w14:paraId="321FFDF5"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на засіданнях лікарських комісій (у тому числі комісій із контролю за призначенням лікарських засобів).</w:t>
      </w:r>
    </w:p>
    <w:p w14:paraId="321FFDF6"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Обсяг контрольної діяльності на рівні всіх заступників головного лікаря (за медичною частиною, експертизою тимчасової непрацездатності тощо) становить зазвичай не менше 30% від обсягів ІІ рівня для своєчасної корекції заходів щодо поліпшення ЯМД та прийняття відповідних управлінських рішень.</w:t>
      </w:r>
    </w:p>
    <w:p w14:paraId="321FFDF7"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Цільова експертиза індивідуальних випадків надання медичної допомоги проводиться за:</w:t>
      </w:r>
    </w:p>
    <w:p w14:paraId="321FFDF8"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надходженням письмових скарг пацієнта, його законного представника чи страхувальника на ЯМД до медичної організації;</w:t>
      </w:r>
    </w:p>
    <w:p w14:paraId="321FFDF9"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надходженням запитів правоохоронних органів;</w:t>
      </w:r>
    </w:p>
    <w:p w14:paraId="321FFDFA"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 летальними випадками;</w:t>
      </w:r>
    </w:p>
    <w:p w14:paraId="321FFDFB"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випадками внутрішньолікарняного інфікування та ускладнень;</w:t>
      </w:r>
    </w:p>
    <w:p w14:paraId="321FFDFC"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випадками первинного виходу на інвалідність осіб працездатного віку.</w:t>
      </w:r>
    </w:p>
    <w:p w14:paraId="321FFDFD"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Заступником головного лікаря, відповідального за проведення контролю та експертизи  ЯМД, щомісяця здійснюється аналіз відомостей про обсяги та результати контролю якості та експертиз ЯМД, наданої завідувачами відділень.</w:t>
      </w:r>
    </w:p>
    <w:p w14:paraId="321FFDFE"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 результатами аналізу інформації (щомісячної), представленої завідувачами відділень, а також на підставі особистої контрольної та експертної оцінки ЯМД здійснюється підготовка аналітичних звітів (квартального, піврічного, річного), а також рекомендацій, проектів управлінських рішень, спрямованих на покращення ЯМД</w:t>
      </w:r>
      <w:r>
        <w:rPr>
          <w:rFonts w:ascii="Microsoft YaHei" w:eastAsia="Microsoft YaHei" w:hAnsi="Microsoft YaHei" w:cs="Microsoft YaHei"/>
        </w:rPr>
        <w:t xml:space="preserve"> </w:t>
      </w:r>
      <w:r>
        <w:rPr>
          <w:rFonts w:ascii="Times New Roman" w:eastAsia="Microsoft YaHei" w:hAnsi="Times New Roman" w:cs="Times New Roman"/>
          <w:sz w:val="28"/>
          <w:szCs w:val="28"/>
        </w:rPr>
        <w:t>[34].</w:t>
      </w:r>
    </w:p>
    <w:p w14:paraId="321FFDFF"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3 рівні контроль здійснюється лікарською комісією (ЛК).</w:t>
      </w:r>
    </w:p>
    <w:p w14:paraId="321FFE00"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Однією з функцій ЛК є контроль ЯМД. Робота ЛК здійснюється відповідно до чинних нормативно-правових актів, галузевих стандартів, протоколів надання медичної допомоги та положень про діяльність конкретних комісій у фіксований час згідно з внутрішнім розпорядком медичного закладу.</w:t>
      </w:r>
    </w:p>
    <w:p w14:paraId="321FFE01"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Головою ЛК проводиться аналіз даних та складається щомісячні, щоквартальні, піврічні та річні звіти про обсяги та результати ЯМД.</w:t>
      </w:r>
    </w:p>
    <w:p w14:paraId="321FFE02"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І</w:t>
      </w:r>
      <w:r>
        <w:rPr>
          <w:rFonts w:ascii="Times New Roman" w:eastAsia="Microsoft YaHei" w:hAnsi="Times New Roman" w:cs="Times New Roman"/>
          <w:sz w:val="28"/>
          <w:szCs w:val="28"/>
          <w:lang w:val="en-US"/>
        </w:rPr>
        <w:t>V</w:t>
      </w:r>
      <w:r>
        <w:rPr>
          <w:rFonts w:ascii="Times New Roman" w:eastAsia="Microsoft YaHei" w:hAnsi="Times New Roman" w:cs="Times New Roman"/>
          <w:sz w:val="28"/>
          <w:szCs w:val="28"/>
        </w:rPr>
        <w:t xml:space="preserve"> рівні контроль здійснюється територіальними органами управління охорони здоров’я міст (районів).</w:t>
      </w:r>
    </w:p>
    <w:p w14:paraId="321FFE03"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Джерелом інформації для ІV рівня контролю є результати аналітичної оцінки якості надання медичної допомоги та експертної оцінки 3 попередніх рівнів контролю.</w:t>
      </w:r>
    </w:p>
    <w:p w14:paraId="321FFE04"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Основними завданнями контролю ЯМД на ІV рівні є:</w:t>
      </w:r>
    </w:p>
    <w:p w14:paraId="321FFE05"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аналіз діяльності медичних закладів міст (районів);</w:t>
      </w:r>
    </w:p>
    <w:p w14:paraId="321FFE06"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вдосконалення та впровадження медичних технологій;</w:t>
      </w:r>
    </w:p>
    <w:p w14:paraId="321FFE07"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виявлення порушень та дефектів медичної технології, розробка та реалізація коригувальних заходів щодо усунення дефектів надання медичної </w:t>
      </w:r>
      <w:r>
        <w:rPr>
          <w:rFonts w:ascii="Times New Roman" w:eastAsia="Microsoft YaHei" w:hAnsi="Times New Roman" w:cs="Times New Roman"/>
          <w:sz w:val="28"/>
          <w:szCs w:val="28"/>
        </w:rPr>
        <w:lastRenderedPageBreak/>
        <w:t>допомоги;</w:t>
      </w:r>
    </w:p>
    <w:p w14:paraId="321FFE08"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оцінка діяльності установ;</w:t>
      </w:r>
    </w:p>
    <w:p w14:paraId="321FFE09"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прийняття управлінських рішень (на основі зворотного зв’язку) та оцінка їх результативності та ефективності.</w:t>
      </w:r>
    </w:p>
    <w:p w14:paraId="321FFE0A"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Таким чином, за результатами контролю ІV рівня виносяться управлінські рішення щодо покращення ЯМД та застосування індивідуальних санкцій (при необхідності)</w:t>
      </w:r>
      <w:r>
        <w:rPr>
          <w:rFonts w:ascii="Microsoft YaHei" w:eastAsia="Microsoft YaHei" w:hAnsi="Microsoft YaHei" w:cs="Microsoft YaHei"/>
        </w:rPr>
        <w:t xml:space="preserve"> </w:t>
      </w:r>
      <w:r>
        <w:rPr>
          <w:rFonts w:ascii="Times New Roman" w:eastAsia="Microsoft YaHei" w:hAnsi="Times New Roman" w:cs="Times New Roman"/>
          <w:sz w:val="28"/>
          <w:szCs w:val="28"/>
        </w:rPr>
        <w:t>[35].</w:t>
      </w:r>
    </w:p>
    <w:p w14:paraId="321FFE0B"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V рівні контроль здійснюється органом управління охорони здоров’я суб’єкту України.</w:t>
      </w:r>
    </w:p>
    <w:p w14:paraId="321FFE0C"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Джерелом інформації є матеріали попередніх рівнів контролю, результати інспекційних перевірок якості у медичних закладах, дані соціологічних досліджень, заяви та скарги громадян.</w:t>
      </w:r>
    </w:p>
    <w:p w14:paraId="321FFE0D"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Контроль ЯМД повинен мати комплексний характер і не обмежуватися лише експертизою. Додатково він має включати: оцінку стану та ефективності використання ресурсів медичного закладу; вивчення задоволеності пацієнтів якістю медичного обслуговування; розрахунок та аналіз показників, що характеризують якість та ефективність медичної допомоги; оцінку ефективності системи управління якістю у медичному закладі</w:t>
      </w:r>
      <w:r>
        <w:rPr>
          <w:rFonts w:ascii="Microsoft YaHei" w:eastAsia="Microsoft YaHei" w:hAnsi="Microsoft YaHei" w:cs="Microsoft YaHei"/>
        </w:rPr>
        <w:t xml:space="preserve"> </w:t>
      </w:r>
      <w:r>
        <w:rPr>
          <w:rFonts w:ascii="Times New Roman" w:eastAsia="Microsoft YaHei" w:hAnsi="Times New Roman" w:cs="Times New Roman"/>
          <w:sz w:val="28"/>
          <w:szCs w:val="28"/>
        </w:rPr>
        <w:t>[36].</w:t>
      </w:r>
    </w:p>
    <w:p w14:paraId="321FFE0E" w14:textId="77777777" w:rsidR="003C626E" w:rsidRDefault="001A5B20">
      <w:pPr>
        <w:tabs>
          <w:tab w:val="left" w:pos="993"/>
          <w:tab w:val="left" w:pos="1276"/>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Отже, оцінювання якості медичної допомоги здійснюється за допомогою:</w:t>
      </w:r>
    </w:p>
    <w:p w14:paraId="321FFE0F" w14:textId="77777777" w:rsidR="003C626E" w:rsidRDefault="001A5B20">
      <w:pPr>
        <w:numPr>
          <w:ilvl w:val="0"/>
          <w:numId w:val="20"/>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механізмів зовнішнього та внутрішнього контролю;</w:t>
      </w:r>
    </w:p>
    <w:p w14:paraId="321FFE10" w14:textId="77777777" w:rsidR="003C626E" w:rsidRDefault="001A5B20">
      <w:pPr>
        <w:numPr>
          <w:ilvl w:val="0"/>
          <w:numId w:val="20"/>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самооцінювання діяльності медичних працівників;</w:t>
      </w:r>
    </w:p>
    <w:p w14:paraId="321FFE11" w14:textId="77777777" w:rsidR="003C626E" w:rsidRDefault="001A5B20">
      <w:pPr>
        <w:numPr>
          <w:ilvl w:val="0"/>
          <w:numId w:val="20"/>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експертного аналізу;</w:t>
      </w:r>
    </w:p>
    <w:p w14:paraId="321FFE12" w14:textId="77777777" w:rsidR="003C626E" w:rsidRDefault="001A5B20">
      <w:pPr>
        <w:numPr>
          <w:ilvl w:val="0"/>
          <w:numId w:val="20"/>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проведення клінічного аудиту;</w:t>
      </w:r>
    </w:p>
    <w:p w14:paraId="321FFE13" w14:textId="77777777" w:rsidR="003C626E" w:rsidRDefault="001A5B20">
      <w:pPr>
        <w:numPr>
          <w:ilvl w:val="0"/>
          <w:numId w:val="20"/>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моніторингу показників якості;</w:t>
      </w:r>
    </w:p>
    <w:p w14:paraId="321FFE14" w14:textId="77777777" w:rsidR="003C626E" w:rsidRDefault="001A5B20">
      <w:pPr>
        <w:numPr>
          <w:ilvl w:val="0"/>
          <w:numId w:val="20"/>
        </w:numPr>
        <w:tabs>
          <w:tab w:val="left" w:pos="993"/>
          <w:tab w:val="left" w:pos="1276"/>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атестації та сертифікації відповідно до вимог законодавства України та ЄС.</w:t>
      </w:r>
    </w:p>
    <w:p w14:paraId="321FFE15"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E16"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E17"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E18" w14:textId="086FEAE0" w:rsidR="003C626E" w:rsidRDefault="001A5B20">
      <w:pPr>
        <w:numPr>
          <w:ilvl w:val="1"/>
          <w:numId w:val="31"/>
        </w:numPr>
        <w:tabs>
          <w:tab w:val="left" w:pos="993"/>
          <w:tab w:val="left" w:pos="1276"/>
        </w:tabs>
        <w:spacing w:line="360" w:lineRule="auto"/>
        <w:ind w:left="0" w:firstLine="709"/>
        <w:contextualSpacing/>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lastRenderedPageBreak/>
        <w:t>Управлінський аудит в медичному закладі як складова внутрішнього контролю якості та безпеки медичної допомоги</w:t>
      </w:r>
    </w:p>
    <w:p w14:paraId="321FFE19"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Сучасним підходом до контролю якості та безпеки медичної діяльності є ризик-орієнтований підхід з метою попередження, виявлення та запобігання ризикам, що створюють загрозу життю та здоров’ю громадян, та мінімізації наслідків їхнього наступу. Одним із інструментів ідентифікації ризиків небажаних подій виступають внутрішні аудити. При цьому проведення аудитів у рамках внутрішнього контролю якості та безпеки медичної діяльності є обов’язковим вимогою у роботі медичних організацій. Однак на законодавчому рівні не визначено технологію проведення внутрішніх аудитів, методологію ідентифікації ризиків.</w:t>
      </w:r>
    </w:p>
    <w:p w14:paraId="321FFE1A"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Доступність та якість медичної допомоги є одним із принципів охорони здоров’я. Медичний заклад, як безпосередній виконавець медичних послуг, має надавати пацієнтам медичну допомогу, попереджаючи, виявляючи та запобігаючи виникненню ризиків, що створюють загрозу їх життю та здоров’ю. Нагляд за якістю та безпекою надання медичної допомоги на локальному рівні в медичному закладі здійснюється за допомогою внутрішнього контролю.</w:t>
      </w:r>
    </w:p>
    <w:p w14:paraId="321FFE1B"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Одним із підходів до проведення внутрішнього контролю якості та безпеки медичної допомоги є проведення внутрішніх аудитів у медичних закладах, які дозволяють ідентифікувати ризики та запобігти настанню несприятливих подій.</w:t>
      </w:r>
    </w:p>
    <w:p w14:paraId="321FFE1C"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Аудитом вважається систематичний, незалежний та документований процес встановлення об’єктивного засвідчення та його об’єктивного оцінювання для отримання ступеня відповідності критеріям аудиту. Інакше внутрішні аудити називають «аудитами першої сторони», які проводяться самим закладом</w:t>
      </w:r>
      <w:r>
        <w:rPr>
          <w:rFonts w:ascii="Microsoft YaHei" w:eastAsia="Microsoft YaHei" w:hAnsi="Microsoft YaHei" w:cs="Microsoft YaHei"/>
        </w:rPr>
        <w:t xml:space="preserve"> </w:t>
      </w:r>
      <w:r>
        <w:rPr>
          <w:rFonts w:ascii="Times New Roman" w:eastAsia="Microsoft YaHei" w:hAnsi="Times New Roman" w:cs="Times New Roman"/>
          <w:sz w:val="28"/>
          <w:szCs w:val="28"/>
        </w:rPr>
        <w:t>[37, с. 169].</w:t>
      </w:r>
    </w:p>
    <w:p w14:paraId="321FFE1D"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Найчастіше потреба проведення аудиту пов’язана з перевіркою дотримання виконання вимог стандартів, отриманням інформації про стан справ, потребою упорядкувати процеси в організації. Саме аудит є </w:t>
      </w:r>
      <w:r>
        <w:rPr>
          <w:rFonts w:ascii="Times New Roman" w:eastAsia="Microsoft YaHei" w:hAnsi="Times New Roman" w:cs="Times New Roman"/>
          <w:sz w:val="28"/>
          <w:szCs w:val="28"/>
        </w:rPr>
        <w:lastRenderedPageBreak/>
        <w:t>об’єктивним інструментом виявлення існуючих проблем у закладі. Під час проведення перевірок забезпечується якісний, системний та комплексний підхід, який дозволяє визначити невідповідності та дефекти у наданні медичної допомоги безпосередньо на робочому місці, оцінити всі етапи процесу з різних напрямків діяльності. Внутрішні аудити є джерелом інформації про виконання обов’язкових вимог законодавства, ведення медичної документації, дотримання стандартів у охороні здоров’я тощо і включають систематизований та послідовний підхід до ідентифікації ризиків на всіх етапах надання медичної допомоги.</w:t>
      </w:r>
    </w:p>
    <w:p w14:paraId="321FFE1E"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Аудити виконуються співробітниками медичного закладу експертного рівня, що дозволяє оцінити діяльність з різних напрямків з позиції компетентності та професіоналізму.</w:t>
      </w:r>
    </w:p>
    <w:p w14:paraId="321FFE1F"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Сучасна нормативно-правова база визначає вимоги, але не описує методологію управління ризиками та проведення внутрішніх аудитів, у зв’язку з чим медичні заклади повинні самостійно визначити стратегію ризик-менеджменту та розробляти процес проведення внутрішніх аудитів</w:t>
      </w:r>
      <w:r>
        <w:rPr>
          <w:rFonts w:ascii="Microsoft YaHei" w:eastAsia="Microsoft YaHei" w:hAnsi="Microsoft YaHei" w:cs="Microsoft YaHei"/>
        </w:rPr>
        <w:t xml:space="preserve"> </w:t>
      </w:r>
      <w:r>
        <w:rPr>
          <w:rFonts w:ascii="Times New Roman" w:eastAsia="Microsoft YaHei" w:hAnsi="Times New Roman" w:cs="Times New Roman"/>
          <w:sz w:val="28"/>
          <w:szCs w:val="28"/>
        </w:rPr>
        <w:t>[38, с. 64].</w:t>
      </w:r>
    </w:p>
    <w:p w14:paraId="321FFE20"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Проведення внутрішнього аудиту починається із складання його програми - визначаються область перевірки, цілі та завдання аудиту з урахуванням вимог законодавства, а також раніше виявлених невідповідностей. Для цього проводиться аналіз нормативно-правової бази, вимоги якої має дотримуватися медичний заклад. За результатами аналізу нормативно-правових документів доцільно виділити 10 напрямків аудиту:</w:t>
      </w:r>
    </w:p>
    <w:p w14:paraId="321FFE21"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1. якість та безпека медичної діяльності;</w:t>
      </w:r>
    </w:p>
    <w:p w14:paraId="321FFE22"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2. безпека під час використання медичних виробів;</w:t>
      </w:r>
    </w:p>
    <w:p w14:paraId="321FFE23"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3. безпека під час використання лікарських засобів;</w:t>
      </w:r>
    </w:p>
    <w:p w14:paraId="321FFE24"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4. епідеміологічна безпека;</w:t>
      </w:r>
    </w:p>
    <w:p w14:paraId="321FFE25"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5. ідентифікація пацієнтів та біологічного матеріалу;</w:t>
      </w:r>
    </w:p>
    <w:p w14:paraId="321FFE26"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6. порядок роботи зі зверненнями громадян;</w:t>
      </w:r>
    </w:p>
    <w:p w14:paraId="321FFE27"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7. задоволеність пацієнтів та соціологічне опитування;</w:t>
      </w:r>
    </w:p>
    <w:p w14:paraId="321FFE28"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8. інформаційна безпека;</w:t>
      </w:r>
    </w:p>
    <w:p w14:paraId="321FFE29"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9. дотримання прав громадян;</w:t>
      </w:r>
    </w:p>
    <w:p w14:paraId="321FFE2A"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10. інформованість пацієнтів про медичну організацію та права пацієнта.</w:t>
      </w:r>
    </w:p>
    <w:p w14:paraId="321FFE2B"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даному етапі проведення аудиту інформацію необхідно постійно актуалізувати з урахуванням змін, набрання чинності нормативно-правовими документами. Аналіз нормативно-правової бази дозволив розробити критерії аудиту - сукупність вимог, що використовуються як основа для порівняння з ними об’єктивного свідоцтва (даних, отриманих під час аудиту). Таким чином, результатом аудиту є відповідність чи невідповідність отриманих даних нормативним вимогам. Для кожного напряму на рівні медичного закладу розробляються порядки, положення, алгоритми, методики проведення аудитів, що визначаються визначаються суб’єктами перевірок (табл. 1.4).</w:t>
      </w:r>
    </w:p>
    <w:p w14:paraId="321FFE2C"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наступному етапі здійснюється планування внутрішніх аудитів. Комісія з внутрішнього контролю, з урахуванням виділених напрямів перевірок, визначає перелік підрозділів та співробітників, що перевіряються, строки аудиту (не більше 10 днів), відповідальних осіб (внутрішніх аудиторів), що приймають участь у перевірці (табл. 1.4). Як правило, аудитам підлягають завідувачі структурних підрозділів, старші медичні сестри, лікарі, медичні сестри, молодший медичний персонал та інші відповідальні особи.</w:t>
      </w:r>
    </w:p>
    <w:p w14:paraId="321FFE2D" w14:textId="77777777" w:rsidR="003C626E" w:rsidRDefault="001A5B20">
      <w:pPr>
        <w:tabs>
          <w:tab w:val="left" w:pos="993"/>
          <w:tab w:val="left" w:pos="1276"/>
        </w:tabs>
        <w:spacing w:line="360" w:lineRule="auto"/>
        <w:ind w:firstLine="709"/>
        <w:contextualSpacing/>
        <w:jc w:val="right"/>
        <w:rPr>
          <w:rFonts w:ascii="Times New Roman" w:eastAsia="Microsoft YaHei" w:hAnsi="Times New Roman" w:cs="Times New Roman"/>
          <w:sz w:val="28"/>
          <w:szCs w:val="28"/>
        </w:rPr>
      </w:pPr>
      <w:r>
        <w:rPr>
          <w:rFonts w:ascii="Times New Roman" w:eastAsia="Microsoft YaHei" w:hAnsi="Times New Roman" w:cs="Times New Roman"/>
          <w:sz w:val="28"/>
          <w:szCs w:val="28"/>
        </w:rPr>
        <w:t>Таблиця 1.4</w:t>
      </w:r>
    </w:p>
    <w:p w14:paraId="321FFE2E"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Програма внутрішнього аудиту медичного закладу (фрагмент)</w:t>
      </w:r>
    </w:p>
    <w:tbl>
      <w:tblPr>
        <w:tblStyle w:val="26"/>
        <w:tblW w:w="0" w:type="auto"/>
        <w:tblLook w:val="04A0" w:firstRow="1" w:lastRow="0" w:firstColumn="1" w:lastColumn="0" w:noHBand="0" w:noVBand="1"/>
      </w:tblPr>
      <w:tblGrid>
        <w:gridCol w:w="690"/>
        <w:gridCol w:w="4803"/>
        <w:gridCol w:w="3851"/>
      </w:tblGrid>
      <w:tr w:rsidR="003C626E" w14:paraId="321FFE30" w14:textId="77777777">
        <w:tc>
          <w:tcPr>
            <w:tcW w:w="9344" w:type="dxa"/>
            <w:gridSpan w:val="3"/>
            <w:shd w:val="clear" w:color="auto" w:fill="DAEEF3" w:themeFill="accent5" w:themeFillTint="33"/>
          </w:tcPr>
          <w:p w14:paraId="321FFE2F" w14:textId="77777777" w:rsidR="003C626E" w:rsidRDefault="001A5B20">
            <w:pPr>
              <w:tabs>
                <w:tab w:val="left" w:pos="993"/>
                <w:tab w:val="left" w:pos="1276"/>
              </w:tabs>
              <w:spacing w:line="360" w:lineRule="auto"/>
              <w:ind w:left="720"/>
              <w:contextualSpacing/>
              <w:jc w:val="center"/>
              <w:rPr>
                <w:rFonts w:ascii="Times New Roman" w:eastAsia="Microsoft YaHei" w:hAnsi="Times New Roman" w:cs="Times New Roman"/>
              </w:rPr>
            </w:pPr>
            <w:r>
              <w:rPr>
                <w:rFonts w:ascii="Times New Roman" w:eastAsia="Microsoft YaHei" w:hAnsi="Times New Roman" w:cs="Times New Roman"/>
              </w:rPr>
              <w:t>1. Якість та безпека медичної діяльності</w:t>
            </w:r>
          </w:p>
        </w:tc>
      </w:tr>
      <w:tr w:rsidR="003C626E" w14:paraId="321FFE34" w14:textId="77777777">
        <w:tc>
          <w:tcPr>
            <w:tcW w:w="690" w:type="dxa"/>
            <w:shd w:val="clear" w:color="auto" w:fill="C6D9F1" w:themeFill="text2" w:themeFillTint="33"/>
          </w:tcPr>
          <w:p w14:paraId="321FFE31"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w:t>
            </w:r>
          </w:p>
        </w:tc>
        <w:tc>
          <w:tcPr>
            <w:tcW w:w="4803" w:type="dxa"/>
            <w:shd w:val="clear" w:color="auto" w:fill="C6D9F1" w:themeFill="text2" w:themeFillTint="33"/>
          </w:tcPr>
          <w:p w14:paraId="321FFE32"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Область перевірки</w:t>
            </w:r>
          </w:p>
        </w:tc>
        <w:tc>
          <w:tcPr>
            <w:tcW w:w="3851" w:type="dxa"/>
            <w:shd w:val="clear" w:color="auto" w:fill="C6D9F1" w:themeFill="text2" w:themeFillTint="33"/>
          </w:tcPr>
          <w:p w14:paraId="321FFE33"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Суб’єкт перевірки</w:t>
            </w:r>
          </w:p>
        </w:tc>
      </w:tr>
      <w:tr w:rsidR="003C626E" w14:paraId="321FFE44" w14:textId="77777777">
        <w:tc>
          <w:tcPr>
            <w:tcW w:w="690" w:type="dxa"/>
            <w:shd w:val="clear" w:color="auto" w:fill="DDD9C3" w:themeFill="background2" w:themeFillShade="E6"/>
          </w:tcPr>
          <w:p w14:paraId="321FFE35" w14:textId="77777777" w:rsidR="003C626E" w:rsidRDefault="001A5B20">
            <w:pPr>
              <w:tabs>
                <w:tab w:val="left" w:pos="924"/>
                <w:tab w:val="left" w:pos="993"/>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1</w:t>
            </w:r>
          </w:p>
        </w:tc>
        <w:tc>
          <w:tcPr>
            <w:tcW w:w="4803" w:type="dxa"/>
            <w:shd w:val="clear" w:color="auto" w:fill="DAEEF3" w:themeFill="accent5" w:themeFillTint="33"/>
          </w:tcPr>
          <w:p w14:paraId="321FFE36" w14:textId="77777777" w:rsidR="003C626E" w:rsidRDefault="001A5B20">
            <w:pPr>
              <w:tabs>
                <w:tab w:val="left" w:pos="924"/>
                <w:tab w:val="left" w:pos="993"/>
              </w:tabs>
              <w:contextualSpacing/>
              <w:rPr>
                <w:rFonts w:ascii="Times New Roman" w:eastAsia="Microsoft YaHei" w:hAnsi="Times New Roman" w:cs="Times New Roman"/>
              </w:rPr>
            </w:pPr>
            <w:r>
              <w:rPr>
                <w:rFonts w:ascii="Times New Roman" w:eastAsia="Microsoft YaHei" w:hAnsi="Times New Roman" w:cs="Times New Roman"/>
              </w:rPr>
              <w:t>Положення про внутрішній контроль якості та безпеки медичної допомоги</w:t>
            </w:r>
          </w:p>
          <w:p w14:paraId="321FFE37" w14:textId="77777777" w:rsidR="003C626E" w:rsidRDefault="001A5B20">
            <w:pPr>
              <w:tabs>
                <w:tab w:val="left" w:pos="924"/>
                <w:tab w:val="left" w:pos="993"/>
              </w:tabs>
              <w:rPr>
                <w:rFonts w:ascii="Times New Roman" w:eastAsia="Microsoft YaHei" w:hAnsi="Times New Roman" w:cs="Times New Roman"/>
              </w:rPr>
            </w:pPr>
            <w:r>
              <w:rPr>
                <w:rFonts w:ascii="Times New Roman" w:eastAsia="Microsoft YaHei" w:hAnsi="Times New Roman" w:cs="Times New Roman"/>
              </w:rPr>
              <w:t>1. Функції та порядок взаємодії Комісії (Служби) та (або) Уповноваженої особи за якістю;</w:t>
            </w:r>
          </w:p>
          <w:p w14:paraId="321FFE38" w14:textId="77777777" w:rsidR="003C626E" w:rsidRDefault="001A5B20">
            <w:pPr>
              <w:numPr>
                <w:ilvl w:val="0"/>
                <w:numId w:val="31"/>
              </w:numPr>
              <w:tabs>
                <w:tab w:val="left" w:pos="312"/>
                <w:tab w:val="left" w:pos="924"/>
                <w:tab w:val="left" w:pos="993"/>
              </w:tabs>
              <w:ind w:left="0" w:firstLine="0"/>
              <w:contextualSpacing/>
              <w:rPr>
                <w:rFonts w:ascii="Times New Roman" w:eastAsia="Microsoft YaHei" w:hAnsi="Times New Roman" w:cs="Times New Roman"/>
              </w:rPr>
            </w:pPr>
            <w:r>
              <w:rPr>
                <w:rFonts w:ascii="Times New Roman" w:eastAsia="Microsoft YaHei" w:hAnsi="Times New Roman" w:cs="Times New Roman"/>
              </w:rPr>
              <w:t>Мета, завдання та терміни проведення внутрішнього контролю;</w:t>
            </w:r>
          </w:p>
          <w:p w14:paraId="321FFE39" w14:textId="77777777" w:rsidR="003C626E" w:rsidRDefault="001A5B20">
            <w:pPr>
              <w:numPr>
                <w:ilvl w:val="0"/>
                <w:numId w:val="31"/>
              </w:numPr>
              <w:tabs>
                <w:tab w:val="left" w:pos="170"/>
                <w:tab w:val="left" w:pos="312"/>
                <w:tab w:val="left" w:pos="993"/>
              </w:tabs>
              <w:ind w:left="0" w:firstLine="0"/>
              <w:contextualSpacing/>
              <w:rPr>
                <w:rFonts w:ascii="Times New Roman" w:eastAsia="Microsoft YaHei" w:hAnsi="Times New Roman" w:cs="Times New Roman"/>
              </w:rPr>
            </w:pPr>
            <w:r>
              <w:rPr>
                <w:rFonts w:ascii="Times New Roman" w:eastAsia="Microsoft YaHei" w:hAnsi="Times New Roman" w:cs="Times New Roman"/>
              </w:rPr>
              <w:t>Підстави для проведення внутрішнього контролю;</w:t>
            </w:r>
          </w:p>
          <w:p w14:paraId="321FFE3A" w14:textId="77777777" w:rsidR="003C626E" w:rsidRDefault="001A5B20">
            <w:pPr>
              <w:numPr>
                <w:ilvl w:val="0"/>
                <w:numId w:val="31"/>
              </w:numPr>
              <w:tabs>
                <w:tab w:val="left" w:pos="312"/>
                <w:tab w:val="left" w:pos="453"/>
                <w:tab w:val="left" w:pos="924"/>
                <w:tab w:val="left" w:pos="993"/>
              </w:tabs>
              <w:ind w:left="0" w:firstLine="0"/>
              <w:contextualSpacing/>
              <w:rPr>
                <w:rFonts w:ascii="Times New Roman" w:eastAsia="Microsoft YaHei" w:hAnsi="Times New Roman" w:cs="Times New Roman"/>
              </w:rPr>
            </w:pPr>
            <w:r>
              <w:rPr>
                <w:rFonts w:ascii="Times New Roman" w:eastAsia="Microsoft YaHei" w:hAnsi="Times New Roman" w:cs="Times New Roman"/>
              </w:rPr>
              <w:t>Порядок реєстрації та аналізу результатів внутрішнього контролю;</w:t>
            </w:r>
          </w:p>
          <w:p w14:paraId="321FFE3B" w14:textId="77777777" w:rsidR="003C626E" w:rsidRDefault="001A5B20">
            <w:pPr>
              <w:tabs>
                <w:tab w:val="left" w:pos="924"/>
                <w:tab w:val="left" w:pos="993"/>
              </w:tabs>
              <w:contextualSpacing/>
              <w:rPr>
                <w:rFonts w:ascii="Times New Roman" w:eastAsia="Microsoft YaHei" w:hAnsi="Times New Roman" w:cs="Times New Roman"/>
              </w:rPr>
            </w:pPr>
            <w:r>
              <w:rPr>
                <w:rFonts w:ascii="Times New Roman" w:eastAsia="Microsoft YaHei" w:hAnsi="Times New Roman" w:cs="Times New Roman"/>
              </w:rPr>
              <w:t>5. Порядок використання результатів внутрішнього контролю в цілях управління якістю та безпекою медичної допомоги;</w:t>
            </w:r>
          </w:p>
        </w:tc>
        <w:tc>
          <w:tcPr>
            <w:tcW w:w="3851" w:type="dxa"/>
          </w:tcPr>
          <w:p w14:paraId="321FFE3C" w14:textId="77777777" w:rsidR="003C626E" w:rsidRDefault="001A5B20">
            <w:pPr>
              <w:shd w:val="clear" w:color="auto" w:fill="DBE5F1" w:themeFill="accent1" w:themeFillTint="33"/>
              <w:tabs>
                <w:tab w:val="left" w:pos="993"/>
                <w:tab w:val="left" w:pos="1276"/>
              </w:tabs>
              <w:ind w:left="-75"/>
              <w:contextualSpacing/>
              <w:rPr>
                <w:rFonts w:ascii="Times New Roman" w:eastAsia="Microsoft YaHei" w:hAnsi="Times New Roman" w:cs="Times New Roman"/>
              </w:rPr>
            </w:pPr>
            <w:r>
              <w:rPr>
                <w:rFonts w:ascii="Times New Roman" w:eastAsia="Microsoft YaHei" w:hAnsi="Times New Roman" w:cs="Times New Roman"/>
              </w:rPr>
              <w:t>Відповідальні особи за організацію та забезпечення ЛКЯ:</w:t>
            </w:r>
          </w:p>
          <w:p w14:paraId="321FFE3D" w14:textId="77777777" w:rsidR="003C626E" w:rsidRDefault="001A5B20">
            <w:pPr>
              <w:shd w:val="clear" w:color="auto" w:fill="DBE5F1" w:themeFill="accent1" w:themeFillTint="33"/>
              <w:tabs>
                <w:tab w:val="left" w:pos="993"/>
                <w:tab w:val="left" w:pos="1276"/>
              </w:tabs>
              <w:ind w:left="-75"/>
              <w:contextualSpacing/>
              <w:rPr>
                <w:rFonts w:ascii="Times New Roman" w:eastAsia="Microsoft YaHei" w:hAnsi="Times New Roman" w:cs="Times New Roman"/>
              </w:rPr>
            </w:pPr>
            <w:r>
              <w:rPr>
                <w:rFonts w:ascii="Times New Roman" w:eastAsia="Microsoft YaHei" w:hAnsi="Times New Roman" w:cs="Times New Roman"/>
              </w:rPr>
              <w:t>1. Профільний(і) заступник(і)</w:t>
            </w:r>
          </w:p>
          <w:p w14:paraId="321FFE3E" w14:textId="77777777" w:rsidR="003C626E" w:rsidRDefault="001A5B20">
            <w:pPr>
              <w:shd w:val="clear" w:color="auto" w:fill="DBE5F1" w:themeFill="accent1" w:themeFillTint="33"/>
              <w:tabs>
                <w:tab w:val="left" w:pos="993"/>
                <w:tab w:val="left" w:pos="1276"/>
              </w:tabs>
              <w:ind w:left="-75"/>
              <w:contextualSpacing/>
              <w:rPr>
                <w:rFonts w:ascii="Times New Roman" w:eastAsia="Microsoft YaHei" w:hAnsi="Times New Roman" w:cs="Times New Roman"/>
              </w:rPr>
            </w:pPr>
            <w:r>
              <w:rPr>
                <w:rFonts w:ascii="Times New Roman" w:eastAsia="Microsoft YaHei" w:hAnsi="Times New Roman" w:cs="Times New Roman"/>
              </w:rPr>
              <w:t>керівника медичного закладу;</w:t>
            </w:r>
          </w:p>
          <w:p w14:paraId="321FFE3F" w14:textId="77777777" w:rsidR="003C626E" w:rsidRDefault="001A5B20">
            <w:pPr>
              <w:shd w:val="clear" w:color="auto" w:fill="DBE5F1" w:themeFill="accent1" w:themeFillTint="33"/>
              <w:tabs>
                <w:tab w:val="left" w:pos="993"/>
                <w:tab w:val="left" w:pos="1276"/>
              </w:tabs>
              <w:ind w:left="-75"/>
              <w:contextualSpacing/>
              <w:rPr>
                <w:rFonts w:ascii="Times New Roman" w:eastAsia="Microsoft YaHei" w:hAnsi="Times New Roman" w:cs="Times New Roman"/>
              </w:rPr>
            </w:pPr>
            <w:r>
              <w:rPr>
                <w:rFonts w:ascii="Times New Roman" w:eastAsia="Microsoft YaHei" w:hAnsi="Times New Roman" w:cs="Times New Roman"/>
              </w:rPr>
              <w:t>2. Відповідальний за контроль якості та безпеки медичної допомоги в структурному підрозділі медичного закладу;</w:t>
            </w:r>
          </w:p>
          <w:p w14:paraId="321FFE40" w14:textId="77777777" w:rsidR="003C626E" w:rsidRDefault="001A5B20">
            <w:pPr>
              <w:shd w:val="clear" w:color="auto" w:fill="DBE5F1" w:themeFill="accent1" w:themeFillTint="33"/>
              <w:tabs>
                <w:tab w:val="left" w:pos="993"/>
                <w:tab w:val="left" w:pos="1276"/>
              </w:tabs>
              <w:ind w:left="-75"/>
              <w:contextualSpacing/>
              <w:rPr>
                <w:rFonts w:ascii="Times New Roman" w:eastAsia="Microsoft YaHei" w:hAnsi="Times New Roman" w:cs="Times New Roman"/>
              </w:rPr>
            </w:pPr>
            <w:r>
              <w:rPr>
                <w:rFonts w:ascii="Times New Roman" w:eastAsia="Microsoft YaHei" w:hAnsi="Times New Roman" w:cs="Times New Roman"/>
              </w:rPr>
              <w:t>3. Лікар медичного закладу;</w:t>
            </w:r>
          </w:p>
          <w:p w14:paraId="321FFE41" w14:textId="77777777" w:rsidR="003C626E" w:rsidRDefault="001A5B20">
            <w:pPr>
              <w:shd w:val="clear" w:color="auto" w:fill="DBE5F1" w:themeFill="accent1" w:themeFillTint="33"/>
              <w:tabs>
                <w:tab w:val="left" w:pos="993"/>
                <w:tab w:val="left" w:pos="1276"/>
              </w:tabs>
              <w:ind w:left="-75"/>
              <w:contextualSpacing/>
              <w:rPr>
                <w:rFonts w:ascii="Times New Roman" w:eastAsia="Microsoft YaHei" w:hAnsi="Times New Roman" w:cs="Times New Roman"/>
              </w:rPr>
            </w:pPr>
            <w:r>
              <w:rPr>
                <w:rFonts w:ascii="Times New Roman" w:eastAsia="Microsoft YaHei" w:hAnsi="Times New Roman" w:cs="Times New Roman"/>
              </w:rPr>
              <w:t>4. Члени ЛК;</w:t>
            </w:r>
          </w:p>
          <w:p w14:paraId="321FFE42" w14:textId="77777777" w:rsidR="003C626E" w:rsidRDefault="001A5B20">
            <w:pPr>
              <w:shd w:val="clear" w:color="auto" w:fill="DBE5F1" w:themeFill="accent1" w:themeFillTint="33"/>
              <w:tabs>
                <w:tab w:val="left" w:pos="993"/>
                <w:tab w:val="left" w:pos="1276"/>
              </w:tabs>
              <w:ind w:left="-75"/>
              <w:contextualSpacing/>
              <w:rPr>
                <w:rFonts w:ascii="Times New Roman" w:eastAsia="Microsoft YaHei" w:hAnsi="Times New Roman" w:cs="Times New Roman"/>
              </w:rPr>
            </w:pPr>
            <w:r>
              <w:rPr>
                <w:rFonts w:ascii="Times New Roman" w:eastAsia="Microsoft YaHei" w:hAnsi="Times New Roman" w:cs="Times New Roman"/>
              </w:rPr>
              <w:t>5. Інші особи, що беруть участь у</w:t>
            </w:r>
          </w:p>
          <w:p w14:paraId="321FFE43" w14:textId="77777777" w:rsidR="003C626E" w:rsidRDefault="001A5B20">
            <w:pPr>
              <w:shd w:val="clear" w:color="auto" w:fill="DBE5F1" w:themeFill="accent1" w:themeFillTint="33"/>
              <w:tabs>
                <w:tab w:val="left" w:pos="993"/>
                <w:tab w:val="left" w:pos="1276"/>
              </w:tabs>
              <w:ind w:left="-75"/>
              <w:contextualSpacing/>
              <w:rPr>
                <w:rFonts w:ascii="Times New Roman" w:eastAsia="Microsoft YaHei" w:hAnsi="Times New Roman" w:cs="Times New Roman"/>
              </w:rPr>
            </w:pPr>
            <w:r>
              <w:rPr>
                <w:rFonts w:ascii="Times New Roman" w:eastAsia="Microsoft YaHei" w:hAnsi="Times New Roman" w:cs="Times New Roman"/>
              </w:rPr>
              <w:t>організації та проведення ЛКЯ за рішенням керівника медичного закладу.</w:t>
            </w:r>
          </w:p>
        </w:tc>
      </w:tr>
    </w:tbl>
    <w:p w14:paraId="321FFE45" w14:textId="77777777" w:rsidR="003C626E" w:rsidRDefault="001A5B20">
      <w:pPr>
        <w:jc w:val="right"/>
        <w:rPr>
          <w:rFonts w:ascii="Microsoft YaHei" w:eastAsia="Microsoft YaHei" w:hAnsi="Microsoft YaHei" w:cs="Microsoft YaHei"/>
        </w:rPr>
      </w:pPr>
      <w:r>
        <w:rPr>
          <w:rFonts w:ascii="Times New Roman" w:eastAsia="Microsoft YaHei" w:hAnsi="Times New Roman" w:cs="Times New Roman"/>
          <w:sz w:val="28"/>
          <w:szCs w:val="28"/>
        </w:rPr>
        <w:lastRenderedPageBreak/>
        <w:t>Продовження таблиці 1.4</w:t>
      </w:r>
    </w:p>
    <w:tbl>
      <w:tblPr>
        <w:tblStyle w:val="26"/>
        <w:tblW w:w="0" w:type="auto"/>
        <w:tblLook w:val="04A0" w:firstRow="1" w:lastRow="0" w:firstColumn="1" w:lastColumn="0" w:noHBand="0" w:noVBand="1"/>
      </w:tblPr>
      <w:tblGrid>
        <w:gridCol w:w="690"/>
        <w:gridCol w:w="4803"/>
        <w:gridCol w:w="3851"/>
      </w:tblGrid>
      <w:tr w:rsidR="003C626E" w14:paraId="321FFE49" w14:textId="77777777">
        <w:trPr>
          <w:trHeight w:val="943"/>
        </w:trPr>
        <w:tc>
          <w:tcPr>
            <w:tcW w:w="690" w:type="dxa"/>
            <w:shd w:val="clear" w:color="auto" w:fill="DDD9C3" w:themeFill="background2" w:themeFillShade="E6"/>
          </w:tcPr>
          <w:p w14:paraId="321FFE46" w14:textId="77777777" w:rsidR="003C626E" w:rsidRDefault="003C626E">
            <w:pPr>
              <w:tabs>
                <w:tab w:val="left" w:pos="924"/>
                <w:tab w:val="left" w:pos="993"/>
              </w:tabs>
              <w:spacing w:line="360" w:lineRule="auto"/>
              <w:contextualSpacing/>
              <w:jc w:val="center"/>
              <w:rPr>
                <w:rFonts w:ascii="Times New Roman" w:eastAsia="Microsoft YaHei" w:hAnsi="Times New Roman" w:cs="Times New Roman"/>
              </w:rPr>
            </w:pPr>
          </w:p>
        </w:tc>
        <w:tc>
          <w:tcPr>
            <w:tcW w:w="4803" w:type="dxa"/>
            <w:shd w:val="clear" w:color="auto" w:fill="DAEEF3" w:themeFill="accent5" w:themeFillTint="33"/>
          </w:tcPr>
          <w:p w14:paraId="321FFE47" w14:textId="77777777" w:rsidR="003C626E" w:rsidRDefault="001A5B20">
            <w:pPr>
              <w:tabs>
                <w:tab w:val="left" w:pos="924"/>
                <w:tab w:val="left" w:pos="993"/>
              </w:tabs>
              <w:contextualSpacing/>
              <w:rPr>
                <w:rFonts w:ascii="Times New Roman" w:eastAsia="Microsoft YaHei" w:hAnsi="Times New Roman" w:cs="Times New Roman"/>
              </w:rPr>
            </w:pPr>
            <w:r>
              <w:rPr>
                <w:rFonts w:ascii="Times New Roman" w:eastAsia="Microsoft YaHei" w:hAnsi="Times New Roman" w:cs="Times New Roman"/>
              </w:rPr>
              <w:t>6. Права та обов’язки осіб, які беруть участь у організації та проведенні контролю якості та безпеки медичної допомоги.</w:t>
            </w:r>
          </w:p>
        </w:tc>
        <w:tc>
          <w:tcPr>
            <w:tcW w:w="3851" w:type="dxa"/>
            <w:shd w:val="clear" w:color="auto" w:fill="DBE5F1" w:themeFill="accent1" w:themeFillTint="33"/>
          </w:tcPr>
          <w:p w14:paraId="321FFE48" w14:textId="77777777" w:rsidR="003C626E" w:rsidRDefault="003C626E">
            <w:pPr>
              <w:tabs>
                <w:tab w:val="left" w:pos="993"/>
                <w:tab w:val="left" w:pos="1276"/>
              </w:tabs>
              <w:ind w:left="33"/>
              <w:contextualSpacing/>
              <w:rPr>
                <w:rFonts w:ascii="Times New Roman" w:eastAsia="Microsoft YaHei" w:hAnsi="Times New Roman" w:cs="Times New Roman"/>
              </w:rPr>
            </w:pPr>
          </w:p>
        </w:tc>
      </w:tr>
      <w:tr w:rsidR="003C626E" w14:paraId="321FFE59" w14:textId="77777777">
        <w:tc>
          <w:tcPr>
            <w:tcW w:w="690" w:type="dxa"/>
            <w:shd w:val="clear" w:color="auto" w:fill="DDD9C3" w:themeFill="background2" w:themeFillShade="E6"/>
          </w:tcPr>
          <w:p w14:paraId="321FFE4A"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2</w:t>
            </w:r>
          </w:p>
        </w:tc>
        <w:tc>
          <w:tcPr>
            <w:tcW w:w="4803" w:type="dxa"/>
            <w:shd w:val="clear" w:color="auto" w:fill="DAEEF3" w:themeFill="accent5" w:themeFillTint="33"/>
          </w:tcPr>
          <w:p w14:paraId="321FFE4B"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Положення про лікарську</w:t>
            </w:r>
          </w:p>
          <w:p w14:paraId="321FFE4C"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комісію (далі – ЛК)</w:t>
            </w:r>
          </w:p>
          <w:p w14:paraId="321FFE4D" w14:textId="77777777" w:rsidR="003C626E" w:rsidRDefault="001A5B20">
            <w:pPr>
              <w:numPr>
                <w:ilvl w:val="0"/>
                <w:numId w:val="25"/>
              </w:numPr>
              <w:tabs>
                <w:tab w:val="left" w:pos="264"/>
                <w:tab w:val="left" w:pos="993"/>
                <w:tab w:val="left" w:pos="1276"/>
              </w:tabs>
              <w:ind w:left="0" w:firstLine="28"/>
              <w:contextualSpacing/>
              <w:rPr>
                <w:rFonts w:ascii="Times New Roman" w:eastAsia="Microsoft YaHei" w:hAnsi="Times New Roman" w:cs="Times New Roman"/>
              </w:rPr>
            </w:pPr>
            <w:r>
              <w:rPr>
                <w:rFonts w:ascii="Times New Roman" w:eastAsia="Microsoft YaHei" w:hAnsi="Times New Roman" w:cs="Times New Roman"/>
              </w:rPr>
              <w:t>Уповноважена особа, яка відповідає за дотримання критеріїв оцінки;</w:t>
            </w:r>
          </w:p>
          <w:p w14:paraId="321FFE4E" w14:textId="77777777" w:rsidR="003C626E" w:rsidRDefault="001A5B20">
            <w:pPr>
              <w:numPr>
                <w:ilvl w:val="0"/>
                <w:numId w:val="25"/>
              </w:num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Склад комісії;</w:t>
            </w:r>
          </w:p>
          <w:p w14:paraId="321FFE4F" w14:textId="77777777" w:rsidR="003C626E" w:rsidRDefault="001A5B20">
            <w:pPr>
              <w:numPr>
                <w:ilvl w:val="0"/>
                <w:numId w:val="25"/>
              </w:numPr>
              <w:tabs>
                <w:tab w:val="left" w:pos="312"/>
                <w:tab w:val="left" w:pos="1276"/>
              </w:tabs>
              <w:ind w:left="28" w:firstLine="0"/>
              <w:contextualSpacing/>
              <w:rPr>
                <w:rFonts w:ascii="Times New Roman" w:eastAsia="Microsoft YaHei" w:hAnsi="Times New Roman" w:cs="Times New Roman"/>
              </w:rPr>
            </w:pPr>
            <w:r>
              <w:rPr>
                <w:rFonts w:ascii="Times New Roman" w:eastAsia="Microsoft YaHei" w:hAnsi="Times New Roman" w:cs="Times New Roman"/>
              </w:rPr>
              <w:t>Повноваження служби, поділ з ЛКК;</w:t>
            </w:r>
          </w:p>
          <w:p w14:paraId="321FFE50" w14:textId="77777777" w:rsidR="003C626E" w:rsidRDefault="001A5B20">
            <w:pPr>
              <w:numPr>
                <w:ilvl w:val="0"/>
                <w:numId w:val="25"/>
              </w:numPr>
              <w:tabs>
                <w:tab w:val="left" w:pos="336"/>
                <w:tab w:val="left" w:pos="993"/>
                <w:tab w:val="left" w:pos="1276"/>
              </w:tabs>
              <w:ind w:left="28" w:firstLine="0"/>
              <w:contextualSpacing/>
              <w:rPr>
                <w:rFonts w:ascii="Times New Roman" w:eastAsia="Microsoft YaHei" w:hAnsi="Times New Roman" w:cs="Times New Roman"/>
              </w:rPr>
            </w:pPr>
            <w:r>
              <w:rPr>
                <w:rFonts w:ascii="Times New Roman" w:eastAsia="Microsoft YaHei" w:hAnsi="Times New Roman" w:cs="Times New Roman"/>
              </w:rPr>
              <w:t>Наявність критеріїв оцінки;</w:t>
            </w:r>
          </w:p>
          <w:p w14:paraId="321FFE51" w14:textId="77777777" w:rsidR="003C626E" w:rsidRDefault="001A5B20">
            <w:pPr>
              <w:numPr>
                <w:ilvl w:val="0"/>
                <w:numId w:val="25"/>
              </w:numPr>
              <w:tabs>
                <w:tab w:val="left" w:pos="336"/>
                <w:tab w:val="left" w:pos="993"/>
                <w:tab w:val="left" w:pos="1276"/>
              </w:tabs>
              <w:ind w:left="28" w:firstLine="0"/>
              <w:contextualSpacing/>
              <w:rPr>
                <w:rFonts w:ascii="Times New Roman" w:eastAsia="Microsoft YaHei" w:hAnsi="Times New Roman" w:cs="Times New Roman"/>
              </w:rPr>
            </w:pPr>
            <w:r>
              <w:rPr>
                <w:rFonts w:ascii="Times New Roman" w:eastAsia="Microsoft YaHei" w:hAnsi="Times New Roman" w:cs="Times New Roman"/>
              </w:rPr>
              <w:t>Графік роботи;</w:t>
            </w:r>
          </w:p>
          <w:p w14:paraId="321FFE52" w14:textId="77777777" w:rsidR="003C626E" w:rsidRDefault="001A5B20">
            <w:pPr>
              <w:numPr>
                <w:ilvl w:val="0"/>
                <w:numId w:val="25"/>
              </w:numPr>
              <w:tabs>
                <w:tab w:val="left" w:pos="336"/>
                <w:tab w:val="left" w:pos="993"/>
                <w:tab w:val="left" w:pos="1276"/>
              </w:tabs>
              <w:ind w:left="28" w:firstLine="0"/>
              <w:contextualSpacing/>
              <w:rPr>
                <w:rFonts w:ascii="Times New Roman" w:eastAsia="Microsoft YaHei" w:hAnsi="Times New Roman" w:cs="Times New Roman"/>
              </w:rPr>
            </w:pPr>
            <w:r>
              <w:rPr>
                <w:rFonts w:ascii="Times New Roman" w:eastAsia="Microsoft YaHei" w:hAnsi="Times New Roman" w:cs="Times New Roman"/>
              </w:rPr>
              <w:t>Призначення лікарських препаратів через ЛК, оформлення</w:t>
            </w:r>
          </w:p>
          <w:p w14:paraId="321FFE53" w14:textId="77777777" w:rsidR="003C626E" w:rsidRDefault="001A5B20">
            <w:pPr>
              <w:tabs>
                <w:tab w:val="left" w:pos="336"/>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висновків, внесення даних у  медичну документацію тощо.</w:t>
            </w:r>
          </w:p>
        </w:tc>
        <w:tc>
          <w:tcPr>
            <w:tcW w:w="3851" w:type="dxa"/>
            <w:shd w:val="clear" w:color="auto" w:fill="DBE5F1" w:themeFill="accent1" w:themeFillTint="33"/>
          </w:tcPr>
          <w:p w14:paraId="321FFE54"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1. Відповідальна особа за організацію ЛК;</w:t>
            </w:r>
          </w:p>
          <w:p w14:paraId="321FFE55"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2. Члени лікарської комісії;</w:t>
            </w:r>
          </w:p>
          <w:p w14:paraId="321FFE56"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3. Голова ЛК;</w:t>
            </w:r>
          </w:p>
          <w:p w14:paraId="321FFE57"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4. Голови лікарських підкомісій;</w:t>
            </w:r>
          </w:p>
          <w:p w14:paraId="321FFE58"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5. Служба з якості.</w:t>
            </w:r>
          </w:p>
        </w:tc>
      </w:tr>
      <w:tr w:rsidR="003C626E" w14:paraId="321FFE69" w14:textId="77777777">
        <w:tc>
          <w:tcPr>
            <w:tcW w:w="690" w:type="dxa"/>
            <w:shd w:val="clear" w:color="auto" w:fill="DDD9C3" w:themeFill="background2" w:themeFillShade="E6"/>
          </w:tcPr>
          <w:p w14:paraId="321FFE5A"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3</w:t>
            </w:r>
          </w:p>
        </w:tc>
        <w:tc>
          <w:tcPr>
            <w:tcW w:w="4803" w:type="dxa"/>
            <w:shd w:val="clear" w:color="auto" w:fill="DAEEF3" w:themeFill="accent5" w:themeFillTint="33"/>
          </w:tcPr>
          <w:p w14:paraId="321FFE5B"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Положення про організацію роботи у сфері обігу медичних виробів у медичному закладі</w:t>
            </w:r>
          </w:p>
          <w:p w14:paraId="321FFE5C"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1. Порядок забезпечення безпечного обігу медичних виробів у медичному закладі;</w:t>
            </w:r>
          </w:p>
          <w:p w14:paraId="321FFE5D"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2. Порядок інформування, реагування при дефектах при використанні медичних виробів;</w:t>
            </w:r>
          </w:p>
          <w:p w14:paraId="321FFE5E"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3. Порядок передачі при несприятливих подіях, інформування керівника;</w:t>
            </w:r>
          </w:p>
          <w:p w14:paraId="321FFE5F"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4. Наявність медичних виробів на балансі медичного закладу;</w:t>
            </w:r>
          </w:p>
          <w:p w14:paraId="321FFE60" w14:textId="77777777" w:rsidR="003C626E" w:rsidRDefault="001A5B20">
            <w:pPr>
              <w:tabs>
                <w:tab w:val="left" w:pos="993"/>
                <w:tab w:val="left" w:pos="1276"/>
              </w:tabs>
              <w:ind w:left="28"/>
              <w:contextualSpacing/>
              <w:rPr>
                <w:rFonts w:ascii="Times New Roman" w:eastAsia="Microsoft YaHei" w:hAnsi="Times New Roman" w:cs="Times New Roman"/>
              </w:rPr>
            </w:pPr>
            <w:r>
              <w:rPr>
                <w:rFonts w:ascii="Times New Roman" w:eastAsia="Microsoft YaHei" w:hAnsi="Times New Roman" w:cs="Times New Roman"/>
              </w:rPr>
              <w:t>5. Порядок використання медичних виробів, у разі відсутності в стандарті.</w:t>
            </w:r>
          </w:p>
        </w:tc>
        <w:tc>
          <w:tcPr>
            <w:tcW w:w="3851" w:type="dxa"/>
            <w:shd w:val="clear" w:color="auto" w:fill="DBE5F1" w:themeFill="accent1" w:themeFillTint="33"/>
          </w:tcPr>
          <w:p w14:paraId="321FFE61" w14:textId="77777777" w:rsidR="003C626E" w:rsidRDefault="001A5B20">
            <w:pPr>
              <w:tabs>
                <w:tab w:val="left" w:pos="993"/>
                <w:tab w:val="left" w:pos="1276"/>
              </w:tabs>
              <w:ind w:left="33"/>
              <w:contextualSpacing/>
              <w:rPr>
                <w:rFonts w:ascii="Times New Roman" w:eastAsia="Microsoft YaHei" w:hAnsi="Times New Roman" w:cs="Times New Roman"/>
              </w:rPr>
            </w:pPr>
            <w:r>
              <w:rPr>
                <w:rFonts w:ascii="Times New Roman" w:eastAsia="Microsoft YaHei" w:hAnsi="Times New Roman" w:cs="Times New Roman"/>
              </w:rPr>
              <w:t>1. Служба з якості;</w:t>
            </w:r>
          </w:p>
          <w:p w14:paraId="321FFE62" w14:textId="77777777" w:rsidR="003C626E" w:rsidRDefault="001A5B20">
            <w:pPr>
              <w:tabs>
                <w:tab w:val="left" w:pos="993"/>
                <w:tab w:val="left" w:pos="1276"/>
              </w:tabs>
              <w:ind w:left="33"/>
              <w:contextualSpacing/>
              <w:rPr>
                <w:rFonts w:ascii="Times New Roman" w:eastAsia="Microsoft YaHei" w:hAnsi="Times New Roman" w:cs="Times New Roman"/>
              </w:rPr>
            </w:pPr>
            <w:r>
              <w:rPr>
                <w:rFonts w:ascii="Times New Roman" w:eastAsia="Microsoft YaHei" w:hAnsi="Times New Roman" w:cs="Times New Roman"/>
              </w:rPr>
              <w:t>2. Завідувачі підрозділами;</w:t>
            </w:r>
          </w:p>
          <w:p w14:paraId="321FFE63" w14:textId="77777777" w:rsidR="003C626E" w:rsidRDefault="001A5B20">
            <w:pPr>
              <w:tabs>
                <w:tab w:val="left" w:pos="993"/>
                <w:tab w:val="left" w:pos="1276"/>
              </w:tabs>
              <w:ind w:left="33"/>
              <w:contextualSpacing/>
              <w:rPr>
                <w:rFonts w:ascii="Times New Roman" w:eastAsia="Microsoft YaHei" w:hAnsi="Times New Roman" w:cs="Times New Roman"/>
              </w:rPr>
            </w:pPr>
            <w:r>
              <w:rPr>
                <w:rFonts w:ascii="Times New Roman" w:eastAsia="Microsoft YaHei" w:hAnsi="Times New Roman" w:cs="Times New Roman"/>
              </w:rPr>
              <w:t>3. Відділ з медичного забезпечення;</w:t>
            </w:r>
          </w:p>
          <w:p w14:paraId="321FFE64" w14:textId="77777777" w:rsidR="003C626E" w:rsidRDefault="001A5B20">
            <w:pPr>
              <w:tabs>
                <w:tab w:val="left" w:pos="993"/>
                <w:tab w:val="left" w:pos="1276"/>
              </w:tabs>
              <w:ind w:left="33"/>
              <w:contextualSpacing/>
              <w:rPr>
                <w:rFonts w:ascii="Times New Roman" w:eastAsia="Microsoft YaHei" w:hAnsi="Times New Roman" w:cs="Times New Roman"/>
              </w:rPr>
            </w:pPr>
            <w:r>
              <w:rPr>
                <w:rFonts w:ascii="Times New Roman" w:eastAsia="Microsoft YaHei" w:hAnsi="Times New Roman" w:cs="Times New Roman"/>
              </w:rPr>
              <w:t>4. Відповідальні за придбання</w:t>
            </w:r>
          </w:p>
          <w:p w14:paraId="321FFE65" w14:textId="77777777" w:rsidR="003C626E" w:rsidRDefault="001A5B20">
            <w:pPr>
              <w:tabs>
                <w:tab w:val="left" w:pos="993"/>
                <w:tab w:val="left" w:pos="1276"/>
              </w:tabs>
              <w:ind w:left="33"/>
              <w:contextualSpacing/>
              <w:rPr>
                <w:rFonts w:ascii="Times New Roman" w:eastAsia="Microsoft YaHei" w:hAnsi="Times New Roman" w:cs="Times New Roman"/>
              </w:rPr>
            </w:pPr>
            <w:r>
              <w:rPr>
                <w:rFonts w:ascii="Times New Roman" w:eastAsia="Microsoft YaHei" w:hAnsi="Times New Roman" w:cs="Times New Roman"/>
              </w:rPr>
              <w:t>медичних виробів;</w:t>
            </w:r>
          </w:p>
          <w:p w14:paraId="321FFE66" w14:textId="77777777" w:rsidR="003C626E" w:rsidRDefault="001A5B20">
            <w:pPr>
              <w:tabs>
                <w:tab w:val="left" w:pos="993"/>
                <w:tab w:val="left" w:pos="1276"/>
              </w:tabs>
              <w:ind w:left="33"/>
              <w:contextualSpacing/>
              <w:rPr>
                <w:rFonts w:ascii="Times New Roman" w:eastAsia="Microsoft YaHei" w:hAnsi="Times New Roman" w:cs="Times New Roman"/>
              </w:rPr>
            </w:pPr>
            <w:r>
              <w:rPr>
                <w:rFonts w:ascii="Times New Roman" w:eastAsia="Microsoft YaHei" w:hAnsi="Times New Roman" w:cs="Times New Roman"/>
              </w:rPr>
              <w:t>5. Старші медсестри;</w:t>
            </w:r>
          </w:p>
          <w:p w14:paraId="321FFE67" w14:textId="77777777" w:rsidR="003C626E" w:rsidRDefault="001A5B20">
            <w:pPr>
              <w:tabs>
                <w:tab w:val="left" w:pos="993"/>
                <w:tab w:val="left" w:pos="1276"/>
              </w:tabs>
              <w:ind w:left="33"/>
              <w:contextualSpacing/>
              <w:rPr>
                <w:rFonts w:ascii="Times New Roman" w:eastAsia="Microsoft YaHei" w:hAnsi="Times New Roman" w:cs="Times New Roman"/>
              </w:rPr>
            </w:pPr>
            <w:r>
              <w:rPr>
                <w:rFonts w:ascii="Times New Roman" w:eastAsia="Microsoft YaHei" w:hAnsi="Times New Roman" w:cs="Times New Roman"/>
              </w:rPr>
              <w:t>6. Лікарі;</w:t>
            </w:r>
          </w:p>
          <w:p w14:paraId="321FFE68" w14:textId="77777777" w:rsidR="003C626E" w:rsidRDefault="001A5B20">
            <w:pPr>
              <w:tabs>
                <w:tab w:val="left" w:pos="993"/>
                <w:tab w:val="left" w:pos="1276"/>
              </w:tabs>
              <w:ind w:left="33"/>
              <w:contextualSpacing/>
              <w:rPr>
                <w:rFonts w:ascii="Times New Roman" w:eastAsia="Microsoft YaHei" w:hAnsi="Times New Roman" w:cs="Times New Roman"/>
              </w:rPr>
            </w:pPr>
            <w:r>
              <w:rPr>
                <w:rFonts w:ascii="Times New Roman" w:eastAsia="Microsoft YaHei" w:hAnsi="Times New Roman" w:cs="Times New Roman"/>
              </w:rPr>
              <w:t>7. Середній медичний персонал.</w:t>
            </w:r>
          </w:p>
        </w:tc>
      </w:tr>
    </w:tbl>
    <w:p w14:paraId="321FFE6A"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сформовано автором</w:t>
      </w:r>
    </w:p>
    <w:p w14:paraId="321FFE6B"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E6C"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Важливим є визначення складу комісії з аудитів, членами комісії мають бути найбільш компетентні у своїй галузі співробітники, можливе також залучення сторонніх спеціалістів (табл. 1.5)</w:t>
      </w:r>
    </w:p>
    <w:p w14:paraId="321FFE6D" w14:textId="77777777" w:rsidR="003C626E" w:rsidRDefault="001A5B20">
      <w:pPr>
        <w:tabs>
          <w:tab w:val="left" w:pos="993"/>
          <w:tab w:val="left" w:pos="1276"/>
        </w:tabs>
        <w:spacing w:line="360" w:lineRule="auto"/>
        <w:ind w:firstLine="709"/>
        <w:contextualSpacing/>
        <w:jc w:val="right"/>
        <w:rPr>
          <w:rFonts w:ascii="Times New Roman" w:eastAsia="Microsoft YaHei" w:hAnsi="Times New Roman" w:cs="Times New Roman"/>
          <w:sz w:val="28"/>
          <w:szCs w:val="28"/>
        </w:rPr>
      </w:pPr>
      <w:r>
        <w:rPr>
          <w:rFonts w:ascii="Times New Roman" w:eastAsia="Microsoft YaHei" w:hAnsi="Times New Roman" w:cs="Times New Roman"/>
          <w:sz w:val="28"/>
          <w:szCs w:val="28"/>
        </w:rPr>
        <w:t>Таблиця 1.5</w:t>
      </w:r>
    </w:p>
    <w:p w14:paraId="321FFE6E"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Приклад плану внутрішнього аудиту у медичному закладі (фрагмент)</w:t>
      </w:r>
    </w:p>
    <w:tbl>
      <w:tblPr>
        <w:tblStyle w:val="26"/>
        <w:tblW w:w="0" w:type="auto"/>
        <w:tblLook w:val="04A0" w:firstRow="1" w:lastRow="0" w:firstColumn="1" w:lastColumn="0" w:noHBand="0" w:noVBand="1"/>
      </w:tblPr>
      <w:tblGrid>
        <w:gridCol w:w="2689"/>
        <w:gridCol w:w="1559"/>
        <w:gridCol w:w="5096"/>
      </w:tblGrid>
      <w:tr w:rsidR="003C626E" w14:paraId="321FFE73" w14:textId="77777777">
        <w:tc>
          <w:tcPr>
            <w:tcW w:w="2689" w:type="dxa"/>
            <w:shd w:val="clear" w:color="auto" w:fill="DBE5F1" w:themeFill="accent1" w:themeFillTint="33"/>
          </w:tcPr>
          <w:p w14:paraId="321FFE6F" w14:textId="77777777" w:rsidR="003C626E" w:rsidRDefault="001A5B20">
            <w:pPr>
              <w:tabs>
                <w:tab w:val="left" w:pos="993"/>
                <w:tab w:val="left" w:pos="1276"/>
              </w:tabs>
              <w:ind w:left="720"/>
              <w:contextualSpacing/>
              <w:jc w:val="center"/>
              <w:rPr>
                <w:rFonts w:ascii="Times New Roman" w:eastAsia="Microsoft YaHei" w:hAnsi="Times New Roman" w:cs="Times New Roman"/>
              </w:rPr>
            </w:pPr>
            <w:r>
              <w:rPr>
                <w:rFonts w:ascii="Times New Roman" w:eastAsia="Microsoft YaHei" w:hAnsi="Times New Roman" w:cs="Times New Roman"/>
              </w:rPr>
              <w:t>Підрозділ, співробітник</w:t>
            </w:r>
          </w:p>
        </w:tc>
        <w:tc>
          <w:tcPr>
            <w:tcW w:w="1559" w:type="dxa"/>
            <w:shd w:val="clear" w:color="auto" w:fill="DBE5F1" w:themeFill="accent1" w:themeFillTint="33"/>
          </w:tcPr>
          <w:p w14:paraId="321FFE70" w14:textId="77777777" w:rsidR="003C626E" w:rsidRDefault="001A5B20">
            <w:pPr>
              <w:tabs>
                <w:tab w:val="left" w:pos="993"/>
                <w:tab w:val="left" w:pos="1276"/>
              </w:tabs>
              <w:contextualSpacing/>
              <w:jc w:val="center"/>
              <w:rPr>
                <w:rFonts w:ascii="Times New Roman" w:eastAsia="Microsoft YaHei" w:hAnsi="Times New Roman" w:cs="Times New Roman"/>
              </w:rPr>
            </w:pPr>
            <w:r>
              <w:rPr>
                <w:rFonts w:ascii="Times New Roman" w:eastAsia="Microsoft YaHei" w:hAnsi="Times New Roman" w:cs="Times New Roman"/>
              </w:rPr>
              <w:t>Терміни</w:t>
            </w:r>
          </w:p>
        </w:tc>
        <w:tc>
          <w:tcPr>
            <w:tcW w:w="5096" w:type="dxa"/>
            <w:shd w:val="clear" w:color="auto" w:fill="DBE5F1" w:themeFill="accent1" w:themeFillTint="33"/>
          </w:tcPr>
          <w:p w14:paraId="321FFE71" w14:textId="77777777" w:rsidR="003C626E" w:rsidRDefault="001A5B20">
            <w:pPr>
              <w:tabs>
                <w:tab w:val="left" w:pos="993"/>
                <w:tab w:val="left" w:pos="1276"/>
              </w:tabs>
              <w:ind w:left="720"/>
              <w:contextualSpacing/>
              <w:jc w:val="center"/>
              <w:rPr>
                <w:rFonts w:ascii="Times New Roman" w:eastAsia="Microsoft YaHei" w:hAnsi="Times New Roman" w:cs="Times New Roman"/>
              </w:rPr>
            </w:pPr>
            <w:r>
              <w:rPr>
                <w:rFonts w:ascii="Times New Roman" w:eastAsia="Microsoft YaHei" w:hAnsi="Times New Roman" w:cs="Times New Roman"/>
              </w:rPr>
              <w:t>Аудитори</w:t>
            </w:r>
          </w:p>
          <w:p w14:paraId="321FFE72" w14:textId="77777777" w:rsidR="003C626E" w:rsidRDefault="003C626E">
            <w:pPr>
              <w:tabs>
                <w:tab w:val="left" w:pos="993"/>
                <w:tab w:val="left" w:pos="1276"/>
              </w:tabs>
              <w:contextualSpacing/>
              <w:jc w:val="center"/>
              <w:rPr>
                <w:rFonts w:ascii="Times New Roman" w:eastAsia="Microsoft YaHei" w:hAnsi="Times New Roman" w:cs="Times New Roman"/>
              </w:rPr>
            </w:pPr>
          </w:p>
        </w:tc>
      </w:tr>
      <w:tr w:rsidR="003C626E" w14:paraId="321FFE7B" w14:textId="77777777">
        <w:tc>
          <w:tcPr>
            <w:tcW w:w="2689" w:type="dxa"/>
            <w:shd w:val="clear" w:color="auto" w:fill="C6D9F1" w:themeFill="text2" w:themeFillTint="33"/>
          </w:tcPr>
          <w:p w14:paraId="321FFE74" w14:textId="77777777" w:rsidR="003C626E" w:rsidRDefault="001A5B20">
            <w:pPr>
              <w:tabs>
                <w:tab w:val="left" w:pos="993"/>
                <w:tab w:val="left" w:pos="1276"/>
              </w:tabs>
              <w:ind w:left="34"/>
              <w:contextualSpacing/>
              <w:rPr>
                <w:rFonts w:ascii="Times New Roman" w:eastAsia="Microsoft YaHei" w:hAnsi="Times New Roman" w:cs="Times New Roman"/>
              </w:rPr>
            </w:pPr>
            <w:r>
              <w:rPr>
                <w:rFonts w:ascii="Times New Roman" w:eastAsia="Microsoft YaHei" w:hAnsi="Times New Roman" w:cs="Times New Roman"/>
              </w:rPr>
              <w:t>Відділення функціональної</w:t>
            </w:r>
          </w:p>
          <w:p w14:paraId="321FFE75" w14:textId="77777777" w:rsidR="003C626E" w:rsidRDefault="001A5B20">
            <w:pPr>
              <w:tabs>
                <w:tab w:val="left" w:pos="993"/>
                <w:tab w:val="left" w:pos="1276"/>
              </w:tabs>
              <w:ind w:left="34"/>
              <w:contextualSpacing/>
              <w:rPr>
                <w:rFonts w:ascii="Times New Roman" w:eastAsia="Microsoft YaHei" w:hAnsi="Times New Roman" w:cs="Times New Roman"/>
              </w:rPr>
            </w:pPr>
            <w:r>
              <w:rPr>
                <w:rFonts w:ascii="Times New Roman" w:eastAsia="Microsoft YaHei" w:hAnsi="Times New Roman" w:cs="Times New Roman"/>
              </w:rPr>
              <w:t>діагностики, старша</w:t>
            </w:r>
          </w:p>
          <w:p w14:paraId="321FFE76" w14:textId="77777777" w:rsidR="003C626E" w:rsidRDefault="001A5B20">
            <w:pPr>
              <w:tabs>
                <w:tab w:val="left" w:pos="993"/>
                <w:tab w:val="left" w:pos="1276"/>
              </w:tabs>
              <w:ind w:left="34"/>
              <w:contextualSpacing/>
              <w:rPr>
                <w:rFonts w:ascii="Times New Roman" w:eastAsia="Microsoft YaHei" w:hAnsi="Times New Roman" w:cs="Times New Roman"/>
              </w:rPr>
            </w:pPr>
            <w:r>
              <w:rPr>
                <w:rFonts w:ascii="Times New Roman" w:eastAsia="Microsoft YaHei" w:hAnsi="Times New Roman" w:cs="Times New Roman"/>
              </w:rPr>
              <w:t>медична сестра</w:t>
            </w:r>
          </w:p>
        </w:tc>
        <w:tc>
          <w:tcPr>
            <w:tcW w:w="1559" w:type="dxa"/>
            <w:shd w:val="clear" w:color="auto" w:fill="EAF1DD" w:themeFill="accent3" w:themeFillTint="33"/>
          </w:tcPr>
          <w:p w14:paraId="321FFE77" w14:textId="77777777" w:rsidR="003C626E" w:rsidRDefault="001A5B20">
            <w:pPr>
              <w:tabs>
                <w:tab w:val="left" w:pos="993"/>
                <w:tab w:val="left" w:pos="1276"/>
              </w:tabs>
              <w:ind w:left="34"/>
              <w:contextualSpacing/>
              <w:rPr>
                <w:rFonts w:ascii="Times New Roman" w:eastAsia="Microsoft YaHei" w:hAnsi="Times New Roman" w:cs="Times New Roman"/>
              </w:rPr>
            </w:pPr>
            <w:r>
              <w:rPr>
                <w:rFonts w:ascii="Times New Roman" w:eastAsia="Microsoft YaHei" w:hAnsi="Times New Roman" w:cs="Times New Roman"/>
              </w:rPr>
              <w:t>10.01</w:t>
            </w:r>
            <w:r>
              <w:rPr>
                <w:rFonts w:ascii="Times New Roman" w:eastAsia="Microsoft YaHei" w:hAnsi="Times New Roman" w:cs="Times New Roman"/>
                <w:shd w:val="clear" w:color="auto" w:fill="EAF1DD" w:themeFill="accent3" w:themeFillTint="33"/>
              </w:rPr>
              <w:t>.2025 -20.01.2025</w:t>
            </w:r>
          </w:p>
        </w:tc>
        <w:tc>
          <w:tcPr>
            <w:tcW w:w="5096" w:type="dxa"/>
            <w:shd w:val="clear" w:color="auto" w:fill="DAEEF3" w:themeFill="accent5" w:themeFillTint="33"/>
          </w:tcPr>
          <w:p w14:paraId="321FFE78" w14:textId="77777777" w:rsidR="003C626E" w:rsidRDefault="001A5B20">
            <w:pPr>
              <w:tabs>
                <w:tab w:val="left" w:pos="993"/>
                <w:tab w:val="left" w:pos="1276"/>
              </w:tabs>
              <w:ind w:left="34"/>
              <w:contextualSpacing/>
              <w:rPr>
                <w:rFonts w:ascii="Times New Roman" w:eastAsia="Microsoft YaHei" w:hAnsi="Times New Roman" w:cs="Times New Roman"/>
              </w:rPr>
            </w:pPr>
            <w:r>
              <w:rPr>
                <w:rFonts w:ascii="Times New Roman" w:eastAsia="Microsoft YaHei" w:hAnsi="Times New Roman" w:cs="Times New Roman"/>
              </w:rPr>
              <w:t>Заступник головного лікаря з медичної частини, керівник служби з якості, начальник</w:t>
            </w:r>
          </w:p>
          <w:p w14:paraId="321FFE79" w14:textId="77777777" w:rsidR="003C626E" w:rsidRDefault="001A5B20">
            <w:pPr>
              <w:tabs>
                <w:tab w:val="left" w:pos="993"/>
                <w:tab w:val="left" w:pos="1276"/>
              </w:tabs>
              <w:ind w:left="34"/>
              <w:contextualSpacing/>
              <w:rPr>
                <w:rFonts w:ascii="Times New Roman" w:eastAsia="Microsoft YaHei" w:hAnsi="Times New Roman" w:cs="Times New Roman"/>
              </w:rPr>
            </w:pPr>
            <w:r>
              <w:rPr>
                <w:rFonts w:ascii="Times New Roman" w:eastAsia="Microsoft YaHei" w:hAnsi="Times New Roman" w:cs="Times New Roman"/>
              </w:rPr>
              <w:t>юридичного відділу, головна медична</w:t>
            </w:r>
          </w:p>
          <w:p w14:paraId="321FFE7A" w14:textId="77777777" w:rsidR="003C626E" w:rsidRDefault="001A5B20">
            <w:pPr>
              <w:tabs>
                <w:tab w:val="left" w:pos="993"/>
                <w:tab w:val="left" w:pos="1276"/>
              </w:tabs>
              <w:ind w:left="34"/>
              <w:contextualSpacing/>
              <w:rPr>
                <w:rFonts w:ascii="Times New Roman" w:eastAsia="Microsoft YaHei" w:hAnsi="Times New Roman" w:cs="Times New Roman"/>
              </w:rPr>
            </w:pPr>
            <w:r>
              <w:rPr>
                <w:rFonts w:ascii="Times New Roman" w:eastAsia="Microsoft YaHei" w:hAnsi="Times New Roman" w:cs="Times New Roman"/>
              </w:rPr>
              <w:t>сестра, лікар-епідеміолог.</w:t>
            </w:r>
          </w:p>
        </w:tc>
      </w:tr>
    </w:tbl>
    <w:p w14:paraId="321FFE7C"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сформовано автором</w:t>
      </w:r>
    </w:p>
    <w:p w14:paraId="321FFE7D"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На третьому етапі для проведення перевірки складається чек-лист із переліком деталізованих критеріїв, отриманих за результатами аналізу нормативно-правової бази першого етапу. Чек-лист включає питання відповідно до цілей та завдань підрозділів, зі специфікою їх діяльності та роботи осіб, що перевіряються (табл. 1.6).</w:t>
      </w:r>
    </w:p>
    <w:p w14:paraId="321FFE7E" w14:textId="77777777" w:rsidR="003C626E" w:rsidRDefault="001A5B20">
      <w:pPr>
        <w:tabs>
          <w:tab w:val="left" w:pos="993"/>
          <w:tab w:val="left" w:pos="1276"/>
        </w:tabs>
        <w:spacing w:line="360" w:lineRule="auto"/>
        <w:ind w:left="720" w:firstLine="709"/>
        <w:contextualSpacing/>
        <w:jc w:val="right"/>
        <w:rPr>
          <w:rFonts w:ascii="Times New Roman" w:eastAsia="Microsoft YaHei" w:hAnsi="Times New Roman" w:cs="Times New Roman"/>
          <w:sz w:val="28"/>
          <w:szCs w:val="28"/>
        </w:rPr>
      </w:pPr>
      <w:r>
        <w:rPr>
          <w:rFonts w:ascii="Times New Roman" w:eastAsia="Microsoft YaHei" w:hAnsi="Times New Roman" w:cs="Times New Roman"/>
          <w:sz w:val="28"/>
          <w:szCs w:val="28"/>
        </w:rPr>
        <w:t>Таблиця 1.6</w:t>
      </w:r>
    </w:p>
    <w:p w14:paraId="321FFE7F"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Чек-лист під час проведення внутрішніх аудитів поліклінічного відділення (фрагмент)</w:t>
      </w:r>
    </w:p>
    <w:tbl>
      <w:tblPr>
        <w:tblStyle w:val="26"/>
        <w:tblW w:w="0" w:type="auto"/>
        <w:tblLook w:val="04A0" w:firstRow="1" w:lastRow="0" w:firstColumn="1" w:lastColumn="0" w:noHBand="0" w:noVBand="1"/>
      </w:tblPr>
      <w:tblGrid>
        <w:gridCol w:w="516"/>
        <w:gridCol w:w="1834"/>
        <w:gridCol w:w="2325"/>
        <w:gridCol w:w="1649"/>
        <w:gridCol w:w="3011"/>
        <w:gridCol w:w="9"/>
      </w:tblGrid>
      <w:tr w:rsidR="003C626E" w14:paraId="321FFE89" w14:textId="77777777">
        <w:tc>
          <w:tcPr>
            <w:tcW w:w="516" w:type="dxa"/>
            <w:shd w:val="clear" w:color="auto" w:fill="FDE9D9" w:themeFill="accent6" w:themeFillTint="33"/>
            <w:vAlign w:val="center"/>
          </w:tcPr>
          <w:p w14:paraId="321FFE80"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w:t>
            </w:r>
          </w:p>
        </w:tc>
        <w:tc>
          <w:tcPr>
            <w:tcW w:w="1834" w:type="dxa"/>
            <w:shd w:val="clear" w:color="auto" w:fill="FDE9D9" w:themeFill="accent6" w:themeFillTint="33"/>
            <w:vAlign w:val="center"/>
          </w:tcPr>
          <w:p w14:paraId="321FFE81" w14:textId="77777777" w:rsidR="003C626E" w:rsidRDefault="001A5B20">
            <w:pPr>
              <w:tabs>
                <w:tab w:val="left" w:pos="993"/>
                <w:tab w:val="left" w:pos="1276"/>
              </w:tabs>
              <w:ind w:left="39" w:hanging="39"/>
              <w:contextualSpacing/>
              <w:jc w:val="center"/>
              <w:rPr>
                <w:rFonts w:ascii="Times New Roman" w:eastAsia="Microsoft YaHei" w:hAnsi="Times New Roman" w:cs="Times New Roman"/>
              </w:rPr>
            </w:pPr>
            <w:r>
              <w:rPr>
                <w:rFonts w:ascii="Times New Roman" w:eastAsia="Microsoft YaHei" w:hAnsi="Times New Roman" w:cs="Times New Roman"/>
              </w:rPr>
              <w:t>Критерій</w:t>
            </w:r>
          </w:p>
        </w:tc>
        <w:tc>
          <w:tcPr>
            <w:tcW w:w="2325" w:type="dxa"/>
            <w:shd w:val="clear" w:color="auto" w:fill="FDE9D9" w:themeFill="accent6" w:themeFillTint="33"/>
            <w:vAlign w:val="center"/>
          </w:tcPr>
          <w:p w14:paraId="321FFE82" w14:textId="77777777" w:rsidR="003C626E" w:rsidRDefault="001A5B20">
            <w:pPr>
              <w:tabs>
                <w:tab w:val="left" w:pos="993"/>
                <w:tab w:val="left" w:pos="1276"/>
              </w:tabs>
              <w:ind w:left="39" w:hanging="39"/>
              <w:contextualSpacing/>
              <w:jc w:val="center"/>
              <w:rPr>
                <w:rFonts w:ascii="Times New Roman" w:eastAsia="Microsoft YaHei" w:hAnsi="Times New Roman" w:cs="Times New Roman"/>
              </w:rPr>
            </w:pPr>
            <w:r>
              <w:rPr>
                <w:rFonts w:ascii="Times New Roman" w:eastAsia="Microsoft YaHei" w:hAnsi="Times New Roman" w:cs="Times New Roman"/>
              </w:rPr>
              <w:t>Локальний</w:t>
            </w:r>
          </w:p>
          <w:p w14:paraId="321FFE83" w14:textId="77777777" w:rsidR="003C626E" w:rsidRDefault="001A5B20">
            <w:pPr>
              <w:tabs>
                <w:tab w:val="left" w:pos="993"/>
                <w:tab w:val="left" w:pos="1276"/>
              </w:tabs>
              <w:ind w:left="39" w:hanging="39"/>
              <w:contextualSpacing/>
              <w:jc w:val="center"/>
              <w:rPr>
                <w:rFonts w:ascii="Times New Roman" w:eastAsia="Microsoft YaHei" w:hAnsi="Times New Roman" w:cs="Times New Roman"/>
              </w:rPr>
            </w:pPr>
            <w:r>
              <w:rPr>
                <w:rFonts w:ascii="Times New Roman" w:eastAsia="Microsoft YaHei" w:hAnsi="Times New Roman" w:cs="Times New Roman"/>
              </w:rPr>
              <w:t>нормативний</w:t>
            </w:r>
          </w:p>
          <w:p w14:paraId="321FFE84" w14:textId="77777777" w:rsidR="003C626E" w:rsidRDefault="001A5B20">
            <w:pPr>
              <w:tabs>
                <w:tab w:val="left" w:pos="993"/>
                <w:tab w:val="left" w:pos="1276"/>
              </w:tabs>
              <w:ind w:left="39" w:hanging="39"/>
              <w:contextualSpacing/>
              <w:jc w:val="center"/>
              <w:rPr>
                <w:rFonts w:ascii="Times New Roman" w:eastAsia="Microsoft YaHei" w:hAnsi="Times New Roman" w:cs="Times New Roman"/>
              </w:rPr>
            </w:pPr>
            <w:r>
              <w:rPr>
                <w:rFonts w:ascii="Times New Roman" w:eastAsia="Microsoft YaHei" w:hAnsi="Times New Roman" w:cs="Times New Roman"/>
              </w:rPr>
              <w:t>документ</w:t>
            </w:r>
          </w:p>
        </w:tc>
        <w:tc>
          <w:tcPr>
            <w:tcW w:w="1649" w:type="dxa"/>
            <w:shd w:val="clear" w:color="auto" w:fill="FDE9D9" w:themeFill="accent6" w:themeFillTint="33"/>
            <w:vAlign w:val="center"/>
          </w:tcPr>
          <w:p w14:paraId="321FFE85" w14:textId="77777777" w:rsidR="003C626E" w:rsidRDefault="001A5B20">
            <w:pPr>
              <w:tabs>
                <w:tab w:val="left" w:pos="993"/>
                <w:tab w:val="left" w:pos="1276"/>
              </w:tabs>
              <w:ind w:left="39" w:hanging="39"/>
              <w:contextualSpacing/>
              <w:jc w:val="center"/>
              <w:rPr>
                <w:rFonts w:ascii="Times New Roman" w:eastAsia="Microsoft YaHei" w:hAnsi="Times New Roman" w:cs="Times New Roman"/>
              </w:rPr>
            </w:pPr>
            <w:r>
              <w:rPr>
                <w:rFonts w:ascii="Times New Roman" w:eastAsia="Microsoft YaHei" w:hAnsi="Times New Roman" w:cs="Times New Roman"/>
              </w:rPr>
              <w:t>Перевірені</w:t>
            </w:r>
          </w:p>
          <w:p w14:paraId="321FFE86" w14:textId="77777777" w:rsidR="003C626E" w:rsidRDefault="001A5B20">
            <w:pPr>
              <w:tabs>
                <w:tab w:val="left" w:pos="993"/>
                <w:tab w:val="left" w:pos="1276"/>
              </w:tabs>
              <w:ind w:left="39" w:hanging="39"/>
              <w:contextualSpacing/>
              <w:jc w:val="center"/>
              <w:rPr>
                <w:rFonts w:ascii="Times New Roman" w:eastAsia="Microsoft YaHei" w:hAnsi="Times New Roman" w:cs="Times New Roman"/>
              </w:rPr>
            </w:pPr>
            <w:r>
              <w:rPr>
                <w:rFonts w:ascii="Times New Roman" w:eastAsia="Microsoft YaHei" w:hAnsi="Times New Roman" w:cs="Times New Roman"/>
              </w:rPr>
              <w:t>особи</w:t>
            </w:r>
          </w:p>
          <w:p w14:paraId="321FFE87" w14:textId="77777777" w:rsidR="003C626E" w:rsidRDefault="003C626E">
            <w:pPr>
              <w:tabs>
                <w:tab w:val="left" w:pos="993"/>
                <w:tab w:val="left" w:pos="1276"/>
              </w:tabs>
              <w:ind w:left="39" w:hanging="39"/>
              <w:contextualSpacing/>
              <w:jc w:val="center"/>
              <w:rPr>
                <w:rFonts w:ascii="Times New Roman" w:eastAsia="Microsoft YaHei" w:hAnsi="Times New Roman" w:cs="Times New Roman"/>
              </w:rPr>
            </w:pPr>
          </w:p>
        </w:tc>
        <w:tc>
          <w:tcPr>
            <w:tcW w:w="3020" w:type="dxa"/>
            <w:gridSpan w:val="2"/>
            <w:shd w:val="clear" w:color="auto" w:fill="FDE9D9" w:themeFill="accent6" w:themeFillTint="33"/>
            <w:vAlign w:val="center"/>
          </w:tcPr>
          <w:p w14:paraId="321FFE88" w14:textId="77777777" w:rsidR="003C626E" w:rsidRDefault="001A5B20">
            <w:pPr>
              <w:tabs>
                <w:tab w:val="left" w:pos="993"/>
                <w:tab w:val="left" w:pos="1276"/>
              </w:tabs>
              <w:ind w:left="39" w:hanging="39"/>
              <w:contextualSpacing/>
              <w:jc w:val="center"/>
              <w:rPr>
                <w:rFonts w:ascii="Times New Roman" w:eastAsia="Microsoft YaHei" w:hAnsi="Times New Roman" w:cs="Times New Roman"/>
              </w:rPr>
            </w:pPr>
            <w:r>
              <w:rPr>
                <w:rFonts w:ascii="Times New Roman" w:eastAsia="Microsoft YaHei" w:hAnsi="Times New Roman" w:cs="Times New Roman"/>
              </w:rPr>
              <w:t>Наявність, коментарі</w:t>
            </w:r>
          </w:p>
        </w:tc>
      </w:tr>
      <w:tr w:rsidR="003C626E" w14:paraId="321FFE8C" w14:textId="77777777">
        <w:trPr>
          <w:gridAfter w:val="1"/>
          <w:wAfter w:w="9" w:type="dxa"/>
          <w:trHeight w:val="396"/>
        </w:trPr>
        <w:tc>
          <w:tcPr>
            <w:tcW w:w="516" w:type="dxa"/>
            <w:shd w:val="clear" w:color="auto" w:fill="DBE5F1" w:themeFill="accent1" w:themeFillTint="33"/>
            <w:vAlign w:val="center"/>
          </w:tcPr>
          <w:p w14:paraId="321FFE8A" w14:textId="77777777" w:rsidR="003C626E" w:rsidRDefault="001A5B20">
            <w:pPr>
              <w:tabs>
                <w:tab w:val="left" w:pos="993"/>
                <w:tab w:val="left" w:pos="1276"/>
              </w:tabs>
              <w:spacing w:line="360" w:lineRule="auto"/>
              <w:jc w:val="center"/>
              <w:rPr>
                <w:rFonts w:ascii="Times New Roman" w:eastAsia="Microsoft YaHei" w:hAnsi="Times New Roman" w:cs="Times New Roman"/>
              </w:rPr>
            </w:pPr>
            <w:r>
              <w:rPr>
                <w:rFonts w:ascii="Times New Roman" w:eastAsia="Microsoft YaHei" w:hAnsi="Times New Roman" w:cs="Times New Roman"/>
              </w:rPr>
              <w:t>1</w:t>
            </w:r>
          </w:p>
        </w:tc>
        <w:tc>
          <w:tcPr>
            <w:tcW w:w="8819" w:type="dxa"/>
            <w:gridSpan w:val="4"/>
            <w:shd w:val="clear" w:color="auto" w:fill="DBE5F1" w:themeFill="accent1" w:themeFillTint="33"/>
          </w:tcPr>
          <w:p w14:paraId="321FFE8B" w14:textId="77777777" w:rsidR="003C626E" w:rsidRDefault="001A5B20">
            <w:pPr>
              <w:tabs>
                <w:tab w:val="left" w:pos="993"/>
                <w:tab w:val="left" w:pos="1276"/>
              </w:tabs>
              <w:spacing w:line="360" w:lineRule="auto"/>
              <w:ind w:left="720"/>
              <w:contextualSpacing/>
              <w:jc w:val="center"/>
              <w:rPr>
                <w:rFonts w:ascii="Times New Roman" w:eastAsia="Microsoft YaHei" w:hAnsi="Times New Roman" w:cs="Times New Roman"/>
              </w:rPr>
            </w:pPr>
            <w:r>
              <w:rPr>
                <w:rFonts w:ascii="Times New Roman" w:eastAsia="Microsoft YaHei" w:hAnsi="Times New Roman" w:cs="Times New Roman"/>
              </w:rPr>
              <w:t>Якість та безпека медичної діяльності</w:t>
            </w:r>
          </w:p>
        </w:tc>
      </w:tr>
      <w:tr w:rsidR="003C626E" w14:paraId="321FFE9E" w14:textId="77777777">
        <w:tc>
          <w:tcPr>
            <w:tcW w:w="516" w:type="dxa"/>
            <w:shd w:val="clear" w:color="auto" w:fill="D9D9D9" w:themeFill="background1" w:themeFillShade="D9"/>
          </w:tcPr>
          <w:p w14:paraId="321FFE8D"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1.1</w:t>
            </w:r>
          </w:p>
        </w:tc>
        <w:tc>
          <w:tcPr>
            <w:tcW w:w="1834" w:type="dxa"/>
            <w:shd w:val="clear" w:color="auto" w:fill="FDE9D9" w:themeFill="accent6" w:themeFillTint="33"/>
          </w:tcPr>
          <w:p w14:paraId="321FFE8E"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Алгоритм дії</w:t>
            </w:r>
          </w:p>
          <w:p w14:paraId="321FFE8F"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Медичного персоналу при</w:t>
            </w:r>
          </w:p>
          <w:p w14:paraId="321FFE90"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Виникненні НС</w:t>
            </w:r>
          </w:p>
          <w:p w14:paraId="321FFE91"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(займання)</w:t>
            </w:r>
          </w:p>
        </w:tc>
        <w:tc>
          <w:tcPr>
            <w:tcW w:w="2325" w:type="dxa"/>
            <w:shd w:val="clear" w:color="auto" w:fill="F2DBDB" w:themeFill="accent2" w:themeFillTint="33"/>
          </w:tcPr>
          <w:p w14:paraId="321FFE92"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Документ,</w:t>
            </w:r>
          </w:p>
          <w:p w14:paraId="321FFE93"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регламентуючий</w:t>
            </w:r>
          </w:p>
          <w:p w14:paraId="321FFE94"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«Алгоритм дії</w:t>
            </w:r>
          </w:p>
          <w:p w14:paraId="321FFE95"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медичного</w:t>
            </w:r>
          </w:p>
          <w:p w14:paraId="321FFE96"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персоналу в</w:t>
            </w:r>
          </w:p>
          <w:p w14:paraId="321FFE97"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умовах НС»</w:t>
            </w:r>
          </w:p>
        </w:tc>
        <w:tc>
          <w:tcPr>
            <w:tcW w:w="1649" w:type="dxa"/>
            <w:shd w:val="clear" w:color="auto" w:fill="EAF1DD" w:themeFill="accent3" w:themeFillTint="33"/>
          </w:tcPr>
          <w:p w14:paraId="321FFE98"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Завідувач</w:t>
            </w:r>
          </w:p>
          <w:p w14:paraId="321FFE99"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відділенням,</w:t>
            </w:r>
          </w:p>
          <w:p w14:paraId="321FFE9A"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лікарі</w:t>
            </w:r>
          </w:p>
          <w:p w14:paraId="321FFE9B" w14:textId="77777777" w:rsidR="003C626E" w:rsidRDefault="003C626E">
            <w:pPr>
              <w:tabs>
                <w:tab w:val="left" w:pos="993"/>
                <w:tab w:val="left" w:pos="1276"/>
              </w:tabs>
              <w:ind w:left="37"/>
              <w:contextualSpacing/>
              <w:rPr>
                <w:rFonts w:ascii="Times New Roman" w:eastAsia="Microsoft YaHei" w:hAnsi="Times New Roman" w:cs="Times New Roman"/>
              </w:rPr>
            </w:pPr>
          </w:p>
        </w:tc>
        <w:tc>
          <w:tcPr>
            <w:tcW w:w="3020" w:type="dxa"/>
            <w:gridSpan w:val="2"/>
            <w:shd w:val="clear" w:color="auto" w:fill="DAEEF3" w:themeFill="accent5" w:themeFillTint="33"/>
          </w:tcPr>
          <w:p w14:paraId="321FFE9C"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Є локальний документ -</w:t>
            </w:r>
          </w:p>
          <w:p w14:paraId="321FFE9D" w14:textId="77777777" w:rsidR="003C626E" w:rsidRDefault="001A5B20">
            <w:pPr>
              <w:tabs>
                <w:tab w:val="left" w:pos="993"/>
                <w:tab w:val="left" w:pos="1276"/>
              </w:tabs>
              <w:ind w:left="37"/>
              <w:contextualSpacing/>
              <w:rPr>
                <w:rFonts w:ascii="Times New Roman" w:eastAsia="Microsoft YaHei" w:hAnsi="Times New Roman" w:cs="Times New Roman"/>
              </w:rPr>
            </w:pPr>
            <w:r>
              <w:rPr>
                <w:rFonts w:ascii="Times New Roman" w:eastAsia="Microsoft YaHei" w:hAnsi="Times New Roman" w:cs="Times New Roman"/>
              </w:rPr>
              <w:t>«Порядок дії медичного персоналу в умовах НС», не всі лікарі демонструють алгоритм поведінки у випадку НС</w:t>
            </w:r>
          </w:p>
        </w:tc>
      </w:tr>
      <w:tr w:rsidR="003C626E" w14:paraId="321FFEAF" w14:textId="77777777">
        <w:tc>
          <w:tcPr>
            <w:tcW w:w="516" w:type="dxa"/>
            <w:shd w:val="clear" w:color="auto" w:fill="D9D9D9" w:themeFill="background1" w:themeFillShade="D9"/>
          </w:tcPr>
          <w:p w14:paraId="321FFE9F"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1.2</w:t>
            </w:r>
          </w:p>
        </w:tc>
        <w:tc>
          <w:tcPr>
            <w:tcW w:w="1834" w:type="dxa"/>
            <w:shd w:val="clear" w:color="auto" w:fill="FDE9D9" w:themeFill="accent6" w:themeFillTint="33"/>
          </w:tcPr>
          <w:p w14:paraId="321FFEA0"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Порядок</w:t>
            </w:r>
          </w:p>
          <w:p w14:paraId="321FFEA1"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виклику ШМД</w:t>
            </w:r>
          </w:p>
          <w:p w14:paraId="321FFEA2" w14:textId="77777777" w:rsidR="003C626E" w:rsidRDefault="003C626E">
            <w:pPr>
              <w:tabs>
                <w:tab w:val="left" w:pos="993"/>
                <w:tab w:val="left" w:pos="1276"/>
              </w:tabs>
              <w:contextualSpacing/>
              <w:rPr>
                <w:rFonts w:ascii="Times New Roman" w:eastAsia="Microsoft YaHei" w:hAnsi="Times New Roman" w:cs="Times New Roman"/>
              </w:rPr>
            </w:pPr>
          </w:p>
        </w:tc>
        <w:tc>
          <w:tcPr>
            <w:tcW w:w="2325" w:type="dxa"/>
            <w:shd w:val="clear" w:color="auto" w:fill="F2DBDB" w:themeFill="accent2" w:themeFillTint="33"/>
          </w:tcPr>
          <w:p w14:paraId="321FFEA3"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Документ,</w:t>
            </w:r>
          </w:p>
          <w:p w14:paraId="321FFEA4"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регламентуючий</w:t>
            </w:r>
          </w:p>
          <w:p w14:paraId="321FFEA5"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порядок виклику</w:t>
            </w:r>
          </w:p>
          <w:p w14:paraId="321FFEA6"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ШМД</w:t>
            </w:r>
          </w:p>
          <w:p w14:paraId="321FFEA7" w14:textId="77777777" w:rsidR="003C626E" w:rsidRDefault="003C626E">
            <w:pPr>
              <w:tabs>
                <w:tab w:val="left" w:pos="993"/>
                <w:tab w:val="left" w:pos="1276"/>
              </w:tabs>
              <w:contextualSpacing/>
              <w:rPr>
                <w:rFonts w:ascii="Times New Roman" w:eastAsia="Microsoft YaHei" w:hAnsi="Times New Roman" w:cs="Times New Roman"/>
              </w:rPr>
            </w:pPr>
          </w:p>
        </w:tc>
        <w:tc>
          <w:tcPr>
            <w:tcW w:w="1649" w:type="dxa"/>
            <w:shd w:val="clear" w:color="auto" w:fill="EAF1DD" w:themeFill="accent3" w:themeFillTint="33"/>
          </w:tcPr>
          <w:p w14:paraId="321FFEA8"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Завідувач</w:t>
            </w:r>
          </w:p>
          <w:p w14:paraId="321FFEA9"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відділенням,</w:t>
            </w:r>
          </w:p>
          <w:p w14:paraId="321FFEAA"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лікарі</w:t>
            </w:r>
          </w:p>
          <w:p w14:paraId="321FFEAB" w14:textId="77777777" w:rsidR="003C626E" w:rsidRDefault="003C626E">
            <w:pPr>
              <w:tabs>
                <w:tab w:val="left" w:pos="993"/>
                <w:tab w:val="left" w:pos="1276"/>
              </w:tabs>
              <w:contextualSpacing/>
              <w:rPr>
                <w:rFonts w:ascii="Times New Roman" w:eastAsia="Microsoft YaHei" w:hAnsi="Times New Roman" w:cs="Times New Roman"/>
              </w:rPr>
            </w:pPr>
          </w:p>
        </w:tc>
        <w:tc>
          <w:tcPr>
            <w:tcW w:w="3020" w:type="dxa"/>
            <w:gridSpan w:val="2"/>
            <w:shd w:val="clear" w:color="auto" w:fill="DAEEF3" w:themeFill="accent5" w:themeFillTint="33"/>
          </w:tcPr>
          <w:p w14:paraId="321FFEAC"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Документу немає, лікарі</w:t>
            </w:r>
          </w:p>
          <w:p w14:paraId="321FFEAD"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відповідають на дане питання однаково,</w:t>
            </w:r>
          </w:p>
          <w:p w14:paraId="321FFEAE"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інцидентів з нагоди виклику ШМД не зареєстровано</w:t>
            </w:r>
          </w:p>
        </w:tc>
      </w:tr>
      <w:tr w:rsidR="003C626E" w14:paraId="321FFEC4" w14:textId="77777777">
        <w:tc>
          <w:tcPr>
            <w:tcW w:w="516" w:type="dxa"/>
            <w:shd w:val="clear" w:color="auto" w:fill="D9D9D9" w:themeFill="background1" w:themeFillShade="D9"/>
          </w:tcPr>
          <w:p w14:paraId="321FFEB0"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1.3</w:t>
            </w:r>
          </w:p>
        </w:tc>
        <w:tc>
          <w:tcPr>
            <w:tcW w:w="1834" w:type="dxa"/>
            <w:shd w:val="clear" w:color="auto" w:fill="FDE9D9" w:themeFill="accent6" w:themeFillTint="33"/>
          </w:tcPr>
          <w:p w14:paraId="321FFEB1"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Порядок</w:t>
            </w:r>
          </w:p>
          <w:p w14:paraId="321FFEB2"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проведення</w:t>
            </w:r>
          </w:p>
          <w:p w14:paraId="321FFEB3"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експертизи</w:t>
            </w:r>
          </w:p>
          <w:p w14:paraId="321FFEB4"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якості в</w:t>
            </w:r>
          </w:p>
          <w:p w14:paraId="321FFEB5"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відділенні</w:t>
            </w:r>
          </w:p>
          <w:p w14:paraId="321FFEB6" w14:textId="77777777" w:rsidR="003C626E" w:rsidRDefault="003C626E">
            <w:pPr>
              <w:tabs>
                <w:tab w:val="left" w:pos="993"/>
                <w:tab w:val="left" w:pos="1276"/>
              </w:tabs>
              <w:ind w:left="15"/>
              <w:contextualSpacing/>
              <w:rPr>
                <w:rFonts w:ascii="Times New Roman" w:eastAsia="Microsoft YaHei" w:hAnsi="Times New Roman" w:cs="Times New Roman"/>
              </w:rPr>
            </w:pPr>
          </w:p>
          <w:p w14:paraId="321FFEB7" w14:textId="77777777" w:rsidR="003C626E" w:rsidRDefault="003C626E">
            <w:pPr>
              <w:tabs>
                <w:tab w:val="left" w:pos="993"/>
                <w:tab w:val="left" w:pos="1276"/>
              </w:tabs>
              <w:ind w:left="15"/>
              <w:contextualSpacing/>
              <w:rPr>
                <w:rFonts w:ascii="Times New Roman" w:eastAsia="Microsoft YaHei" w:hAnsi="Times New Roman" w:cs="Times New Roman"/>
              </w:rPr>
            </w:pPr>
          </w:p>
          <w:p w14:paraId="321FFEB8" w14:textId="77777777" w:rsidR="003C626E" w:rsidRDefault="003C626E">
            <w:pPr>
              <w:tabs>
                <w:tab w:val="left" w:pos="993"/>
                <w:tab w:val="left" w:pos="1276"/>
              </w:tabs>
              <w:ind w:left="15"/>
              <w:contextualSpacing/>
              <w:rPr>
                <w:rFonts w:ascii="Times New Roman" w:eastAsia="Microsoft YaHei" w:hAnsi="Times New Roman" w:cs="Times New Roman"/>
              </w:rPr>
            </w:pPr>
          </w:p>
        </w:tc>
        <w:tc>
          <w:tcPr>
            <w:tcW w:w="2325" w:type="dxa"/>
            <w:shd w:val="clear" w:color="auto" w:fill="F2DBDB" w:themeFill="accent2" w:themeFillTint="33"/>
          </w:tcPr>
          <w:p w14:paraId="321FFEB9"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Документ,</w:t>
            </w:r>
          </w:p>
          <w:p w14:paraId="321FFEBA"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регламентуючий</w:t>
            </w:r>
          </w:p>
          <w:p w14:paraId="321FFEBB"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порядок здійснення</w:t>
            </w:r>
          </w:p>
          <w:p w14:paraId="321FFEBC"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експертизи якості та безпеки медичної діяльності</w:t>
            </w:r>
          </w:p>
        </w:tc>
        <w:tc>
          <w:tcPr>
            <w:tcW w:w="1649" w:type="dxa"/>
            <w:shd w:val="clear" w:color="auto" w:fill="EAF1DD" w:themeFill="accent3" w:themeFillTint="33"/>
          </w:tcPr>
          <w:p w14:paraId="321FFEBD"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Завідувач</w:t>
            </w:r>
          </w:p>
          <w:p w14:paraId="321FFEBE"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відділенням,</w:t>
            </w:r>
          </w:p>
          <w:p w14:paraId="321FFEBF"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лікарі</w:t>
            </w:r>
          </w:p>
        </w:tc>
        <w:tc>
          <w:tcPr>
            <w:tcW w:w="3020" w:type="dxa"/>
            <w:gridSpan w:val="2"/>
            <w:shd w:val="clear" w:color="auto" w:fill="DAEEF3" w:themeFill="accent5" w:themeFillTint="33"/>
          </w:tcPr>
          <w:p w14:paraId="321FFEC0"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Є локальний документ «Порядок здійснення якості та безпеки медичної</w:t>
            </w:r>
          </w:p>
          <w:p w14:paraId="321FFEC1"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діяльності», робота</w:t>
            </w:r>
          </w:p>
          <w:p w14:paraId="321FFEC2"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проводиться. Звіти з контролю якості</w:t>
            </w:r>
          </w:p>
          <w:p w14:paraId="321FFEC3" w14:textId="77777777" w:rsidR="003C626E" w:rsidRDefault="001A5B20">
            <w:pPr>
              <w:tabs>
                <w:tab w:val="left" w:pos="993"/>
                <w:tab w:val="left" w:pos="1276"/>
              </w:tabs>
              <w:ind w:left="15"/>
              <w:contextualSpacing/>
              <w:rPr>
                <w:rFonts w:ascii="Times New Roman" w:eastAsia="Microsoft YaHei" w:hAnsi="Times New Roman" w:cs="Times New Roman"/>
              </w:rPr>
            </w:pPr>
            <w:r>
              <w:rPr>
                <w:rFonts w:ascii="Times New Roman" w:eastAsia="Microsoft YaHei" w:hAnsi="Times New Roman" w:cs="Times New Roman"/>
              </w:rPr>
              <w:t>розміщені у загальних документах</w:t>
            </w:r>
          </w:p>
        </w:tc>
      </w:tr>
      <w:tr w:rsidR="003C626E" w14:paraId="321FFED7" w14:textId="77777777">
        <w:tc>
          <w:tcPr>
            <w:tcW w:w="516" w:type="dxa"/>
            <w:shd w:val="clear" w:color="auto" w:fill="D9D9D9" w:themeFill="background1" w:themeFillShade="D9"/>
          </w:tcPr>
          <w:p w14:paraId="321FFEC5"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1.4</w:t>
            </w:r>
          </w:p>
        </w:tc>
        <w:tc>
          <w:tcPr>
            <w:tcW w:w="1834" w:type="dxa"/>
            <w:shd w:val="clear" w:color="auto" w:fill="FDE9D9" w:themeFill="accent6" w:themeFillTint="33"/>
          </w:tcPr>
          <w:p w14:paraId="321FFEC6"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Порядок</w:t>
            </w:r>
          </w:p>
          <w:p w14:paraId="321FFEC7"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ознайомлення</w:t>
            </w:r>
          </w:p>
          <w:p w14:paraId="321FFEC8"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співробітників з результатами</w:t>
            </w:r>
          </w:p>
          <w:p w14:paraId="321FFEC9"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експертизи</w:t>
            </w:r>
          </w:p>
          <w:p w14:paraId="321FFECA"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якості, надати</w:t>
            </w:r>
          </w:p>
          <w:p w14:paraId="321FFECB"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свідоцтва</w:t>
            </w:r>
          </w:p>
        </w:tc>
        <w:tc>
          <w:tcPr>
            <w:tcW w:w="2325" w:type="dxa"/>
            <w:shd w:val="clear" w:color="auto" w:fill="F2DBDB" w:themeFill="accent2" w:themeFillTint="33"/>
          </w:tcPr>
          <w:p w14:paraId="321FFECC"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Документ,</w:t>
            </w:r>
          </w:p>
          <w:p w14:paraId="321FFECD"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регламентуючий</w:t>
            </w:r>
          </w:p>
          <w:p w14:paraId="321FFECE"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порядок здійснення</w:t>
            </w:r>
          </w:p>
          <w:p w14:paraId="321FFECF"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експертизи якості та безпеки медичної діяльності</w:t>
            </w:r>
          </w:p>
          <w:p w14:paraId="321FFED0" w14:textId="77777777" w:rsidR="003C626E" w:rsidRDefault="003C626E">
            <w:pPr>
              <w:tabs>
                <w:tab w:val="left" w:pos="993"/>
                <w:tab w:val="left" w:pos="1276"/>
              </w:tabs>
              <w:ind w:left="27"/>
              <w:contextualSpacing/>
              <w:rPr>
                <w:rFonts w:ascii="Times New Roman" w:eastAsia="Microsoft YaHei" w:hAnsi="Times New Roman" w:cs="Times New Roman"/>
              </w:rPr>
            </w:pPr>
          </w:p>
        </w:tc>
        <w:tc>
          <w:tcPr>
            <w:tcW w:w="1649" w:type="dxa"/>
            <w:shd w:val="clear" w:color="auto" w:fill="EAF1DD" w:themeFill="accent3" w:themeFillTint="33"/>
          </w:tcPr>
          <w:p w14:paraId="321FFED1"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Завідувач</w:t>
            </w:r>
          </w:p>
          <w:p w14:paraId="321FFED2"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відділенням,</w:t>
            </w:r>
          </w:p>
          <w:p w14:paraId="321FFED3"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лікарі</w:t>
            </w:r>
          </w:p>
          <w:p w14:paraId="321FFED4" w14:textId="77777777" w:rsidR="003C626E" w:rsidRDefault="003C626E">
            <w:pPr>
              <w:tabs>
                <w:tab w:val="left" w:pos="993"/>
                <w:tab w:val="left" w:pos="1276"/>
              </w:tabs>
              <w:ind w:left="27"/>
              <w:contextualSpacing/>
              <w:rPr>
                <w:rFonts w:ascii="Times New Roman" w:eastAsia="Microsoft YaHei" w:hAnsi="Times New Roman" w:cs="Times New Roman"/>
              </w:rPr>
            </w:pPr>
          </w:p>
        </w:tc>
        <w:tc>
          <w:tcPr>
            <w:tcW w:w="3020" w:type="dxa"/>
            <w:gridSpan w:val="2"/>
            <w:shd w:val="clear" w:color="auto" w:fill="DAEEF3" w:themeFill="accent5" w:themeFillTint="33"/>
          </w:tcPr>
          <w:p w14:paraId="321FFED5"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Інформація про контроль якості розсилається на</w:t>
            </w:r>
          </w:p>
          <w:p w14:paraId="321FFED6"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корпоративну електронну пошту, загальна інформація доводиться до співробітників на планерці</w:t>
            </w:r>
          </w:p>
        </w:tc>
      </w:tr>
      <w:tr w:rsidR="003C626E" w14:paraId="321FFEE7" w14:textId="77777777">
        <w:tc>
          <w:tcPr>
            <w:tcW w:w="516" w:type="dxa"/>
            <w:shd w:val="clear" w:color="auto" w:fill="D9D9D9" w:themeFill="background1" w:themeFillShade="D9"/>
          </w:tcPr>
          <w:p w14:paraId="321FFED8"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1.5</w:t>
            </w:r>
          </w:p>
        </w:tc>
        <w:tc>
          <w:tcPr>
            <w:tcW w:w="1834" w:type="dxa"/>
            <w:shd w:val="clear" w:color="auto" w:fill="FDE9D9" w:themeFill="accent6" w:themeFillTint="33"/>
          </w:tcPr>
          <w:p w14:paraId="321FFED9"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Порядок</w:t>
            </w:r>
          </w:p>
          <w:p w14:paraId="321FFEDA"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оформлення</w:t>
            </w:r>
          </w:p>
          <w:p w14:paraId="321FFEDB"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 xml:space="preserve">згод про обробку та захист персональних даних </w:t>
            </w:r>
          </w:p>
        </w:tc>
        <w:tc>
          <w:tcPr>
            <w:tcW w:w="2325" w:type="dxa"/>
            <w:shd w:val="clear" w:color="auto" w:fill="F2DBDB" w:themeFill="accent2" w:themeFillTint="33"/>
          </w:tcPr>
          <w:p w14:paraId="321FFEDC"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Документ,</w:t>
            </w:r>
          </w:p>
          <w:p w14:paraId="321FFEDD"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регламентуючий</w:t>
            </w:r>
          </w:p>
          <w:p w14:paraId="321FFEDE"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порядок</w:t>
            </w:r>
          </w:p>
          <w:p w14:paraId="321FFEDF"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оформлення</w:t>
            </w:r>
          </w:p>
          <w:p w14:paraId="321FFEE0" w14:textId="77777777" w:rsidR="003C626E" w:rsidRDefault="003C626E">
            <w:pPr>
              <w:tabs>
                <w:tab w:val="left" w:pos="993"/>
                <w:tab w:val="left" w:pos="1276"/>
              </w:tabs>
              <w:ind w:left="27"/>
              <w:contextualSpacing/>
              <w:rPr>
                <w:rFonts w:ascii="Times New Roman" w:eastAsia="Microsoft YaHei" w:hAnsi="Times New Roman" w:cs="Times New Roman"/>
              </w:rPr>
            </w:pPr>
          </w:p>
        </w:tc>
        <w:tc>
          <w:tcPr>
            <w:tcW w:w="1649" w:type="dxa"/>
            <w:shd w:val="clear" w:color="auto" w:fill="EAF1DD" w:themeFill="accent3" w:themeFillTint="33"/>
          </w:tcPr>
          <w:p w14:paraId="321FFEE1"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Завідувач</w:t>
            </w:r>
          </w:p>
          <w:p w14:paraId="321FFEE2"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відділенням,</w:t>
            </w:r>
          </w:p>
          <w:p w14:paraId="321FFEE3"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лікарі</w:t>
            </w:r>
          </w:p>
          <w:p w14:paraId="321FFEE4" w14:textId="77777777" w:rsidR="003C626E" w:rsidRDefault="003C626E">
            <w:pPr>
              <w:tabs>
                <w:tab w:val="left" w:pos="993"/>
                <w:tab w:val="left" w:pos="1276"/>
              </w:tabs>
              <w:ind w:left="27"/>
              <w:contextualSpacing/>
              <w:rPr>
                <w:rFonts w:ascii="Times New Roman" w:eastAsia="Microsoft YaHei" w:hAnsi="Times New Roman" w:cs="Times New Roman"/>
              </w:rPr>
            </w:pPr>
          </w:p>
        </w:tc>
        <w:tc>
          <w:tcPr>
            <w:tcW w:w="3020" w:type="dxa"/>
            <w:gridSpan w:val="2"/>
            <w:shd w:val="clear" w:color="auto" w:fill="DAEEF3" w:themeFill="accent5" w:themeFillTint="33"/>
          </w:tcPr>
          <w:p w14:paraId="321FFEE5"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Є локальний документ «Порядок оформлення</w:t>
            </w:r>
          </w:p>
          <w:p w14:paraId="321FFEE6"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згод про обробку та захист персональних даних»</w:t>
            </w:r>
          </w:p>
        </w:tc>
      </w:tr>
    </w:tbl>
    <w:p w14:paraId="321FFEE8" w14:textId="77777777" w:rsidR="003C626E" w:rsidRDefault="001A5B20">
      <w:pPr>
        <w:jc w:val="right"/>
        <w:rPr>
          <w:lang w:val="ru-RU"/>
        </w:rPr>
      </w:pPr>
      <w:r>
        <w:rPr>
          <w:rFonts w:ascii="Times New Roman" w:eastAsia="Microsoft YaHei" w:hAnsi="Times New Roman" w:cs="Times New Roman"/>
          <w:sz w:val="28"/>
          <w:szCs w:val="28"/>
        </w:rPr>
        <w:lastRenderedPageBreak/>
        <w:t>Продовження таблиці 1.6</w:t>
      </w:r>
    </w:p>
    <w:tbl>
      <w:tblPr>
        <w:tblStyle w:val="26"/>
        <w:tblW w:w="0" w:type="auto"/>
        <w:tblLook w:val="04A0" w:firstRow="1" w:lastRow="0" w:firstColumn="1" w:lastColumn="0" w:noHBand="0" w:noVBand="1"/>
      </w:tblPr>
      <w:tblGrid>
        <w:gridCol w:w="516"/>
        <w:gridCol w:w="1834"/>
        <w:gridCol w:w="2325"/>
        <w:gridCol w:w="1649"/>
        <w:gridCol w:w="3020"/>
      </w:tblGrid>
      <w:tr w:rsidR="003C626E" w14:paraId="321FFEEB" w14:textId="77777777">
        <w:tc>
          <w:tcPr>
            <w:tcW w:w="516" w:type="dxa"/>
            <w:shd w:val="clear" w:color="auto" w:fill="DBE5F1" w:themeFill="accent1" w:themeFillTint="33"/>
          </w:tcPr>
          <w:p w14:paraId="321FFEE9"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2</w:t>
            </w:r>
          </w:p>
        </w:tc>
        <w:tc>
          <w:tcPr>
            <w:tcW w:w="8828" w:type="dxa"/>
            <w:gridSpan w:val="4"/>
            <w:shd w:val="clear" w:color="auto" w:fill="DBE5F1" w:themeFill="accent1" w:themeFillTint="33"/>
          </w:tcPr>
          <w:p w14:paraId="321FFEEA"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Ідентифікація пацієнтів</w:t>
            </w:r>
          </w:p>
        </w:tc>
      </w:tr>
      <w:tr w:rsidR="003C626E" w14:paraId="321FFEFE" w14:textId="77777777">
        <w:tc>
          <w:tcPr>
            <w:tcW w:w="516" w:type="dxa"/>
            <w:shd w:val="clear" w:color="auto" w:fill="D9D9D9" w:themeFill="background1" w:themeFillShade="D9"/>
          </w:tcPr>
          <w:p w14:paraId="321FFEEC" w14:textId="77777777" w:rsidR="003C626E" w:rsidRDefault="003C626E">
            <w:pPr>
              <w:shd w:val="clear" w:color="auto" w:fill="D9D9D9" w:themeFill="background1" w:themeFillShade="D9"/>
              <w:tabs>
                <w:tab w:val="left" w:pos="993"/>
                <w:tab w:val="left" w:pos="1276"/>
              </w:tabs>
              <w:spacing w:line="360" w:lineRule="auto"/>
              <w:contextualSpacing/>
              <w:jc w:val="center"/>
              <w:rPr>
                <w:rFonts w:ascii="Times New Roman" w:eastAsia="Microsoft YaHei" w:hAnsi="Times New Roman" w:cs="Times New Roman"/>
              </w:rPr>
            </w:pPr>
          </w:p>
          <w:p w14:paraId="321FFEED" w14:textId="77777777" w:rsidR="003C626E" w:rsidRDefault="001A5B20">
            <w:pPr>
              <w:shd w:val="clear" w:color="auto" w:fill="D9D9D9" w:themeFill="background1" w:themeFillShade="D9"/>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2.1</w:t>
            </w:r>
          </w:p>
        </w:tc>
        <w:tc>
          <w:tcPr>
            <w:tcW w:w="1834" w:type="dxa"/>
            <w:shd w:val="clear" w:color="auto" w:fill="FDE9D9" w:themeFill="accent6" w:themeFillTint="33"/>
          </w:tcPr>
          <w:p w14:paraId="321FFEEE"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Алгоритм</w:t>
            </w:r>
          </w:p>
          <w:p w14:paraId="321FFEEF"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ідентифікації</w:t>
            </w:r>
          </w:p>
          <w:p w14:paraId="321FFEF0"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пацієнтів</w:t>
            </w:r>
          </w:p>
          <w:p w14:paraId="321FFEF1" w14:textId="77777777" w:rsidR="003C626E" w:rsidRDefault="003C626E">
            <w:pPr>
              <w:tabs>
                <w:tab w:val="left" w:pos="993"/>
                <w:tab w:val="left" w:pos="1276"/>
              </w:tabs>
              <w:ind w:left="27"/>
              <w:contextualSpacing/>
              <w:rPr>
                <w:rFonts w:ascii="Times New Roman" w:eastAsia="Microsoft YaHei" w:hAnsi="Times New Roman" w:cs="Times New Roman"/>
              </w:rPr>
            </w:pPr>
          </w:p>
        </w:tc>
        <w:tc>
          <w:tcPr>
            <w:tcW w:w="2325" w:type="dxa"/>
            <w:shd w:val="clear" w:color="auto" w:fill="F2DBDB" w:themeFill="accent2" w:themeFillTint="33"/>
          </w:tcPr>
          <w:p w14:paraId="321FFEF2"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Документ,</w:t>
            </w:r>
          </w:p>
          <w:p w14:paraId="321FFEF3"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регламентуючий</w:t>
            </w:r>
          </w:p>
          <w:p w14:paraId="321FFEF4"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алгоритм</w:t>
            </w:r>
          </w:p>
          <w:p w14:paraId="321FFEF5"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ідентифікації</w:t>
            </w:r>
          </w:p>
          <w:p w14:paraId="321FFEF6"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пацієнтів</w:t>
            </w:r>
          </w:p>
        </w:tc>
        <w:tc>
          <w:tcPr>
            <w:tcW w:w="1649" w:type="dxa"/>
            <w:shd w:val="clear" w:color="auto" w:fill="EAF1DD" w:themeFill="accent3" w:themeFillTint="33"/>
          </w:tcPr>
          <w:p w14:paraId="321FFEF7"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Завідувач</w:t>
            </w:r>
          </w:p>
          <w:p w14:paraId="321FFEF8"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відділенням,</w:t>
            </w:r>
          </w:p>
          <w:p w14:paraId="321FFEF9"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лікарі,</w:t>
            </w:r>
          </w:p>
          <w:p w14:paraId="321FFEFA"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реєстратори</w:t>
            </w:r>
          </w:p>
          <w:p w14:paraId="321FFEFB" w14:textId="77777777" w:rsidR="003C626E" w:rsidRDefault="003C626E">
            <w:pPr>
              <w:tabs>
                <w:tab w:val="left" w:pos="993"/>
                <w:tab w:val="left" w:pos="1276"/>
              </w:tabs>
              <w:ind w:left="27"/>
              <w:contextualSpacing/>
              <w:rPr>
                <w:rFonts w:ascii="Times New Roman" w:eastAsia="Microsoft YaHei" w:hAnsi="Times New Roman" w:cs="Times New Roman"/>
              </w:rPr>
            </w:pPr>
          </w:p>
        </w:tc>
        <w:tc>
          <w:tcPr>
            <w:tcW w:w="3020" w:type="dxa"/>
            <w:shd w:val="clear" w:color="auto" w:fill="DAEEF3" w:themeFill="accent5" w:themeFillTint="33"/>
          </w:tcPr>
          <w:p w14:paraId="321FFEFC"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Регламентуючого</w:t>
            </w:r>
          </w:p>
          <w:p w14:paraId="321FFEFD" w14:textId="77777777" w:rsidR="003C626E" w:rsidRDefault="001A5B20">
            <w:pPr>
              <w:tabs>
                <w:tab w:val="left" w:pos="993"/>
                <w:tab w:val="left" w:pos="1276"/>
              </w:tabs>
              <w:ind w:left="27"/>
              <w:contextualSpacing/>
              <w:rPr>
                <w:rFonts w:ascii="Times New Roman" w:eastAsia="Microsoft YaHei" w:hAnsi="Times New Roman" w:cs="Times New Roman"/>
              </w:rPr>
            </w:pPr>
            <w:r>
              <w:rPr>
                <w:rFonts w:ascii="Times New Roman" w:eastAsia="Microsoft YaHei" w:hAnsi="Times New Roman" w:cs="Times New Roman"/>
              </w:rPr>
              <w:t>документа немає</w:t>
            </w:r>
          </w:p>
        </w:tc>
      </w:tr>
      <w:tr w:rsidR="003C626E" w14:paraId="321FFF01" w14:textId="77777777">
        <w:trPr>
          <w:trHeight w:val="102"/>
        </w:trPr>
        <w:tc>
          <w:tcPr>
            <w:tcW w:w="516" w:type="dxa"/>
            <w:shd w:val="clear" w:color="auto" w:fill="DBE5F1" w:themeFill="accent1" w:themeFillTint="33"/>
          </w:tcPr>
          <w:p w14:paraId="321FFEFF"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3</w:t>
            </w:r>
          </w:p>
        </w:tc>
        <w:tc>
          <w:tcPr>
            <w:tcW w:w="8828" w:type="dxa"/>
            <w:gridSpan w:val="4"/>
            <w:shd w:val="clear" w:color="auto" w:fill="DBE5F1" w:themeFill="accent1" w:themeFillTint="33"/>
          </w:tcPr>
          <w:p w14:paraId="321FFF00"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Безпека використання лікарських засобів</w:t>
            </w:r>
          </w:p>
        </w:tc>
      </w:tr>
      <w:tr w:rsidR="003C626E" w14:paraId="321FFF22" w14:textId="77777777">
        <w:tc>
          <w:tcPr>
            <w:tcW w:w="516" w:type="dxa"/>
            <w:shd w:val="clear" w:color="auto" w:fill="D9D9D9" w:themeFill="background1" w:themeFillShade="D9"/>
          </w:tcPr>
          <w:p w14:paraId="321FFF02" w14:textId="77777777" w:rsidR="003C626E" w:rsidRDefault="001A5B20">
            <w:pPr>
              <w:tabs>
                <w:tab w:val="left" w:pos="993"/>
                <w:tab w:val="left" w:pos="1276"/>
              </w:tabs>
              <w:spacing w:line="360" w:lineRule="auto"/>
              <w:contextualSpacing/>
              <w:jc w:val="center"/>
              <w:rPr>
                <w:rFonts w:ascii="Times New Roman" w:eastAsia="Microsoft YaHei" w:hAnsi="Times New Roman" w:cs="Times New Roman"/>
              </w:rPr>
            </w:pPr>
            <w:r>
              <w:rPr>
                <w:rFonts w:ascii="Times New Roman" w:eastAsia="Microsoft YaHei" w:hAnsi="Times New Roman" w:cs="Times New Roman"/>
              </w:rPr>
              <w:t>3.1</w:t>
            </w:r>
          </w:p>
        </w:tc>
        <w:tc>
          <w:tcPr>
            <w:tcW w:w="1834" w:type="dxa"/>
            <w:shd w:val="clear" w:color="auto" w:fill="FDE9D9" w:themeFill="accent6" w:themeFillTint="33"/>
          </w:tcPr>
          <w:p w14:paraId="321FFF03"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Порядок</w:t>
            </w:r>
          </w:p>
          <w:p w14:paraId="321FFF04"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передачі</w:t>
            </w:r>
          </w:p>
          <w:p w14:paraId="321FFF05"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інформації в</w:t>
            </w:r>
          </w:p>
          <w:p w14:paraId="321FFF06"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ДЕЦ МОЗ при</w:t>
            </w:r>
          </w:p>
          <w:p w14:paraId="321FFF07"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виявленні</w:t>
            </w:r>
          </w:p>
          <w:p w14:paraId="321FFF08"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несприятливої події при</w:t>
            </w:r>
          </w:p>
          <w:p w14:paraId="321FFF09"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використанні</w:t>
            </w:r>
          </w:p>
          <w:p w14:paraId="321FFF0A"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лікарського</w:t>
            </w:r>
          </w:p>
          <w:p w14:paraId="321FFF0B"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препарату</w:t>
            </w:r>
          </w:p>
          <w:p w14:paraId="321FFF0C" w14:textId="77777777" w:rsidR="003C626E" w:rsidRDefault="003C626E">
            <w:pPr>
              <w:tabs>
                <w:tab w:val="left" w:pos="993"/>
                <w:tab w:val="left" w:pos="1276"/>
              </w:tabs>
              <w:contextualSpacing/>
              <w:rPr>
                <w:rFonts w:ascii="Times New Roman" w:eastAsia="Microsoft YaHei" w:hAnsi="Times New Roman" w:cs="Times New Roman"/>
              </w:rPr>
            </w:pPr>
          </w:p>
        </w:tc>
        <w:tc>
          <w:tcPr>
            <w:tcW w:w="2325" w:type="dxa"/>
            <w:shd w:val="clear" w:color="auto" w:fill="F2DBDB" w:themeFill="accent2" w:themeFillTint="33"/>
          </w:tcPr>
          <w:p w14:paraId="321FFF0D"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Документ,</w:t>
            </w:r>
          </w:p>
          <w:p w14:paraId="321FFF0E" w14:textId="77777777" w:rsidR="003C626E" w:rsidRDefault="001A5B20">
            <w:pPr>
              <w:shd w:val="clear" w:color="auto" w:fill="F2DBDB" w:themeFill="accent2" w:themeFillTint="33"/>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регламентуючий</w:t>
            </w:r>
          </w:p>
          <w:p w14:paraId="321FFF0F" w14:textId="77777777" w:rsidR="003C626E" w:rsidRDefault="001A5B20">
            <w:pPr>
              <w:shd w:val="clear" w:color="auto" w:fill="F2DBDB" w:themeFill="accent2" w:themeFillTint="33"/>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порядок передачі</w:t>
            </w:r>
          </w:p>
          <w:p w14:paraId="321FFF10" w14:textId="77777777" w:rsidR="003C626E" w:rsidRDefault="001A5B20">
            <w:pPr>
              <w:shd w:val="clear" w:color="auto" w:fill="F2DBDB" w:themeFill="accent2" w:themeFillTint="33"/>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інформації</w:t>
            </w:r>
          </w:p>
          <w:p w14:paraId="321FFF11" w14:textId="77777777" w:rsidR="003C626E" w:rsidRDefault="003C626E">
            <w:pPr>
              <w:tabs>
                <w:tab w:val="left" w:pos="993"/>
                <w:tab w:val="left" w:pos="1276"/>
              </w:tabs>
              <w:contextualSpacing/>
              <w:rPr>
                <w:rFonts w:ascii="Times New Roman" w:eastAsia="Microsoft YaHei" w:hAnsi="Times New Roman" w:cs="Times New Roman"/>
              </w:rPr>
            </w:pPr>
          </w:p>
        </w:tc>
        <w:tc>
          <w:tcPr>
            <w:tcW w:w="1649" w:type="dxa"/>
            <w:shd w:val="clear" w:color="auto" w:fill="EAF1DD" w:themeFill="accent3" w:themeFillTint="33"/>
          </w:tcPr>
          <w:p w14:paraId="321FFF12"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Завідувач</w:t>
            </w:r>
          </w:p>
          <w:p w14:paraId="321FFF13"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відділенням,</w:t>
            </w:r>
          </w:p>
          <w:p w14:paraId="321FFF14"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лікарі,</w:t>
            </w:r>
          </w:p>
          <w:p w14:paraId="321FFF15"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старша</w:t>
            </w:r>
          </w:p>
          <w:p w14:paraId="321FFF16"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медична</w:t>
            </w:r>
          </w:p>
          <w:p w14:paraId="321FFF17"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сестра,</w:t>
            </w:r>
          </w:p>
          <w:p w14:paraId="321FFF18"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медичні</w:t>
            </w:r>
          </w:p>
          <w:p w14:paraId="321FFF19"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сестри</w:t>
            </w:r>
          </w:p>
          <w:p w14:paraId="321FFF1A"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процедурного</w:t>
            </w:r>
          </w:p>
          <w:p w14:paraId="321FFF1B"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кабінету</w:t>
            </w:r>
          </w:p>
          <w:p w14:paraId="321FFF1C" w14:textId="77777777" w:rsidR="003C626E" w:rsidRDefault="003C626E">
            <w:pPr>
              <w:tabs>
                <w:tab w:val="left" w:pos="993"/>
                <w:tab w:val="left" w:pos="1276"/>
              </w:tabs>
              <w:contextualSpacing/>
              <w:rPr>
                <w:rFonts w:ascii="Times New Roman" w:eastAsia="Microsoft YaHei" w:hAnsi="Times New Roman" w:cs="Times New Roman"/>
              </w:rPr>
            </w:pPr>
          </w:p>
        </w:tc>
        <w:tc>
          <w:tcPr>
            <w:tcW w:w="3020" w:type="dxa"/>
            <w:shd w:val="clear" w:color="auto" w:fill="DAEEF3" w:themeFill="accent5" w:themeFillTint="33"/>
          </w:tcPr>
          <w:p w14:paraId="321FFF1D"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Є локальний документ «Порядок передачі інформації в ДЕЦ МОЗ при виявленні несприятливої</w:t>
            </w:r>
          </w:p>
          <w:p w14:paraId="321FFF1E"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події при використання</w:t>
            </w:r>
          </w:p>
          <w:p w14:paraId="321FFF1F"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лікарського препарату»,</w:t>
            </w:r>
          </w:p>
          <w:p w14:paraId="321FFF20"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Під час опитування виявлено невідповідності в</w:t>
            </w:r>
          </w:p>
          <w:p w14:paraId="321FFF21" w14:textId="77777777" w:rsidR="003C626E" w:rsidRDefault="001A5B20">
            <w:pPr>
              <w:tabs>
                <w:tab w:val="left" w:pos="993"/>
                <w:tab w:val="left" w:pos="1276"/>
              </w:tabs>
              <w:contextualSpacing/>
              <w:rPr>
                <w:rFonts w:ascii="Times New Roman" w:eastAsia="Microsoft YaHei" w:hAnsi="Times New Roman" w:cs="Times New Roman"/>
              </w:rPr>
            </w:pPr>
            <w:r>
              <w:rPr>
                <w:rFonts w:ascii="Times New Roman" w:eastAsia="Microsoft YaHei" w:hAnsi="Times New Roman" w:cs="Times New Roman"/>
              </w:rPr>
              <w:t>передачі даних. Відомості про несприятливі реакції не фіксуються</w:t>
            </w:r>
          </w:p>
        </w:tc>
      </w:tr>
    </w:tbl>
    <w:p w14:paraId="321FFF23"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i/>
        </w:rPr>
      </w:pPr>
      <w:r>
        <w:rPr>
          <w:rFonts w:ascii="Times New Roman" w:eastAsia="Microsoft YaHei" w:hAnsi="Times New Roman" w:cs="Times New Roman"/>
          <w:i/>
        </w:rPr>
        <w:t>Джерело: сформовано автором</w:t>
      </w:r>
    </w:p>
    <w:p w14:paraId="321FFF24"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F25"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 четвертому етапі чек-лист передається особам, що перевіряються, - співробітникам підрозділів, визначається алгоритм дій на робочому місці з метою активного пошуку невідповідностей. Співробітники готуються до проходження перевірки, забезпечуючи наявність документів у підрозділі (посадових інструкцій, стандартних операційних процедур, алгоритмів, порядків, положень тощо) та заповнюють чек-лист за наявністю документів на робочому місці</w:t>
      </w:r>
      <w:r>
        <w:rPr>
          <w:rFonts w:ascii="Microsoft YaHei" w:eastAsia="Microsoft YaHei" w:hAnsi="Microsoft YaHei" w:cs="Microsoft YaHei"/>
        </w:rPr>
        <w:t xml:space="preserve"> </w:t>
      </w:r>
      <w:r>
        <w:rPr>
          <w:rFonts w:ascii="Times New Roman" w:eastAsia="Microsoft YaHei" w:hAnsi="Times New Roman" w:cs="Times New Roman"/>
          <w:sz w:val="28"/>
          <w:szCs w:val="28"/>
        </w:rPr>
        <w:t>[39, с. 53].</w:t>
      </w:r>
    </w:p>
    <w:p w14:paraId="321FFF26"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Наступні етапи - безпосередньо проведення перевірки, де аудитори контролюють наявність документів у підрозділі, що здійснюють пряме спостереження за процесами, опитування пацієнтів, співбесіду з персоналом заповнюють чек-листи, де відзначають виявлені під час перевірки невідповідності, дефекти, небажані події. Виявлені у процесі проведення внутрішніх аудитів недоліки мають бути оцінені з позиції загрози заподіяння шкоди життю та здоров’ю пацієнта, а отримані дані інтегровані у процес управління ризиками.</w:t>
      </w:r>
    </w:p>
    <w:p w14:paraId="321FFF27"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На восьмому етапі оформляється звіт про проведений аудит, де </w:t>
      </w:r>
      <w:r>
        <w:rPr>
          <w:rFonts w:ascii="Times New Roman" w:eastAsia="Microsoft YaHei" w:hAnsi="Times New Roman" w:cs="Times New Roman"/>
          <w:sz w:val="28"/>
          <w:szCs w:val="28"/>
        </w:rPr>
        <w:lastRenderedPageBreak/>
        <w:t>фіксується список виявлених небажаних подій та невідповідностей та складається план заходів щодо усунення порушень, призначаються відповідальні особи. Ця інформація доводиться до відома всіх учасників та відповідальних осіб на заключній нараді, що розміщується в загальнодоступному місці.</w:t>
      </w:r>
    </w:p>
    <w:p w14:paraId="321FFF28"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Усунення виявлених невідповідностей є останнім етапом внутрішнього аудиту та включає обов’язковий моніторинг, контроль, а також проведення наглядових аудитів</w:t>
      </w:r>
      <w:r>
        <w:rPr>
          <w:rFonts w:ascii="Microsoft YaHei" w:eastAsia="Microsoft YaHei" w:hAnsi="Microsoft YaHei" w:cs="Microsoft YaHei"/>
        </w:rPr>
        <w:t xml:space="preserve"> </w:t>
      </w:r>
      <w:r>
        <w:rPr>
          <w:rFonts w:ascii="Times New Roman" w:eastAsia="Microsoft YaHei" w:hAnsi="Times New Roman" w:cs="Times New Roman"/>
          <w:sz w:val="28"/>
          <w:szCs w:val="28"/>
        </w:rPr>
        <w:t>[40, с. 86].</w:t>
      </w:r>
    </w:p>
    <w:p w14:paraId="321FFF29"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Таким чином, послідовне виконання кожного етапу аудиту дозволяє верифікувати ризик як ймовірність виникнення несприятливої ​​події, що представляє собою загрозу якість медичної допомоги, та нівелювати його. Даний алгоритм реалізується за всіма напрямками роботи в медичному закладі відповідно до вимог нормативно-правових актів та дозволяє охопити всі процеси в підрозділах закладі охорони здоров’я з позиції оцінки якості та безпеки медичної діяльності.</w:t>
      </w:r>
    </w:p>
    <w:p w14:paraId="321FFF2A"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F2B"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Висновок до розділу 1</w:t>
      </w:r>
    </w:p>
    <w:p w14:paraId="321FFF2C"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Існують різні підходи до визначення якості медичної допомоги: адекватність, ефективність, морально-етичні норми, економічність. Визначення ЯМД також міститься і в загальних європейських стандартах ІСО 9000, що розповсюджуються на сферу виробництва та надання послуг, у тому числі медичних, і в ДСТУ ISO 9000:2007.</w:t>
      </w:r>
    </w:p>
    <w:p w14:paraId="321FFF2D"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Головним механізмом забезпечення якості виступає контроль. Як система він розглядається в контексті сукупності взаємопов’язаних між собою елементів: мети, завдань, суб’єктів і об’єктів, функцій контролю, методів його проведення, засобів його здійснення, джерел інформації, критеріїв системи якості та результатів здійсненого контролю. </w:t>
      </w:r>
    </w:p>
    <w:p w14:paraId="321FFF2E"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В розділі розглянуто види контролю в закладах охорони здоров’я та механізм забезпечення якості надання медичної допомоги, до яких відносяться: ліцензування; акредитація; сертифікація; стандартизація; </w:t>
      </w:r>
      <w:r>
        <w:rPr>
          <w:rFonts w:ascii="Times New Roman" w:eastAsia="Microsoft YaHei" w:hAnsi="Times New Roman" w:cs="Times New Roman"/>
          <w:sz w:val="28"/>
          <w:szCs w:val="28"/>
        </w:rPr>
        <w:lastRenderedPageBreak/>
        <w:t>клінічний аудит; бенчмаркінг, наведена характеристика їх основних особливостей та визначена їх роль у забезпеченні контролю ЯМД.</w:t>
      </w:r>
    </w:p>
    <w:p w14:paraId="321FFF2F"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Розглянуто методи загального управління якістю; параметри та компоненти якості в охороні здоров’я; цикл Демінга-Шухарта «Plan - Do - Check - Act» (PDCA). Наведено характеристика моделей управління якістю медичних послуг, основні напрями стратегії управління ЯМД та визначено системи індикаторів якості медичної допомоги. Оцінено три взаємопов’язані компоненти тріади Донабедіана, а також показники їх організаційної діяльності та стану здоров’я населення, що обслуговується.</w:t>
      </w:r>
    </w:p>
    <w:p w14:paraId="321FFF30"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Визначено рівні здійснення контролю якості медичної допомоги та експертизи конкретного клінічного випадку, визначено посадові обов’язки відповідальних осіб на кожному рівні здійснення контролю ЯМД.</w:t>
      </w:r>
    </w:p>
    <w:p w14:paraId="321FFF31"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Підкреслено роль внутрішнього аудиту в медичному закладі як складової внутрішнього контролю якості та безпеки медичної допомоги. Доведена необхідність його проведення, охарактеризовано його напрямки. Продемонстровано приклади складання Програми внутрішнього аудиту та  Плану внутрішнього аудиту у медичному закладі, Чек-листа під час проведення внутрішніх аудитів поліклінічного відділення.</w:t>
      </w:r>
    </w:p>
    <w:p w14:paraId="321FFF32"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Проаналізовано особливості проведення кожного етапу аудиту як об’єктивного інструменту виявлення існуючих проблем у медичному закладі. Під час проведення перевірок забезпечується якісний, системний та комплексний підхід, який дозволяє визначити невідповідності та дефекти у наданні медичної допомоги безпосередньо на робочому місці, оцінити всі етапи процесу з різних напрямків діяльності. Виділено 10 напрямків аудиту та наведена їх характеристика. Визначено, що послідовне виконання кожного етапу аудиту дозволяє охопити всі процеси в підрозділах закладі охорони здоров’я з позиції оцінки якості та безпеки медичної діяльності.</w:t>
      </w:r>
    </w:p>
    <w:p w14:paraId="321FFF33"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F34"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F35"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1FFF36" w14:textId="77777777" w:rsidR="003C626E" w:rsidRDefault="001A5B20">
      <w:pPr>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lastRenderedPageBreak/>
        <w:t>РОЗДІЛ 2</w:t>
      </w:r>
    </w:p>
    <w:p w14:paraId="321FFF37" w14:textId="55DFA614" w:rsidR="003C626E" w:rsidRDefault="001A5B20">
      <w:pPr>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 xml:space="preserve">АНАЛІЗ СУЧАСНОГО СТАНУ </w:t>
      </w:r>
      <w:r w:rsidR="001365B6">
        <w:rPr>
          <w:rFonts w:ascii="Times New Roman" w:eastAsia="Microsoft YaHei" w:hAnsi="Times New Roman" w:cs="Times New Roman"/>
          <w:b/>
          <w:sz w:val="28"/>
          <w:szCs w:val="28"/>
        </w:rPr>
        <w:t>СИСТЕМИ УПРАВЛІННЯ</w:t>
      </w:r>
      <w:r>
        <w:rPr>
          <w:rFonts w:ascii="Times New Roman" w:eastAsia="Microsoft YaHei" w:hAnsi="Times New Roman" w:cs="Times New Roman"/>
          <w:b/>
          <w:sz w:val="28"/>
          <w:szCs w:val="28"/>
        </w:rPr>
        <w:t xml:space="preserve"> ЯК</w:t>
      </w:r>
      <w:r w:rsidR="001365B6">
        <w:rPr>
          <w:rFonts w:ascii="Times New Roman" w:eastAsia="Microsoft YaHei" w:hAnsi="Times New Roman" w:cs="Times New Roman"/>
          <w:b/>
          <w:sz w:val="28"/>
          <w:szCs w:val="28"/>
        </w:rPr>
        <w:t>І</w:t>
      </w:r>
      <w:r>
        <w:rPr>
          <w:rFonts w:ascii="Times New Roman" w:eastAsia="Microsoft YaHei" w:hAnsi="Times New Roman" w:cs="Times New Roman"/>
          <w:b/>
          <w:sz w:val="28"/>
          <w:szCs w:val="28"/>
        </w:rPr>
        <w:t>СТ</w:t>
      </w:r>
      <w:r w:rsidR="001365B6">
        <w:rPr>
          <w:rFonts w:ascii="Times New Roman" w:eastAsia="Microsoft YaHei" w:hAnsi="Times New Roman" w:cs="Times New Roman"/>
          <w:b/>
          <w:sz w:val="28"/>
          <w:szCs w:val="28"/>
        </w:rPr>
        <w:t>Ю</w:t>
      </w:r>
      <w:r>
        <w:rPr>
          <w:rFonts w:ascii="Times New Roman" w:eastAsia="Microsoft YaHei" w:hAnsi="Times New Roman" w:cs="Times New Roman"/>
          <w:b/>
          <w:sz w:val="28"/>
          <w:szCs w:val="28"/>
        </w:rPr>
        <w:t xml:space="preserve"> МЕДИЧНИХ ПОСЛУГ У КОМУНАЛЬНОМУ НЕКОМЕРЦІЙНОМУ ПІДПРИЄМСТВІ «МІСЬКА КЛІНІЧНА ЛІКАРНЯ № 11» ОДЕСЬКОЇ МІСЬКОЇ РАДИ</w:t>
      </w:r>
    </w:p>
    <w:p w14:paraId="321FFF38" w14:textId="77777777" w:rsidR="003C626E" w:rsidRDefault="003C626E">
      <w:pPr>
        <w:spacing w:line="360" w:lineRule="auto"/>
        <w:ind w:firstLine="709"/>
        <w:jc w:val="center"/>
        <w:rPr>
          <w:rFonts w:ascii="Times New Roman" w:eastAsia="Microsoft YaHei" w:hAnsi="Times New Roman" w:cs="Times New Roman"/>
          <w:sz w:val="28"/>
          <w:szCs w:val="28"/>
        </w:rPr>
      </w:pPr>
    </w:p>
    <w:p w14:paraId="321FFF39" w14:textId="77777777" w:rsidR="003C626E" w:rsidRDefault="001A5B20">
      <w:pPr>
        <w:spacing w:line="360" w:lineRule="auto"/>
        <w:ind w:firstLine="709"/>
        <w:jc w:val="both"/>
        <w:rPr>
          <w:rFonts w:ascii="Times New Roman" w:eastAsia="Microsoft YaHei" w:hAnsi="Times New Roman" w:cs="Times New Roman"/>
          <w:b/>
          <w:sz w:val="28"/>
          <w:szCs w:val="28"/>
        </w:rPr>
      </w:pPr>
      <w:r>
        <w:rPr>
          <w:rFonts w:ascii="Times New Roman" w:eastAsia="Microsoft YaHei" w:hAnsi="Times New Roman" w:cs="Times New Roman"/>
          <w:b/>
          <w:sz w:val="28"/>
          <w:szCs w:val="28"/>
        </w:rPr>
        <w:t>2.1. Загальна характеристика Комунального некомерційного підприємства «Міська клінічна лікарня № 11» Одеської міської ради</w:t>
      </w:r>
    </w:p>
    <w:p w14:paraId="321FFF3A"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Одеське комунальне некомерційне підприємство «Міська клінічна лікарня № 11» є провідним лікувально-профілактичним закладом Одеської області, що відіграє значну роль у функціонуванні системі охорони здоров’я регіону.</w:t>
      </w:r>
    </w:p>
    <w:p w14:paraId="321FFF3B"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Заклад слугує клінічною базою для кафедр Одеського національного медичного університету, де проходять підготовку лікарі-інтерни та підвищують кваліфікацію медичні працівники.</w:t>
      </w:r>
    </w:p>
    <w:p w14:paraId="321FFF3C"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Лікарня відома високим рівнем якості медичних послуг і широким спектром напрямів діяльності: від екстреної допомоги та складних хірургічних операцій до сучасної діагностики й реабілітаційних програм.</w:t>
      </w:r>
    </w:p>
    <w:p w14:paraId="321FFF3D"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Завдяки впровадженню інноваційних технологій і комплексному підходу до лікування пацієнтів, КНП «МКЛ № 11» ОМР посідає провідне місце серед медичних закладів області, забезпечуючи здоров’я та добробут її мешканців.</w:t>
      </w:r>
    </w:p>
    <w:p w14:paraId="321FFF3E"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КНП обслуговує близько 212 200 тисяч населення, щорічног здійснює понад 11 000 хірургічних втручань, має ліжковий фонд понад 525 ліжок (рис. 2.1)</w:t>
      </w:r>
    </w:p>
    <w:p w14:paraId="321FFF3F" w14:textId="77777777" w:rsidR="003C626E" w:rsidRDefault="001A5B20">
      <w:pPr>
        <w:spacing w:line="360" w:lineRule="auto"/>
        <w:ind w:firstLine="709"/>
        <w:jc w:val="center"/>
        <w:rPr>
          <w:rFonts w:ascii="Times New Roman" w:eastAsia="Microsoft YaHei" w:hAnsi="Times New Roman" w:cs="Times New Roman"/>
          <w:sz w:val="28"/>
          <w:szCs w:val="28"/>
        </w:rPr>
      </w:pPr>
      <w:r>
        <w:rPr>
          <w:rFonts w:ascii="Microsoft YaHei" w:eastAsia="Microsoft YaHei" w:hAnsi="Microsoft YaHei" w:cs="Microsoft YaHei"/>
          <w:noProof/>
          <w:lang w:bidi="ar-SA"/>
        </w:rPr>
        <mc:AlternateContent>
          <mc:Choice Requires="wpg">
            <w:drawing>
              <wp:inline distT="0" distB="0" distL="0" distR="0" wp14:anchorId="32200308" wp14:editId="32200309">
                <wp:extent cx="4526280" cy="922020"/>
                <wp:effectExtent l="0" t="0" r="0" b="0"/>
                <wp:docPr id="7" name="Рисунок 18" descr="https://odmkl11.od.ua/wp-content/uploads/2024/02/content-1-1024x2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dmkl11.od.ua/wp-content/uploads/2024/02/content-1-1024x253.png"/>
                        <pic:cNvPicPr>
                          <a:picLocks noChangeAspect="1"/>
                        </pic:cNvPicPr>
                      </pic:nvPicPr>
                      <pic:blipFill rotWithShape="1">
                        <a:blip r:embed="rId34"/>
                        <a:stretch/>
                      </pic:blipFill>
                      <pic:spPr bwMode="auto">
                        <a:xfrm>
                          <a:off x="0" y="0"/>
                          <a:ext cx="4527497" cy="922268"/>
                        </a:xfrm>
                        <a:prstGeom prst="rect">
                          <a:avLst/>
                        </a:prstGeom>
                        <a:noFill/>
                        <a:ln>
                          <a:noFill/>
                        </a:ln>
                      </pic:spPr>
                    </pic:pic>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 o:spid="_x0000_s4" type="#_x0000_t75" style="width:356.40pt;height:72.60pt;mso-wrap-distance-left:0.00pt;mso-wrap-distance-top:0.00pt;mso-wrap-distance-right:0.00pt;mso-wrap-distance-bottom:0.00pt;z-index:1;" stroked="f">
                <v:imagedata r:id="rId35" o:title=""/>
                <o:lock v:ext="edit" rotation="t"/>
              </v:shape>
            </w:pict>
          </mc:Fallback>
        </mc:AlternateContent>
      </w:r>
    </w:p>
    <w:p w14:paraId="321FFF40" w14:textId="77777777" w:rsidR="003C626E" w:rsidRDefault="001A5B20">
      <w:pPr>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2.1. Ключові показники діяльності КНП «МКЛ № 11» ОМР</w:t>
      </w:r>
    </w:p>
    <w:p w14:paraId="321FFF41" w14:textId="77777777" w:rsidR="003C626E" w:rsidRDefault="001A5B20">
      <w:pPr>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 xml:space="preserve">Джерело: </w:t>
      </w:r>
      <w:r>
        <w:rPr>
          <w:rFonts w:ascii="Times New Roman" w:eastAsia="Microsoft YaHei" w:hAnsi="Times New Roman" w:cs="Times New Roman"/>
          <w:i/>
          <w:lang w:val="en-US"/>
        </w:rPr>
        <w:t>[41]</w:t>
      </w:r>
    </w:p>
    <w:p w14:paraId="321FFF42"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До основних завдань лікарні відносяться:</w:t>
      </w:r>
    </w:p>
    <w:p w14:paraId="321FFF43" w14:textId="77777777" w:rsidR="003C626E" w:rsidRDefault="001A5B20">
      <w:pPr>
        <w:numPr>
          <w:ilvl w:val="0"/>
          <w:numId w:val="35"/>
        </w:numPr>
        <w:tabs>
          <w:tab w:val="left" w:pos="1134"/>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Надання ургентної допомоги. </w:t>
      </w:r>
    </w:p>
    <w:p w14:paraId="321FFF44"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Сьогодні КНП - багатопрофільний медичний заклад, у структурі якого функціонують відділення інтенсивної терапії, хірургічне, гнійно-септичне, нейрохірургічне, гінекологічне, неврологічне, щелепно-лицьове, оториноларингологічне («голова–шия»), терапевтичне, чотири травматологічні відділення, а також два консультативно-діагностичні центри (№1 і №2).</w:t>
      </w:r>
    </w:p>
    <w:p w14:paraId="321FFF45"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 період війни відзначається тенденція до збільшення кількості звернень за ургентними випадками. Ургентація здійснюється цілодобово і щодня по 7 хірургічним спеціальностями, а також згідно з графіком департаменту по терапії та неврології. Щорічно у середньому в медичному закладі виконуються більше 8000 оперативних втручань, причому 80% з них ургентно.</w:t>
      </w:r>
    </w:p>
    <w:p w14:paraId="321FFF46" w14:textId="77777777" w:rsidR="003C626E" w:rsidRDefault="001A5B20">
      <w:pPr>
        <w:numPr>
          <w:ilvl w:val="0"/>
          <w:numId w:val="35"/>
        </w:numPr>
        <w:tabs>
          <w:tab w:val="left" w:pos="709"/>
          <w:tab w:val="left" w:pos="1134"/>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Багатопрофільна спеціалізована допомога. </w:t>
      </w:r>
    </w:p>
    <w:p w14:paraId="321FFF47" w14:textId="77777777" w:rsidR="003C626E" w:rsidRDefault="001A5B20">
      <w:pPr>
        <w:tabs>
          <w:tab w:val="left" w:pos="709"/>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Кожного року в лікарні проводиться понад 11 000 хірургічних операцій та лікування проходять більше 35 000 пацієнтів. Багатопрофільну спеціалізовану допомогу надають підрозділи та відділення терапевтичного та хірургічного профілю:</w:t>
      </w:r>
    </w:p>
    <w:p w14:paraId="321FFF48" w14:textId="77777777" w:rsidR="003C626E" w:rsidRDefault="001A5B20">
      <w:pPr>
        <w:numPr>
          <w:ilvl w:val="0"/>
          <w:numId w:val="37"/>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хірургічне (50 ліжок)</w:t>
      </w:r>
    </w:p>
    <w:p w14:paraId="321FFF49" w14:textId="77777777" w:rsidR="003C626E" w:rsidRDefault="001A5B20">
      <w:pPr>
        <w:numPr>
          <w:ilvl w:val="0"/>
          <w:numId w:val="37"/>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травматологічне 1 (55 ліжок);</w:t>
      </w:r>
    </w:p>
    <w:p w14:paraId="321FFF4A" w14:textId="77777777" w:rsidR="003C626E" w:rsidRDefault="001A5B20">
      <w:pPr>
        <w:numPr>
          <w:ilvl w:val="0"/>
          <w:numId w:val="36"/>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травматологічне 2 (55 ліжок);</w:t>
      </w:r>
    </w:p>
    <w:p w14:paraId="321FFF4B" w14:textId="77777777" w:rsidR="003C626E" w:rsidRDefault="001A5B20">
      <w:pPr>
        <w:numPr>
          <w:ilvl w:val="0"/>
          <w:numId w:val="36"/>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травматологічне 3 (55 ліжок);</w:t>
      </w:r>
    </w:p>
    <w:p w14:paraId="321FFF4C" w14:textId="77777777" w:rsidR="003C626E" w:rsidRDefault="001A5B20">
      <w:pPr>
        <w:numPr>
          <w:ilvl w:val="0"/>
          <w:numId w:val="36"/>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травматологічне 4 (30 ліжок);</w:t>
      </w:r>
    </w:p>
    <w:p w14:paraId="321FFF4D" w14:textId="77777777" w:rsidR="003C626E" w:rsidRDefault="001A5B20">
      <w:pPr>
        <w:numPr>
          <w:ilvl w:val="0"/>
          <w:numId w:val="36"/>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гнійно-септичне (30 ліжок);</w:t>
      </w:r>
    </w:p>
    <w:p w14:paraId="321FFF4E" w14:textId="77777777" w:rsidR="003C626E" w:rsidRDefault="001A5B20">
      <w:pPr>
        <w:numPr>
          <w:ilvl w:val="0"/>
          <w:numId w:val="36"/>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щелепно-лицьове (20 ліжок);</w:t>
      </w:r>
    </w:p>
    <w:p w14:paraId="321FFF4F" w14:textId="77777777" w:rsidR="003C626E" w:rsidRDefault="001A5B20">
      <w:pPr>
        <w:numPr>
          <w:ilvl w:val="0"/>
          <w:numId w:val="36"/>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ЛОР (60 ліжок);</w:t>
      </w:r>
    </w:p>
    <w:p w14:paraId="321FFF50" w14:textId="77777777" w:rsidR="003C626E" w:rsidRDefault="001A5B20">
      <w:pPr>
        <w:numPr>
          <w:ilvl w:val="0"/>
          <w:numId w:val="36"/>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нейрохірургічне (65 ліжок);</w:t>
      </w:r>
    </w:p>
    <w:p w14:paraId="321FFF51" w14:textId="77777777" w:rsidR="003C626E" w:rsidRDefault="001A5B20">
      <w:pPr>
        <w:numPr>
          <w:ilvl w:val="0"/>
          <w:numId w:val="36"/>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гінекологічне (30 ліжок);</w:t>
      </w:r>
    </w:p>
    <w:p w14:paraId="321FFF52" w14:textId="77777777" w:rsidR="003C626E" w:rsidRDefault="001A5B20">
      <w:pPr>
        <w:numPr>
          <w:ilvl w:val="0"/>
          <w:numId w:val="36"/>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відділення інтенсивної терапії (12 ліжок);</w:t>
      </w:r>
    </w:p>
    <w:p w14:paraId="321FFF53" w14:textId="77777777" w:rsidR="003C626E" w:rsidRDefault="001A5B20">
      <w:pPr>
        <w:numPr>
          <w:ilvl w:val="0"/>
          <w:numId w:val="36"/>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терапевтичне (65 ліжок);</w:t>
      </w:r>
    </w:p>
    <w:p w14:paraId="321FFF54" w14:textId="77777777" w:rsidR="003C626E" w:rsidRDefault="001A5B20">
      <w:pPr>
        <w:numPr>
          <w:ilvl w:val="0"/>
          <w:numId w:val="36"/>
        </w:numPr>
        <w:tabs>
          <w:tab w:val="left" w:pos="993"/>
        </w:tabs>
        <w:spacing w:line="360" w:lineRule="auto"/>
        <w:ind w:left="0" w:firstLine="709"/>
        <w:contextualSpacing/>
        <w:rPr>
          <w:rFonts w:ascii="Times New Roman" w:eastAsia="Microsoft YaHei" w:hAnsi="Times New Roman" w:cs="Times New Roman"/>
          <w:sz w:val="28"/>
          <w:szCs w:val="28"/>
        </w:rPr>
      </w:pPr>
      <w:r>
        <w:rPr>
          <w:rFonts w:ascii="Times New Roman" w:eastAsia="Microsoft YaHei" w:hAnsi="Times New Roman" w:cs="Times New Roman"/>
          <w:sz w:val="28"/>
          <w:szCs w:val="28"/>
        </w:rPr>
        <w:t>трансфузіології (30 ліжок);</w:t>
      </w:r>
    </w:p>
    <w:p w14:paraId="321FFF55" w14:textId="77777777" w:rsidR="003C626E" w:rsidRDefault="001A5B20">
      <w:pPr>
        <w:numPr>
          <w:ilvl w:val="0"/>
          <w:numId w:val="36"/>
        </w:numPr>
        <w:tabs>
          <w:tab w:val="left" w:pos="993"/>
        </w:tabs>
        <w:spacing w:line="360" w:lineRule="auto"/>
        <w:ind w:left="0" w:firstLine="709"/>
        <w:contextualSpacing/>
        <w:rPr>
          <w:rFonts w:ascii="Times New Roman" w:eastAsia="Microsoft YaHei" w:hAnsi="Times New Roman" w:cs="Times New Roman"/>
          <w:sz w:val="28"/>
          <w:szCs w:val="28"/>
        </w:rPr>
      </w:pPr>
      <w:r>
        <w:rPr>
          <w:rFonts w:ascii="Times New Roman" w:eastAsia="Microsoft YaHei" w:hAnsi="Times New Roman" w:cs="Times New Roman"/>
          <w:sz w:val="28"/>
          <w:szCs w:val="28"/>
        </w:rPr>
        <w:t>операційний блок (30 ліжок);</w:t>
      </w:r>
    </w:p>
    <w:p w14:paraId="321FFF56" w14:textId="77777777" w:rsidR="003C626E" w:rsidRDefault="001A5B20">
      <w:pPr>
        <w:numPr>
          <w:ilvl w:val="0"/>
          <w:numId w:val="36"/>
        </w:numPr>
        <w:tabs>
          <w:tab w:val="left" w:pos="993"/>
        </w:tabs>
        <w:spacing w:line="360" w:lineRule="auto"/>
        <w:ind w:left="0" w:firstLine="709"/>
        <w:contextualSpacing/>
        <w:rPr>
          <w:rFonts w:ascii="Times New Roman" w:eastAsia="Microsoft YaHei" w:hAnsi="Times New Roman" w:cs="Times New Roman"/>
          <w:sz w:val="28"/>
          <w:szCs w:val="28"/>
        </w:rPr>
      </w:pPr>
      <w:r>
        <w:rPr>
          <w:rFonts w:ascii="Times New Roman" w:eastAsia="Microsoft YaHei" w:hAnsi="Times New Roman" w:cs="Times New Roman"/>
          <w:sz w:val="28"/>
          <w:szCs w:val="28"/>
        </w:rPr>
        <w:t>клінічна та біохімічна лабораторія (16 ліжок);</w:t>
      </w:r>
    </w:p>
    <w:p w14:paraId="321FFF57" w14:textId="77777777" w:rsidR="003C626E" w:rsidRDefault="001A5B20">
      <w:pPr>
        <w:numPr>
          <w:ilvl w:val="0"/>
          <w:numId w:val="36"/>
        </w:numPr>
        <w:tabs>
          <w:tab w:val="left" w:pos="993"/>
        </w:tabs>
        <w:ind w:left="0" w:firstLine="709"/>
        <w:contextualSpacing/>
        <w:rPr>
          <w:rFonts w:ascii="Times New Roman" w:eastAsia="Microsoft YaHei" w:hAnsi="Times New Roman" w:cs="Times New Roman"/>
          <w:sz w:val="28"/>
          <w:szCs w:val="28"/>
        </w:rPr>
      </w:pPr>
      <w:r>
        <w:rPr>
          <w:rFonts w:ascii="Times New Roman" w:eastAsia="Microsoft YaHei" w:hAnsi="Times New Roman" w:cs="Times New Roman"/>
          <w:sz w:val="28"/>
          <w:szCs w:val="28"/>
        </w:rPr>
        <w:t>відділення екстреної медичної допомоги (40 ліжок) (рис. 2.2).</w:t>
      </w:r>
    </w:p>
    <w:p w14:paraId="321FFF58" w14:textId="77777777" w:rsidR="003C626E" w:rsidRDefault="001A5B20">
      <w:pPr>
        <w:tabs>
          <w:tab w:val="left" w:pos="1134"/>
        </w:tabs>
        <w:spacing w:line="360" w:lineRule="auto"/>
        <w:jc w:val="center"/>
        <w:rPr>
          <w:rFonts w:ascii="Times New Roman" w:eastAsia="Microsoft YaHei" w:hAnsi="Times New Roman" w:cs="Times New Roman"/>
          <w:sz w:val="28"/>
          <w:szCs w:val="28"/>
        </w:rPr>
      </w:pPr>
      <w:r>
        <w:rPr>
          <w:rFonts w:ascii="Microsoft YaHei" w:eastAsia="Microsoft YaHei" w:hAnsi="Microsoft YaHei" w:cs="Microsoft YaHei"/>
          <w:noProof/>
          <w:lang w:bidi="ar-SA"/>
        </w:rPr>
        <w:drawing>
          <wp:inline distT="0" distB="0" distL="0" distR="0" wp14:anchorId="3220030A" wp14:editId="3220030B">
            <wp:extent cx="4572000" cy="3592830"/>
            <wp:effectExtent l="0" t="0" r="0" b="7620"/>
            <wp:docPr id="8"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21FFF59" w14:textId="77777777" w:rsidR="003C626E" w:rsidRDefault="001A5B20">
      <w:pPr>
        <w:tabs>
          <w:tab w:val="left" w:pos="1134"/>
        </w:tabs>
        <w:spacing w:line="360" w:lineRule="auto"/>
        <w:ind w:firstLine="709"/>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Рис. 2.2. Кількість ліжок у відділеннях КНП «МКЛ № 11» ОМР</w:t>
      </w:r>
    </w:p>
    <w:p w14:paraId="321FFF5A" w14:textId="77777777" w:rsidR="003C626E" w:rsidRDefault="001A5B20">
      <w:pPr>
        <w:tabs>
          <w:tab w:val="left" w:pos="1134"/>
        </w:tabs>
        <w:spacing w:line="360" w:lineRule="auto"/>
        <w:ind w:firstLine="709"/>
        <w:jc w:val="both"/>
        <w:rPr>
          <w:rFonts w:ascii="Times New Roman" w:eastAsia="Microsoft YaHei" w:hAnsi="Times New Roman" w:cs="Times New Roman"/>
          <w:i/>
        </w:rPr>
      </w:pPr>
      <w:r>
        <w:rPr>
          <w:rFonts w:ascii="Times New Roman" w:eastAsia="Microsoft YaHei" w:hAnsi="Times New Roman" w:cs="Times New Roman"/>
          <w:i/>
        </w:rPr>
        <w:t>Джерело: побудовано автором на основ</w:t>
      </w:r>
      <w:r>
        <w:rPr>
          <w:rFonts w:ascii="Times New Roman" w:eastAsia="Microsoft YaHei" w:hAnsi="Times New Roman" w:cs="Times New Roman"/>
          <w:i/>
          <w:color w:val="auto"/>
        </w:rPr>
        <w:t xml:space="preserve">і </w:t>
      </w:r>
      <w:hyperlink r:id="rId37" w:tooltip="https://odmkl11.od.ua/pro-nas/" w:history="1">
        <w:r>
          <w:rPr>
            <w:rFonts w:ascii="Times New Roman" w:eastAsia="Microsoft YaHei" w:hAnsi="Times New Roman" w:cs="Times New Roman"/>
            <w:i/>
            <w:color w:val="auto"/>
            <w:lang w:val="en-US"/>
          </w:rPr>
          <w:t>[41]</w:t>
        </w:r>
      </w:hyperlink>
    </w:p>
    <w:p w14:paraId="321FFF5B" w14:textId="77777777" w:rsidR="003C626E" w:rsidRDefault="003C626E">
      <w:pPr>
        <w:tabs>
          <w:tab w:val="left" w:pos="1134"/>
        </w:tabs>
        <w:spacing w:line="360" w:lineRule="auto"/>
        <w:ind w:firstLine="709"/>
        <w:jc w:val="both"/>
        <w:rPr>
          <w:rFonts w:ascii="Times New Roman" w:eastAsia="Microsoft YaHei" w:hAnsi="Times New Roman" w:cs="Times New Roman"/>
          <w:i/>
        </w:rPr>
      </w:pPr>
    </w:p>
    <w:p w14:paraId="321FFF5C"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u w:val="single"/>
        </w:rPr>
      </w:pPr>
      <w:r>
        <w:rPr>
          <w:rFonts w:ascii="Times New Roman" w:eastAsia="Microsoft YaHei" w:hAnsi="Times New Roman" w:cs="Times New Roman"/>
          <w:sz w:val="28"/>
          <w:szCs w:val="28"/>
        </w:rPr>
        <w:t>Відділення екстреної медичної допомоги є ключовим лікувально-діагностичним підрозділом, який забезпечує реєстрацію, прийом, первинний огляд та санітарно-гігієнічну обробку пацієнтів, що поступають, а також надання кваліфікованої невідкладної медичної допомоги. Від оперативності, професійності та злагодженості роботи медичного персоналу цього відділення значною мірою залежить успіх подальшого лікування пацієнта, а у випадках ургентних станів — і його життя. Кожен хворий, що прибуває, повинен відчути увагу, турботу та ввічливе ставлення, що формує довіру до закладу та впевненість у якості наданої допомоги</w:t>
      </w:r>
      <w:r>
        <w:rPr>
          <w:rFonts w:ascii="Microsoft YaHei" w:eastAsia="Microsoft YaHei" w:hAnsi="Microsoft YaHei" w:cs="Microsoft YaHei"/>
        </w:rPr>
        <w:t xml:space="preserve"> </w:t>
      </w:r>
      <w:r>
        <w:rPr>
          <w:rFonts w:ascii="Times New Roman" w:eastAsia="Microsoft YaHei" w:hAnsi="Times New Roman" w:cs="Times New Roman"/>
          <w:sz w:val="28"/>
          <w:szCs w:val="28"/>
        </w:rPr>
        <w:t>[41]</w:t>
      </w:r>
      <w:r>
        <w:rPr>
          <w:rFonts w:ascii="Times New Roman" w:eastAsia="Microsoft YaHei" w:hAnsi="Times New Roman" w:cs="Times New Roman"/>
          <w:sz w:val="28"/>
          <w:szCs w:val="28"/>
          <w:lang w:val="en-US"/>
        </w:rPr>
        <w:t>.</w:t>
      </w:r>
    </w:p>
    <w:p w14:paraId="321FFF5D"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Гнійно-септичне хірургічне відділення надає планову та цілодобову </w:t>
      </w:r>
      <w:r>
        <w:rPr>
          <w:rFonts w:ascii="Times New Roman" w:eastAsia="Microsoft YaHei" w:hAnsi="Times New Roman" w:cs="Times New Roman"/>
          <w:sz w:val="28"/>
          <w:szCs w:val="28"/>
        </w:rPr>
        <w:lastRenderedPageBreak/>
        <w:t>невідкладну допомогу пацієнтам із гнійно-септичними хірургічними захворюваннями, зокрема:</w:t>
      </w:r>
    </w:p>
    <w:p w14:paraId="321FFF5E"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хірургічний сепсис;</w:t>
      </w:r>
    </w:p>
    <w:p w14:paraId="321FFF5F"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гнійні захворювання плеври;</w:t>
      </w:r>
    </w:p>
    <w:p w14:paraId="321FFF60"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гнійно-запальні процеси заочеревинного простору, малого тазу та промежини;</w:t>
      </w:r>
    </w:p>
    <w:p w14:paraId="321FFF61"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інфіковані рани з великими дефектами шкіри та м’яких тканин, що потребують пластичного закриття;</w:t>
      </w:r>
    </w:p>
    <w:p w14:paraId="321FFF62"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судинна патологія у стадії критичної ішемії на фоні цукрового діабету або облітеруючого атеросклерозу, з можливістю застосування балонної ангіопластики;</w:t>
      </w:r>
    </w:p>
    <w:p w14:paraId="321FFF63"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варикозна та посттромбофлебічна хвороба з трофічними порушеннями, включно з лазерною коагуляцією вен, відкритою венектомією та пластичним закриттям виразок;</w:t>
      </w:r>
    </w:p>
    <w:p w14:paraId="321FFF64"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діабетична стопа;</w:t>
      </w:r>
    </w:p>
    <w:p w14:paraId="321FFF65"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гнійні ураження лімфатичної та залозистої тканини (абсцедуючі лімфаденіти, аденофлегмони, мастити, абсцес бартолінової залози);</w:t>
      </w:r>
    </w:p>
    <w:p w14:paraId="321FFF66"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гнійні захворювання кисті;</w:t>
      </w:r>
    </w:p>
    <w:p w14:paraId="321FFF67"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патології аноректальної області (парапроктит, нагноєна пілонідальна кіста);</w:t>
      </w:r>
    </w:p>
    <w:p w14:paraId="321FFF68"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ускладнення травм (інфіковані рани, розтрощення, сторонні тіла, нагноєні гематоми, посттравматичні гангрени, відмороження);</w:t>
      </w:r>
    </w:p>
    <w:p w14:paraId="321FFF69"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гострі гнійні бурсити, синовіти, артрити;</w:t>
      </w:r>
    </w:p>
    <w:p w14:paraId="321FFF6A"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анаеробні та некротизуючі інфекції м’яких тканин;</w:t>
      </w:r>
    </w:p>
    <w:p w14:paraId="321FFF6B"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гнійні ураження м’яких тканин;</w:t>
      </w:r>
    </w:p>
    <w:p w14:paraId="321FFF6C"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надання антирабічної допомоги [41]</w:t>
      </w:r>
      <w:r>
        <w:rPr>
          <w:rFonts w:ascii="Times New Roman" w:eastAsia="Microsoft YaHei" w:hAnsi="Times New Roman" w:cs="Times New Roman"/>
          <w:sz w:val="28"/>
          <w:szCs w:val="28"/>
          <w:lang w:val="en-US"/>
        </w:rPr>
        <w:t>.</w:t>
      </w:r>
    </w:p>
    <w:p w14:paraId="321FFF6D"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Відділення реанімації та інтенсивної терапії є спеціалізованим підрозділом стаціонару. Пацієнти потрапляють сюди найчастіше після хірургічних операцій, важких травм, критичних кровотеч, декомпенсації хронічних захворювань або гострої дисфункції органів і систем. Робота будь-</w:t>
      </w:r>
      <w:r>
        <w:rPr>
          <w:rFonts w:ascii="Times New Roman" w:eastAsia="Microsoft YaHei" w:hAnsi="Times New Roman" w:cs="Times New Roman"/>
          <w:sz w:val="28"/>
          <w:szCs w:val="28"/>
        </w:rPr>
        <w:lastRenderedPageBreak/>
        <w:t>якого багатопрофільного медичного закладу неможлива без цього відділення. Його особливість полягає в тому, що більшість пацієнтів перебуває у вкрай важкому стані та потребує підтримки життєвих функцій за допомогою спеціальної апаратури (зондове харчування, штучна вентиляція легенів), і їм необхідний особливий догляд [41]</w:t>
      </w:r>
      <w:r>
        <w:rPr>
          <w:rFonts w:ascii="Times New Roman" w:eastAsia="Microsoft YaHei" w:hAnsi="Times New Roman" w:cs="Times New Roman"/>
          <w:sz w:val="28"/>
          <w:szCs w:val="28"/>
          <w:lang w:val="en-US"/>
        </w:rPr>
        <w:t>.</w:t>
      </w:r>
    </w:p>
    <w:p w14:paraId="321FFF6E"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Відділення щелепно-лицьової хірургії надає висококваліфіковану амбулаторну, планову та ургентну стаціонарну допомогу пацієнтам із патологіями щелепно-лицьової області, охоплюючи як хірургічні, так і загальностоматологічні втручання. Через близьке розташування цієї області до критичних анатомічних зон голови відділення тісно співпрацює з іншими клінічними спеціальностями, зокрема нейрохірургією, неврологією, оториноларингологією, офтальмологією та торакальною хірургією.</w:t>
      </w:r>
    </w:p>
    <w:p w14:paraId="321FFF6F"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Основні завдання відділення включають діагностику та лікування запальних процесів, травм і їхніх наслідків, вроджених і набутих дефектів, а також аномалій розвитку щелеп і органів порожнини рота за допомогою сучасних хірургічних методик.</w:t>
      </w:r>
    </w:p>
    <w:p w14:paraId="321FFF70"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Переважна ургентна спрямованість роботи (близько 80%) зумовлена наявністю цілодобової ургентної служби, розміщенням у багатопрофільній лікарні з розвиненою мережею допоміжних підрозділів і реанімації, що забезпечує лікування складних випадків, зокрема пацієнтів із поєднаними травмами</w:t>
      </w:r>
      <w:r>
        <w:rPr>
          <w:rFonts w:ascii="Microsoft YaHei" w:eastAsia="Microsoft YaHei" w:hAnsi="Microsoft YaHei" w:cs="Microsoft YaHei"/>
        </w:rPr>
        <w:t xml:space="preserve"> </w:t>
      </w:r>
      <w:r>
        <w:rPr>
          <w:rFonts w:ascii="Times New Roman" w:eastAsia="Microsoft YaHei" w:hAnsi="Times New Roman" w:cs="Times New Roman"/>
          <w:sz w:val="28"/>
          <w:szCs w:val="28"/>
        </w:rPr>
        <w:t>[41].</w:t>
      </w:r>
    </w:p>
    <w:p w14:paraId="321FFF71"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Рентгенрадіологічне відділення є важливим структурним підрозділом КНП «МКЛ №11» ОМР та розташоване у спеціально облаштованих приміщеннях, що відповідають необхідним санітарним вимогам та правилам техніки безпеки. Відділення оснащене сучасними цифровими апаратами, робота з якими не потребує рентгенівської плівки та проявних машин, що значно підвищує швидкість і точність досліджень. Завдяки сучасному обладнанню рентгенологічні обстеження проводяться з низьким променевим навантаженням відповідно до принципу ALARA, що мінімізує шкідливу дію іонізуючого випромінювання.</w:t>
      </w:r>
    </w:p>
    <w:p w14:paraId="321FFF72"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Усі отримані знімки передаються в єдину електронну базу та можуть бути надані пацієнту або іншим медичним закладам для консультацій. Дані обробляються за допомогою спеціального програмного забезпечення для візуалізації та зберігання знімків, підтримуючи стандартні модальності DICOM (CR, CT, US, MP тощо) та цифрові формати (bmp, jpeg, tiff) [41]</w:t>
      </w:r>
      <w:r>
        <w:rPr>
          <w:rFonts w:ascii="Times New Roman" w:eastAsia="Microsoft YaHei" w:hAnsi="Times New Roman" w:cs="Times New Roman"/>
          <w:sz w:val="28"/>
          <w:szCs w:val="28"/>
          <w:lang w:val="en-US"/>
        </w:rPr>
        <w:t>.</w:t>
      </w:r>
    </w:p>
    <w:p w14:paraId="321FFF73"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Рентген-кабінети функціонують у ВЕМД, стаціонарних відділеннях та КДЦ, а також використовуються пересувні рентгенологічні апарати. Щодня виконується 100–150 рентгенологічних та КТ-досліджень, щомісяця обстежується до 5 000 пацієнтів, а за рік проводиться до 55 000 рентгенограм, що дозволяє відділенню утримувати лідерські позиції серед медичних закладів Одеси.</w:t>
      </w:r>
    </w:p>
    <w:p w14:paraId="321FFF74"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Гінекологічне відділення надає як планову, так і цілодобову ургентну допомогу пацієнткам з різними гінекологічними захворюваннями та станами. Серед них: міома матки, кістоми яєчників (фолікулярні, кісти жовтого тіла, ендометріоїдні, дермоїдні та інші), запальні процеси маткових труб і яєчників, маткові кровотечі (включаючи гіперплазію ендометрія, поліпи тіла та цервікального каналу), ендометріоз, аномалії розвитку статевих органів, дисплазії шийки матки (CIN І–ІІІ), інфекції, що передаються статевим шляхом, цервіцит, кольпіт, бартолініт, безпліддя, випадіння та опущення тазових органів, нетримання сечі.</w:t>
      </w:r>
    </w:p>
    <w:p w14:paraId="321FFF75"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За ургентними показаннями надається допомога при апоплексії яєчника, розриві або перекруті кісти яєчника, позаматковій вагітності, а також при загрозі переривання вагітності до 19 тижня. </w:t>
      </w:r>
    </w:p>
    <w:p w14:paraId="321FFF76"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До основних переваг відділення належать:</w:t>
      </w:r>
    </w:p>
    <w:p w14:paraId="321FFF77" w14:textId="77777777" w:rsidR="003C626E" w:rsidRDefault="001A5B20">
      <w:pPr>
        <w:numPr>
          <w:ilvl w:val="1"/>
          <w:numId w:val="39"/>
        </w:numPr>
        <w:tabs>
          <w:tab w:val="left" w:pos="851"/>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цілодобова доступність консультативної та лікувальної допомоги;</w:t>
      </w:r>
    </w:p>
    <w:p w14:paraId="321FFF78" w14:textId="77777777" w:rsidR="003C626E" w:rsidRDefault="001A5B20">
      <w:pPr>
        <w:numPr>
          <w:ilvl w:val="1"/>
          <w:numId w:val="39"/>
        </w:numPr>
        <w:tabs>
          <w:tab w:val="left" w:pos="851"/>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повноцінне функціонування діагностичного блоку;</w:t>
      </w:r>
    </w:p>
    <w:p w14:paraId="321FFF79" w14:textId="77777777" w:rsidR="003C626E" w:rsidRDefault="001A5B20">
      <w:pPr>
        <w:numPr>
          <w:ilvl w:val="1"/>
          <w:numId w:val="39"/>
        </w:numPr>
        <w:tabs>
          <w:tab w:val="left" w:pos="851"/>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можливість консультацій у суміжних спеціалістів (хірурги, анестезіологи, терапевти, ендокринологи, неврологи);</w:t>
      </w:r>
    </w:p>
    <w:p w14:paraId="321FFF7A" w14:textId="77777777" w:rsidR="003C626E" w:rsidRDefault="001A5B20">
      <w:pPr>
        <w:numPr>
          <w:ilvl w:val="1"/>
          <w:numId w:val="39"/>
        </w:numPr>
        <w:tabs>
          <w:tab w:val="left" w:pos="851"/>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високий професійний рівень медичного персоналу;</w:t>
      </w:r>
    </w:p>
    <w:p w14:paraId="321FFF7B" w14:textId="77777777" w:rsidR="003C626E" w:rsidRDefault="001A5B20">
      <w:pPr>
        <w:numPr>
          <w:ilvl w:val="1"/>
          <w:numId w:val="39"/>
        </w:numPr>
        <w:tabs>
          <w:tab w:val="left" w:pos="851"/>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здатність вирішувати складні клінічні випадки [41]</w:t>
      </w:r>
      <w:r>
        <w:rPr>
          <w:rFonts w:ascii="Times New Roman" w:eastAsia="Microsoft YaHei" w:hAnsi="Times New Roman" w:cs="Times New Roman"/>
          <w:sz w:val="28"/>
          <w:szCs w:val="28"/>
          <w:lang w:val="en-US"/>
        </w:rPr>
        <w:t>.</w:t>
      </w:r>
    </w:p>
    <w:p w14:paraId="321FFF7C"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У відділенні отоларингології цілодобово виконується ургентна допомога хворим з гострими захворюваннями вуха, горла, носа та невідкладних станів, спровокованих запальними і пухлинними процесами, травмами і пораненнями голови і шиї, ускладненими стенозами гортані і стравоходу, кровотечами з порожнини носа, глотки і судин шиї, а також чужорідними тілами глотки, гортані, стравоходу. Проводиться планове лікування хворих консервативними і хірургічними способами [41]</w:t>
      </w:r>
      <w:r>
        <w:rPr>
          <w:rFonts w:ascii="Times New Roman" w:eastAsia="Microsoft YaHei" w:hAnsi="Times New Roman" w:cs="Times New Roman"/>
          <w:sz w:val="28"/>
          <w:szCs w:val="28"/>
          <w:lang w:val="en-US"/>
        </w:rPr>
        <w:t>.</w:t>
      </w:r>
    </w:p>
    <w:p w14:paraId="321FFF7D"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Завданням відділення анестезіології є забезпечення проведення анестезіологічної допомоги при оперативних втручаннях, проведених у всіх структурних підрозділах лікарні.</w:t>
      </w:r>
    </w:p>
    <w:p w14:paraId="321FFF7E"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Консультативно-діагностичний центр №1:</w:t>
      </w:r>
    </w:p>
    <w:p w14:paraId="321FFF7F"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надає консультативну медичну допомогу мешканцям району обслуговування амбулаторії сімейної медицини та жителям інших районів міста, які звертаються за заявою;</w:t>
      </w:r>
    </w:p>
    <w:p w14:paraId="321FFF80"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надає медичну допомогу у вигляді консультацій лікарів наступних спеціальностей: інфекціоніст, травматолог-ортопед, отоларинголог, уролог, сурдолог, фоніатр, хірург, онколог, судинний хірург, кардіолог, офтальмолог, ендокринолог;</w:t>
      </w:r>
    </w:p>
    <w:p w14:paraId="321FFF81"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проводить лікування хворих в денному стаціонарі; лікування із застосуванням хірургічного блоку (хірургія одного дня); лікування пацієнтів зі складними захворюваннями, які не входять до компетенції сімейних лікарів; лікування в фізіотерапевтичному відділенні; </w:t>
      </w:r>
    </w:p>
    <w:p w14:paraId="321FFF82"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здійснює проведення первинних і періодичних </w:t>
      </w:r>
      <w:r>
        <w:rPr>
          <w:rFonts w:ascii="Times New Roman" w:eastAsia="Microsoft YaHei" w:hAnsi="Times New Roman" w:cs="Times New Roman"/>
          <w:sz w:val="28"/>
          <w:szCs w:val="28"/>
          <w:lang w:val="ru-RU"/>
        </w:rPr>
        <w:t>обов</w:t>
      </w:r>
      <w:r>
        <w:rPr>
          <w:rFonts w:ascii="Times New Roman" w:eastAsia="Microsoft YaHei" w:hAnsi="Times New Roman" w:cs="Times New Roman"/>
          <w:sz w:val="28"/>
          <w:szCs w:val="28"/>
          <w:lang w:val="en-US"/>
        </w:rPr>
        <w:t>’</w:t>
      </w:r>
      <w:r>
        <w:rPr>
          <w:rFonts w:ascii="Times New Roman" w:eastAsia="Microsoft YaHei" w:hAnsi="Times New Roman" w:cs="Times New Roman"/>
          <w:sz w:val="28"/>
          <w:szCs w:val="28"/>
          <w:lang w:val="ru-RU"/>
        </w:rPr>
        <w:t xml:space="preserve">язкових </w:t>
      </w:r>
      <w:r>
        <w:rPr>
          <w:rFonts w:ascii="Times New Roman" w:eastAsia="Microsoft YaHei" w:hAnsi="Times New Roman" w:cs="Times New Roman"/>
          <w:sz w:val="28"/>
          <w:szCs w:val="28"/>
        </w:rPr>
        <w:t xml:space="preserve">медичних оглядів медпрацівників і співробітників, пов’язаних з шкідливими і небезпечними чинниками на виробництві; </w:t>
      </w:r>
    </w:p>
    <w:p w14:paraId="321FFF83"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u w:val="single"/>
        </w:rPr>
      </w:pPr>
      <w:r>
        <w:rPr>
          <w:rFonts w:ascii="Times New Roman" w:eastAsia="Microsoft YaHei" w:hAnsi="Times New Roman" w:cs="Times New Roman"/>
          <w:sz w:val="28"/>
          <w:szCs w:val="28"/>
        </w:rPr>
        <w:t>- проводить експертизу тимчасової непрацездатності і за показаннями оформлення на МСЕК</w:t>
      </w:r>
      <w:r>
        <w:rPr>
          <w:rFonts w:ascii="Microsoft YaHei" w:eastAsia="Microsoft YaHei" w:hAnsi="Microsoft YaHei" w:cs="Microsoft YaHei"/>
        </w:rPr>
        <w:t xml:space="preserve"> </w:t>
      </w:r>
      <w:r>
        <w:rPr>
          <w:rFonts w:ascii="Times New Roman" w:eastAsia="Microsoft YaHei" w:hAnsi="Times New Roman" w:cs="Times New Roman"/>
          <w:sz w:val="28"/>
          <w:szCs w:val="28"/>
        </w:rPr>
        <w:t>[41].</w:t>
      </w:r>
    </w:p>
    <w:p w14:paraId="321FFF84"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КНП «Консультативно-діагностичний центр №2»  забезпечує надання консультативно-діагностичної та лікувальної допомоги дорослому населенню та наступність в наданні медичної допомоги тим пацієнтам, що потребують </w:t>
      </w:r>
      <w:r>
        <w:rPr>
          <w:rFonts w:ascii="Times New Roman" w:eastAsia="Microsoft YaHei" w:hAnsi="Times New Roman" w:cs="Times New Roman"/>
          <w:sz w:val="28"/>
          <w:szCs w:val="28"/>
        </w:rPr>
        <w:lastRenderedPageBreak/>
        <w:t>спеціалізованого лікування, між іншими медичними закладами вторинного (спеціалізованого) та третинного (високоспеціалізованого) рівнів.</w:t>
      </w:r>
    </w:p>
    <w:p w14:paraId="321FFF85" w14:textId="77777777" w:rsidR="003C626E" w:rsidRDefault="001A5B20">
      <w:pPr>
        <w:tabs>
          <w:tab w:val="left" w:pos="1134"/>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Основні напрямки діяльності Центру:</w:t>
      </w:r>
    </w:p>
    <w:p w14:paraId="321FFF86" w14:textId="77777777" w:rsidR="003C626E" w:rsidRDefault="001A5B20">
      <w:pPr>
        <w:numPr>
          <w:ilvl w:val="0"/>
          <w:numId w:val="38"/>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проводить консультативно-діагностичний прийом хворих в амбулаторних відділеннях – для пацієнтів, що потребують лікування гострих захворювань, або у випадках загострення хронічних хвороб, або для тих, хто має хронічну патологію;</w:t>
      </w:r>
    </w:p>
    <w:p w14:paraId="321FFF87" w14:textId="77777777" w:rsidR="003C626E" w:rsidRDefault="001A5B20">
      <w:pPr>
        <w:numPr>
          <w:ilvl w:val="0"/>
          <w:numId w:val="38"/>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надає першу хірургічну, травматологічну медичну  допомогу;</w:t>
      </w:r>
    </w:p>
    <w:p w14:paraId="321FFF88" w14:textId="77777777" w:rsidR="003C626E" w:rsidRDefault="001A5B20">
      <w:pPr>
        <w:numPr>
          <w:ilvl w:val="0"/>
          <w:numId w:val="38"/>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має в своєму складі кардіологічний, лор, неврологічний, хірургічний, травматологічний кабінети та кабінет функціональної діагностики;</w:t>
      </w:r>
    </w:p>
    <w:p w14:paraId="321FFF89" w14:textId="77777777" w:rsidR="003C626E" w:rsidRDefault="001A5B20">
      <w:pPr>
        <w:numPr>
          <w:ilvl w:val="0"/>
          <w:numId w:val="38"/>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здійснює проведення первинних та періодичних обов’язкових медичних оглядів;</w:t>
      </w:r>
    </w:p>
    <w:p w14:paraId="321FFF8A" w14:textId="77777777" w:rsidR="003C626E" w:rsidRDefault="001A5B20">
      <w:pPr>
        <w:numPr>
          <w:ilvl w:val="0"/>
          <w:numId w:val="38"/>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надає консультативну  допомогу за потребою інших закладів;</w:t>
      </w:r>
    </w:p>
    <w:p w14:paraId="321FFF8B" w14:textId="77777777" w:rsidR="003C626E" w:rsidRDefault="001A5B20">
      <w:pPr>
        <w:numPr>
          <w:ilvl w:val="0"/>
          <w:numId w:val="38"/>
        </w:numPr>
        <w:tabs>
          <w:tab w:val="left" w:pos="709"/>
          <w:tab w:val="left" w:pos="993"/>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спрямовує пацієнтів до інших медичних закладів – у центри первинної медико-санітарної допомоги, а також у лікарні планового лікування або заклади відновної медицини. Якщо стан здоров’я хворого погіршується, відповідно до медичних показань, його направляють до лікарень інтенсивної терапії або до закладів третинного (високоспеціалізованого) рівня медичної допомоги</w:t>
      </w:r>
      <w:r>
        <w:rPr>
          <w:rFonts w:ascii="Microsoft YaHei" w:eastAsia="Microsoft YaHei" w:hAnsi="Microsoft YaHei" w:cs="Microsoft YaHei"/>
        </w:rPr>
        <w:t xml:space="preserve"> </w:t>
      </w:r>
      <w:r>
        <w:rPr>
          <w:rFonts w:ascii="Times New Roman" w:eastAsia="Microsoft YaHei" w:hAnsi="Times New Roman" w:cs="Times New Roman"/>
          <w:sz w:val="28"/>
          <w:szCs w:val="28"/>
        </w:rPr>
        <w:t>[41].</w:t>
      </w:r>
    </w:p>
    <w:p w14:paraId="321FFF8C" w14:textId="77777777" w:rsidR="003C626E" w:rsidRDefault="001A5B20">
      <w:pPr>
        <w:tabs>
          <w:tab w:val="left" w:pos="709"/>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«Консультативно-діагностичний центр № 2» має:</w:t>
      </w:r>
    </w:p>
    <w:p w14:paraId="321FFF8D" w14:textId="77777777" w:rsidR="003C626E" w:rsidRDefault="001A5B20">
      <w:pPr>
        <w:tabs>
          <w:tab w:val="left" w:pos="709"/>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клініко-діагностичну лабораторію, яка виконує загальноклінічні, біохімічні, імунологічні, бактеріологічні обстеження;</w:t>
      </w:r>
    </w:p>
    <w:p w14:paraId="321FFF8E" w14:textId="77777777" w:rsidR="003C626E" w:rsidRDefault="001A5B20">
      <w:pPr>
        <w:tabs>
          <w:tab w:val="left" w:pos="709"/>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рентгенологічне відділення;</w:t>
      </w:r>
    </w:p>
    <w:p w14:paraId="321FFF8F" w14:textId="77777777" w:rsidR="003C626E" w:rsidRDefault="001A5B20">
      <w:pPr>
        <w:tabs>
          <w:tab w:val="left" w:pos="709"/>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фізіотерапевтичне відділення.</w:t>
      </w:r>
    </w:p>
    <w:p w14:paraId="321FFF90" w14:textId="77777777" w:rsidR="003C626E" w:rsidRDefault="001A5B20">
      <w:pPr>
        <w:numPr>
          <w:ilvl w:val="0"/>
          <w:numId w:val="35"/>
        </w:numPr>
        <w:tabs>
          <w:tab w:val="left" w:pos="709"/>
          <w:tab w:val="left" w:pos="1134"/>
        </w:tabs>
        <w:spacing w:line="360" w:lineRule="auto"/>
        <w:ind w:left="0"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«Велике Будівництво» [41]</w:t>
      </w:r>
      <w:r>
        <w:rPr>
          <w:rFonts w:ascii="Times New Roman" w:eastAsia="Microsoft YaHei" w:hAnsi="Times New Roman" w:cs="Times New Roman"/>
          <w:sz w:val="28"/>
          <w:szCs w:val="28"/>
          <w:lang w:val="en-US"/>
        </w:rPr>
        <w:t>.</w:t>
      </w:r>
    </w:p>
    <w:p w14:paraId="321FFF91" w14:textId="77777777" w:rsidR="003C626E" w:rsidRDefault="001A5B20">
      <w:pPr>
        <w:tabs>
          <w:tab w:val="left" w:pos="709"/>
        </w:tabs>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КНП «МКЛ № 11» ОМР є кластерним закладом охорони здоров’я та опорною багатопрофільною лікарнею інтенсивного лікування, розрахованою на 525 ліжок, в їх складі функціонують 23 ліжка інтенсивної терапії. МКЛ № 11 в своїй діяльності та подальшому розвитку за основу приймає принципи формування спроможної мережі спеціалізованих медичних установ, в тому </w:t>
      </w:r>
      <w:r>
        <w:rPr>
          <w:rFonts w:ascii="Times New Roman" w:eastAsia="Microsoft YaHei" w:hAnsi="Times New Roman" w:cs="Times New Roman"/>
          <w:sz w:val="28"/>
          <w:szCs w:val="28"/>
        </w:rPr>
        <w:lastRenderedPageBreak/>
        <w:t>числі для надання допомоги під час надзвичайних ситуацій та масового надходження пацієнтів, постраждалих від військової агресії РФ проти України.</w:t>
      </w:r>
    </w:p>
    <w:p w14:paraId="321FFF92"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межах реалізації проекту Президента України «Велике Будівництво» проведено капітальний ремонт приміщень лікарні та відкрито відділення екстреної медичної допомоги, що включає травмпункт, кабінети рентгенографії, КТ та УЗД, ізолятор, ургентну операційну, медико-сортувальну та деконтамінаційну зони.</w:t>
      </w:r>
    </w:p>
    <w:p w14:paraId="321FFF93"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 програмою медичних гарантій закладом укладено договір із НСЗУ на надання допомоги при гострому інсульті, стаціонарної та хірургічної допомоги різної специфіки (політравма, абдомінальна і судинна хірургія, нейрохірургія, ендоскопія, гінекологія, хірургія одного дня), стаціонарної та амбулаторної реабілітаційної допомоги, а також підтримки мен6тального здоров’я населення [41]</w:t>
      </w:r>
      <w:r>
        <w:rPr>
          <w:rFonts w:ascii="Times New Roman" w:eastAsia="Microsoft YaHei" w:hAnsi="Times New Roman" w:cs="Times New Roman"/>
          <w:sz w:val="28"/>
          <w:szCs w:val="28"/>
          <w:lang w:val="en-US"/>
        </w:rPr>
        <w:t>.</w:t>
      </w:r>
    </w:p>
    <w:p w14:paraId="321FFF94"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Міська клінічна лікарня № 11 Одеської міської ради </w:t>
      </w:r>
      <w:r>
        <w:rPr>
          <w:rFonts w:ascii="Times New Roman" w:eastAsia="Microsoft YaHei" w:hAnsi="Times New Roman" w:cs="Times New Roman"/>
          <w:sz w:val="28"/>
          <w:szCs w:val="28"/>
          <w:lang w:val="en-US"/>
        </w:rPr>
        <w:t>-</w:t>
      </w:r>
      <w:r>
        <w:rPr>
          <w:rFonts w:ascii="Times New Roman" w:eastAsia="Microsoft YaHei" w:hAnsi="Times New Roman" w:cs="Times New Roman"/>
          <w:sz w:val="28"/>
          <w:szCs w:val="28"/>
        </w:rPr>
        <w:t xml:space="preserve"> заклад, який надає спеціалізовану та високоспеціалізовану медичну допомогу, відповідну міжнародним практикам і стандартам. В режимі 24/7 працює відділення екстреної медичної допомоги. Лікарня щороку приймає понад 115 000 пацієнтів. В структурі лікарні функціонують такі відділення, яких немає більше в жодному медичному закладі Одеського регіону – це відділення щелепно-лицьової хірургії, відділення гнійної травматології, відділення гнійно-септичної хірургії. В закладі є сучасна апаратура для малоінвазивних та високотехнологічних оперативних втручань травматологічного хірургічного профілю. Відділення забезпечені сучасними лапараскопічними стійками та С-арками.</w:t>
      </w:r>
    </w:p>
    <w:p w14:paraId="321FFF95"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Оперативне лікування в лікарні отримує близько 11 000 пацієнтів. Це ендопротезування, операбельна онкопатологія, щелепно-лицьова та реконструктивна хірургія. Новітнє обладнання суттєво розширило можливості лікарів. Лікарня отримала обладнання, яке дає можливість проводити ангіографічні дослідження серця, судин головного мозку і периферичних </w:t>
      </w:r>
      <w:r>
        <w:rPr>
          <w:rFonts w:ascii="Times New Roman" w:eastAsia="Microsoft YaHei" w:hAnsi="Times New Roman" w:cs="Times New Roman"/>
          <w:sz w:val="28"/>
          <w:szCs w:val="28"/>
        </w:rPr>
        <w:lastRenderedPageBreak/>
        <w:t xml:space="preserve">судин, а також проводити стентування та інші лікувальні процедури. </w:t>
      </w:r>
    </w:p>
    <w:p w14:paraId="321FFF96" w14:textId="12097CD4"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У рамках інфраструктурної реформи системи охорони здоров’я, яка стартувала в Україні у 2023 році, лікарня стала кластерною. Це означає, що пацієнти навіть із найвіддаленіших куточків регіону отримують доступ до якісної і безоплатної медичної допомоги. Медичний заклад в межах кластерної структури має філію - «Міський поло</w:t>
      </w:r>
      <w:r w:rsidR="00075447">
        <w:rPr>
          <w:rFonts w:ascii="Times New Roman" w:eastAsia="Microsoft YaHei" w:hAnsi="Times New Roman" w:cs="Times New Roman"/>
          <w:sz w:val="28"/>
          <w:szCs w:val="28"/>
        </w:rPr>
        <w:t>говий будинок № 1»</w:t>
      </w:r>
      <w:r>
        <w:rPr>
          <w:rFonts w:ascii="Times New Roman" w:eastAsia="Microsoft YaHei" w:hAnsi="Times New Roman" w:cs="Times New Roman"/>
          <w:sz w:val="28"/>
          <w:szCs w:val="28"/>
        </w:rPr>
        <w:t>.</w:t>
      </w:r>
    </w:p>
    <w:p w14:paraId="321FFF97"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Рентген-апарати лікарні дозволяють виконувати і звичайні дослідження, і спеціальні: внутрішньовенне контрастування головного мозку, органів грудної клітки та шлунково-кишкового тракту, кістково-суглобової системи. Деякі операції проводяться навіть без відкриття місця перелому, вони робляться закрито, під контролем ІОП. Операційна бригада працює у фартухах зі свинцем для безпеки при виконанні таких операцій. За допомогою рентгеноскопії в динаміці можна дивитися, як хірург склав перелом.</w:t>
      </w:r>
    </w:p>
    <w:p w14:paraId="321FFF98"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Наступний етап реформи - потужна мережа медичних закладів по всій Україні, лікарні зі знаком якості, які доступні та безоплатні для кожного пацієнта.</w:t>
      </w:r>
    </w:p>
    <w:p w14:paraId="321FFF99"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 </w:t>
      </w:r>
    </w:p>
    <w:p w14:paraId="321FFF9A" w14:textId="67056CB5" w:rsidR="003C626E" w:rsidRDefault="001A5B20">
      <w:pPr>
        <w:widowControl/>
        <w:tabs>
          <w:tab w:val="num" w:pos="2160"/>
        </w:tabs>
        <w:spacing w:line="360" w:lineRule="auto"/>
        <w:ind w:firstLine="709"/>
        <w:outlineLvl w:val="2"/>
        <w:rPr>
          <w:rFonts w:ascii="Times New Roman" w:eastAsia="Times New Roman" w:hAnsi="Times New Roman" w:cs="Times New Roman"/>
          <w:b/>
          <w:caps/>
          <w:color w:val="auto"/>
          <w:sz w:val="28"/>
          <w:szCs w:val="28"/>
          <w:lang w:eastAsia="ru-RU" w:bidi="ar-SA"/>
        </w:rPr>
      </w:pPr>
      <w:r>
        <w:rPr>
          <w:rFonts w:ascii="Times New Roman" w:eastAsia="Times New Roman" w:hAnsi="Times New Roman" w:cs="Times New Roman"/>
          <w:b/>
          <w:caps/>
          <w:color w:val="auto"/>
          <w:sz w:val="28"/>
          <w:szCs w:val="28"/>
          <w:lang w:eastAsia="ru-RU" w:bidi="ar-SA"/>
        </w:rPr>
        <w:t xml:space="preserve">2.2. </w:t>
      </w:r>
      <w:r>
        <w:rPr>
          <w:rFonts w:ascii="Times New Roman" w:eastAsia="Times New Roman" w:hAnsi="Times New Roman" w:cs="Times New Roman"/>
          <w:b/>
          <w:color w:val="auto"/>
          <w:sz w:val="28"/>
          <w:szCs w:val="28"/>
          <w:lang w:eastAsia="ru-RU" w:bidi="ar-SA"/>
        </w:rPr>
        <w:t xml:space="preserve">Аналіз та оцінка фінансового стану </w:t>
      </w:r>
      <w:r w:rsidR="001365B6">
        <w:rPr>
          <w:rFonts w:ascii="Times New Roman" w:eastAsia="Times New Roman" w:hAnsi="Times New Roman" w:cs="Times New Roman"/>
          <w:b/>
          <w:color w:val="auto"/>
          <w:sz w:val="28"/>
          <w:szCs w:val="28"/>
          <w:lang w:eastAsia="ru-RU" w:bidi="ar-SA"/>
        </w:rPr>
        <w:t>системи</w:t>
      </w:r>
      <w:r>
        <w:rPr>
          <w:rFonts w:ascii="Times New Roman" w:eastAsia="Times New Roman" w:hAnsi="Times New Roman" w:cs="Times New Roman"/>
          <w:b/>
          <w:color w:val="auto"/>
          <w:sz w:val="28"/>
          <w:szCs w:val="28"/>
          <w:lang w:eastAsia="ru-RU" w:bidi="ar-SA"/>
        </w:rPr>
        <w:t xml:space="preserve"> управління</w:t>
      </w:r>
      <w:r>
        <w:rPr>
          <w:rFonts w:ascii="Times New Roman" w:eastAsia="Times New Roman" w:hAnsi="Times New Roman" w:cs="Times New Roman"/>
          <w:b/>
          <w:caps/>
          <w:color w:val="auto"/>
          <w:sz w:val="28"/>
          <w:szCs w:val="28"/>
          <w:lang w:eastAsia="ru-RU" w:bidi="ar-SA"/>
        </w:rPr>
        <w:t xml:space="preserve"> КНП «М</w:t>
      </w:r>
      <w:r>
        <w:rPr>
          <w:rFonts w:ascii="Times New Roman" w:eastAsia="Times New Roman" w:hAnsi="Times New Roman" w:cs="Times New Roman"/>
          <w:b/>
          <w:color w:val="auto"/>
          <w:sz w:val="28"/>
          <w:szCs w:val="28"/>
          <w:lang w:eastAsia="ru-RU" w:bidi="ar-SA"/>
        </w:rPr>
        <w:t xml:space="preserve">іська клінічна лікарня </w:t>
      </w:r>
      <w:r>
        <w:rPr>
          <w:rFonts w:ascii="Times New Roman" w:eastAsia="Times New Roman" w:hAnsi="Times New Roman" w:cs="Times New Roman"/>
          <w:b/>
          <w:caps/>
          <w:color w:val="auto"/>
          <w:sz w:val="28"/>
          <w:szCs w:val="28"/>
          <w:lang w:eastAsia="ru-RU" w:bidi="ar-SA"/>
        </w:rPr>
        <w:t>№ 11» ОМР</w:t>
      </w:r>
    </w:p>
    <w:p w14:paraId="321FFF9B"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Calibri" w:hAnsi="Times New Roman" w:cs="Times New Roman"/>
          <w:color w:val="auto"/>
          <w:sz w:val="28"/>
          <w:szCs w:val="28"/>
          <w:lang w:eastAsia="en-US" w:bidi="ar-SA"/>
        </w:rPr>
        <w:t>Економічні та фінансові показники медичного закладу свідчать про ефективне управління та методи господарювання (таблиця 2.1)</w:t>
      </w:r>
      <w:r>
        <w:rPr>
          <w:rFonts w:ascii="Times New Roman" w:eastAsia="Times New Roman" w:hAnsi="Times New Roman" w:cs="Times New Roman"/>
          <w:color w:val="auto"/>
          <w:sz w:val="28"/>
          <w:szCs w:val="28"/>
          <w:lang w:eastAsia="ru-RU" w:bidi="ar-SA"/>
        </w:rPr>
        <w:t xml:space="preserve">. </w:t>
      </w:r>
    </w:p>
    <w:p w14:paraId="321FFF9C" w14:textId="77777777" w:rsidR="003C626E" w:rsidRDefault="001A5B20">
      <w:pPr>
        <w:spacing w:line="360" w:lineRule="auto"/>
        <w:ind w:firstLine="709"/>
        <w:jc w:val="right"/>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Таблиця 2.1</w:t>
      </w:r>
    </w:p>
    <w:p w14:paraId="321FFF9D" w14:textId="77777777" w:rsidR="003C626E" w:rsidRDefault="001A5B20">
      <w:pPr>
        <w:spacing w:line="360" w:lineRule="auto"/>
        <w:ind w:firstLine="709"/>
        <w:jc w:val="center"/>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b/>
          <w:color w:val="auto"/>
          <w:sz w:val="28"/>
          <w:szCs w:val="28"/>
          <w:lang w:eastAsia="ru-RU" w:bidi="ar-SA"/>
        </w:rPr>
        <w:t>Показники господарської діяльності</w:t>
      </w:r>
    </w:p>
    <w:p w14:paraId="321FFF9E" w14:textId="77777777" w:rsidR="003C626E" w:rsidRDefault="001A5B20">
      <w:pPr>
        <w:spacing w:line="360" w:lineRule="auto"/>
        <w:ind w:firstLine="709"/>
        <w:jc w:val="center"/>
        <w:rPr>
          <w:rFonts w:ascii="Times New Roman" w:eastAsia="Times New Roman" w:hAnsi="Times New Roman" w:cs="Times New Roman"/>
          <w:b/>
          <w:color w:val="auto"/>
          <w:sz w:val="28"/>
          <w:szCs w:val="28"/>
          <w:lang w:eastAsia="ru-RU" w:bidi="ar-SA"/>
        </w:rPr>
      </w:pPr>
      <w:r>
        <w:rPr>
          <w:rFonts w:ascii="Times New Roman" w:eastAsia="Calibri" w:hAnsi="Times New Roman" w:cs="Times New Roman"/>
          <w:b/>
          <w:color w:val="auto"/>
          <w:sz w:val="28"/>
          <w:szCs w:val="28"/>
          <w:lang w:eastAsia="en-US" w:bidi="ar-SA"/>
        </w:rPr>
        <w:t>КНП «МКЛ №11» OMP за 2021 – 2023</w:t>
      </w:r>
    </w:p>
    <w:tbl>
      <w:tblPr>
        <w:tblStyle w:val="110"/>
        <w:tblW w:w="9345" w:type="dxa"/>
        <w:tblLook w:val="04A0" w:firstRow="1" w:lastRow="0" w:firstColumn="1" w:lastColumn="0" w:noHBand="0" w:noVBand="1"/>
      </w:tblPr>
      <w:tblGrid>
        <w:gridCol w:w="492"/>
        <w:gridCol w:w="1742"/>
        <w:gridCol w:w="1416"/>
        <w:gridCol w:w="1416"/>
        <w:gridCol w:w="1535"/>
        <w:gridCol w:w="1416"/>
        <w:gridCol w:w="1328"/>
      </w:tblGrid>
      <w:tr w:rsidR="003C626E" w14:paraId="321FFFAC" w14:textId="77777777">
        <w:tc>
          <w:tcPr>
            <w:tcW w:w="492" w:type="dxa"/>
            <w:shd w:val="clear" w:color="auto" w:fill="DDD9C3" w:themeFill="background2" w:themeFillShade="E6"/>
          </w:tcPr>
          <w:p w14:paraId="321FFF9F" w14:textId="77777777" w:rsidR="003C626E" w:rsidRDefault="001A5B20">
            <w:pPr>
              <w:widowControl/>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w:t>
            </w:r>
          </w:p>
        </w:tc>
        <w:tc>
          <w:tcPr>
            <w:tcW w:w="1742" w:type="dxa"/>
            <w:shd w:val="clear" w:color="auto" w:fill="DDD9C3" w:themeFill="background2" w:themeFillShade="E6"/>
          </w:tcPr>
          <w:p w14:paraId="321FFFA0" w14:textId="77777777" w:rsidR="003C626E" w:rsidRDefault="001A5B20">
            <w:pPr>
              <w:jc w:val="center"/>
              <w:rPr>
                <w:rFonts w:ascii="Times New Roman" w:eastAsia="Times New Roman" w:hAnsi="Times New Roman" w:cs="Times New Roman"/>
                <w:i/>
                <w:color w:val="auto"/>
                <w:lang w:val="ru-RU" w:eastAsia="ru-RU" w:bidi="ar-SA"/>
              </w:rPr>
            </w:pPr>
            <w:r>
              <w:rPr>
                <w:rFonts w:ascii="Times New Roman" w:eastAsia="Times New Roman" w:hAnsi="Times New Roman" w:cs="Times New Roman"/>
                <w:color w:val="auto"/>
                <w:lang w:val="ru-RU" w:eastAsia="ru-RU" w:bidi="ar-SA"/>
              </w:rPr>
              <w:t>Показники господарської діяльності</w:t>
            </w:r>
          </w:p>
        </w:tc>
        <w:tc>
          <w:tcPr>
            <w:tcW w:w="1416" w:type="dxa"/>
            <w:shd w:val="clear" w:color="auto" w:fill="DDD9C3" w:themeFill="background2" w:themeFillShade="E6"/>
            <w:vAlign w:val="center"/>
          </w:tcPr>
          <w:p w14:paraId="321FFFA1" w14:textId="77777777" w:rsidR="003C626E" w:rsidRDefault="001A5B20">
            <w:pPr>
              <w:widowControl/>
              <w:jc w:val="center"/>
              <w:rPr>
                <w:rFonts w:ascii="Times New Roman" w:eastAsia="Times New Roman" w:hAnsi="Times New Roman" w:cs="Times New Roman"/>
                <w:i/>
                <w:color w:val="auto"/>
                <w:lang w:val="ru-RU" w:eastAsia="ru-RU" w:bidi="ar-SA"/>
              </w:rPr>
            </w:pPr>
            <w:r>
              <w:rPr>
                <w:rFonts w:ascii="Times New Roman" w:eastAsia="Times New Roman" w:hAnsi="Times New Roman" w:cs="Times New Roman"/>
                <w:i/>
                <w:color w:val="auto"/>
                <w:lang w:val="ru-RU" w:eastAsia="ru-RU" w:bidi="ar-SA"/>
              </w:rPr>
              <w:t>2020</w:t>
            </w:r>
          </w:p>
        </w:tc>
        <w:tc>
          <w:tcPr>
            <w:tcW w:w="1416" w:type="dxa"/>
            <w:shd w:val="clear" w:color="auto" w:fill="DDD9C3" w:themeFill="background2" w:themeFillShade="E6"/>
            <w:vAlign w:val="center"/>
          </w:tcPr>
          <w:p w14:paraId="321FFFA2" w14:textId="77777777" w:rsidR="003C626E" w:rsidRDefault="003C626E">
            <w:pPr>
              <w:widowControl/>
              <w:jc w:val="center"/>
              <w:rPr>
                <w:rFonts w:ascii="Times New Roman" w:eastAsia="Times New Roman" w:hAnsi="Times New Roman" w:cs="Times New Roman"/>
                <w:i/>
                <w:color w:val="auto"/>
                <w:lang w:val="ru-RU" w:eastAsia="ru-RU" w:bidi="ar-SA"/>
              </w:rPr>
            </w:pPr>
          </w:p>
          <w:p w14:paraId="321FFFA3" w14:textId="77777777" w:rsidR="003C626E" w:rsidRDefault="001A5B20">
            <w:pPr>
              <w:widowControl/>
              <w:jc w:val="center"/>
              <w:rPr>
                <w:rFonts w:ascii="Times New Roman" w:eastAsia="Times New Roman" w:hAnsi="Times New Roman" w:cs="Times New Roman"/>
                <w:i/>
                <w:color w:val="auto"/>
                <w:lang w:val="ru-RU" w:eastAsia="ru-RU" w:bidi="ar-SA"/>
              </w:rPr>
            </w:pPr>
            <w:r>
              <w:rPr>
                <w:rFonts w:ascii="Times New Roman" w:eastAsia="Times New Roman" w:hAnsi="Times New Roman" w:cs="Times New Roman"/>
                <w:i/>
                <w:color w:val="auto"/>
                <w:lang w:val="ru-RU" w:eastAsia="ru-RU" w:bidi="ar-SA"/>
              </w:rPr>
              <w:t>2021</w:t>
            </w:r>
          </w:p>
          <w:p w14:paraId="321FFFA4" w14:textId="77777777" w:rsidR="003C626E" w:rsidRDefault="003C626E">
            <w:pPr>
              <w:widowControl/>
              <w:jc w:val="center"/>
              <w:rPr>
                <w:rFonts w:ascii="Times New Roman" w:eastAsia="Times New Roman" w:hAnsi="Times New Roman" w:cs="Times New Roman"/>
                <w:i/>
                <w:color w:val="auto"/>
                <w:lang w:val="ru-RU" w:eastAsia="ru-RU" w:bidi="ar-SA"/>
              </w:rPr>
            </w:pPr>
          </w:p>
        </w:tc>
        <w:tc>
          <w:tcPr>
            <w:tcW w:w="1535" w:type="dxa"/>
            <w:shd w:val="clear" w:color="auto" w:fill="DDD9C3" w:themeFill="background2" w:themeFillShade="E6"/>
            <w:vAlign w:val="center"/>
          </w:tcPr>
          <w:p w14:paraId="321FFFA5" w14:textId="77777777" w:rsidR="003C626E" w:rsidRDefault="003C626E">
            <w:pPr>
              <w:widowControl/>
              <w:jc w:val="center"/>
              <w:rPr>
                <w:rFonts w:ascii="Times New Roman" w:eastAsia="Times New Roman" w:hAnsi="Times New Roman" w:cs="Times New Roman"/>
                <w:i/>
                <w:color w:val="auto"/>
                <w:lang w:val="ru-RU" w:eastAsia="ru-RU" w:bidi="ar-SA"/>
              </w:rPr>
            </w:pPr>
          </w:p>
          <w:p w14:paraId="321FFFA6" w14:textId="77777777" w:rsidR="003C626E" w:rsidRDefault="001A5B20">
            <w:pPr>
              <w:widowControl/>
              <w:jc w:val="center"/>
              <w:rPr>
                <w:rFonts w:ascii="Times New Roman" w:eastAsia="Times New Roman" w:hAnsi="Times New Roman" w:cs="Times New Roman"/>
                <w:i/>
                <w:color w:val="auto"/>
                <w:lang w:val="ru-RU" w:eastAsia="ru-RU" w:bidi="ar-SA"/>
              </w:rPr>
            </w:pPr>
            <w:r>
              <w:rPr>
                <w:rFonts w:ascii="Times New Roman" w:eastAsia="Times New Roman" w:hAnsi="Times New Roman" w:cs="Times New Roman"/>
                <w:i/>
                <w:color w:val="auto"/>
                <w:lang w:val="ru-RU" w:eastAsia="ru-RU" w:bidi="ar-SA"/>
              </w:rPr>
              <w:t>2022</w:t>
            </w:r>
          </w:p>
          <w:p w14:paraId="321FFFA7" w14:textId="77777777" w:rsidR="003C626E" w:rsidRDefault="003C626E">
            <w:pPr>
              <w:widowControl/>
              <w:jc w:val="center"/>
              <w:rPr>
                <w:rFonts w:ascii="Times New Roman" w:eastAsia="Times New Roman" w:hAnsi="Times New Roman" w:cs="Times New Roman"/>
                <w:i/>
                <w:color w:val="auto"/>
                <w:lang w:val="ru-RU" w:eastAsia="ru-RU" w:bidi="ar-SA"/>
              </w:rPr>
            </w:pPr>
          </w:p>
        </w:tc>
        <w:tc>
          <w:tcPr>
            <w:tcW w:w="1416" w:type="dxa"/>
            <w:shd w:val="clear" w:color="auto" w:fill="DDD9C3" w:themeFill="background2" w:themeFillShade="E6"/>
            <w:vAlign w:val="center"/>
          </w:tcPr>
          <w:p w14:paraId="321FFFA8" w14:textId="77777777" w:rsidR="003C626E" w:rsidRDefault="003C626E">
            <w:pPr>
              <w:widowControl/>
              <w:jc w:val="center"/>
              <w:rPr>
                <w:rFonts w:ascii="Times New Roman" w:eastAsia="Times New Roman" w:hAnsi="Times New Roman" w:cs="Times New Roman"/>
                <w:i/>
                <w:color w:val="auto"/>
                <w:lang w:val="ru-RU" w:eastAsia="ru-RU" w:bidi="ar-SA"/>
              </w:rPr>
            </w:pPr>
          </w:p>
          <w:p w14:paraId="321FFFA9" w14:textId="77777777" w:rsidR="003C626E" w:rsidRDefault="001A5B20">
            <w:pPr>
              <w:widowControl/>
              <w:jc w:val="center"/>
              <w:rPr>
                <w:rFonts w:ascii="Times New Roman" w:eastAsia="Times New Roman" w:hAnsi="Times New Roman" w:cs="Times New Roman"/>
                <w:i/>
                <w:color w:val="auto"/>
                <w:lang w:val="ru-RU" w:eastAsia="ru-RU" w:bidi="ar-SA"/>
              </w:rPr>
            </w:pPr>
            <w:r>
              <w:rPr>
                <w:rFonts w:ascii="Times New Roman" w:eastAsia="Times New Roman" w:hAnsi="Times New Roman" w:cs="Times New Roman"/>
                <w:i/>
                <w:color w:val="auto"/>
                <w:lang w:val="ru-RU" w:eastAsia="ru-RU" w:bidi="ar-SA"/>
              </w:rPr>
              <w:t>2023</w:t>
            </w:r>
          </w:p>
          <w:p w14:paraId="321FFFAA" w14:textId="77777777" w:rsidR="003C626E" w:rsidRDefault="003C626E">
            <w:pPr>
              <w:widowControl/>
              <w:jc w:val="center"/>
              <w:rPr>
                <w:rFonts w:ascii="Times New Roman" w:eastAsia="Times New Roman" w:hAnsi="Times New Roman" w:cs="Times New Roman"/>
                <w:i/>
                <w:color w:val="auto"/>
                <w:lang w:val="ru-RU" w:eastAsia="ru-RU" w:bidi="ar-SA"/>
              </w:rPr>
            </w:pPr>
          </w:p>
        </w:tc>
        <w:tc>
          <w:tcPr>
            <w:tcW w:w="1328" w:type="dxa"/>
            <w:shd w:val="clear" w:color="auto" w:fill="DDD9C3" w:themeFill="background2" w:themeFillShade="E6"/>
            <w:vAlign w:val="center"/>
          </w:tcPr>
          <w:p w14:paraId="321FFFAB" w14:textId="77777777" w:rsidR="003C626E" w:rsidRDefault="001A5B20">
            <w:pPr>
              <w:widowControl/>
              <w:jc w:val="center"/>
              <w:rPr>
                <w:rFonts w:ascii="Times New Roman" w:eastAsia="Times New Roman" w:hAnsi="Times New Roman" w:cs="Times New Roman"/>
                <w:i/>
                <w:color w:val="auto"/>
                <w:lang w:val="ru-RU" w:eastAsia="ru-RU" w:bidi="ar-SA"/>
              </w:rPr>
            </w:pPr>
            <w:r>
              <w:rPr>
                <w:rFonts w:ascii="Times New Roman" w:eastAsia="Times New Roman" w:hAnsi="Times New Roman" w:cs="Times New Roman"/>
                <w:i/>
                <w:color w:val="auto"/>
                <w:lang w:val="ru-RU" w:eastAsia="ru-RU" w:bidi="ar-SA"/>
              </w:rPr>
              <w:t>2024</w:t>
            </w:r>
          </w:p>
        </w:tc>
      </w:tr>
      <w:tr w:rsidR="003C626E" w14:paraId="321FFFB4" w14:textId="77777777">
        <w:tc>
          <w:tcPr>
            <w:tcW w:w="492" w:type="dxa"/>
            <w:shd w:val="clear" w:color="auto" w:fill="DDD9C3" w:themeFill="background2" w:themeFillShade="E6"/>
            <w:vAlign w:val="center"/>
          </w:tcPr>
          <w:p w14:paraId="321FFFAD" w14:textId="77777777" w:rsidR="003C626E" w:rsidRDefault="001A5B20">
            <w:pPr>
              <w:widowControl/>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w:t>
            </w:r>
          </w:p>
        </w:tc>
        <w:tc>
          <w:tcPr>
            <w:tcW w:w="1742" w:type="dxa"/>
            <w:shd w:val="clear" w:color="auto" w:fill="E5DFEC" w:themeFill="accent4" w:themeFillTint="33"/>
          </w:tcPr>
          <w:p w14:paraId="321FFFAE" w14:textId="77777777" w:rsidR="003C626E" w:rsidRDefault="001A5B20">
            <w:pPr>
              <w:widowControl/>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Дохід</w:t>
            </w:r>
          </w:p>
        </w:tc>
        <w:tc>
          <w:tcPr>
            <w:tcW w:w="1416" w:type="dxa"/>
            <w:shd w:val="clear" w:color="auto" w:fill="FDE9D9" w:themeFill="accent6" w:themeFillTint="33"/>
            <w:vAlign w:val="center"/>
          </w:tcPr>
          <w:p w14:paraId="321FFFAF"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159 449 500</w:t>
            </w:r>
          </w:p>
        </w:tc>
        <w:tc>
          <w:tcPr>
            <w:tcW w:w="1416" w:type="dxa"/>
            <w:shd w:val="clear" w:color="auto" w:fill="FDE9D9" w:themeFill="accent6" w:themeFillTint="33"/>
            <w:vAlign w:val="center"/>
          </w:tcPr>
          <w:p w14:paraId="321FFFB0"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175 375 400</w:t>
            </w:r>
          </w:p>
        </w:tc>
        <w:tc>
          <w:tcPr>
            <w:tcW w:w="1535" w:type="dxa"/>
            <w:shd w:val="clear" w:color="auto" w:fill="FDE9D9" w:themeFill="accent6" w:themeFillTint="33"/>
            <w:vAlign w:val="center"/>
          </w:tcPr>
          <w:p w14:paraId="321FFFB1"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225 046 200</w:t>
            </w:r>
          </w:p>
        </w:tc>
        <w:tc>
          <w:tcPr>
            <w:tcW w:w="1416" w:type="dxa"/>
            <w:shd w:val="clear" w:color="auto" w:fill="FDE9D9" w:themeFill="accent6" w:themeFillTint="33"/>
            <w:vAlign w:val="center"/>
          </w:tcPr>
          <w:p w14:paraId="321FFFB2"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249 239 000</w:t>
            </w:r>
          </w:p>
        </w:tc>
        <w:tc>
          <w:tcPr>
            <w:tcW w:w="1328" w:type="dxa"/>
            <w:shd w:val="clear" w:color="auto" w:fill="FDE9D9" w:themeFill="accent6" w:themeFillTint="33"/>
            <w:vAlign w:val="center"/>
          </w:tcPr>
          <w:p w14:paraId="321FFFB3" w14:textId="77777777" w:rsidR="003C626E" w:rsidRDefault="001A5B20">
            <w:pPr>
              <w:widowControl/>
              <w:ind w:left="-162"/>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363 416</w:t>
            </w:r>
          </w:p>
        </w:tc>
      </w:tr>
      <w:tr w:rsidR="003C626E" w14:paraId="321FFFBC" w14:textId="77777777">
        <w:tc>
          <w:tcPr>
            <w:tcW w:w="492" w:type="dxa"/>
            <w:shd w:val="clear" w:color="auto" w:fill="DDD9C3" w:themeFill="background2" w:themeFillShade="E6"/>
            <w:vAlign w:val="center"/>
          </w:tcPr>
          <w:p w14:paraId="321FFFB5" w14:textId="77777777" w:rsidR="003C626E" w:rsidRDefault="001A5B20">
            <w:pPr>
              <w:widowControl/>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w:t>
            </w:r>
          </w:p>
        </w:tc>
        <w:tc>
          <w:tcPr>
            <w:tcW w:w="1742" w:type="dxa"/>
            <w:shd w:val="clear" w:color="auto" w:fill="E5DFEC" w:themeFill="accent4" w:themeFillTint="33"/>
          </w:tcPr>
          <w:p w14:paraId="321FFFB6" w14:textId="77777777" w:rsidR="003C626E" w:rsidRDefault="001A5B20">
            <w:pPr>
              <w:widowControl/>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Чистий прибуток</w:t>
            </w:r>
          </w:p>
        </w:tc>
        <w:tc>
          <w:tcPr>
            <w:tcW w:w="1416" w:type="dxa"/>
            <w:shd w:val="clear" w:color="auto" w:fill="FDE9D9" w:themeFill="accent6" w:themeFillTint="33"/>
            <w:vAlign w:val="center"/>
          </w:tcPr>
          <w:p w14:paraId="321FFFB7"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31 966 100</w:t>
            </w:r>
          </w:p>
        </w:tc>
        <w:tc>
          <w:tcPr>
            <w:tcW w:w="1416" w:type="dxa"/>
            <w:shd w:val="clear" w:color="auto" w:fill="FDE9D9" w:themeFill="accent6" w:themeFillTint="33"/>
            <w:vAlign w:val="center"/>
          </w:tcPr>
          <w:p w14:paraId="321FFFB8"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-588 200 </w:t>
            </w:r>
          </w:p>
        </w:tc>
        <w:tc>
          <w:tcPr>
            <w:tcW w:w="1535" w:type="dxa"/>
            <w:shd w:val="clear" w:color="auto" w:fill="FDE9D9" w:themeFill="accent6" w:themeFillTint="33"/>
            <w:vAlign w:val="center"/>
          </w:tcPr>
          <w:p w14:paraId="321FFFB9"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11 914 800</w:t>
            </w:r>
          </w:p>
        </w:tc>
        <w:tc>
          <w:tcPr>
            <w:tcW w:w="1416" w:type="dxa"/>
            <w:shd w:val="clear" w:color="auto" w:fill="FDE9D9" w:themeFill="accent6" w:themeFillTint="33"/>
            <w:vAlign w:val="center"/>
          </w:tcPr>
          <w:p w14:paraId="321FFFBA"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33 733 000</w:t>
            </w:r>
          </w:p>
        </w:tc>
        <w:tc>
          <w:tcPr>
            <w:tcW w:w="1328" w:type="dxa"/>
            <w:shd w:val="clear" w:color="auto" w:fill="FDE9D9" w:themeFill="accent6" w:themeFillTint="33"/>
            <w:vAlign w:val="center"/>
          </w:tcPr>
          <w:p w14:paraId="321FFFBB" w14:textId="77777777" w:rsidR="003C626E" w:rsidRDefault="001A5B20">
            <w:pPr>
              <w:widowControl/>
              <w:ind w:left="-162"/>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44 113</w:t>
            </w:r>
          </w:p>
        </w:tc>
      </w:tr>
      <w:tr w:rsidR="003C626E" w14:paraId="321FFFC4" w14:textId="77777777">
        <w:tc>
          <w:tcPr>
            <w:tcW w:w="492" w:type="dxa"/>
            <w:shd w:val="clear" w:color="auto" w:fill="DDD9C3" w:themeFill="background2" w:themeFillShade="E6"/>
            <w:vAlign w:val="center"/>
          </w:tcPr>
          <w:p w14:paraId="321FFFBD" w14:textId="77777777" w:rsidR="003C626E" w:rsidRDefault="001A5B20">
            <w:pPr>
              <w:widowControl/>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3</w:t>
            </w:r>
          </w:p>
        </w:tc>
        <w:tc>
          <w:tcPr>
            <w:tcW w:w="1742" w:type="dxa"/>
            <w:shd w:val="clear" w:color="auto" w:fill="E5DFEC" w:themeFill="accent4" w:themeFillTint="33"/>
          </w:tcPr>
          <w:p w14:paraId="321FFFBE" w14:textId="77777777" w:rsidR="003C626E" w:rsidRDefault="001A5B20">
            <w:pPr>
              <w:widowControl/>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Активи</w:t>
            </w:r>
          </w:p>
        </w:tc>
        <w:tc>
          <w:tcPr>
            <w:tcW w:w="1416" w:type="dxa"/>
            <w:shd w:val="clear" w:color="auto" w:fill="FDE9D9" w:themeFill="accent6" w:themeFillTint="33"/>
            <w:vAlign w:val="center"/>
          </w:tcPr>
          <w:p w14:paraId="321FFFBF"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121 275 000</w:t>
            </w:r>
          </w:p>
        </w:tc>
        <w:tc>
          <w:tcPr>
            <w:tcW w:w="1416" w:type="dxa"/>
            <w:shd w:val="clear" w:color="auto" w:fill="FDE9D9" w:themeFill="accent6" w:themeFillTint="33"/>
            <w:vAlign w:val="center"/>
          </w:tcPr>
          <w:p w14:paraId="321FFFC0"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225 503 000</w:t>
            </w:r>
          </w:p>
        </w:tc>
        <w:tc>
          <w:tcPr>
            <w:tcW w:w="1535" w:type="dxa"/>
            <w:shd w:val="clear" w:color="auto" w:fill="FDE9D9" w:themeFill="accent6" w:themeFillTint="33"/>
            <w:vAlign w:val="center"/>
          </w:tcPr>
          <w:p w14:paraId="321FFFC1"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295 068 200</w:t>
            </w:r>
          </w:p>
        </w:tc>
        <w:tc>
          <w:tcPr>
            <w:tcW w:w="1416" w:type="dxa"/>
            <w:shd w:val="clear" w:color="auto" w:fill="FDE9D9" w:themeFill="accent6" w:themeFillTint="33"/>
            <w:vAlign w:val="center"/>
          </w:tcPr>
          <w:p w14:paraId="321FFFC2"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399 688 000</w:t>
            </w:r>
          </w:p>
        </w:tc>
        <w:tc>
          <w:tcPr>
            <w:tcW w:w="1328" w:type="dxa"/>
            <w:shd w:val="clear" w:color="auto" w:fill="FDE9D9" w:themeFill="accent6" w:themeFillTint="33"/>
            <w:vAlign w:val="center"/>
          </w:tcPr>
          <w:p w14:paraId="321FFFC3" w14:textId="77777777" w:rsidR="003C626E" w:rsidRDefault="001A5B20">
            <w:pPr>
              <w:widowControl/>
              <w:ind w:left="-162"/>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537 641 000</w:t>
            </w:r>
          </w:p>
        </w:tc>
      </w:tr>
      <w:tr w:rsidR="003C626E" w14:paraId="321FFFCC" w14:textId="77777777">
        <w:tc>
          <w:tcPr>
            <w:tcW w:w="492" w:type="dxa"/>
            <w:shd w:val="clear" w:color="auto" w:fill="DDD9C3" w:themeFill="background2" w:themeFillShade="E6"/>
            <w:vAlign w:val="center"/>
          </w:tcPr>
          <w:p w14:paraId="321FFFC5" w14:textId="77777777" w:rsidR="003C626E" w:rsidRDefault="001A5B20">
            <w:pPr>
              <w:widowControl/>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4</w:t>
            </w:r>
          </w:p>
        </w:tc>
        <w:tc>
          <w:tcPr>
            <w:tcW w:w="1742" w:type="dxa"/>
            <w:shd w:val="clear" w:color="auto" w:fill="E5DFEC" w:themeFill="accent4" w:themeFillTint="33"/>
          </w:tcPr>
          <w:p w14:paraId="321FFFC6" w14:textId="77777777" w:rsidR="003C626E" w:rsidRDefault="001A5B20">
            <w:pPr>
              <w:widowControl/>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Зобов’язання</w:t>
            </w:r>
          </w:p>
        </w:tc>
        <w:tc>
          <w:tcPr>
            <w:tcW w:w="1416" w:type="dxa"/>
            <w:shd w:val="clear" w:color="auto" w:fill="FDE9D9" w:themeFill="accent6" w:themeFillTint="33"/>
            <w:vAlign w:val="center"/>
          </w:tcPr>
          <w:p w14:paraId="321FFFC7"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42 787 900</w:t>
            </w:r>
          </w:p>
        </w:tc>
        <w:tc>
          <w:tcPr>
            <w:tcW w:w="1416" w:type="dxa"/>
            <w:shd w:val="clear" w:color="auto" w:fill="FDE9D9" w:themeFill="accent6" w:themeFillTint="33"/>
            <w:vAlign w:val="center"/>
          </w:tcPr>
          <w:p w14:paraId="321FFFC8"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127 386 900</w:t>
            </w:r>
          </w:p>
        </w:tc>
        <w:tc>
          <w:tcPr>
            <w:tcW w:w="1535" w:type="dxa"/>
            <w:shd w:val="clear" w:color="auto" w:fill="FDE9D9" w:themeFill="accent6" w:themeFillTint="33"/>
            <w:vAlign w:val="center"/>
          </w:tcPr>
          <w:p w14:paraId="321FFFC9"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125 031 800</w:t>
            </w:r>
          </w:p>
        </w:tc>
        <w:tc>
          <w:tcPr>
            <w:tcW w:w="1416" w:type="dxa"/>
            <w:shd w:val="clear" w:color="auto" w:fill="FDE9D9" w:themeFill="accent6" w:themeFillTint="33"/>
            <w:vAlign w:val="center"/>
          </w:tcPr>
          <w:p w14:paraId="321FFFCA"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162 965 000</w:t>
            </w:r>
          </w:p>
        </w:tc>
        <w:tc>
          <w:tcPr>
            <w:tcW w:w="1328" w:type="dxa"/>
            <w:shd w:val="clear" w:color="auto" w:fill="FDE9D9" w:themeFill="accent6" w:themeFillTint="33"/>
            <w:vAlign w:val="center"/>
          </w:tcPr>
          <w:p w14:paraId="321FFFCB" w14:textId="77777777" w:rsidR="003C626E" w:rsidRDefault="001A5B20">
            <w:pPr>
              <w:widowControl/>
              <w:ind w:left="-162"/>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233 842 000</w:t>
            </w:r>
          </w:p>
        </w:tc>
      </w:tr>
    </w:tbl>
    <w:p w14:paraId="321FFFCD" w14:textId="77777777" w:rsidR="003C626E" w:rsidRDefault="003C626E">
      <w:pPr>
        <w:rPr>
          <w:rFonts w:ascii="Microsoft YaHei" w:eastAsia="Microsoft YaHei" w:hAnsi="Microsoft YaHei" w:cs="Microsoft YaHei"/>
        </w:rPr>
      </w:pPr>
    </w:p>
    <w:p w14:paraId="321FFFCE" w14:textId="77777777" w:rsidR="003C626E" w:rsidRDefault="001A5B20">
      <w:pPr>
        <w:jc w:val="right"/>
        <w:rPr>
          <w:rFonts w:ascii="Times New Roman" w:eastAsia="Microsoft YaHei" w:hAnsi="Times New Roman" w:cs="Times New Roman"/>
        </w:rPr>
      </w:pPr>
      <w:r>
        <w:rPr>
          <w:rFonts w:ascii="Times New Roman" w:eastAsia="Microsoft YaHei" w:hAnsi="Times New Roman" w:cs="Times New Roman"/>
          <w:sz w:val="28"/>
          <w:szCs w:val="28"/>
        </w:rPr>
        <w:lastRenderedPageBreak/>
        <w:t>Продовження таблиці 2.1</w:t>
      </w:r>
    </w:p>
    <w:tbl>
      <w:tblPr>
        <w:tblStyle w:val="110"/>
        <w:tblW w:w="9345" w:type="dxa"/>
        <w:tblLook w:val="04A0" w:firstRow="1" w:lastRow="0" w:firstColumn="1" w:lastColumn="0" w:noHBand="0" w:noVBand="1"/>
      </w:tblPr>
      <w:tblGrid>
        <w:gridCol w:w="492"/>
        <w:gridCol w:w="1742"/>
        <w:gridCol w:w="1416"/>
        <w:gridCol w:w="1416"/>
        <w:gridCol w:w="1535"/>
        <w:gridCol w:w="1416"/>
        <w:gridCol w:w="1328"/>
      </w:tblGrid>
      <w:tr w:rsidR="003C626E" w14:paraId="321FFFD6" w14:textId="77777777">
        <w:tc>
          <w:tcPr>
            <w:tcW w:w="492" w:type="dxa"/>
            <w:shd w:val="clear" w:color="auto" w:fill="DDD9C3" w:themeFill="background2" w:themeFillShade="E6"/>
            <w:vAlign w:val="center"/>
          </w:tcPr>
          <w:p w14:paraId="321FFFCF" w14:textId="77777777" w:rsidR="003C626E" w:rsidRDefault="001A5B20">
            <w:pPr>
              <w:widowControl/>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5</w:t>
            </w:r>
          </w:p>
        </w:tc>
        <w:tc>
          <w:tcPr>
            <w:tcW w:w="1742" w:type="dxa"/>
            <w:shd w:val="clear" w:color="auto" w:fill="E5DFEC" w:themeFill="accent4" w:themeFillTint="33"/>
          </w:tcPr>
          <w:p w14:paraId="321FFFD0" w14:textId="77777777" w:rsidR="003C626E" w:rsidRDefault="001A5B20">
            <w:pPr>
              <w:widowControl/>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Середня зарплата до оподаткування</w:t>
            </w:r>
          </w:p>
        </w:tc>
        <w:tc>
          <w:tcPr>
            <w:tcW w:w="1416" w:type="dxa"/>
            <w:shd w:val="clear" w:color="auto" w:fill="FDE9D9" w:themeFill="accent6" w:themeFillTint="33"/>
            <w:vAlign w:val="center"/>
          </w:tcPr>
          <w:p w14:paraId="321FFFD1"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w:t>
            </w:r>
          </w:p>
        </w:tc>
        <w:tc>
          <w:tcPr>
            <w:tcW w:w="1416" w:type="dxa"/>
            <w:shd w:val="clear" w:color="auto" w:fill="FDE9D9" w:themeFill="accent6" w:themeFillTint="33"/>
            <w:vAlign w:val="center"/>
          </w:tcPr>
          <w:p w14:paraId="321FFFD2" w14:textId="77777777" w:rsidR="003C626E" w:rsidRDefault="001A5B20">
            <w:pPr>
              <w:widowControl/>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sz w:val="20"/>
                <w:szCs w:val="20"/>
                <w:lang w:val="ru-RU" w:eastAsia="ru-RU" w:bidi="ar-SA"/>
              </w:rPr>
              <w:t>*</w:t>
            </w:r>
          </w:p>
        </w:tc>
        <w:tc>
          <w:tcPr>
            <w:tcW w:w="1535" w:type="dxa"/>
            <w:shd w:val="clear" w:color="auto" w:fill="FDE9D9" w:themeFill="accent6" w:themeFillTint="33"/>
            <w:vAlign w:val="center"/>
          </w:tcPr>
          <w:p w14:paraId="321FFFD3" w14:textId="77777777" w:rsidR="003C626E" w:rsidRDefault="001A5B20">
            <w:pPr>
              <w:widowControl/>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sz w:val="20"/>
                <w:szCs w:val="20"/>
                <w:lang w:val="ru-RU" w:eastAsia="ru-RU" w:bidi="ar-SA"/>
              </w:rPr>
              <w:t>*</w:t>
            </w:r>
          </w:p>
        </w:tc>
        <w:tc>
          <w:tcPr>
            <w:tcW w:w="1416" w:type="dxa"/>
            <w:shd w:val="clear" w:color="auto" w:fill="FDE9D9" w:themeFill="accent6" w:themeFillTint="33"/>
            <w:vAlign w:val="center"/>
          </w:tcPr>
          <w:p w14:paraId="321FFFD4"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13730</w:t>
            </w:r>
          </w:p>
        </w:tc>
        <w:tc>
          <w:tcPr>
            <w:tcW w:w="1328" w:type="dxa"/>
            <w:shd w:val="clear" w:color="auto" w:fill="FDE9D9" w:themeFill="accent6" w:themeFillTint="33"/>
            <w:vAlign w:val="center"/>
          </w:tcPr>
          <w:p w14:paraId="321FFFD5" w14:textId="77777777" w:rsidR="003C626E" w:rsidRDefault="001A5B20">
            <w:pPr>
              <w:widowControl/>
              <w:ind w:left="-162"/>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14270</w:t>
            </w:r>
          </w:p>
        </w:tc>
      </w:tr>
      <w:tr w:rsidR="003C626E" w14:paraId="321FFFDE" w14:textId="77777777">
        <w:tc>
          <w:tcPr>
            <w:tcW w:w="492" w:type="dxa"/>
            <w:shd w:val="clear" w:color="auto" w:fill="DDD9C3" w:themeFill="background2" w:themeFillShade="E6"/>
            <w:vAlign w:val="center"/>
          </w:tcPr>
          <w:p w14:paraId="321FFFD7" w14:textId="77777777" w:rsidR="003C626E" w:rsidRDefault="001A5B20">
            <w:pPr>
              <w:widowControl/>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6</w:t>
            </w:r>
          </w:p>
        </w:tc>
        <w:tc>
          <w:tcPr>
            <w:tcW w:w="1742" w:type="dxa"/>
            <w:shd w:val="clear" w:color="auto" w:fill="E5DFEC" w:themeFill="accent4" w:themeFillTint="33"/>
          </w:tcPr>
          <w:p w14:paraId="321FFFD8" w14:textId="77777777" w:rsidR="003C626E" w:rsidRDefault="001A5B20">
            <w:pPr>
              <w:widowControl/>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Кількість працівників, осіб</w:t>
            </w:r>
          </w:p>
        </w:tc>
        <w:tc>
          <w:tcPr>
            <w:tcW w:w="1416" w:type="dxa"/>
            <w:shd w:val="clear" w:color="auto" w:fill="FDE9D9" w:themeFill="accent6" w:themeFillTint="33"/>
            <w:vAlign w:val="center"/>
          </w:tcPr>
          <w:p w14:paraId="321FFFD9"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w:t>
            </w:r>
          </w:p>
        </w:tc>
        <w:tc>
          <w:tcPr>
            <w:tcW w:w="1416" w:type="dxa"/>
            <w:shd w:val="clear" w:color="auto" w:fill="FDE9D9" w:themeFill="accent6" w:themeFillTint="33"/>
            <w:vAlign w:val="center"/>
          </w:tcPr>
          <w:p w14:paraId="321FFFDA"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849</w:t>
            </w:r>
          </w:p>
        </w:tc>
        <w:tc>
          <w:tcPr>
            <w:tcW w:w="1535" w:type="dxa"/>
            <w:shd w:val="clear" w:color="auto" w:fill="FDE9D9" w:themeFill="accent6" w:themeFillTint="33"/>
            <w:vAlign w:val="center"/>
          </w:tcPr>
          <w:p w14:paraId="321FFFDB"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895</w:t>
            </w:r>
          </w:p>
        </w:tc>
        <w:tc>
          <w:tcPr>
            <w:tcW w:w="1416" w:type="dxa"/>
            <w:shd w:val="clear" w:color="auto" w:fill="FDE9D9" w:themeFill="accent6" w:themeFillTint="33"/>
            <w:vAlign w:val="center"/>
          </w:tcPr>
          <w:p w14:paraId="321FFFDC"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898</w:t>
            </w:r>
          </w:p>
        </w:tc>
        <w:tc>
          <w:tcPr>
            <w:tcW w:w="1328" w:type="dxa"/>
            <w:shd w:val="clear" w:color="auto" w:fill="FDE9D9" w:themeFill="accent6" w:themeFillTint="33"/>
            <w:vAlign w:val="center"/>
          </w:tcPr>
          <w:p w14:paraId="321FFFDD"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1 202</w:t>
            </w:r>
          </w:p>
        </w:tc>
      </w:tr>
    </w:tbl>
    <w:p w14:paraId="321FFFDF" w14:textId="77777777" w:rsidR="003C626E" w:rsidRDefault="001A5B20">
      <w:pPr>
        <w:widowControl/>
        <w:spacing w:line="360" w:lineRule="auto"/>
        <w:jc w:val="both"/>
        <w:rPr>
          <w:rFonts w:ascii="Times New Roman" w:eastAsia="Times New Roman" w:hAnsi="Times New Roman" w:cs="Times New Roman"/>
          <w:i/>
          <w:color w:val="auto"/>
          <w:lang w:eastAsia="ru-RU" w:bidi="ar-SA"/>
        </w:rPr>
      </w:pPr>
      <w:r>
        <w:rPr>
          <w:rFonts w:ascii="Times New Roman" w:eastAsia="Times New Roman" w:hAnsi="Times New Roman" w:cs="Times New Roman"/>
          <w:i/>
          <w:color w:val="auto"/>
          <w:lang w:eastAsia="ru-RU" w:bidi="ar-SA"/>
        </w:rPr>
        <w:t>*дані відсутні</w:t>
      </w:r>
    </w:p>
    <w:p w14:paraId="321FFFE0" w14:textId="77777777" w:rsidR="003C626E" w:rsidRDefault="001A5B20">
      <w:pPr>
        <w:widowControl/>
        <w:spacing w:line="360" w:lineRule="auto"/>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i/>
          <w:color w:val="auto"/>
          <w:lang w:eastAsia="ru-RU" w:bidi="ar-SA"/>
        </w:rPr>
        <w:t xml:space="preserve">Джерело: </w:t>
      </w:r>
      <w:hyperlink r:id="rId38" w:tooltip="https://opendatabot.ua/c/02774415" w:history="1">
        <w:r>
          <w:rPr>
            <w:rFonts w:ascii="Times New Roman" w:eastAsia="Times New Roman" w:hAnsi="Times New Roman" w:cs="Times New Roman"/>
            <w:i/>
            <w:color w:val="auto"/>
            <w:lang w:val="en-US" w:eastAsia="ru-RU" w:bidi="ar-SA"/>
          </w:rPr>
          <w:t>[42]</w:t>
        </w:r>
      </w:hyperlink>
      <w:r>
        <w:rPr>
          <w:rFonts w:ascii="Times New Roman" w:eastAsia="Times New Roman" w:hAnsi="Times New Roman" w:cs="Times New Roman"/>
          <w:color w:val="auto"/>
          <w:sz w:val="28"/>
          <w:szCs w:val="28"/>
          <w:lang w:eastAsia="ru-RU" w:bidi="ar-SA"/>
        </w:rPr>
        <w:t xml:space="preserve"> </w:t>
      </w:r>
    </w:p>
    <w:p w14:paraId="321FFFE1" w14:textId="77777777" w:rsidR="003C626E" w:rsidRDefault="003C626E">
      <w:pPr>
        <w:spacing w:line="360" w:lineRule="auto"/>
        <w:ind w:firstLine="709"/>
        <w:jc w:val="both"/>
        <w:rPr>
          <w:rFonts w:ascii="Times New Roman" w:eastAsia="Times New Roman" w:hAnsi="Times New Roman" w:cs="Times New Roman"/>
          <w:color w:val="auto"/>
          <w:sz w:val="28"/>
          <w:szCs w:val="28"/>
          <w:lang w:eastAsia="ru-RU" w:bidi="ar-SA"/>
        </w:rPr>
      </w:pPr>
    </w:p>
    <w:p w14:paraId="321FFFE2"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Протягом аналізуємого періоду спостерігається динаміка зростання доходу лікарні та чистого прибутку, що також позитивно характеризує медичний заклад. Така позитивна динаміка фінансових показників свідчить про можливості впровадження мотиваційних програм (стимулювання, соціальних пакетів, преміювання персоналу) задля підвищення мотивації персоналу, стимулювання професійного розвитку та кар’єрного зростання, підвищення стресостійкості та пропорційного зниження показника професійного вигорання. Винятком є показники 2024 року, які суттєво відрізняються від попередніх. Зменшення фінансових надходжень зумовлено низкою зовнішніх і внутрішніх факторів, що вплинули на стабільність та динаміку розвитку закладу</w:t>
      </w:r>
      <w:r>
        <w:rPr>
          <w:rFonts w:ascii="Times New Roman" w:eastAsia="Times New Roman" w:hAnsi="Times New Roman" w:cs="Times New Roman"/>
          <w:color w:val="auto"/>
          <w:sz w:val="28"/>
          <w:szCs w:val="28"/>
          <w:lang w:val="en-US" w:eastAsia="ru-RU" w:bidi="ar-SA"/>
        </w:rPr>
        <w:t xml:space="preserve"> (</w:t>
      </w:r>
      <w:r>
        <w:rPr>
          <w:rFonts w:ascii="Times New Roman" w:eastAsia="Times New Roman" w:hAnsi="Times New Roman" w:cs="Times New Roman"/>
          <w:color w:val="auto"/>
          <w:sz w:val="28"/>
          <w:szCs w:val="28"/>
          <w:lang w:eastAsia="ru-RU" w:bidi="ar-SA"/>
        </w:rPr>
        <w:t>табл. 2.2)</w:t>
      </w:r>
    </w:p>
    <w:p w14:paraId="321FFFE3" w14:textId="77777777" w:rsidR="003C626E" w:rsidRDefault="001A5B20">
      <w:pPr>
        <w:spacing w:line="360" w:lineRule="auto"/>
        <w:ind w:firstLine="709"/>
        <w:jc w:val="right"/>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Таблиця 2.2</w:t>
      </w:r>
    </w:p>
    <w:p w14:paraId="321FFFE4" w14:textId="77777777" w:rsidR="003C626E" w:rsidRDefault="001A5B20">
      <w:pPr>
        <w:spacing w:line="360" w:lineRule="auto"/>
        <w:ind w:firstLine="709"/>
        <w:jc w:val="center"/>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b/>
          <w:color w:val="auto"/>
          <w:sz w:val="28"/>
          <w:szCs w:val="28"/>
          <w:lang w:eastAsia="ru-RU" w:bidi="ar-SA"/>
        </w:rPr>
        <w:t>Фактори впливу на стабільність та динаміку розвитку лікарні</w:t>
      </w:r>
    </w:p>
    <w:tbl>
      <w:tblPr>
        <w:tblStyle w:val="110"/>
        <w:tblW w:w="0" w:type="auto"/>
        <w:tblLook w:val="04A0" w:firstRow="1" w:lastRow="0" w:firstColumn="1" w:lastColumn="0" w:noHBand="0" w:noVBand="1"/>
      </w:tblPr>
      <w:tblGrid>
        <w:gridCol w:w="709"/>
        <w:gridCol w:w="3528"/>
        <w:gridCol w:w="5107"/>
      </w:tblGrid>
      <w:tr w:rsidR="003C626E" w14:paraId="321FFFE8" w14:textId="77777777">
        <w:tc>
          <w:tcPr>
            <w:tcW w:w="709" w:type="dxa"/>
            <w:shd w:val="clear" w:color="auto" w:fill="DDD9C3" w:themeFill="background2" w:themeFillShade="E6"/>
          </w:tcPr>
          <w:p w14:paraId="321FFFE5" w14:textId="77777777" w:rsidR="003C626E" w:rsidRDefault="001A5B20">
            <w:pPr>
              <w:jc w:val="cente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Фак-тори</w:t>
            </w:r>
          </w:p>
        </w:tc>
        <w:tc>
          <w:tcPr>
            <w:tcW w:w="3528" w:type="dxa"/>
            <w:shd w:val="clear" w:color="auto" w:fill="DDD9C3" w:themeFill="background2" w:themeFillShade="E6"/>
            <w:vAlign w:val="center"/>
          </w:tcPr>
          <w:p w14:paraId="321FFFE6" w14:textId="77777777" w:rsidR="003C626E" w:rsidRDefault="001A5B20">
            <w:pPr>
              <w:jc w:val="cente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Сутність</w:t>
            </w:r>
          </w:p>
        </w:tc>
        <w:tc>
          <w:tcPr>
            <w:tcW w:w="5107" w:type="dxa"/>
            <w:shd w:val="clear" w:color="auto" w:fill="DDD9C3" w:themeFill="background2" w:themeFillShade="E6"/>
            <w:vAlign w:val="center"/>
          </w:tcPr>
          <w:p w14:paraId="321FFFE7" w14:textId="77777777" w:rsidR="003C626E" w:rsidRDefault="001A5B20">
            <w:pPr>
              <w:jc w:val="cente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Характеристика</w:t>
            </w:r>
          </w:p>
        </w:tc>
      </w:tr>
      <w:tr w:rsidR="003C626E" w14:paraId="321FFFEC" w14:textId="77777777">
        <w:tc>
          <w:tcPr>
            <w:tcW w:w="709" w:type="dxa"/>
            <w:vMerge w:val="restart"/>
            <w:shd w:val="clear" w:color="auto" w:fill="DDD9C3" w:themeFill="background2" w:themeFillShade="E6"/>
            <w:textDirection w:val="btLr"/>
          </w:tcPr>
          <w:p w14:paraId="321FFFE9" w14:textId="77777777" w:rsidR="003C626E" w:rsidRDefault="001A5B20">
            <w:pPr>
              <w:ind w:left="113" w:right="113"/>
              <w:jc w:val="cente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Зовнішні фактори</w:t>
            </w:r>
          </w:p>
        </w:tc>
        <w:tc>
          <w:tcPr>
            <w:tcW w:w="3528" w:type="dxa"/>
            <w:shd w:val="clear" w:color="auto" w:fill="DBE5F1" w:themeFill="accent1" w:themeFillTint="33"/>
            <w:vAlign w:val="center"/>
          </w:tcPr>
          <w:p w14:paraId="321FFFEA"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Зміни у політиці фінансування НСЗУ</w:t>
            </w:r>
          </w:p>
        </w:tc>
        <w:tc>
          <w:tcPr>
            <w:tcW w:w="5107" w:type="dxa"/>
            <w:shd w:val="clear" w:color="auto" w:fill="E5DFEC" w:themeFill="accent4" w:themeFillTint="33"/>
          </w:tcPr>
          <w:p w14:paraId="321FFFEB"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У 2024 році відбулося коригування тарифів і перегляд умов фінансування окремих пакетів медичних послуг, що призвело до скорочення надходжень за договорами з Національною службою здоров’я України.</w:t>
            </w:r>
          </w:p>
        </w:tc>
      </w:tr>
      <w:tr w:rsidR="003C626E" w14:paraId="321FFFF1" w14:textId="77777777">
        <w:tc>
          <w:tcPr>
            <w:tcW w:w="709" w:type="dxa"/>
            <w:vMerge/>
            <w:shd w:val="clear" w:color="auto" w:fill="DDD9C3" w:themeFill="background2" w:themeFillShade="E6"/>
          </w:tcPr>
          <w:p w14:paraId="321FFFED" w14:textId="77777777" w:rsidR="003C626E" w:rsidRDefault="003C626E">
            <w:pPr>
              <w:jc w:val="center"/>
              <w:rPr>
                <w:rFonts w:ascii="Times New Roman" w:eastAsia="Times New Roman" w:hAnsi="Times New Roman" w:cs="Times New Roman"/>
                <w:color w:val="auto"/>
                <w:lang w:eastAsia="ru-RU" w:bidi="ar-SA"/>
              </w:rPr>
            </w:pPr>
          </w:p>
        </w:tc>
        <w:tc>
          <w:tcPr>
            <w:tcW w:w="3528" w:type="dxa"/>
            <w:shd w:val="clear" w:color="auto" w:fill="DBE5F1" w:themeFill="accent1" w:themeFillTint="33"/>
            <w:vAlign w:val="center"/>
          </w:tcPr>
          <w:p w14:paraId="321FFFEE"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Скорочення обсягів медичних послуг, профінансованих за Програмою медичних гарантій</w:t>
            </w:r>
          </w:p>
        </w:tc>
        <w:tc>
          <w:tcPr>
            <w:tcW w:w="5107" w:type="dxa"/>
            <w:shd w:val="clear" w:color="auto" w:fill="E5DFEC" w:themeFill="accent4" w:themeFillTint="33"/>
          </w:tcPr>
          <w:p w14:paraId="321FFFEF"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Відбулося недовиконання планових показників через зменшення кількості госпіталізацій, особливо за напрямами планового лікування.</w:t>
            </w:r>
          </w:p>
          <w:p w14:paraId="321FFFF0" w14:textId="77777777" w:rsidR="003C626E" w:rsidRDefault="003C626E">
            <w:pPr>
              <w:jc w:val="center"/>
              <w:rPr>
                <w:rFonts w:ascii="Times New Roman" w:eastAsia="Times New Roman" w:hAnsi="Times New Roman" w:cs="Times New Roman"/>
                <w:color w:val="auto"/>
                <w:lang w:eastAsia="ru-RU" w:bidi="ar-SA"/>
              </w:rPr>
            </w:pPr>
          </w:p>
        </w:tc>
      </w:tr>
      <w:tr w:rsidR="003C626E" w14:paraId="321FFFF5" w14:textId="77777777">
        <w:tc>
          <w:tcPr>
            <w:tcW w:w="709" w:type="dxa"/>
            <w:vMerge/>
            <w:shd w:val="clear" w:color="auto" w:fill="DDD9C3" w:themeFill="background2" w:themeFillShade="E6"/>
          </w:tcPr>
          <w:p w14:paraId="321FFFF2" w14:textId="77777777" w:rsidR="003C626E" w:rsidRDefault="003C626E">
            <w:pPr>
              <w:jc w:val="center"/>
              <w:rPr>
                <w:rFonts w:ascii="Times New Roman" w:eastAsia="Times New Roman" w:hAnsi="Times New Roman" w:cs="Times New Roman"/>
                <w:color w:val="auto"/>
                <w:lang w:eastAsia="ru-RU" w:bidi="ar-SA"/>
              </w:rPr>
            </w:pPr>
          </w:p>
        </w:tc>
        <w:tc>
          <w:tcPr>
            <w:tcW w:w="3528" w:type="dxa"/>
            <w:shd w:val="clear" w:color="auto" w:fill="DBE5F1" w:themeFill="accent1" w:themeFillTint="33"/>
            <w:vAlign w:val="center"/>
          </w:tcPr>
          <w:p w14:paraId="321FFFF3"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Демографічні та соціально-економічні чинники.</w:t>
            </w:r>
          </w:p>
        </w:tc>
        <w:tc>
          <w:tcPr>
            <w:tcW w:w="5107" w:type="dxa"/>
            <w:shd w:val="clear" w:color="auto" w:fill="E5DFEC" w:themeFill="accent4" w:themeFillTint="33"/>
          </w:tcPr>
          <w:p w14:paraId="321FFFF4"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Зменшення чисельності населення, міграційні процеси, а також вплив воєнного стану спричинили зниження кількості звернень за медичною допомогою.</w:t>
            </w:r>
          </w:p>
        </w:tc>
      </w:tr>
    </w:tbl>
    <w:p w14:paraId="321FFFF6" w14:textId="77777777" w:rsidR="003C626E" w:rsidRDefault="003C626E">
      <w:pPr>
        <w:rPr>
          <w:rFonts w:ascii="Microsoft YaHei" w:eastAsia="Microsoft YaHei" w:hAnsi="Microsoft YaHei" w:cs="Microsoft YaHei"/>
        </w:rPr>
      </w:pPr>
    </w:p>
    <w:p w14:paraId="321FFFF7" w14:textId="77777777" w:rsidR="003C626E" w:rsidRDefault="003C626E">
      <w:pPr>
        <w:jc w:val="right"/>
        <w:rPr>
          <w:rFonts w:ascii="Times New Roman" w:eastAsia="Microsoft YaHei" w:hAnsi="Times New Roman" w:cs="Times New Roman"/>
          <w:sz w:val="28"/>
          <w:szCs w:val="28"/>
        </w:rPr>
      </w:pPr>
    </w:p>
    <w:p w14:paraId="321FFFF8" w14:textId="77777777" w:rsidR="003C626E" w:rsidRDefault="001A5B20">
      <w:pPr>
        <w:jc w:val="right"/>
        <w:rPr>
          <w:rFonts w:ascii="Microsoft YaHei" w:eastAsia="Microsoft YaHei" w:hAnsi="Microsoft YaHei" w:cs="Microsoft YaHei"/>
        </w:rPr>
      </w:pPr>
      <w:r>
        <w:rPr>
          <w:rFonts w:ascii="Times New Roman" w:eastAsia="Microsoft YaHei" w:hAnsi="Times New Roman" w:cs="Times New Roman"/>
          <w:sz w:val="28"/>
          <w:szCs w:val="28"/>
        </w:rPr>
        <w:lastRenderedPageBreak/>
        <w:t>Продовження таблиці 2.2</w:t>
      </w:r>
    </w:p>
    <w:tbl>
      <w:tblPr>
        <w:tblStyle w:val="110"/>
        <w:tblW w:w="0" w:type="auto"/>
        <w:tblLook w:val="04A0" w:firstRow="1" w:lastRow="0" w:firstColumn="1" w:lastColumn="0" w:noHBand="0" w:noVBand="1"/>
      </w:tblPr>
      <w:tblGrid>
        <w:gridCol w:w="709"/>
        <w:gridCol w:w="3528"/>
        <w:gridCol w:w="5107"/>
      </w:tblGrid>
      <w:tr w:rsidR="003C626E" w14:paraId="321FFFFC" w14:textId="77777777">
        <w:tc>
          <w:tcPr>
            <w:tcW w:w="709" w:type="dxa"/>
            <w:vMerge w:val="restart"/>
            <w:shd w:val="clear" w:color="auto" w:fill="DDD9C3" w:themeFill="background2" w:themeFillShade="E6"/>
            <w:textDirection w:val="btLr"/>
          </w:tcPr>
          <w:p w14:paraId="321FFFF9" w14:textId="77777777" w:rsidR="003C626E" w:rsidRDefault="001A5B20">
            <w:pPr>
              <w:ind w:left="113" w:right="113"/>
              <w:jc w:val="cente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В</w:t>
            </w:r>
            <w:r>
              <w:rPr>
                <w:rFonts w:ascii="Times New Roman" w:eastAsia="Times New Roman" w:hAnsi="Times New Roman" w:cs="Times New Roman"/>
                <w:color w:val="auto"/>
                <w:shd w:val="clear" w:color="auto" w:fill="DDD9C3" w:themeFill="background2" w:themeFillShade="E6"/>
                <w:lang w:eastAsia="ru-RU" w:bidi="ar-SA"/>
              </w:rPr>
              <w:t>нутрішні фактори</w:t>
            </w:r>
          </w:p>
        </w:tc>
        <w:tc>
          <w:tcPr>
            <w:tcW w:w="3528" w:type="dxa"/>
            <w:shd w:val="clear" w:color="auto" w:fill="DBE5F1" w:themeFill="accent1" w:themeFillTint="33"/>
            <w:vAlign w:val="center"/>
          </w:tcPr>
          <w:p w14:paraId="321FFFFA"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Тимчасові обмеження у діяльності закладу</w:t>
            </w:r>
          </w:p>
        </w:tc>
        <w:tc>
          <w:tcPr>
            <w:tcW w:w="5107" w:type="dxa"/>
            <w:shd w:val="clear" w:color="auto" w:fill="E5DFEC" w:themeFill="accent4" w:themeFillTint="33"/>
            <w:vAlign w:val="center"/>
          </w:tcPr>
          <w:p w14:paraId="321FFFFB"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У межах реалізації державного проекту Президента України «Велике Будівництво» у 2024 році здійснювалися капітальні ремонти приміщень лікарні, що тимчасово обмежувало роботу окремих відділень</w:t>
            </w:r>
          </w:p>
        </w:tc>
      </w:tr>
      <w:tr w:rsidR="003C626E" w14:paraId="32200000" w14:textId="77777777">
        <w:tc>
          <w:tcPr>
            <w:tcW w:w="709" w:type="dxa"/>
            <w:vMerge/>
            <w:shd w:val="clear" w:color="auto" w:fill="DDD9C3" w:themeFill="background2" w:themeFillShade="E6"/>
          </w:tcPr>
          <w:p w14:paraId="321FFFFD" w14:textId="77777777" w:rsidR="003C626E" w:rsidRDefault="003C626E">
            <w:pPr>
              <w:jc w:val="center"/>
              <w:rPr>
                <w:rFonts w:ascii="Times New Roman" w:eastAsia="Times New Roman" w:hAnsi="Times New Roman" w:cs="Times New Roman"/>
                <w:color w:val="auto"/>
                <w:lang w:eastAsia="ru-RU" w:bidi="ar-SA"/>
              </w:rPr>
            </w:pPr>
          </w:p>
        </w:tc>
        <w:tc>
          <w:tcPr>
            <w:tcW w:w="3528" w:type="dxa"/>
            <w:shd w:val="clear" w:color="auto" w:fill="DBE5F1" w:themeFill="accent1" w:themeFillTint="33"/>
            <w:vAlign w:val="center"/>
          </w:tcPr>
          <w:p w14:paraId="321FFFFE"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Кадровий дефіцит</w:t>
            </w:r>
          </w:p>
        </w:tc>
        <w:tc>
          <w:tcPr>
            <w:tcW w:w="5107" w:type="dxa"/>
            <w:shd w:val="clear" w:color="auto" w:fill="E5DFEC" w:themeFill="accent4" w:themeFillTint="33"/>
            <w:vAlign w:val="center"/>
          </w:tcPr>
          <w:p w14:paraId="321FFFFF"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Спостерігалася нестача медичних кадрів у ряді підрозділів, що зменшило можливість надання повного обсягу медичних послуг.</w:t>
            </w:r>
          </w:p>
        </w:tc>
      </w:tr>
      <w:tr w:rsidR="003C626E" w14:paraId="32200004" w14:textId="77777777">
        <w:tc>
          <w:tcPr>
            <w:tcW w:w="709" w:type="dxa"/>
            <w:vMerge/>
            <w:shd w:val="clear" w:color="auto" w:fill="DDD9C3" w:themeFill="background2" w:themeFillShade="E6"/>
          </w:tcPr>
          <w:p w14:paraId="32200001" w14:textId="77777777" w:rsidR="003C626E" w:rsidRDefault="003C626E">
            <w:pPr>
              <w:jc w:val="center"/>
              <w:rPr>
                <w:rFonts w:ascii="Times New Roman" w:eastAsia="Times New Roman" w:hAnsi="Times New Roman" w:cs="Times New Roman"/>
                <w:color w:val="auto"/>
                <w:lang w:eastAsia="ru-RU" w:bidi="ar-SA"/>
              </w:rPr>
            </w:pPr>
          </w:p>
        </w:tc>
        <w:tc>
          <w:tcPr>
            <w:tcW w:w="3528" w:type="dxa"/>
            <w:shd w:val="clear" w:color="auto" w:fill="DBE5F1" w:themeFill="accent1" w:themeFillTint="33"/>
            <w:vAlign w:val="center"/>
          </w:tcPr>
          <w:p w14:paraId="32200002"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Зростання вартості ресурсного забезпечення</w:t>
            </w:r>
          </w:p>
        </w:tc>
        <w:tc>
          <w:tcPr>
            <w:tcW w:w="5107" w:type="dxa"/>
            <w:shd w:val="clear" w:color="auto" w:fill="E5DFEC" w:themeFill="accent4" w:themeFillTint="33"/>
            <w:vAlign w:val="center"/>
          </w:tcPr>
          <w:p w14:paraId="32200003" w14:textId="77777777" w:rsidR="003C626E" w:rsidRDefault="001A5B20">
            <w:pPr>
              <w:rPr>
                <w:rFonts w:ascii="Times New Roman" w:eastAsia="Times New Roman" w:hAnsi="Times New Roman" w:cs="Times New Roman"/>
                <w:color w:val="auto"/>
                <w:lang w:eastAsia="ru-RU" w:bidi="ar-SA"/>
              </w:rPr>
            </w:pPr>
            <w:r>
              <w:rPr>
                <w:rFonts w:ascii="Times New Roman" w:eastAsia="Times New Roman" w:hAnsi="Times New Roman" w:cs="Times New Roman"/>
                <w:color w:val="auto"/>
                <w:lang w:eastAsia="ru-RU" w:bidi="ar-SA"/>
              </w:rPr>
              <w:t>Підвищення цін на енергоносії, медикаменти, витратні матеріали та комунальні послуги призвело до збільшення собівартості медичних послуг і зниження чистого доходу.</w:t>
            </w:r>
          </w:p>
        </w:tc>
      </w:tr>
    </w:tbl>
    <w:p w14:paraId="32200005" w14:textId="77777777" w:rsidR="003C626E" w:rsidRDefault="001A5B20">
      <w:pPr>
        <w:spacing w:line="360" w:lineRule="auto"/>
        <w:ind w:firstLine="709"/>
        <w:jc w:val="both"/>
        <w:rPr>
          <w:rFonts w:ascii="Times New Roman" w:eastAsia="Times New Roman" w:hAnsi="Times New Roman" w:cs="Times New Roman"/>
          <w:i/>
          <w:color w:val="auto"/>
          <w:lang w:eastAsia="ru-RU" w:bidi="ar-SA"/>
        </w:rPr>
      </w:pPr>
      <w:r>
        <w:rPr>
          <w:rFonts w:ascii="Times New Roman" w:eastAsia="Times New Roman" w:hAnsi="Times New Roman" w:cs="Times New Roman"/>
          <w:i/>
          <w:color w:val="auto"/>
          <w:lang w:eastAsia="ru-RU" w:bidi="ar-SA"/>
        </w:rPr>
        <w:t>Джерело: побудовано автором</w:t>
      </w:r>
    </w:p>
    <w:p w14:paraId="32200006"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Для покращення фінансової стабільності та збільшення доходів КНП «Міська клінічна лікарня № 11» ОМР у 2025 році доцільно:</w:t>
      </w:r>
    </w:p>
    <w:p w14:paraId="32200007"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забезпечити виконання та моніторинг планових показників договорів із НСЗУ;</w:t>
      </w:r>
    </w:p>
    <w:p w14:paraId="32200008"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оптимізувати структуру ліжкового фонду та підвищити ефективність використання ресурсів;</w:t>
      </w:r>
    </w:p>
    <w:p w14:paraId="32200009"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розширити спектр платних медичних послуг та залучити додаткові джерела фінансування (гранти, цільові програми, благодійні внески);</w:t>
      </w:r>
    </w:p>
    <w:p w14:paraId="3220000A"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забезпечити безперервність надання медичної допомоги під час проведення ремонтних робіт;</w:t>
      </w:r>
    </w:p>
    <w:p w14:paraId="3220000B"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вжити заходів щодо кадрової стабілізації та підвищення кваліфікації медичного персоналу.</w:t>
      </w:r>
    </w:p>
    <w:p w14:paraId="3220000C" w14:textId="77777777" w:rsidR="003C626E" w:rsidRDefault="001A5B20">
      <w:pPr>
        <w:spacing w:line="360" w:lineRule="auto"/>
        <w:ind w:firstLine="709"/>
        <w:jc w:val="right"/>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Таблиця 2.2</w:t>
      </w:r>
    </w:p>
    <w:p w14:paraId="3220000D" w14:textId="77777777" w:rsidR="003C626E" w:rsidRDefault="001A5B20">
      <w:pPr>
        <w:spacing w:line="360" w:lineRule="auto"/>
        <w:ind w:firstLine="709"/>
        <w:jc w:val="center"/>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b/>
          <w:color w:val="auto"/>
          <w:sz w:val="28"/>
          <w:szCs w:val="28"/>
          <w:lang w:eastAsia="ru-RU" w:bidi="ar-SA"/>
        </w:rPr>
        <w:t>Показники фінансового стану КНП «МКЛ №11» OMP</w:t>
      </w:r>
    </w:p>
    <w:tbl>
      <w:tblPr>
        <w:tblStyle w:val="110"/>
        <w:tblW w:w="9351" w:type="dxa"/>
        <w:tblLook w:val="04A0" w:firstRow="1" w:lastRow="0" w:firstColumn="1" w:lastColumn="0" w:noHBand="0" w:noVBand="1"/>
      </w:tblPr>
      <w:tblGrid>
        <w:gridCol w:w="2336"/>
        <w:gridCol w:w="5456"/>
        <w:gridCol w:w="1559"/>
      </w:tblGrid>
      <w:tr w:rsidR="003C626E" w14:paraId="32200011" w14:textId="77777777">
        <w:tc>
          <w:tcPr>
            <w:tcW w:w="2336" w:type="dxa"/>
            <w:shd w:val="clear" w:color="auto" w:fill="B6DDE8" w:themeFill="accent5" w:themeFillTint="66"/>
          </w:tcPr>
          <w:p w14:paraId="3220000E" w14:textId="77777777" w:rsidR="003C626E" w:rsidRDefault="001A5B20">
            <w:pPr>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Група</w:t>
            </w:r>
          </w:p>
        </w:tc>
        <w:tc>
          <w:tcPr>
            <w:tcW w:w="5456" w:type="dxa"/>
            <w:shd w:val="clear" w:color="auto" w:fill="B6DDE8" w:themeFill="accent5" w:themeFillTint="66"/>
          </w:tcPr>
          <w:p w14:paraId="3220000F" w14:textId="77777777" w:rsidR="003C626E" w:rsidRDefault="001A5B20">
            <w:pPr>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Показник</w:t>
            </w:r>
          </w:p>
        </w:tc>
        <w:tc>
          <w:tcPr>
            <w:tcW w:w="1559"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10" w14:textId="77777777" w:rsidR="003C626E" w:rsidRDefault="001A5B20">
            <w:pPr>
              <w:jc w:val="cente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Значення</w:t>
            </w:r>
          </w:p>
        </w:tc>
      </w:tr>
      <w:tr w:rsidR="003C626E" w14:paraId="32200015" w14:textId="77777777">
        <w:tc>
          <w:tcPr>
            <w:tcW w:w="2336" w:type="dxa"/>
            <w:shd w:val="clear" w:color="auto" w:fill="FDE9D9" w:themeFill="accent6" w:themeFillTint="33"/>
            <w:vAlign w:val="center"/>
          </w:tcPr>
          <w:p w14:paraId="32200012" w14:textId="77777777" w:rsidR="003C626E" w:rsidRDefault="001A5B20">
            <w:pPr>
              <w:jc w:val="lef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Показники оцінки стану основних засобів</w:t>
            </w:r>
          </w:p>
        </w:tc>
        <w:tc>
          <w:tcPr>
            <w:tcW w:w="5456" w:type="dxa"/>
            <w:shd w:val="clear" w:color="auto" w:fill="EAF1DD" w:themeFill="accent3" w:themeFillTint="33"/>
            <w:vAlign w:val="center"/>
          </w:tcPr>
          <w:p w14:paraId="32200013" w14:textId="77777777" w:rsidR="003C626E" w:rsidRDefault="001A5B20">
            <w:pP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Частка основних засобів в активах підприємства</w:t>
            </w:r>
          </w:p>
        </w:tc>
        <w:tc>
          <w:tcPr>
            <w:tcW w:w="1559" w:type="dxa"/>
            <w:tcBorders>
              <w:top w:val="single" w:sz="2" w:space="0" w:color="auto"/>
              <w:left w:val="single" w:sz="2" w:space="0" w:color="auto"/>
              <w:bottom w:val="single" w:sz="4" w:space="0" w:color="auto"/>
              <w:right w:val="single" w:sz="2" w:space="0" w:color="auto"/>
            </w:tcBorders>
            <w:shd w:val="clear" w:color="auto" w:fill="DDD9C3" w:themeFill="background2" w:themeFillShade="E6"/>
            <w:vAlign w:val="center"/>
          </w:tcPr>
          <w:p w14:paraId="32200014" w14:textId="77777777" w:rsidR="003C626E" w:rsidRDefault="001A5B20">
            <w:pPr>
              <w:ind w:hanging="111"/>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60,79 %</w:t>
            </w:r>
          </w:p>
        </w:tc>
      </w:tr>
      <w:tr w:rsidR="003C626E" w14:paraId="32200019" w14:textId="77777777">
        <w:tc>
          <w:tcPr>
            <w:tcW w:w="2336" w:type="dxa"/>
            <w:tcBorders>
              <w:top w:val="single" w:sz="2" w:space="0" w:color="auto"/>
              <w:left w:val="single" w:sz="2" w:space="0" w:color="auto"/>
              <w:bottom w:val="single" w:sz="4" w:space="0" w:color="auto"/>
              <w:right w:val="single" w:sz="2" w:space="0" w:color="auto"/>
            </w:tcBorders>
            <w:shd w:val="clear" w:color="auto" w:fill="FDE9D9" w:themeFill="accent6" w:themeFillTint="33"/>
            <w:vAlign w:val="center"/>
          </w:tcPr>
          <w:p w14:paraId="32200016" w14:textId="77777777" w:rsidR="003C626E" w:rsidRDefault="001A5B20">
            <w:pPr>
              <w:jc w:val="lef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Ліквідність</w:t>
            </w:r>
          </w:p>
        </w:tc>
        <w:tc>
          <w:tcPr>
            <w:tcW w:w="5456" w:type="dxa"/>
            <w:tcBorders>
              <w:top w:val="single" w:sz="2" w:space="0" w:color="auto"/>
              <w:left w:val="single" w:sz="2" w:space="0" w:color="auto"/>
              <w:bottom w:val="single" w:sz="4" w:space="0" w:color="auto"/>
              <w:right w:val="single" w:sz="2" w:space="0" w:color="auto"/>
            </w:tcBorders>
            <w:shd w:val="clear" w:color="auto" w:fill="EAF1DD" w:themeFill="accent3" w:themeFillTint="33"/>
            <w:vAlign w:val="center"/>
          </w:tcPr>
          <w:p w14:paraId="32200017" w14:textId="77777777" w:rsidR="003C626E" w:rsidRDefault="001A5B20">
            <w:pP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Коефіцієнт поточної (загальної) ліквідності</w:t>
            </w:r>
          </w:p>
        </w:tc>
        <w:tc>
          <w:tcPr>
            <w:tcW w:w="1559" w:type="dxa"/>
            <w:tcBorders>
              <w:top w:val="single" w:sz="2" w:space="0" w:color="auto"/>
              <w:left w:val="single" w:sz="2" w:space="0" w:color="auto"/>
              <w:bottom w:val="single" w:sz="4" w:space="0" w:color="auto"/>
              <w:right w:val="single" w:sz="2" w:space="0" w:color="auto"/>
            </w:tcBorders>
            <w:shd w:val="clear" w:color="auto" w:fill="DDD9C3" w:themeFill="background2" w:themeFillShade="E6"/>
            <w:vAlign w:val="center"/>
          </w:tcPr>
          <w:p w14:paraId="32200018" w14:textId="77777777" w:rsidR="003C626E" w:rsidRDefault="001A5B20">
            <w:pPr>
              <w:ind w:hanging="111"/>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0,56</w:t>
            </w:r>
          </w:p>
        </w:tc>
      </w:tr>
      <w:tr w:rsidR="003C626E" w14:paraId="3220001D" w14:textId="77777777">
        <w:tc>
          <w:tcPr>
            <w:tcW w:w="2336" w:type="dxa"/>
            <w:vMerge w:val="restart"/>
            <w:shd w:val="clear" w:color="auto" w:fill="FDE9D9" w:themeFill="accent6" w:themeFillTint="33"/>
            <w:vAlign w:val="center"/>
          </w:tcPr>
          <w:p w14:paraId="3220001A" w14:textId="77777777" w:rsidR="003C626E" w:rsidRDefault="001A5B20">
            <w:pPr>
              <w:jc w:val="lef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Оцінка фінансової стійкості</w:t>
            </w:r>
          </w:p>
        </w:tc>
        <w:tc>
          <w:tcPr>
            <w:tcW w:w="5456" w:type="dxa"/>
            <w:tcBorders>
              <w:top w:val="single" w:sz="2" w:space="0" w:color="auto"/>
              <w:left w:val="single" w:sz="2" w:space="0" w:color="auto"/>
              <w:bottom w:val="single" w:sz="4" w:space="0" w:color="auto"/>
              <w:right w:val="single" w:sz="2" w:space="0" w:color="auto"/>
            </w:tcBorders>
            <w:shd w:val="clear" w:color="auto" w:fill="EAF1DD" w:themeFill="accent3" w:themeFillTint="33"/>
            <w:vAlign w:val="center"/>
          </w:tcPr>
          <w:p w14:paraId="3220001B" w14:textId="77777777" w:rsidR="003C626E" w:rsidRDefault="001A5B20">
            <w:pP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Коефіцієнт фінансової залежності</w:t>
            </w:r>
          </w:p>
        </w:tc>
        <w:tc>
          <w:tcPr>
            <w:tcW w:w="1559" w:type="dxa"/>
            <w:tcBorders>
              <w:top w:val="single" w:sz="2" w:space="0" w:color="auto"/>
              <w:left w:val="single" w:sz="2" w:space="0" w:color="auto"/>
              <w:bottom w:val="single" w:sz="4" w:space="0" w:color="auto"/>
              <w:right w:val="single" w:sz="2" w:space="0" w:color="auto"/>
            </w:tcBorders>
            <w:shd w:val="clear" w:color="auto" w:fill="DDD9C3" w:themeFill="background2" w:themeFillShade="E6"/>
            <w:vAlign w:val="center"/>
          </w:tcPr>
          <w:p w14:paraId="3220001C" w14:textId="77777777" w:rsidR="003C626E" w:rsidRDefault="001A5B20">
            <w:pPr>
              <w:ind w:hanging="111"/>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2,71</w:t>
            </w:r>
          </w:p>
        </w:tc>
      </w:tr>
      <w:tr w:rsidR="003C626E" w14:paraId="32200021" w14:textId="77777777">
        <w:tc>
          <w:tcPr>
            <w:tcW w:w="2336" w:type="dxa"/>
            <w:vMerge/>
            <w:shd w:val="clear" w:color="auto" w:fill="FDE9D9" w:themeFill="accent6" w:themeFillTint="33"/>
            <w:vAlign w:val="center"/>
          </w:tcPr>
          <w:p w14:paraId="3220001E" w14:textId="77777777" w:rsidR="003C626E" w:rsidRDefault="003C626E">
            <w:pPr>
              <w:jc w:val="left"/>
              <w:rPr>
                <w:rFonts w:ascii="Times New Roman" w:eastAsia="Times New Roman" w:hAnsi="Times New Roman" w:cs="Times New Roman"/>
                <w:color w:val="auto"/>
                <w:lang w:val="ru-RU" w:eastAsia="ru-RU" w:bidi="ar-SA"/>
              </w:rPr>
            </w:pPr>
          </w:p>
        </w:tc>
        <w:tc>
          <w:tcPr>
            <w:tcW w:w="5456" w:type="dxa"/>
            <w:tcBorders>
              <w:top w:val="single" w:sz="2" w:space="0" w:color="auto"/>
              <w:left w:val="single" w:sz="2" w:space="0" w:color="auto"/>
              <w:bottom w:val="single" w:sz="4" w:space="0" w:color="auto"/>
              <w:right w:val="single" w:sz="2" w:space="0" w:color="auto"/>
            </w:tcBorders>
            <w:shd w:val="clear" w:color="auto" w:fill="EAF1DD" w:themeFill="accent3" w:themeFillTint="33"/>
            <w:vAlign w:val="center"/>
          </w:tcPr>
          <w:p w14:paraId="3220001F" w14:textId="77777777" w:rsidR="003C626E" w:rsidRDefault="001A5B20">
            <w:pP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Коефіцієнт співвідношення позикових та власних коштів</w:t>
            </w:r>
          </w:p>
        </w:tc>
        <w:tc>
          <w:tcPr>
            <w:tcW w:w="1559" w:type="dxa"/>
            <w:tcBorders>
              <w:top w:val="single" w:sz="2" w:space="0" w:color="auto"/>
              <w:left w:val="single" w:sz="2" w:space="0" w:color="auto"/>
              <w:bottom w:val="single" w:sz="4" w:space="0" w:color="auto"/>
              <w:right w:val="single" w:sz="2" w:space="0" w:color="auto"/>
            </w:tcBorders>
            <w:shd w:val="clear" w:color="auto" w:fill="DDD9C3" w:themeFill="background2" w:themeFillShade="E6"/>
            <w:vAlign w:val="center"/>
          </w:tcPr>
          <w:p w14:paraId="32200020" w14:textId="77777777" w:rsidR="003C626E" w:rsidRDefault="001A5B20">
            <w:pPr>
              <w:ind w:hanging="111"/>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1,71</w:t>
            </w:r>
          </w:p>
        </w:tc>
      </w:tr>
      <w:tr w:rsidR="003C626E" w14:paraId="32200025" w14:textId="77777777">
        <w:tc>
          <w:tcPr>
            <w:tcW w:w="2336" w:type="dxa"/>
            <w:vMerge/>
            <w:shd w:val="clear" w:color="auto" w:fill="FDE9D9" w:themeFill="accent6" w:themeFillTint="33"/>
            <w:vAlign w:val="center"/>
          </w:tcPr>
          <w:p w14:paraId="32200022" w14:textId="77777777" w:rsidR="003C626E" w:rsidRDefault="003C626E">
            <w:pPr>
              <w:jc w:val="left"/>
              <w:rPr>
                <w:rFonts w:ascii="Times New Roman" w:eastAsia="Times New Roman" w:hAnsi="Times New Roman" w:cs="Times New Roman"/>
                <w:color w:val="auto"/>
                <w:lang w:val="ru-RU" w:eastAsia="ru-RU" w:bidi="ar-SA"/>
              </w:rPr>
            </w:pPr>
          </w:p>
        </w:tc>
        <w:tc>
          <w:tcPr>
            <w:tcW w:w="5456" w:type="dxa"/>
            <w:tcBorders>
              <w:top w:val="single" w:sz="2" w:space="0" w:color="auto"/>
              <w:left w:val="single" w:sz="2" w:space="0" w:color="auto"/>
              <w:bottom w:val="single" w:sz="2" w:space="0" w:color="auto"/>
              <w:right w:val="single" w:sz="2" w:space="0" w:color="auto"/>
            </w:tcBorders>
            <w:shd w:val="clear" w:color="auto" w:fill="EAF1DD" w:themeFill="accent3" w:themeFillTint="33"/>
            <w:vAlign w:val="center"/>
          </w:tcPr>
          <w:p w14:paraId="32200023" w14:textId="77777777" w:rsidR="003C626E" w:rsidRDefault="001A5B20">
            <w:pP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Поточна платоспроможність</w:t>
            </w:r>
          </w:p>
        </w:tc>
        <w:tc>
          <w:tcPr>
            <w:tcW w:w="1559" w:type="dxa"/>
            <w:shd w:val="clear" w:color="auto" w:fill="DDD9C3" w:themeFill="background2" w:themeFillShade="E6"/>
            <w:vAlign w:val="center"/>
          </w:tcPr>
          <w:p w14:paraId="32200024" w14:textId="77777777" w:rsidR="003C626E" w:rsidRDefault="001A5B20">
            <w:pPr>
              <w:ind w:hanging="111"/>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-298 330 грн</w:t>
            </w:r>
          </w:p>
        </w:tc>
      </w:tr>
      <w:tr w:rsidR="003C626E" w14:paraId="32200029" w14:textId="77777777">
        <w:tc>
          <w:tcPr>
            <w:tcW w:w="2336" w:type="dxa"/>
            <w:tcBorders>
              <w:top w:val="single" w:sz="2" w:space="0" w:color="auto"/>
              <w:left w:val="single" w:sz="2" w:space="0" w:color="auto"/>
              <w:bottom w:val="single" w:sz="4" w:space="0" w:color="auto"/>
              <w:right w:val="single" w:sz="2" w:space="0" w:color="auto"/>
            </w:tcBorders>
            <w:shd w:val="clear" w:color="auto" w:fill="FDE9D9" w:themeFill="accent6" w:themeFillTint="33"/>
            <w:vAlign w:val="center"/>
          </w:tcPr>
          <w:p w14:paraId="32200026" w14:textId="77777777" w:rsidR="003C626E" w:rsidRDefault="001A5B20">
            <w:pPr>
              <w:jc w:val="lef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Оцінка рентабельності</w:t>
            </w:r>
          </w:p>
        </w:tc>
        <w:tc>
          <w:tcPr>
            <w:tcW w:w="5456" w:type="dxa"/>
            <w:tcBorders>
              <w:top w:val="single" w:sz="2" w:space="0" w:color="auto"/>
              <w:left w:val="single" w:sz="2" w:space="0" w:color="auto"/>
              <w:bottom w:val="single" w:sz="4" w:space="0" w:color="auto"/>
              <w:right w:val="single" w:sz="2" w:space="0" w:color="auto"/>
            </w:tcBorders>
            <w:shd w:val="clear" w:color="auto" w:fill="EAF1DD" w:themeFill="accent3" w:themeFillTint="33"/>
            <w:vAlign w:val="center"/>
          </w:tcPr>
          <w:p w14:paraId="32200027" w14:textId="77777777" w:rsidR="003C626E" w:rsidRDefault="001A5B20">
            <w:pPr>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Рентабельність продукції</w:t>
            </w:r>
          </w:p>
        </w:tc>
        <w:tc>
          <w:tcPr>
            <w:tcW w:w="1559" w:type="dxa"/>
            <w:shd w:val="clear" w:color="auto" w:fill="DDD9C3" w:themeFill="background2" w:themeFillShade="E6"/>
            <w:vAlign w:val="center"/>
          </w:tcPr>
          <w:p w14:paraId="32200028" w14:textId="77777777" w:rsidR="003C626E" w:rsidRDefault="001A5B20">
            <w:pPr>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21,98%</w:t>
            </w:r>
          </w:p>
        </w:tc>
      </w:tr>
    </w:tbl>
    <w:p w14:paraId="3220002A" w14:textId="77777777" w:rsidR="003C626E" w:rsidRDefault="001A5B20">
      <w:pPr>
        <w:ind w:firstLine="709"/>
        <w:jc w:val="both"/>
        <w:rPr>
          <w:rFonts w:ascii="Times New Roman" w:eastAsia="Times New Roman" w:hAnsi="Times New Roman" w:cs="Times New Roman"/>
          <w:i/>
          <w:color w:val="0563C1"/>
          <w:u w:val="single"/>
          <w:lang w:eastAsia="ru-RU" w:bidi="ar-SA"/>
        </w:rPr>
      </w:pPr>
      <w:r>
        <w:rPr>
          <w:rFonts w:ascii="Times New Roman" w:eastAsia="Times New Roman" w:hAnsi="Times New Roman" w:cs="Times New Roman"/>
          <w:i/>
          <w:color w:val="auto"/>
          <w:lang w:eastAsia="ru-RU" w:bidi="ar-SA"/>
        </w:rPr>
        <w:t xml:space="preserve">Джерело: </w:t>
      </w:r>
      <w:hyperlink r:id="rId39" w:tooltip="https://opendatabot.ua/c/02774415" w:history="1">
        <w:r>
          <w:rPr>
            <w:rFonts w:ascii="Times New Roman" w:eastAsia="Times New Roman" w:hAnsi="Times New Roman" w:cs="Times New Roman"/>
            <w:i/>
            <w:color w:val="auto"/>
            <w:lang w:val="en-US" w:eastAsia="ru-RU" w:bidi="ar-SA"/>
          </w:rPr>
          <w:t>[42]</w:t>
        </w:r>
      </w:hyperlink>
    </w:p>
    <w:p w14:paraId="3220002B" w14:textId="77777777" w:rsidR="003C626E" w:rsidRDefault="003C626E">
      <w:pPr>
        <w:ind w:firstLine="709"/>
        <w:jc w:val="both"/>
        <w:rPr>
          <w:rFonts w:ascii="Times New Roman" w:eastAsia="Times New Roman" w:hAnsi="Times New Roman" w:cs="Times New Roman"/>
          <w:color w:val="auto"/>
          <w:sz w:val="28"/>
          <w:szCs w:val="28"/>
          <w:lang w:eastAsia="ru-RU" w:bidi="ar-SA"/>
        </w:rPr>
      </w:pPr>
    </w:p>
    <w:p w14:paraId="3220002C"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lastRenderedPageBreak/>
        <w:t>Частка основних засобів в активах підприємства становить 60,79 %, що свідчить про високий рівень матеріальної забезпеченості діяльності закладу. Такий показник означає, що значна частина ресурсів КНП «Міська клінічна лікарня №11» ОМР зосереджена у необоротних активах, насамперед у будівлях, спорудах, медичному обладнанні та транспортних засобах</w:t>
      </w:r>
      <w:r>
        <w:rPr>
          <w:rFonts w:ascii="Microsoft YaHei" w:eastAsia="Microsoft YaHei" w:hAnsi="Microsoft YaHei" w:cs="Microsoft YaHei"/>
        </w:rPr>
        <w:t xml:space="preserve"> </w:t>
      </w:r>
      <w:r>
        <w:rPr>
          <w:rFonts w:ascii="Times New Roman" w:eastAsia="Times New Roman" w:hAnsi="Times New Roman" w:cs="Times New Roman"/>
          <w:color w:val="auto"/>
          <w:sz w:val="28"/>
          <w:szCs w:val="28"/>
          <w:lang w:eastAsia="ru-RU" w:bidi="ar-SA"/>
        </w:rPr>
        <w:t>[4</w:t>
      </w:r>
      <w:r>
        <w:rPr>
          <w:rFonts w:ascii="Times New Roman" w:eastAsia="Times New Roman" w:hAnsi="Times New Roman" w:cs="Times New Roman"/>
          <w:color w:val="auto"/>
          <w:sz w:val="28"/>
          <w:szCs w:val="28"/>
          <w:lang w:val="en-US" w:eastAsia="ru-RU" w:bidi="ar-SA"/>
        </w:rPr>
        <w:t>2</w:t>
      </w:r>
      <w:r>
        <w:rPr>
          <w:rFonts w:ascii="Times New Roman" w:eastAsia="Times New Roman" w:hAnsi="Times New Roman" w:cs="Times New Roman"/>
          <w:color w:val="auto"/>
          <w:sz w:val="28"/>
          <w:szCs w:val="28"/>
          <w:lang w:eastAsia="ru-RU" w:bidi="ar-SA"/>
        </w:rPr>
        <w:t>].</w:t>
      </w:r>
    </w:p>
    <w:p w14:paraId="3220002D"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Це характеризує медичний заклад як капіталомісткий, з орієнтацією на довгострокове використання ресурсів, необхідних для надання медичних послуг. Водночас висока частка основних засобів може свідчити про обмежену гнучкість у структурі активів, тобто меншу частку оборотних коштів, що використовуються для поточної діяльності, закупівель чи оперативного реагування на зміни фінансового середовища.</w:t>
      </w:r>
    </w:p>
    <w:p w14:paraId="3220002E"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Коефіцієнт поточної (загальної) ліквідності становить 0,56, що є нижчим за нормативне значення (1,0 - 2,0). Це свідчить про недостатній рівень забезпеченості поточних зобов’язань оборотними активами.</w:t>
      </w:r>
    </w:p>
    <w:p w14:paraId="3220002F"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Іншими словами, на кожну 1 гривню короткострокових зобов’язань КНП «Міська клінічна лікарня №11» ОМР має лише 0,56 гривні оборотних активів, які можуть бути використані для їх погашення. Такий рівень показника вказує на ризик нестачі ліквідних коштів для своєчасного виконання поточних фінансових зобов’язань та потребує підвищення ефективності управління оборотним капіталом - зокрема, оптимізації запасів, дебіторської заборгованості та грошових потоків.</w:t>
      </w:r>
    </w:p>
    <w:p w14:paraId="32200030"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Коефіцієнт фінансової залежності становить 2,71, що свідчить про високий рівень залучення позикових коштів у структурі капіталу лікарні.</w:t>
      </w:r>
    </w:p>
    <w:p w14:paraId="32200031"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Це означає, що на кожну 1 гривню власного капіталу КНП «Міська клінічна лікарня №11» ОМР припадає 2,71 гривні активів, сформованих за рахунок як власних, так і залучених ресурсів. Такий показник перевищує оптимальні межі (1,5–2,0) і вказує на залежність фінансової стабільності закладу від зовнішніх джерел фінансування, що може підвищувати ризик фінансових ускладнень у разі зменшення обсягів надходжень або затримок у фінансуванні.</w:t>
      </w:r>
    </w:p>
    <w:p w14:paraId="32200032"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lastRenderedPageBreak/>
        <w:t>Для покращення ситуації доцільно посилити роботу над зростанням частки власного капіталу, зокрема шляхом оптимізації витрат і підвищення ефективності використання бюджетних та контрактних надходжень.</w:t>
      </w:r>
    </w:p>
    <w:p w14:paraId="32200033"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Коефіцієнт співвідношення позикових та власних коштів становить 1,71, що означає, що на 1 гривню власного капіталу припадає 1,71 гривні позикових коштів. Такий рівень показника підтверджує достатньо високу залежність КНП «Міська клінічна лікарня №11» ОМР від зовнішніх джерел фінансування, оскільки обсяг зобов’язань перевищує власні ресурси. Оптимальним вважається значення до 1,0, тому перевищення цього рівня вказує на підвищений фінансовий ризик та зниження фінансової стійкості закладу.</w:t>
      </w:r>
    </w:p>
    <w:p w14:paraId="32200034"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Рекомендовано здійснити заходи, спрямовані на зміцнення власного капіталу, раціональне використання позикових коштів і підвищення ефективності управління фінансовими ресурсами.</w:t>
      </w:r>
    </w:p>
    <w:p w14:paraId="32200035"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Поточна платоспроможність КНП «Міська клінічна лікарня №11» ОМР становить -298 330 грн, що свідчить про нестачу оборотних активів для покриття поточних зобов’язань</w:t>
      </w:r>
      <w:r>
        <w:rPr>
          <w:rFonts w:ascii="Microsoft YaHei" w:eastAsia="Microsoft YaHei" w:hAnsi="Microsoft YaHei" w:cs="Microsoft YaHei"/>
        </w:rPr>
        <w:t xml:space="preserve"> </w:t>
      </w:r>
      <w:r>
        <w:rPr>
          <w:rFonts w:ascii="Times New Roman" w:eastAsia="Times New Roman" w:hAnsi="Times New Roman" w:cs="Times New Roman"/>
          <w:color w:val="auto"/>
          <w:sz w:val="28"/>
          <w:szCs w:val="28"/>
          <w:lang w:eastAsia="ru-RU" w:bidi="ar-SA"/>
        </w:rPr>
        <w:t>[</w:t>
      </w:r>
      <w:r>
        <w:rPr>
          <w:rFonts w:ascii="Times New Roman" w:eastAsia="Times New Roman" w:hAnsi="Times New Roman" w:cs="Times New Roman"/>
          <w:color w:val="auto"/>
          <w:sz w:val="28"/>
          <w:szCs w:val="28"/>
          <w:lang w:val="en-US" w:eastAsia="ru-RU" w:bidi="ar-SA"/>
        </w:rPr>
        <w:t>42</w:t>
      </w:r>
      <w:r>
        <w:rPr>
          <w:rFonts w:ascii="Times New Roman" w:eastAsia="Times New Roman" w:hAnsi="Times New Roman" w:cs="Times New Roman"/>
          <w:color w:val="auto"/>
          <w:sz w:val="28"/>
          <w:szCs w:val="28"/>
          <w:lang w:eastAsia="ru-RU" w:bidi="ar-SA"/>
        </w:rPr>
        <w:t>].</w:t>
      </w:r>
    </w:p>
    <w:p w14:paraId="32200036"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Негативне значення показника означає, що заклад має дефіцит ліквідних коштів, необхідних для своєчасного виконання короткострокових фінансових зобов’язань перед постачальниками, працівниками та іншими контрагентами. Це може призвести до тимчасових фінансових труднощів, зниження довіри з боку партнерів і потреби в залученні додаткових джерел фінансування.</w:t>
      </w:r>
    </w:p>
    <w:p w14:paraId="32200037"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Для поліпшення ситуації доцільно:</w:t>
      </w:r>
    </w:p>
    <w:p w14:paraId="32200038"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проаналізувати структуру дебіторської заборгованості та прискорити її погашення;</w:t>
      </w:r>
    </w:p>
    <w:p w14:paraId="32200039"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оптимізувати обсяг запасів і витрат;</w:t>
      </w:r>
    </w:p>
    <w:p w14:paraId="3220003A"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розглянути можливість залучення короткострокових кредитів або підтримки з боку засновника;</w:t>
      </w:r>
    </w:p>
    <w:p w14:paraId="3220003B"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контролювати динаміку поточних зобов’язань, аби уникнути їх подальшого зростання.</w:t>
      </w:r>
    </w:p>
    <w:p w14:paraId="3220003C"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xml:space="preserve">Рентабельність продукції КНП «Міська клінічна лікарня №11» ОМР </w:t>
      </w:r>
      <w:r>
        <w:rPr>
          <w:rFonts w:ascii="Times New Roman" w:eastAsia="Times New Roman" w:hAnsi="Times New Roman" w:cs="Times New Roman"/>
          <w:color w:val="auto"/>
          <w:sz w:val="28"/>
          <w:szCs w:val="28"/>
          <w:lang w:eastAsia="ru-RU" w:bidi="ar-SA"/>
        </w:rPr>
        <w:lastRenderedPageBreak/>
        <w:t>становить 21,98%, що є позитивним показником ефективності діяльності закладу. Це означає, що з кожної гривні доходу, отриманого від реалізації медичних послуг, підприємство має 21,98 копійки прибутку. Такий рівень рентабельності свідчить про достатню ефективність використання ресурсів, контроль за витратами та економічну доцільність надання послуг</w:t>
      </w:r>
      <w:r>
        <w:rPr>
          <w:rFonts w:ascii="Microsoft YaHei" w:eastAsia="Microsoft YaHei" w:hAnsi="Microsoft YaHei" w:cs="Microsoft YaHei"/>
        </w:rPr>
        <w:t xml:space="preserve"> </w:t>
      </w:r>
      <w:r>
        <w:rPr>
          <w:rFonts w:ascii="Times New Roman" w:eastAsia="Times New Roman" w:hAnsi="Times New Roman" w:cs="Times New Roman"/>
          <w:color w:val="auto"/>
          <w:sz w:val="28"/>
          <w:szCs w:val="28"/>
          <w:lang w:eastAsia="ru-RU" w:bidi="ar-SA"/>
        </w:rPr>
        <w:t>[4</w:t>
      </w:r>
      <w:r>
        <w:rPr>
          <w:rFonts w:ascii="Times New Roman" w:eastAsia="Times New Roman" w:hAnsi="Times New Roman" w:cs="Times New Roman"/>
          <w:color w:val="auto"/>
          <w:sz w:val="28"/>
          <w:szCs w:val="28"/>
          <w:lang w:val="en-US" w:eastAsia="ru-RU" w:bidi="ar-SA"/>
        </w:rPr>
        <w:t>2</w:t>
      </w:r>
      <w:r>
        <w:rPr>
          <w:rFonts w:ascii="Times New Roman" w:eastAsia="Times New Roman" w:hAnsi="Times New Roman" w:cs="Times New Roman"/>
          <w:color w:val="auto"/>
          <w:sz w:val="28"/>
          <w:szCs w:val="28"/>
          <w:lang w:eastAsia="ru-RU" w:bidi="ar-SA"/>
        </w:rPr>
        <w:t>].</w:t>
      </w:r>
    </w:p>
    <w:p w14:paraId="3220003D"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Разом з тим, для підтримання або підвищення рентабельності у майбутньому доцільно:</w:t>
      </w:r>
    </w:p>
    <w:p w14:paraId="3220003E"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оптимізувати собівартість медичних послуг без зниження їх якості;</w:t>
      </w:r>
    </w:p>
    <w:p w14:paraId="3220003F"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розширювати спектр платних і високотехнологічних послуг;</w:t>
      </w:r>
    </w:p>
    <w:p w14:paraId="32200040"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забезпечувати стабільне навантаження структурних підрозділів;</w:t>
      </w:r>
    </w:p>
    <w:p w14:paraId="32200041"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підвищувати ефективність управління матеріальними та фінансовими ресурсами.</w:t>
      </w:r>
    </w:p>
    <w:p w14:paraId="32200042"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Узагальнюючи аналіз показників фінансового стану лікарні, можна зробити висновок, що КНП «МКЛ №11» ОМР має ознаки ефективної діяльності за рахунок прибутковості, однак потребує посилення фінансової стабільності, зокрема:</w:t>
      </w:r>
    </w:p>
    <w:p w14:paraId="32200043"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покращення ліквідності та зменшення кредитної залежності;</w:t>
      </w:r>
    </w:p>
    <w:p w14:paraId="32200044"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оптимізації структури активів на користь оборотних;</w:t>
      </w:r>
    </w:p>
    <w:p w14:paraId="32200045"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нарощення власного капіталу та створення резервів ліквідності.</w:t>
      </w:r>
    </w:p>
    <w:p w14:paraId="32200046"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Таким чином, фінансовий стан закладу оцінюється як задовільний, але з ризиком зниження стійкості у разі відсутності коригуючих управлінських дій.</w:t>
      </w:r>
    </w:p>
    <w:p w14:paraId="32200047"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Інформація про публічні фінанси лікарні наведена в таблиці 2.3.</w:t>
      </w:r>
    </w:p>
    <w:p w14:paraId="32200048" w14:textId="77777777" w:rsidR="003C626E" w:rsidRDefault="001A5B20">
      <w:pPr>
        <w:spacing w:line="360" w:lineRule="auto"/>
        <w:ind w:firstLine="709"/>
        <w:jc w:val="right"/>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Таблиця 2.3</w:t>
      </w:r>
    </w:p>
    <w:p w14:paraId="32200049" w14:textId="77777777" w:rsidR="003C626E" w:rsidRDefault="001A5B20">
      <w:pPr>
        <w:spacing w:line="360" w:lineRule="auto"/>
        <w:ind w:firstLine="709"/>
        <w:jc w:val="center"/>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b/>
          <w:color w:val="auto"/>
          <w:sz w:val="28"/>
          <w:szCs w:val="28"/>
          <w:lang w:eastAsia="ru-RU" w:bidi="ar-SA"/>
        </w:rPr>
        <w:t>Публічні фінанси КНП «МКЛ №11» ОМР</w:t>
      </w:r>
    </w:p>
    <w:tbl>
      <w:tblPr>
        <w:tblStyle w:val="110"/>
        <w:tblW w:w="0" w:type="auto"/>
        <w:tblLook w:val="04A0" w:firstRow="1" w:lastRow="0" w:firstColumn="1" w:lastColumn="0" w:noHBand="0" w:noVBand="1"/>
      </w:tblPr>
      <w:tblGrid>
        <w:gridCol w:w="3538"/>
        <w:gridCol w:w="2835"/>
        <w:gridCol w:w="2971"/>
      </w:tblGrid>
      <w:tr w:rsidR="003C626E" w14:paraId="3220004D" w14:textId="77777777">
        <w:tc>
          <w:tcPr>
            <w:tcW w:w="3539" w:type="dxa"/>
            <w:shd w:val="clear" w:color="auto" w:fill="FBD4B4" w:themeFill="accent6" w:themeFillTint="66"/>
            <w:vAlign w:val="center"/>
          </w:tcPr>
          <w:p w14:paraId="3220004A" w14:textId="77777777" w:rsidR="003C626E" w:rsidRDefault="001A5B20">
            <w:pPr>
              <w:widowControl/>
              <w:spacing w:after="100" w:afterAutospacing="1"/>
              <w:jc w:val="center"/>
              <w:outlineLvl w:val="2"/>
              <w:rPr>
                <w:rFonts w:ascii="Times New Roman" w:eastAsia="Times New Roman" w:hAnsi="Times New Roman" w:cs="Times New Roman"/>
                <w:color w:val="212529"/>
                <w:lang w:val="ru-RU" w:bidi="ar-SA"/>
              </w:rPr>
            </w:pPr>
            <w:r>
              <w:rPr>
                <w:rFonts w:ascii="Times New Roman" w:eastAsia="Times New Roman" w:hAnsi="Times New Roman" w:cs="Times New Roman"/>
                <w:color w:val="212529"/>
                <w:lang w:val="ru-RU" w:bidi="ar-SA"/>
              </w:rPr>
              <w:t>Показники</w:t>
            </w:r>
          </w:p>
        </w:tc>
        <w:tc>
          <w:tcPr>
            <w:tcW w:w="2835" w:type="dxa"/>
            <w:tcBorders>
              <w:top w:val="single" w:sz="2" w:space="0" w:color="auto"/>
              <w:left w:val="single" w:sz="2" w:space="0" w:color="auto"/>
              <w:bottom w:val="single" w:sz="4" w:space="0" w:color="auto"/>
              <w:right w:val="single" w:sz="2" w:space="0" w:color="auto"/>
            </w:tcBorders>
            <w:shd w:val="clear" w:color="auto" w:fill="FBD4B4" w:themeFill="accent6" w:themeFillTint="66"/>
            <w:vAlign w:val="center"/>
          </w:tcPr>
          <w:p w14:paraId="3220004B" w14:textId="77777777" w:rsidR="003C626E" w:rsidRDefault="001A5B20">
            <w:pPr>
              <w:widowControl/>
              <w:spacing w:after="100" w:afterAutospacing="1"/>
              <w:jc w:val="center"/>
              <w:outlineLvl w:val="2"/>
              <w:rPr>
                <w:rFonts w:ascii="Times New Roman" w:eastAsia="Times New Roman" w:hAnsi="Times New Roman" w:cs="Times New Roman"/>
                <w:color w:val="212529"/>
                <w:lang w:val="ru-RU" w:bidi="ar-SA"/>
              </w:rPr>
            </w:pPr>
            <w:r>
              <w:rPr>
                <w:rFonts w:ascii="Times New Roman" w:eastAsia="Times New Roman" w:hAnsi="Times New Roman" w:cs="Times New Roman"/>
                <w:lang w:val="ru-RU" w:bidi="ar-SA"/>
              </w:rPr>
              <w:t>2025 рік, грн</w:t>
            </w:r>
          </w:p>
        </w:tc>
        <w:tc>
          <w:tcPr>
            <w:tcW w:w="2971" w:type="dxa"/>
            <w:shd w:val="clear" w:color="auto" w:fill="FBD4B4" w:themeFill="accent6" w:themeFillTint="66"/>
            <w:vAlign w:val="center"/>
          </w:tcPr>
          <w:p w14:paraId="3220004C" w14:textId="77777777" w:rsidR="003C626E" w:rsidRDefault="001A5B20">
            <w:pPr>
              <w:widowControl/>
              <w:spacing w:after="100" w:afterAutospacing="1"/>
              <w:jc w:val="center"/>
              <w:outlineLvl w:val="2"/>
              <w:rPr>
                <w:rFonts w:ascii="Times New Roman" w:eastAsia="Times New Roman" w:hAnsi="Times New Roman" w:cs="Times New Roman"/>
                <w:color w:val="212529"/>
                <w:lang w:val="ru-RU" w:bidi="ar-SA"/>
              </w:rPr>
            </w:pPr>
            <w:r>
              <w:rPr>
                <w:rFonts w:ascii="Times New Roman" w:eastAsia="Times New Roman" w:hAnsi="Times New Roman" w:cs="Times New Roman"/>
                <w:color w:val="212529"/>
                <w:lang w:val="ru-RU" w:bidi="ar-SA"/>
              </w:rPr>
              <w:t>Відсоток від використаного бюджету</w:t>
            </w:r>
          </w:p>
        </w:tc>
      </w:tr>
      <w:tr w:rsidR="003C626E" w14:paraId="32200051" w14:textId="77777777">
        <w:tc>
          <w:tcPr>
            <w:tcW w:w="3539" w:type="dxa"/>
            <w:tcBorders>
              <w:top w:val="single" w:sz="2" w:space="0" w:color="auto"/>
              <w:left w:val="single" w:sz="2" w:space="0" w:color="auto"/>
              <w:bottom w:val="single" w:sz="4" w:space="0" w:color="auto"/>
              <w:right w:val="single" w:sz="2" w:space="0" w:color="auto"/>
            </w:tcBorders>
            <w:shd w:val="clear" w:color="auto" w:fill="EAF1DD" w:themeFill="accent3" w:themeFillTint="33"/>
            <w:vAlign w:val="center"/>
          </w:tcPr>
          <w:p w14:paraId="3220004E" w14:textId="77777777" w:rsidR="003C626E" w:rsidRDefault="001A5B20">
            <w:pPr>
              <w:widowControl/>
              <w:spacing w:after="100" w:afterAutospacing="1"/>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Капітальні трансферти</w:t>
            </w:r>
          </w:p>
        </w:tc>
        <w:tc>
          <w:tcPr>
            <w:tcW w:w="2835"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4F"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72 163 161 </w:t>
            </w:r>
          </w:p>
        </w:tc>
        <w:tc>
          <w:tcPr>
            <w:tcW w:w="2971"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50"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68,1%</w:t>
            </w:r>
          </w:p>
        </w:tc>
      </w:tr>
      <w:tr w:rsidR="003C626E" w14:paraId="32200055" w14:textId="77777777">
        <w:tc>
          <w:tcPr>
            <w:tcW w:w="3539" w:type="dxa"/>
            <w:tcBorders>
              <w:top w:val="single" w:sz="2" w:space="0" w:color="auto"/>
              <w:left w:val="single" w:sz="2" w:space="0" w:color="auto"/>
              <w:bottom w:val="single" w:sz="4" w:space="0" w:color="auto"/>
              <w:right w:val="single" w:sz="2" w:space="0" w:color="auto"/>
            </w:tcBorders>
            <w:shd w:val="clear" w:color="auto" w:fill="EAF1DD" w:themeFill="accent3" w:themeFillTint="33"/>
            <w:vAlign w:val="center"/>
          </w:tcPr>
          <w:p w14:paraId="32200052" w14:textId="77777777" w:rsidR="003C626E" w:rsidRDefault="001A5B20">
            <w:pPr>
              <w:widowControl/>
              <w:spacing w:after="100" w:afterAutospacing="1"/>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Поточні трансферти</w:t>
            </w:r>
          </w:p>
        </w:tc>
        <w:tc>
          <w:tcPr>
            <w:tcW w:w="2835"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53"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25 882 810 </w:t>
            </w:r>
          </w:p>
        </w:tc>
        <w:tc>
          <w:tcPr>
            <w:tcW w:w="2971"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54"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24,4%</w:t>
            </w:r>
          </w:p>
        </w:tc>
      </w:tr>
      <w:tr w:rsidR="003C626E" w14:paraId="32200059" w14:textId="77777777">
        <w:tc>
          <w:tcPr>
            <w:tcW w:w="3539" w:type="dxa"/>
            <w:tcBorders>
              <w:top w:val="single" w:sz="2" w:space="0" w:color="auto"/>
              <w:left w:val="single" w:sz="2" w:space="0" w:color="auto"/>
              <w:bottom w:val="single" w:sz="4" w:space="0" w:color="auto"/>
              <w:right w:val="single" w:sz="2" w:space="0" w:color="auto"/>
            </w:tcBorders>
            <w:shd w:val="clear" w:color="auto" w:fill="EAF1DD" w:themeFill="accent3" w:themeFillTint="33"/>
            <w:vAlign w:val="center"/>
          </w:tcPr>
          <w:p w14:paraId="32200056" w14:textId="77777777" w:rsidR="003C626E" w:rsidRDefault="001A5B20">
            <w:pPr>
              <w:widowControl/>
              <w:spacing w:after="100" w:afterAutospacing="1"/>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Комунальні платежі</w:t>
            </w:r>
          </w:p>
        </w:tc>
        <w:tc>
          <w:tcPr>
            <w:tcW w:w="2835"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57"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6 582 003 </w:t>
            </w:r>
          </w:p>
        </w:tc>
        <w:tc>
          <w:tcPr>
            <w:tcW w:w="2971"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58"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6,2%</w:t>
            </w:r>
          </w:p>
        </w:tc>
      </w:tr>
      <w:tr w:rsidR="003C626E" w14:paraId="3220005D" w14:textId="77777777">
        <w:tc>
          <w:tcPr>
            <w:tcW w:w="3539" w:type="dxa"/>
            <w:tcBorders>
              <w:top w:val="single" w:sz="2" w:space="0" w:color="auto"/>
              <w:left w:val="single" w:sz="2" w:space="0" w:color="auto"/>
              <w:bottom w:val="single" w:sz="4" w:space="0" w:color="auto"/>
              <w:right w:val="single" w:sz="2" w:space="0" w:color="auto"/>
            </w:tcBorders>
            <w:shd w:val="clear" w:color="auto" w:fill="EAF1DD" w:themeFill="accent3" w:themeFillTint="33"/>
            <w:vAlign w:val="center"/>
          </w:tcPr>
          <w:p w14:paraId="3220005A" w14:textId="77777777" w:rsidR="003C626E" w:rsidRDefault="001A5B20">
            <w:pPr>
              <w:widowControl/>
              <w:spacing w:after="100" w:afterAutospacing="1"/>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Оплата за природний газ</w:t>
            </w:r>
          </w:p>
        </w:tc>
        <w:tc>
          <w:tcPr>
            <w:tcW w:w="2835"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5B"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1 198 170</w:t>
            </w:r>
          </w:p>
        </w:tc>
        <w:tc>
          <w:tcPr>
            <w:tcW w:w="2971"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5C"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1,1%</w:t>
            </w:r>
          </w:p>
        </w:tc>
      </w:tr>
      <w:tr w:rsidR="003C626E" w14:paraId="32200061" w14:textId="77777777">
        <w:tc>
          <w:tcPr>
            <w:tcW w:w="3539" w:type="dxa"/>
            <w:tcBorders>
              <w:top w:val="single" w:sz="2" w:space="0" w:color="auto"/>
              <w:left w:val="single" w:sz="2" w:space="0" w:color="auto"/>
              <w:bottom w:val="single" w:sz="4" w:space="0" w:color="auto"/>
              <w:right w:val="single" w:sz="2" w:space="0" w:color="auto"/>
            </w:tcBorders>
            <w:shd w:val="clear" w:color="auto" w:fill="EAF1DD" w:themeFill="accent3" w:themeFillTint="33"/>
            <w:vAlign w:val="center"/>
          </w:tcPr>
          <w:p w14:paraId="3220005E" w14:textId="77777777" w:rsidR="003C626E" w:rsidRDefault="001A5B20">
            <w:pPr>
              <w:widowControl/>
              <w:spacing w:after="100" w:afterAutospacing="1"/>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Обслуговування та ремонт</w:t>
            </w:r>
          </w:p>
        </w:tc>
        <w:tc>
          <w:tcPr>
            <w:tcW w:w="2835"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5F"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120 112 </w:t>
            </w:r>
          </w:p>
        </w:tc>
        <w:tc>
          <w:tcPr>
            <w:tcW w:w="2971"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60"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0,1%</w:t>
            </w:r>
          </w:p>
        </w:tc>
      </w:tr>
      <w:tr w:rsidR="003C626E" w14:paraId="32200065" w14:textId="77777777">
        <w:tc>
          <w:tcPr>
            <w:tcW w:w="3539" w:type="dxa"/>
            <w:tcBorders>
              <w:top w:val="single" w:sz="2" w:space="0" w:color="auto"/>
              <w:left w:val="single" w:sz="2" w:space="0" w:color="auto"/>
              <w:bottom w:val="single" w:sz="4" w:space="0" w:color="auto"/>
              <w:right w:val="single" w:sz="2" w:space="0" w:color="auto"/>
            </w:tcBorders>
            <w:shd w:val="clear" w:color="auto" w:fill="EAF1DD" w:themeFill="accent3" w:themeFillTint="33"/>
            <w:vAlign w:val="center"/>
          </w:tcPr>
          <w:p w14:paraId="32200062" w14:textId="77777777" w:rsidR="003C626E" w:rsidRDefault="001A5B20">
            <w:pPr>
              <w:widowControl/>
              <w:spacing w:after="100" w:afterAutospacing="1"/>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Інше</w:t>
            </w:r>
          </w:p>
        </w:tc>
        <w:tc>
          <w:tcPr>
            <w:tcW w:w="2835"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63"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93 411 </w:t>
            </w:r>
          </w:p>
        </w:tc>
        <w:tc>
          <w:tcPr>
            <w:tcW w:w="2971" w:type="dxa"/>
            <w:tcBorders>
              <w:top w:val="single" w:sz="2" w:space="0" w:color="auto"/>
              <w:left w:val="single" w:sz="2" w:space="0" w:color="auto"/>
              <w:bottom w:val="single" w:sz="4" w:space="0" w:color="auto"/>
              <w:right w:val="single" w:sz="2" w:space="0" w:color="auto"/>
            </w:tcBorders>
            <w:shd w:val="clear" w:color="auto" w:fill="B6DDE8" w:themeFill="accent5" w:themeFillTint="66"/>
            <w:vAlign w:val="center"/>
          </w:tcPr>
          <w:p w14:paraId="32200064" w14:textId="77777777" w:rsidR="003C626E" w:rsidRDefault="001A5B20">
            <w:pPr>
              <w:widowControl/>
              <w:spacing w:after="100" w:afterAutospacing="1"/>
              <w:jc w:val="right"/>
              <w:outlineLvl w:val="2"/>
              <w:rPr>
                <w:rFonts w:ascii="Times New Roman" w:eastAsia="Times New Roman" w:hAnsi="Times New Roman" w:cs="Times New Roman"/>
                <w:color w:val="212529"/>
                <w:sz w:val="27"/>
                <w:szCs w:val="27"/>
                <w:lang w:val="ru-RU" w:bidi="ar-SA"/>
              </w:rPr>
            </w:pPr>
            <w:r>
              <w:rPr>
                <w:rFonts w:ascii="Times New Roman" w:eastAsia="Times New Roman" w:hAnsi="Times New Roman" w:cs="Times New Roman"/>
                <w:lang w:val="ru-RU" w:bidi="ar-SA"/>
              </w:rPr>
              <w:t>0,1%</w:t>
            </w:r>
          </w:p>
        </w:tc>
      </w:tr>
    </w:tbl>
    <w:p w14:paraId="32200066" w14:textId="77777777" w:rsidR="003C626E" w:rsidRDefault="001A5B20">
      <w:pPr>
        <w:ind w:firstLine="709"/>
        <w:jc w:val="both"/>
        <w:rPr>
          <w:rFonts w:ascii="Times New Roman" w:eastAsia="Times New Roman" w:hAnsi="Times New Roman" w:cs="Times New Roman"/>
          <w:i/>
          <w:color w:val="0563C1"/>
          <w:u w:val="single"/>
          <w:lang w:eastAsia="ru-RU" w:bidi="ar-SA"/>
        </w:rPr>
      </w:pPr>
      <w:r>
        <w:rPr>
          <w:rFonts w:ascii="Times New Roman" w:eastAsia="Times New Roman" w:hAnsi="Times New Roman" w:cs="Times New Roman"/>
          <w:i/>
          <w:color w:val="auto"/>
          <w:lang w:eastAsia="ru-RU" w:bidi="ar-SA"/>
        </w:rPr>
        <w:t>Джерело: [4</w:t>
      </w:r>
      <w:r>
        <w:rPr>
          <w:rFonts w:ascii="Times New Roman" w:eastAsia="Times New Roman" w:hAnsi="Times New Roman" w:cs="Times New Roman"/>
          <w:i/>
          <w:color w:val="auto"/>
          <w:lang w:val="en-US" w:eastAsia="ru-RU" w:bidi="ar-SA"/>
        </w:rPr>
        <w:t>2</w:t>
      </w:r>
      <w:r>
        <w:rPr>
          <w:rFonts w:ascii="Times New Roman" w:eastAsia="Times New Roman" w:hAnsi="Times New Roman" w:cs="Times New Roman"/>
          <w:i/>
          <w:color w:val="auto"/>
          <w:lang w:eastAsia="ru-RU" w:bidi="ar-SA"/>
        </w:rPr>
        <w:t>]</w:t>
      </w:r>
    </w:p>
    <w:p w14:paraId="32200067" w14:textId="77777777" w:rsidR="003C626E" w:rsidRDefault="003C626E">
      <w:pPr>
        <w:ind w:firstLine="709"/>
        <w:jc w:val="both"/>
        <w:rPr>
          <w:rFonts w:ascii="Times New Roman" w:eastAsia="Times New Roman" w:hAnsi="Times New Roman" w:cs="Times New Roman"/>
          <w:i/>
          <w:color w:val="0563C1"/>
          <w:u w:val="single"/>
          <w:lang w:eastAsia="ru-RU" w:bidi="ar-SA"/>
        </w:rPr>
      </w:pPr>
    </w:p>
    <w:p w14:paraId="32200068" w14:textId="77777777" w:rsidR="003C626E" w:rsidRDefault="001A5B20">
      <w:pPr>
        <w:spacing w:line="360" w:lineRule="auto"/>
        <w:ind w:firstLine="709"/>
        <w:jc w:val="both"/>
        <w:rPr>
          <w:rFonts w:ascii="Times New Roman" w:eastAsia="Times New Roman" w:hAnsi="Times New Roman" w:cs="Times New Roman"/>
          <w:i/>
          <w:color w:val="0563C1"/>
          <w:u w:val="single"/>
          <w:lang w:eastAsia="ru-RU" w:bidi="ar-SA"/>
        </w:rPr>
      </w:pPr>
      <w:r>
        <w:rPr>
          <w:rFonts w:ascii="Times New Roman" w:eastAsia="Times New Roman" w:hAnsi="Times New Roman" w:cs="Times New Roman"/>
          <w:color w:val="212529"/>
          <w:sz w:val="27"/>
          <w:szCs w:val="27"/>
          <w:lang w:bidi="ar-SA"/>
        </w:rPr>
        <w:lastRenderedPageBreak/>
        <w:t>На рисунку 2.3 продемонстрована структура фінансів, згідно якої переважна частина коштів лікарні надходить у вигляді капітальних трансфертів, майже втричі менше складають поточні трансферти, і незначна питома вага належить коштам, призначеним для оплати комунальних платежів, оплати за природний газ, обслуговування і ремонт та  інше.</w:t>
      </w:r>
    </w:p>
    <w:p w14:paraId="32200069" w14:textId="77777777" w:rsidR="003C626E" w:rsidRDefault="001A5B20">
      <w:pPr>
        <w:spacing w:line="360" w:lineRule="auto"/>
        <w:ind w:firstLine="709"/>
        <w:jc w:val="center"/>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noProof/>
          <w:color w:val="auto"/>
          <w:sz w:val="20"/>
          <w:szCs w:val="20"/>
          <w:lang w:bidi="ar-SA"/>
        </w:rPr>
        <w:drawing>
          <wp:inline distT="0" distB="0" distL="0" distR="0" wp14:anchorId="3220030C" wp14:editId="3220030D">
            <wp:extent cx="4655820" cy="2903220"/>
            <wp:effectExtent l="0" t="0" r="11430" b="11430"/>
            <wp:docPr id="9"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220006A" w14:textId="77777777" w:rsidR="003C626E" w:rsidRDefault="001A5B20">
      <w:pPr>
        <w:spacing w:line="360" w:lineRule="auto"/>
        <w:ind w:firstLine="709"/>
        <w:jc w:val="center"/>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b/>
          <w:color w:val="auto"/>
          <w:sz w:val="28"/>
          <w:szCs w:val="28"/>
          <w:lang w:eastAsia="ru-RU" w:bidi="ar-SA"/>
        </w:rPr>
        <w:t>Рис. 2.3.</w:t>
      </w:r>
      <w:r>
        <w:rPr>
          <w:rFonts w:ascii="Times New Roman" w:eastAsia="Times New Roman" w:hAnsi="Times New Roman" w:cs="Times New Roman"/>
          <w:b/>
          <w:color w:val="auto"/>
          <w:sz w:val="20"/>
          <w:szCs w:val="20"/>
          <w:lang w:val="ru-RU" w:eastAsia="ru-RU" w:bidi="ar-SA"/>
        </w:rPr>
        <w:t xml:space="preserve"> </w:t>
      </w:r>
      <w:r>
        <w:rPr>
          <w:rFonts w:ascii="Times New Roman" w:eastAsia="Times New Roman" w:hAnsi="Times New Roman" w:cs="Times New Roman"/>
          <w:b/>
          <w:color w:val="auto"/>
          <w:sz w:val="28"/>
          <w:szCs w:val="28"/>
          <w:lang w:eastAsia="ru-RU" w:bidi="ar-SA"/>
        </w:rPr>
        <w:t>Структура фінансів КНП «МКЛ №11» ОМР у 2025 році</w:t>
      </w:r>
    </w:p>
    <w:p w14:paraId="3220006B" w14:textId="77777777" w:rsidR="003C626E" w:rsidRDefault="001A5B20">
      <w:pPr>
        <w:ind w:firstLine="709"/>
        <w:jc w:val="both"/>
        <w:rPr>
          <w:rFonts w:ascii="Times New Roman" w:eastAsia="Times New Roman" w:hAnsi="Times New Roman" w:cs="Times New Roman"/>
          <w:i/>
          <w:color w:val="0563C1"/>
          <w:u w:val="single"/>
          <w:lang w:eastAsia="ru-RU" w:bidi="ar-SA"/>
        </w:rPr>
      </w:pPr>
      <w:r>
        <w:rPr>
          <w:rFonts w:ascii="Times New Roman" w:eastAsia="Times New Roman" w:hAnsi="Times New Roman" w:cs="Times New Roman"/>
          <w:i/>
          <w:color w:val="auto"/>
          <w:lang w:eastAsia="ru-RU" w:bidi="ar-SA"/>
        </w:rPr>
        <w:t xml:space="preserve">Джерело: </w:t>
      </w:r>
      <w:r>
        <w:rPr>
          <w:rFonts w:ascii="Times New Roman" w:eastAsia="Microsoft YaHei" w:hAnsi="Times New Roman" w:cs="Times New Roman"/>
          <w:i/>
        </w:rPr>
        <w:t>побудовано автором на основі [4</w:t>
      </w:r>
      <w:r>
        <w:rPr>
          <w:rFonts w:ascii="Times New Roman" w:eastAsia="Microsoft YaHei" w:hAnsi="Times New Roman" w:cs="Times New Roman"/>
          <w:i/>
          <w:lang w:val="en-US"/>
        </w:rPr>
        <w:t>2</w:t>
      </w:r>
      <w:r>
        <w:rPr>
          <w:rFonts w:ascii="Times New Roman" w:eastAsia="Microsoft YaHei" w:hAnsi="Times New Roman" w:cs="Times New Roman"/>
          <w:i/>
        </w:rPr>
        <w:t>]</w:t>
      </w:r>
    </w:p>
    <w:p w14:paraId="3220006C" w14:textId="77777777" w:rsidR="003C626E" w:rsidRDefault="003C626E">
      <w:pPr>
        <w:spacing w:line="360" w:lineRule="auto"/>
        <w:ind w:firstLine="709"/>
        <w:jc w:val="both"/>
        <w:rPr>
          <w:rFonts w:ascii="Times New Roman" w:eastAsia="Times New Roman" w:hAnsi="Times New Roman" w:cs="Times New Roman"/>
          <w:color w:val="auto"/>
          <w:sz w:val="28"/>
          <w:szCs w:val="28"/>
          <w:lang w:eastAsia="ru-RU" w:bidi="ar-SA"/>
        </w:rPr>
      </w:pPr>
    </w:p>
    <w:p w14:paraId="3220006D"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Отже, фінансова структура лікарні має бюджетно-орієнтований характер, адже основна частина надходжень формується за рахунок капітальних трансфертів, спрямованих на підтримку, оновлення та розвиток матеріально-технічної бази закладу. Порівняно менша частка поточних трансфертів свідчить про те, що обсяг фінансування поточної діяльності (заробітна плата, медикаменти, харчування, утримання приміщень) є обмеженим і залежить від рішень органів місцевої влади та розподілу бюджетних асигнувань. Невелика питома вага коштів, призначених для оплати комунальних послуг, енергоносіїв та ремонтів, може свідчити про високий рівень залежності лікарні від бюджетного фінансування і необхідність більш раціонального використання наявних ресурсів для забезпечення стабільного функціонування установи.</w:t>
      </w:r>
    </w:p>
    <w:p w14:paraId="3220006E"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xml:space="preserve">Медичний заклад активно приймає участь у тендерних програмах та </w:t>
      </w:r>
      <w:r>
        <w:rPr>
          <w:rFonts w:ascii="Times New Roman" w:eastAsia="Times New Roman" w:hAnsi="Times New Roman" w:cs="Times New Roman"/>
          <w:color w:val="auto"/>
          <w:sz w:val="28"/>
          <w:szCs w:val="28"/>
          <w:lang w:eastAsia="ru-RU" w:bidi="ar-SA"/>
        </w:rPr>
        <w:lastRenderedPageBreak/>
        <w:t>активно залучає інвестиційні кошти та гуманітарну допомогу (табл. 2.4).</w:t>
      </w:r>
    </w:p>
    <w:p w14:paraId="3220006F" w14:textId="77777777" w:rsidR="003C626E" w:rsidRDefault="001A5B20">
      <w:pPr>
        <w:spacing w:line="360" w:lineRule="auto"/>
        <w:ind w:firstLine="709"/>
        <w:jc w:val="right"/>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Таблиця 2.4</w:t>
      </w:r>
    </w:p>
    <w:p w14:paraId="32200070" w14:textId="77777777" w:rsidR="003C626E" w:rsidRDefault="001A5B20">
      <w:pPr>
        <w:spacing w:line="360" w:lineRule="auto"/>
        <w:ind w:firstLine="709"/>
        <w:jc w:val="right"/>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Участь у тендерах «МКЛ №11» ОМР протягом 2022 - 2025 років, грн</w:t>
      </w:r>
    </w:p>
    <w:tbl>
      <w:tblPr>
        <w:tblStyle w:val="110"/>
        <w:tblW w:w="9351" w:type="dxa"/>
        <w:tblLook w:val="04A0" w:firstRow="1" w:lastRow="0" w:firstColumn="1" w:lastColumn="0" w:noHBand="0" w:noVBand="1"/>
      </w:tblPr>
      <w:tblGrid>
        <w:gridCol w:w="1742"/>
        <w:gridCol w:w="1939"/>
        <w:gridCol w:w="1984"/>
        <w:gridCol w:w="1985"/>
        <w:gridCol w:w="1701"/>
      </w:tblGrid>
      <w:tr w:rsidR="003C626E" w14:paraId="3220007C" w14:textId="77777777">
        <w:tc>
          <w:tcPr>
            <w:tcW w:w="1742" w:type="dxa"/>
            <w:shd w:val="clear" w:color="auto" w:fill="DAEEF3" w:themeFill="accent5" w:themeFillTint="33"/>
          </w:tcPr>
          <w:p w14:paraId="32200071" w14:textId="77777777" w:rsidR="003C626E" w:rsidRDefault="003C626E">
            <w:pPr>
              <w:jc w:val="center"/>
              <w:rPr>
                <w:rFonts w:ascii="Times New Roman" w:eastAsia="Times New Roman" w:hAnsi="Times New Roman" w:cs="Times New Roman"/>
                <w:i/>
                <w:color w:val="auto"/>
                <w:lang w:val="ru-RU" w:eastAsia="ru-RU" w:bidi="ar-SA"/>
              </w:rPr>
            </w:pPr>
          </w:p>
        </w:tc>
        <w:tc>
          <w:tcPr>
            <w:tcW w:w="1939" w:type="dxa"/>
            <w:shd w:val="clear" w:color="auto" w:fill="DAEEF3" w:themeFill="accent5" w:themeFillTint="33"/>
            <w:vAlign w:val="center"/>
          </w:tcPr>
          <w:p w14:paraId="32200072" w14:textId="77777777" w:rsidR="003C626E" w:rsidRDefault="003C626E">
            <w:pPr>
              <w:widowControl/>
              <w:jc w:val="center"/>
              <w:rPr>
                <w:rFonts w:ascii="Times New Roman" w:eastAsia="Times New Roman" w:hAnsi="Times New Roman" w:cs="Times New Roman"/>
                <w:i/>
                <w:color w:val="auto"/>
                <w:lang w:val="ru-RU" w:eastAsia="ru-RU" w:bidi="ar-SA"/>
              </w:rPr>
            </w:pPr>
          </w:p>
          <w:p w14:paraId="32200073" w14:textId="77777777" w:rsidR="003C626E" w:rsidRDefault="001A5B20">
            <w:pPr>
              <w:widowControl/>
              <w:jc w:val="center"/>
              <w:rPr>
                <w:rFonts w:ascii="Times New Roman" w:eastAsia="Times New Roman" w:hAnsi="Times New Roman" w:cs="Times New Roman"/>
                <w:i/>
                <w:color w:val="auto"/>
                <w:lang w:val="ru-RU" w:eastAsia="ru-RU" w:bidi="ar-SA"/>
              </w:rPr>
            </w:pPr>
            <w:r>
              <w:rPr>
                <w:rFonts w:ascii="Times New Roman" w:eastAsia="Times New Roman" w:hAnsi="Times New Roman" w:cs="Times New Roman"/>
                <w:i/>
                <w:color w:val="auto"/>
                <w:lang w:val="ru-RU" w:eastAsia="ru-RU" w:bidi="ar-SA"/>
              </w:rPr>
              <w:t>2022</w:t>
            </w:r>
          </w:p>
          <w:p w14:paraId="32200074" w14:textId="77777777" w:rsidR="003C626E" w:rsidRDefault="003C626E">
            <w:pPr>
              <w:widowControl/>
              <w:jc w:val="center"/>
              <w:rPr>
                <w:rFonts w:ascii="Times New Roman" w:eastAsia="Times New Roman" w:hAnsi="Times New Roman" w:cs="Times New Roman"/>
                <w:i/>
                <w:color w:val="auto"/>
                <w:lang w:val="ru-RU" w:eastAsia="ru-RU" w:bidi="ar-SA"/>
              </w:rPr>
            </w:pPr>
          </w:p>
        </w:tc>
        <w:tc>
          <w:tcPr>
            <w:tcW w:w="1984" w:type="dxa"/>
            <w:shd w:val="clear" w:color="auto" w:fill="DAEEF3" w:themeFill="accent5" w:themeFillTint="33"/>
            <w:vAlign w:val="center"/>
          </w:tcPr>
          <w:p w14:paraId="32200075" w14:textId="77777777" w:rsidR="003C626E" w:rsidRDefault="003C626E">
            <w:pPr>
              <w:widowControl/>
              <w:jc w:val="center"/>
              <w:rPr>
                <w:rFonts w:ascii="Times New Roman" w:eastAsia="Times New Roman" w:hAnsi="Times New Roman" w:cs="Times New Roman"/>
                <w:i/>
                <w:color w:val="auto"/>
                <w:lang w:val="ru-RU" w:eastAsia="ru-RU" w:bidi="ar-SA"/>
              </w:rPr>
            </w:pPr>
          </w:p>
          <w:p w14:paraId="32200076" w14:textId="77777777" w:rsidR="003C626E" w:rsidRDefault="001A5B20">
            <w:pPr>
              <w:widowControl/>
              <w:jc w:val="center"/>
              <w:rPr>
                <w:rFonts w:ascii="Times New Roman" w:eastAsia="Times New Roman" w:hAnsi="Times New Roman" w:cs="Times New Roman"/>
                <w:i/>
                <w:color w:val="auto"/>
                <w:lang w:val="ru-RU" w:eastAsia="ru-RU" w:bidi="ar-SA"/>
              </w:rPr>
            </w:pPr>
            <w:r>
              <w:rPr>
                <w:rFonts w:ascii="Times New Roman" w:eastAsia="Times New Roman" w:hAnsi="Times New Roman" w:cs="Times New Roman"/>
                <w:i/>
                <w:color w:val="auto"/>
                <w:lang w:val="ru-RU" w:eastAsia="ru-RU" w:bidi="ar-SA"/>
              </w:rPr>
              <w:t>2023</w:t>
            </w:r>
          </w:p>
          <w:p w14:paraId="32200077" w14:textId="77777777" w:rsidR="003C626E" w:rsidRDefault="003C626E">
            <w:pPr>
              <w:widowControl/>
              <w:jc w:val="center"/>
              <w:rPr>
                <w:rFonts w:ascii="Times New Roman" w:eastAsia="Times New Roman" w:hAnsi="Times New Roman" w:cs="Times New Roman"/>
                <w:i/>
                <w:color w:val="auto"/>
                <w:lang w:val="ru-RU" w:eastAsia="ru-RU" w:bidi="ar-SA"/>
              </w:rPr>
            </w:pPr>
          </w:p>
        </w:tc>
        <w:tc>
          <w:tcPr>
            <w:tcW w:w="1985" w:type="dxa"/>
            <w:shd w:val="clear" w:color="auto" w:fill="DAEEF3" w:themeFill="accent5" w:themeFillTint="33"/>
            <w:vAlign w:val="center"/>
          </w:tcPr>
          <w:p w14:paraId="32200078" w14:textId="77777777" w:rsidR="003C626E" w:rsidRDefault="003C626E">
            <w:pPr>
              <w:widowControl/>
              <w:jc w:val="center"/>
              <w:rPr>
                <w:rFonts w:ascii="Times New Roman" w:eastAsia="Times New Roman" w:hAnsi="Times New Roman" w:cs="Times New Roman"/>
                <w:i/>
                <w:color w:val="auto"/>
                <w:lang w:val="ru-RU" w:eastAsia="ru-RU" w:bidi="ar-SA"/>
              </w:rPr>
            </w:pPr>
          </w:p>
          <w:p w14:paraId="32200079" w14:textId="77777777" w:rsidR="003C626E" w:rsidRDefault="001A5B20">
            <w:pPr>
              <w:widowControl/>
              <w:jc w:val="center"/>
              <w:rPr>
                <w:rFonts w:ascii="Times New Roman" w:eastAsia="Times New Roman" w:hAnsi="Times New Roman" w:cs="Times New Roman"/>
                <w:i/>
                <w:color w:val="auto"/>
                <w:lang w:val="ru-RU" w:eastAsia="ru-RU" w:bidi="ar-SA"/>
              </w:rPr>
            </w:pPr>
            <w:r>
              <w:rPr>
                <w:rFonts w:ascii="Times New Roman" w:eastAsia="Times New Roman" w:hAnsi="Times New Roman" w:cs="Times New Roman"/>
                <w:i/>
                <w:color w:val="auto"/>
                <w:lang w:val="ru-RU" w:eastAsia="ru-RU" w:bidi="ar-SA"/>
              </w:rPr>
              <w:t>2024</w:t>
            </w:r>
          </w:p>
          <w:p w14:paraId="3220007A" w14:textId="77777777" w:rsidR="003C626E" w:rsidRDefault="003C626E">
            <w:pPr>
              <w:widowControl/>
              <w:jc w:val="center"/>
              <w:rPr>
                <w:rFonts w:ascii="Times New Roman" w:eastAsia="Times New Roman" w:hAnsi="Times New Roman" w:cs="Times New Roman"/>
                <w:i/>
                <w:color w:val="auto"/>
                <w:lang w:val="ru-RU" w:eastAsia="ru-RU" w:bidi="ar-SA"/>
              </w:rPr>
            </w:pPr>
          </w:p>
        </w:tc>
        <w:tc>
          <w:tcPr>
            <w:tcW w:w="1701" w:type="dxa"/>
            <w:shd w:val="clear" w:color="auto" w:fill="DAEEF3" w:themeFill="accent5" w:themeFillTint="33"/>
            <w:vAlign w:val="center"/>
          </w:tcPr>
          <w:p w14:paraId="3220007B" w14:textId="77777777" w:rsidR="003C626E" w:rsidRDefault="001A5B20">
            <w:pPr>
              <w:widowControl/>
              <w:jc w:val="center"/>
              <w:rPr>
                <w:rFonts w:ascii="Times New Roman" w:eastAsia="Times New Roman" w:hAnsi="Times New Roman" w:cs="Times New Roman"/>
                <w:i/>
                <w:color w:val="auto"/>
                <w:lang w:val="ru-RU" w:eastAsia="ru-RU" w:bidi="ar-SA"/>
              </w:rPr>
            </w:pPr>
            <w:r>
              <w:rPr>
                <w:rFonts w:ascii="Times New Roman" w:eastAsia="Times New Roman" w:hAnsi="Times New Roman" w:cs="Times New Roman"/>
                <w:i/>
                <w:color w:val="auto"/>
                <w:lang w:val="ru-RU" w:eastAsia="ru-RU" w:bidi="ar-SA"/>
              </w:rPr>
              <w:t>2025</w:t>
            </w:r>
          </w:p>
        </w:tc>
      </w:tr>
      <w:tr w:rsidR="003C626E" w14:paraId="32200082" w14:textId="77777777">
        <w:tc>
          <w:tcPr>
            <w:tcW w:w="1742" w:type="dxa"/>
            <w:tcBorders>
              <w:top w:val="single" w:sz="2" w:space="0" w:color="auto"/>
              <w:left w:val="single" w:sz="2" w:space="0" w:color="auto"/>
              <w:bottom w:val="single" w:sz="4" w:space="0" w:color="auto"/>
              <w:right w:val="single" w:sz="2" w:space="0" w:color="auto"/>
            </w:tcBorders>
            <w:shd w:val="clear" w:color="auto" w:fill="DDD9C3" w:themeFill="background2" w:themeFillShade="E6"/>
            <w:vAlign w:val="center"/>
          </w:tcPr>
          <w:p w14:paraId="3220007D" w14:textId="77777777" w:rsidR="003C626E" w:rsidRDefault="001A5B20">
            <w:pPr>
              <w:widowControl/>
              <w:rPr>
                <w:rFonts w:ascii="Times New Roman" w:eastAsia="Times New Roman" w:hAnsi="Times New Roman" w:cs="Times New Roman"/>
                <w:color w:val="auto"/>
                <w:lang w:val="ru-RU" w:eastAsia="ru-RU" w:bidi="ar-SA"/>
              </w:rPr>
            </w:pPr>
            <w:r>
              <w:rPr>
                <w:rFonts w:ascii="Times New Roman" w:eastAsia="Times New Roman" w:hAnsi="Times New Roman" w:cs="Times New Roman"/>
                <w:lang w:val="ru-RU" w:bidi="ar-SA"/>
              </w:rPr>
              <w:t>Продажі</w:t>
            </w:r>
          </w:p>
        </w:tc>
        <w:tc>
          <w:tcPr>
            <w:tcW w:w="1939" w:type="dxa"/>
            <w:shd w:val="clear" w:color="auto" w:fill="FBD4B4" w:themeFill="accent6" w:themeFillTint="66"/>
            <w:vAlign w:val="center"/>
          </w:tcPr>
          <w:p w14:paraId="3220007E"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w:t>
            </w:r>
          </w:p>
        </w:tc>
        <w:tc>
          <w:tcPr>
            <w:tcW w:w="1984" w:type="dxa"/>
            <w:shd w:val="clear" w:color="auto" w:fill="FBD4B4" w:themeFill="accent6" w:themeFillTint="66"/>
            <w:vAlign w:val="center"/>
          </w:tcPr>
          <w:p w14:paraId="3220007F"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95 623</w:t>
            </w:r>
          </w:p>
        </w:tc>
        <w:tc>
          <w:tcPr>
            <w:tcW w:w="1985" w:type="dxa"/>
            <w:shd w:val="clear" w:color="auto" w:fill="FBD4B4" w:themeFill="accent6" w:themeFillTint="66"/>
            <w:vAlign w:val="center"/>
          </w:tcPr>
          <w:p w14:paraId="32200080"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1 240</w:t>
            </w:r>
          </w:p>
        </w:tc>
        <w:tc>
          <w:tcPr>
            <w:tcW w:w="1701" w:type="dxa"/>
            <w:shd w:val="clear" w:color="auto" w:fill="FBD4B4" w:themeFill="accent6" w:themeFillTint="66"/>
            <w:vAlign w:val="center"/>
          </w:tcPr>
          <w:p w14:paraId="32200081" w14:textId="77777777" w:rsidR="003C626E" w:rsidRDefault="001A5B20">
            <w:pPr>
              <w:widowControl/>
              <w:ind w:left="-162"/>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1 391 520</w:t>
            </w:r>
          </w:p>
        </w:tc>
      </w:tr>
      <w:tr w:rsidR="003C626E" w14:paraId="32200088" w14:textId="77777777">
        <w:tc>
          <w:tcPr>
            <w:tcW w:w="1742" w:type="dxa"/>
            <w:tcBorders>
              <w:top w:val="single" w:sz="2" w:space="0" w:color="auto"/>
              <w:left w:val="single" w:sz="2" w:space="0" w:color="auto"/>
              <w:bottom w:val="single" w:sz="4" w:space="0" w:color="auto"/>
              <w:right w:val="single" w:sz="2" w:space="0" w:color="auto"/>
            </w:tcBorders>
            <w:shd w:val="clear" w:color="auto" w:fill="DDD9C3" w:themeFill="background2" w:themeFillShade="E6"/>
            <w:vAlign w:val="center"/>
          </w:tcPr>
          <w:p w14:paraId="32200083" w14:textId="77777777" w:rsidR="003C626E" w:rsidRDefault="001A5B20">
            <w:pPr>
              <w:widowControl/>
              <w:rPr>
                <w:rFonts w:ascii="Times New Roman" w:eastAsia="Times New Roman" w:hAnsi="Times New Roman" w:cs="Times New Roman"/>
                <w:color w:val="auto"/>
                <w:lang w:val="ru-RU" w:eastAsia="ru-RU" w:bidi="ar-SA"/>
              </w:rPr>
            </w:pPr>
            <w:r>
              <w:rPr>
                <w:rFonts w:ascii="Times New Roman" w:eastAsia="Times New Roman" w:hAnsi="Times New Roman" w:cs="Times New Roman"/>
                <w:lang w:val="ru-RU" w:bidi="ar-SA"/>
              </w:rPr>
              <w:t>Покупки</w:t>
            </w:r>
          </w:p>
        </w:tc>
        <w:tc>
          <w:tcPr>
            <w:tcW w:w="1939" w:type="dxa"/>
            <w:shd w:val="clear" w:color="auto" w:fill="FBD4B4" w:themeFill="accent6" w:themeFillTint="66"/>
            <w:vAlign w:val="center"/>
          </w:tcPr>
          <w:p w14:paraId="32200084"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262 375 085</w:t>
            </w:r>
          </w:p>
        </w:tc>
        <w:tc>
          <w:tcPr>
            <w:tcW w:w="1984" w:type="dxa"/>
            <w:shd w:val="clear" w:color="auto" w:fill="FBD4B4" w:themeFill="accent6" w:themeFillTint="66"/>
            <w:vAlign w:val="center"/>
          </w:tcPr>
          <w:p w14:paraId="32200085"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117 807 027</w:t>
            </w:r>
          </w:p>
        </w:tc>
        <w:tc>
          <w:tcPr>
            <w:tcW w:w="1985" w:type="dxa"/>
            <w:shd w:val="clear" w:color="auto" w:fill="FBD4B4" w:themeFill="accent6" w:themeFillTint="66"/>
            <w:vAlign w:val="center"/>
          </w:tcPr>
          <w:p w14:paraId="32200086" w14:textId="77777777" w:rsidR="003C626E" w:rsidRDefault="001A5B20">
            <w:pPr>
              <w:widowControl/>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594 557 230</w:t>
            </w:r>
          </w:p>
        </w:tc>
        <w:tc>
          <w:tcPr>
            <w:tcW w:w="1701" w:type="dxa"/>
            <w:shd w:val="clear" w:color="auto" w:fill="FBD4B4" w:themeFill="accent6" w:themeFillTint="66"/>
            <w:vAlign w:val="center"/>
          </w:tcPr>
          <w:p w14:paraId="32200087" w14:textId="77777777" w:rsidR="003C626E" w:rsidRDefault="001A5B20">
            <w:pPr>
              <w:widowControl/>
              <w:ind w:left="-162"/>
              <w:jc w:val="right"/>
              <w:rPr>
                <w:rFonts w:ascii="Times New Roman" w:eastAsia="Times New Roman" w:hAnsi="Times New Roman" w:cs="Times New Roman"/>
                <w:color w:val="auto"/>
                <w:lang w:val="ru-RU" w:eastAsia="ru-RU" w:bidi="ar-SA"/>
              </w:rPr>
            </w:pPr>
            <w:r>
              <w:rPr>
                <w:rFonts w:ascii="Times New Roman" w:eastAsia="Times New Roman" w:hAnsi="Times New Roman" w:cs="Times New Roman"/>
                <w:color w:val="auto"/>
                <w:lang w:val="ru-RU" w:eastAsia="ru-RU" w:bidi="ar-SA"/>
              </w:rPr>
              <w:t>321 310 633</w:t>
            </w:r>
          </w:p>
        </w:tc>
      </w:tr>
    </w:tbl>
    <w:p w14:paraId="32200089" w14:textId="77777777" w:rsidR="003C626E" w:rsidRDefault="001A5B20">
      <w:pPr>
        <w:ind w:firstLine="709"/>
        <w:jc w:val="both"/>
        <w:rPr>
          <w:rFonts w:ascii="Times New Roman" w:eastAsia="Times New Roman" w:hAnsi="Times New Roman" w:cs="Times New Roman"/>
          <w:i/>
          <w:color w:val="0563C1"/>
          <w:u w:val="single"/>
          <w:lang w:eastAsia="ru-RU" w:bidi="ar-SA"/>
        </w:rPr>
      </w:pPr>
      <w:r>
        <w:rPr>
          <w:rFonts w:ascii="Times New Roman" w:eastAsia="Times New Roman" w:hAnsi="Times New Roman" w:cs="Times New Roman"/>
          <w:i/>
          <w:color w:val="auto"/>
          <w:lang w:eastAsia="ru-RU" w:bidi="ar-SA"/>
        </w:rPr>
        <w:t xml:space="preserve">Джерело: </w:t>
      </w:r>
      <w:r>
        <w:rPr>
          <w:rFonts w:ascii="Times New Roman" w:eastAsia="Microsoft YaHei" w:hAnsi="Times New Roman" w:cs="Times New Roman"/>
          <w:i/>
        </w:rPr>
        <w:t>побудовано автором на основі [4</w:t>
      </w:r>
      <w:r>
        <w:rPr>
          <w:rFonts w:ascii="Times New Roman" w:eastAsia="Microsoft YaHei" w:hAnsi="Times New Roman" w:cs="Times New Roman"/>
          <w:i/>
          <w:lang w:val="en-US"/>
        </w:rPr>
        <w:t>2</w:t>
      </w:r>
      <w:r>
        <w:rPr>
          <w:rFonts w:ascii="Times New Roman" w:eastAsia="Microsoft YaHei" w:hAnsi="Times New Roman" w:cs="Times New Roman"/>
          <w:i/>
        </w:rPr>
        <w:t>]</w:t>
      </w:r>
    </w:p>
    <w:p w14:paraId="3220008A" w14:textId="77777777" w:rsidR="003C626E" w:rsidRDefault="003C626E">
      <w:pPr>
        <w:ind w:firstLine="709"/>
        <w:jc w:val="both"/>
        <w:rPr>
          <w:rFonts w:ascii="Times New Roman" w:eastAsia="Times New Roman" w:hAnsi="Times New Roman" w:cs="Times New Roman"/>
          <w:i/>
          <w:color w:val="0563C1"/>
          <w:u w:val="single"/>
          <w:lang w:eastAsia="ru-RU" w:bidi="ar-SA"/>
        </w:rPr>
      </w:pPr>
    </w:p>
    <w:p w14:paraId="3220008B" w14:textId="77777777" w:rsidR="003C626E" w:rsidRDefault="001A5B20">
      <w:pPr>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Динаміка продажів та покупок лікарні не має чіткої тенденції (рис. 2.4).</w:t>
      </w:r>
    </w:p>
    <w:p w14:paraId="3220008C" w14:textId="77777777" w:rsidR="003C626E" w:rsidRDefault="003C626E">
      <w:pPr>
        <w:ind w:firstLine="709"/>
        <w:jc w:val="both"/>
        <w:rPr>
          <w:rFonts w:ascii="Times New Roman" w:eastAsia="Times New Roman" w:hAnsi="Times New Roman" w:cs="Times New Roman"/>
          <w:color w:val="auto"/>
          <w:sz w:val="28"/>
          <w:szCs w:val="28"/>
          <w:lang w:eastAsia="ru-RU" w:bidi="ar-SA"/>
        </w:rPr>
      </w:pPr>
    </w:p>
    <w:p w14:paraId="3220008D" w14:textId="77777777" w:rsidR="003C626E" w:rsidRDefault="001A5B20">
      <w:pPr>
        <w:spacing w:line="360" w:lineRule="auto"/>
        <w:ind w:firstLine="709"/>
        <w:jc w:val="center"/>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noProof/>
          <w:color w:val="auto"/>
          <w:sz w:val="20"/>
          <w:szCs w:val="20"/>
          <w:lang w:bidi="ar-SA"/>
        </w:rPr>
        <w:drawing>
          <wp:inline distT="0" distB="0" distL="0" distR="0" wp14:anchorId="3220030E" wp14:editId="3220030F">
            <wp:extent cx="4472940" cy="2369820"/>
            <wp:effectExtent l="0" t="0" r="3810" b="11430"/>
            <wp:docPr id="10"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220008E" w14:textId="77777777" w:rsidR="003C626E" w:rsidRDefault="001A5B20">
      <w:pPr>
        <w:spacing w:line="360" w:lineRule="auto"/>
        <w:ind w:firstLine="709"/>
        <w:jc w:val="center"/>
        <w:rPr>
          <w:rFonts w:ascii="Times New Roman" w:eastAsia="Times New Roman" w:hAnsi="Times New Roman" w:cs="Times New Roman"/>
          <w:b/>
          <w:color w:val="auto"/>
          <w:sz w:val="28"/>
          <w:szCs w:val="28"/>
          <w:lang w:eastAsia="ru-RU" w:bidi="ar-SA"/>
        </w:rPr>
      </w:pPr>
      <w:r>
        <w:rPr>
          <w:rFonts w:ascii="Times New Roman" w:eastAsia="Times New Roman" w:hAnsi="Times New Roman" w:cs="Times New Roman"/>
          <w:b/>
          <w:color w:val="auto"/>
          <w:sz w:val="28"/>
          <w:szCs w:val="28"/>
          <w:lang w:eastAsia="ru-RU" w:bidi="ar-SA"/>
        </w:rPr>
        <w:t>Рис. 2.4. Динаміка участь у тендерах КНП «МКЛ №11» ОМР протягом 2022 - 2025 років, грн</w:t>
      </w:r>
    </w:p>
    <w:p w14:paraId="3220008F" w14:textId="77777777" w:rsidR="003C626E" w:rsidRDefault="001A5B20">
      <w:pPr>
        <w:ind w:firstLine="709"/>
        <w:jc w:val="both"/>
        <w:rPr>
          <w:rFonts w:ascii="Times New Roman" w:eastAsia="Times New Roman" w:hAnsi="Times New Roman" w:cs="Times New Roman"/>
          <w:i/>
          <w:color w:val="0563C1"/>
          <w:u w:val="single"/>
          <w:lang w:eastAsia="ru-RU" w:bidi="ar-SA"/>
        </w:rPr>
      </w:pPr>
      <w:r>
        <w:rPr>
          <w:rFonts w:ascii="Times New Roman" w:eastAsia="Times New Roman" w:hAnsi="Times New Roman" w:cs="Times New Roman"/>
          <w:i/>
          <w:color w:val="auto"/>
          <w:lang w:eastAsia="ru-RU" w:bidi="ar-SA"/>
        </w:rPr>
        <w:t xml:space="preserve">Джерело: </w:t>
      </w:r>
      <w:r>
        <w:rPr>
          <w:rFonts w:ascii="Times New Roman" w:eastAsia="Microsoft YaHei" w:hAnsi="Times New Roman" w:cs="Times New Roman"/>
          <w:i/>
        </w:rPr>
        <w:t>побудовано автором на основі [4</w:t>
      </w:r>
      <w:r>
        <w:rPr>
          <w:rFonts w:ascii="Times New Roman" w:eastAsia="Microsoft YaHei" w:hAnsi="Times New Roman" w:cs="Times New Roman"/>
          <w:i/>
          <w:lang w:val="en-US"/>
        </w:rPr>
        <w:t>2</w:t>
      </w:r>
      <w:r>
        <w:rPr>
          <w:rFonts w:ascii="Times New Roman" w:eastAsia="Microsoft YaHei" w:hAnsi="Times New Roman" w:cs="Times New Roman"/>
          <w:i/>
        </w:rPr>
        <w:t>]</w:t>
      </w:r>
    </w:p>
    <w:p w14:paraId="32200090" w14:textId="77777777" w:rsidR="003C626E" w:rsidRDefault="003C626E">
      <w:pPr>
        <w:ind w:firstLine="709"/>
        <w:jc w:val="both"/>
        <w:rPr>
          <w:rFonts w:ascii="Times New Roman" w:eastAsia="Times New Roman" w:hAnsi="Times New Roman" w:cs="Times New Roman"/>
          <w:i/>
          <w:color w:val="auto"/>
          <w:sz w:val="28"/>
          <w:szCs w:val="28"/>
          <w:u w:val="single"/>
          <w:lang w:eastAsia="ru-RU" w:bidi="ar-SA"/>
        </w:rPr>
      </w:pPr>
    </w:p>
    <w:p w14:paraId="32200091"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Серед покупок лікарні переважає користування аналітичними послугами, послугами з професійної підготовки у сфері підвищення кваліфікації, придбання обладнання та витратних матеріалів, придбання послуг провайдерів (електронні комунікаційні послуги), послуг із санітарно-гігієнічної обробки приміщень (послуги з виконання робіт по дератизації та дезінсекції), комунальні платежі тощо.</w:t>
      </w:r>
    </w:p>
    <w:p w14:paraId="32200092" w14:textId="77777777" w:rsidR="003C626E" w:rsidRDefault="001A5B20">
      <w:pPr>
        <w:spacing w:line="360" w:lineRule="auto"/>
        <w:ind w:firstLine="709"/>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eastAsia="ru-RU" w:bidi="ar-SA"/>
        </w:rPr>
        <w:t xml:space="preserve">Отже, моніторинг та аналіз фінансового стану КНП «МКЛ №11» ОМР дозволяє дійти висновку, що лікарня надає медичні послуги, використовуючи майно, що перебуває під оперативним управлінням органу місцевого самоврядування. КНП не є бюджетною установою, але зареєстрована як </w:t>
      </w:r>
      <w:r>
        <w:rPr>
          <w:rFonts w:ascii="Times New Roman" w:eastAsia="Times New Roman" w:hAnsi="Times New Roman" w:cs="Times New Roman"/>
          <w:color w:val="auto"/>
          <w:sz w:val="28"/>
          <w:szCs w:val="28"/>
          <w:lang w:eastAsia="ru-RU" w:bidi="ar-SA"/>
        </w:rPr>
        <w:lastRenderedPageBreak/>
        <w:t>неприбуткова організація, тому може надавати платні послуги та сплачувати податки, зокрема, через державно-приватне партнерство. Її фінансовий стан повністю відповідає статусу Комунального некомерційного підприємства та демонструє належний рівень ефективності управління.</w:t>
      </w:r>
    </w:p>
    <w:p w14:paraId="32200093" w14:textId="77777777" w:rsidR="003C626E" w:rsidRDefault="003C626E">
      <w:pPr>
        <w:spacing w:line="360" w:lineRule="auto"/>
        <w:ind w:firstLine="709"/>
        <w:jc w:val="both"/>
        <w:rPr>
          <w:rFonts w:ascii="Times New Roman" w:eastAsia="Times New Roman" w:hAnsi="Times New Roman" w:cs="Times New Roman"/>
          <w:color w:val="auto"/>
          <w:sz w:val="28"/>
          <w:szCs w:val="28"/>
          <w:lang w:eastAsia="ru-RU" w:bidi="ar-SA"/>
        </w:rPr>
      </w:pPr>
    </w:p>
    <w:p w14:paraId="32200094" w14:textId="3E8E225B" w:rsidR="003C626E" w:rsidRDefault="001A5B20">
      <w:pPr>
        <w:tabs>
          <w:tab w:val="left" w:pos="851"/>
        </w:tabs>
        <w:spacing w:line="360" w:lineRule="auto"/>
        <w:ind w:firstLine="709"/>
        <w:jc w:val="both"/>
        <w:rPr>
          <w:rFonts w:ascii="Times New Roman" w:eastAsia="Times New Roman" w:hAnsi="Times New Roman" w:cs="Times New Roman"/>
          <w:b/>
          <w:bCs/>
          <w:color w:val="auto"/>
          <w:sz w:val="28"/>
          <w:szCs w:val="28"/>
          <w:lang w:bidi="ar-SA"/>
        </w:rPr>
      </w:pPr>
      <w:r>
        <w:rPr>
          <w:rFonts w:ascii="Times New Roman" w:eastAsia="Microsoft YaHei" w:hAnsi="Times New Roman" w:cs="Times New Roman"/>
          <w:b/>
          <w:color w:val="auto"/>
          <w:sz w:val="28"/>
          <w:szCs w:val="28"/>
        </w:rPr>
        <w:t xml:space="preserve">2.3. </w:t>
      </w:r>
      <w:r>
        <w:rPr>
          <w:rFonts w:ascii="Times New Roman" w:eastAsia="Times New Roman" w:hAnsi="Times New Roman" w:cs="Times New Roman"/>
          <w:b/>
          <w:bCs/>
          <w:color w:val="auto"/>
          <w:sz w:val="28"/>
          <w:szCs w:val="28"/>
          <w:lang w:bidi="ar-SA"/>
        </w:rPr>
        <w:t xml:space="preserve">Оцінка існуючої системи </w:t>
      </w:r>
      <w:r w:rsidR="001365B6">
        <w:rPr>
          <w:rFonts w:ascii="Times New Roman" w:eastAsia="Times New Roman" w:hAnsi="Times New Roman" w:cs="Times New Roman"/>
          <w:b/>
          <w:bCs/>
          <w:color w:val="auto"/>
          <w:sz w:val="28"/>
          <w:szCs w:val="28"/>
          <w:lang w:bidi="ar-SA"/>
        </w:rPr>
        <w:t>управління</w:t>
      </w:r>
      <w:r>
        <w:rPr>
          <w:rFonts w:ascii="Times New Roman" w:eastAsia="Times New Roman" w:hAnsi="Times New Roman" w:cs="Times New Roman"/>
          <w:b/>
          <w:bCs/>
          <w:color w:val="auto"/>
          <w:sz w:val="28"/>
          <w:szCs w:val="28"/>
          <w:lang w:bidi="ar-SA"/>
        </w:rPr>
        <w:t xml:space="preserve"> як</w:t>
      </w:r>
      <w:r w:rsidR="001365B6">
        <w:rPr>
          <w:rFonts w:ascii="Times New Roman" w:eastAsia="Times New Roman" w:hAnsi="Times New Roman" w:cs="Times New Roman"/>
          <w:b/>
          <w:bCs/>
          <w:color w:val="auto"/>
          <w:sz w:val="28"/>
          <w:szCs w:val="28"/>
          <w:lang w:bidi="ar-SA"/>
        </w:rPr>
        <w:t>і</w:t>
      </w:r>
      <w:r>
        <w:rPr>
          <w:rFonts w:ascii="Times New Roman" w:eastAsia="Times New Roman" w:hAnsi="Times New Roman" w:cs="Times New Roman"/>
          <w:b/>
          <w:bCs/>
          <w:color w:val="auto"/>
          <w:sz w:val="28"/>
          <w:szCs w:val="28"/>
          <w:lang w:bidi="ar-SA"/>
        </w:rPr>
        <w:t>ст</w:t>
      </w:r>
      <w:r w:rsidR="001365B6">
        <w:rPr>
          <w:rFonts w:ascii="Times New Roman" w:eastAsia="Times New Roman" w:hAnsi="Times New Roman" w:cs="Times New Roman"/>
          <w:b/>
          <w:bCs/>
          <w:color w:val="auto"/>
          <w:sz w:val="28"/>
          <w:szCs w:val="28"/>
          <w:lang w:bidi="ar-SA"/>
        </w:rPr>
        <w:t>ю</w:t>
      </w:r>
      <w:r>
        <w:rPr>
          <w:rFonts w:ascii="Times New Roman" w:eastAsia="Times New Roman" w:hAnsi="Times New Roman" w:cs="Times New Roman"/>
          <w:b/>
          <w:bCs/>
          <w:color w:val="auto"/>
          <w:sz w:val="28"/>
          <w:szCs w:val="28"/>
          <w:lang w:bidi="ar-SA"/>
        </w:rPr>
        <w:t xml:space="preserve"> медичних послуг у КНП «Міська клінічна лікарня №11» ОМР</w:t>
      </w:r>
    </w:p>
    <w:p w14:paraId="32200095"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Система контролю якості медичних послуг у КНП «Міська клінічна лікарня №11» Одеської міської ради є складовою частиною управлінської діяльності закладу, спрямованою на забезпечення безперервного підвищення якості надання медичної допомоги, дотримання стандартів та підвищення задоволеності пацієнтів.</w:t>
      </w:r>
      <w:bookmarkStart w:id="0" w:name="_GoBack"/>
      <w:bookmarkEnd w:id="0"/>
    </w:p>
    <w:p w14:paraId="32200096"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Контроль якості здійснюється відповідно до чинного законодавства України, наказів МОЗ, локальних протоколів і внутрішніх положень закладу. Основна мета - гарантувати пацієнтам своєчасне, безпечне та ефективне медичне обслуговування.</w:t>
      </w:r>
    </w:p>
    <w:p w14:paraId="32200097"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У лікарні функціонує </w:t>
      </w:r>
      <w:r>
        <w:rPr>
          <w:rFonts w:ascii="Times New Roman" w:eastAsia="Times New Roman" w:hAnsi="Times New Roman" w:cs="Times New Roman"/>
          <w:bCs/>
          <w:color w:val="auto"/>
          <w:sz w:val="28"/>
          <w:szCs w:val="28"/>
          <w:lang w:bidi="ar-SA"/>
        </w:rPr>
        <w:t>комплексна система управління якістю</w:t>
      </w:r>
      <w:r>
        <w:rPr>
          <w:rFonts w:ascii="Times New Roman" w:eastAsia="Times New Roman" w:hAnsi="Times New Roman" w:cs="Times New Roman"/>
          <w:color w:val="auto"/>
          <w:sz w:val="28"/>
          <w:szCs w:val="28"/>
          <w:lang w:bidi="ar-SA"/>
        </w:rPr>
        <w:t>, що поєднує адміністративні, клінічні, організаційні та інформаційно-аналітичні механізми. Усі елементи системи працюють у тісній взаємодії між собою, що дозволяє забезпечити цілісність процесу надання медичних послуг і контроль на кожному етапі лікування (рис. 2.5).</w:t>
      </w:r>
    </w:p>
    <w:p w14:paraId="32200098" w14:textId="13EABBF1"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Ключову роль у забезпеченні контролю якості відіграють: адміністрація лікарні, комісія з контролю якості медичної допомоги, завідувачі відділень, медичні сестри</w:t>
      </w:r>
      <w:r w:rsidR="00075447">
        <w:rPr>
          <w:rFonts w:ascii="Times New Roman" w:eastAsia="Times New Roman" w:hAnsi="Times New Roman" w:cs="Times New Roman"/>
          <w:color w:val="auto"/>
          <w:sz w:val="28"/>
          <w:szCs w:val="28"/>
          <w:lang w:bidi="ar-SA"/>
        </w:rPr>
        <w:t xml:space="preserve"> та молодший персонал (Додаток А</w:t>
      </w:r>
      <w:r>
        <w:rPr>
          <w:rFonts w:ascii="Times New Roman" w:eastAsia="Times New Roman" w:hAnsi="Times New Roman" w:cs="Times New Roman"/>
          <w:color w:val="auto"/>
          <w:sz w:val="28"/>
          <w:szCs w:val="28"/>
          <w:lang w:bidi="ar-SA"/>
        </w:rPr>
        <w:t>, табл. 2.5).</w:t>
      </w:r>
    </w:p>
    <w:p w14:paraId="32200099" w14:textId="77777777" w:rsidR="003C626E" w:rsidRDefault="003C626E">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p>
    <w:p w14:paraId="3220009A" w14:textId="77777777" w:rsidR="003C626E" w:rsidRDefault="003C626E">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p>
    <w:p w14:paraId="3220009B" w14:textId="77777777" w:rsidR="003C626E" w:rsidRDefault="003C626E">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p>
    <w:p w14:paraId="3220009C" w14:textId="77777777" w:rsidR="003C626E" w:rsidRDefault="003C626E">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p>
    <w:p w14:paraId="3220009D" w14:textId="77777777" w:rsidR="003C626E" w:rsidRDefault="003C626E">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p>
    <w:p w14:paraId="3220009E" w14:textId="77777777" w:rsidR="003C626E" w:rsidRDefault="003C626E">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p>
    <w:p w14:paraId="3220009F" w14:textId="77777777" w:rsidR="003C626E" w:rsidRDefault="003C626E">
      <w:pPr>
        <w:widowControl/>
        <w:tabs>
          <w:tab w:val="left" w:pos="851"/>
        </w:tabs>
        <w:spacing w:line="360" w:lineRule="auto"/>
        <w:jc w:val="both"/>
        <w:rPr>
          <w:rFonts w:ascii="Times New Roman" w:eastAsia="Times New Roman" w:hAnsi="Times New Roman" w:cs="Times New Roman"/>
          <w:color w:val="auto"/>
          <w:sz w:val="28"/>
          <w:szCs w:val="28"/>
          <w:lang w:bidi="ar-SA"/>
        </w:rPr>
      </w:pPr>
    </w:p>
    <w:p w14:paraId="322000A0"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noProof/>
          <w:color w:val="auto"/>
          <w:sz w:val="28"/>
          <w:szCs w:val="28"/>
          <w:lang w:bidi="ar-SA"/>
        </w:rPr>
        <mc:AlternateContent>
          <mc:Choice Requires="wps">
            <w:drawing>
              <wp:anchor distT="0" distB="0" distL="114300" distR="114300" simplePos="0" relativeHeight="251663360" behindDoc="0" locked="0" layoutInCell="1" allowOverlap="1" wp14:anchorId="32200310" wp14:editId="32200311">
                <wp:simplePos x="0" y="0"/>
                <wp:positionH relativeFrom="column">
                  <wp:posOffset>2707005</wp:posOffset>
                </wp:positionH>
                <wp:positionV relativeFrom="paragraph">
                  <wp:posOffset>-468630</wp:posOffset>
                </wp:positionV>
                <wp:extent cx="2926080" cy="762000"/>
                <wp:effectExtent l="0" t="0" r="26670" b="19050"/>
                <wp:wrapNone/>
                <wp:docPr id="11" name="Блок-схема: знак завершення 3"/>
                <wp:cNvGraphicFramePr/>
                <a:graphic xmlns:a="http://schemas.openxmlformats.org/drawingml/2006/main">
                  <a:graphicData uri="http://schemas.microsoft.com/office/word/2010/wordprocessingShape">
                    <wps:wsp>
                      <wps:cNvSpPr/>
                      <wps:spPr bwMode="auto">
                        <a:xfrm>
                          <a:off x="0" y="0"/>
                          <a:ext cx="2926080" cy="762000"/>
                        </a:xfrm>
                        <a:prstGeom prst="flowChartTerminator">
                          <a:avLst/>
                        </a:prstGeom>
                        <a:solidFill>
                          <a:srgbClr val="ED7D31">
                            <a:lumMod val="60000"/>
                            <a:lumOff val="40000"/>
                          </a:srgbClr>
                        </a:solidFill>
                        <a:ln w="12700" cap="flat" cmpd="sng" algn="ctr">
                          <a:solidFill>
                            <a:srgbClr val="5B9BD5">
                              <a:shade val="50000"/>
                            </a:srgbClr>
                          </a:solidFill>
                          <a:prstDash val="solid"/>
                          <a:miter lim="800000"/>
                        </a:ln>
                        <a:effectLst/>
                      </wps:spPr>
                      <wps:txbx>
                        <w:txbxContent>
                          <w:p w14:paraId="3220032A" w14:textId="77777777" w:rsidR="001A5B20" w:rsidRDefault="001A5B20">
                            <w:pPr>
                              <w:jc w:val="center"/>
                            </w:pPr>
                            <w:r>
                              <w:t>Адм</w:t>
                            </w:r>
                            <w:r>
                              <w:rPr>
                                <w:rFonts w:ascii="Calibri" w:hAnsi="Calibri" w:cs="Calibri"/>
                              </w:rPr>
                              <w:t>і</w:t>
                            </w:r>
                            <w:r>
                              <w:t>н</w:t>
                            </w:r>
                            <w:r>
                              <w:rPr>
                                <w:rFonts w:ascii="Calibri" w:hAnsi="Calibri" w:cs="Calibri"/>
                              </w:rPr>
                              <w:t>і</w:t>
                            </w:r>
                            <w:r>
                              <w:t>стративні механ</w:t>
                            </w:r>
                            <w:r>
                              <w:rPr>
                                <w:rFonts w:ascii="Calibri" w:hAnsi="Calibri" w:cs="Calibri"/>
                              </w:rPr>
                              <w:t>і</w:t>
                            </w:r>
                            <w:r>
                              <w:t>зми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200310" id="_x0000_t116" coordsize="21600,21600" o:spt="116" path="m3475,qx,10800,3475,21600l18125,21600qx21600,10800,18125,xe">
                <v:stroke joinstyle="miter"/>
                <v:path gradientshapeok="t" o:connecttype="rect" textboxrect="1018,3163,20582,18437"/>
              </v:shapetype>
              <v:shape id="Блок-схема: знак завершення 3" o:spid="_x0000_s1026" type="#_x0000_t116" style="position:absolute;left:0;text-align:left;margin-left:213.15pt;margin-top:-36.9pt;width:230.4pt;height:6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" fillcolor="#f4b183" strokecolor="#41719c" strokeweight="1pt">
                <v:textbox>
                  <w:txbxContent>
                    <w:p w14:paraId="3220032A" w14:textId="77777777" w:rsidR="001A5B20" w:rsidRDefault="001A5B20">
                      <w:pPr>
                        <w:jc w:val="center"/>
                      </w:pPr>
                      <w:r>
                        <w:t>Адм</w:t>
                      </w:r>
                      <w:r>
                        <w:rPr>
                          <w:rFonts w:ascii="Calibri" w:hAnsi="Calibri" w:cs="Calibri"/>
                        </w:rPr>
                        <w:t>і</w:t>
                      </w:r>
                      <w:r>
                        <w:t>н</w:t>
                      </w:r>
                      <w:r>
                        <w:rPr>
                          <w:rFonts w:ascii="Calibri" w:hAnsi="Calibri" w:cs="Calibri"/>
                        </w:rPr>
                        <w:t>і</w:t>
                      </w:r>
                      <w:r>
                        <w:t>стративні механ</w:t>
                      </w:r>
                      <w:r>
                        <w:rPr>
                          <w:rFonts w:ascii="Calibri" w:hAnsi="Calibri" w:cs="Calibri"/>
                        </w:rPr>
                        <w:t>і</w:t>
                      </w:r>
                      <w:r>
                        <w:t>зми</w:t>
                      </w:r>
                    </w:p>
                  </w:txbxContent>
                </v:textbox>
              </v:shape>
            </w:pict>
          </mc:Fallback>
        </mc:AlternateContent>
      </w:r>
      <w:r>
        <w:rPr>
          <w:rFonts w:ascii="Times New Roman" w:eastAsia="Times New Roman" w:hAnsi="Times New Roman" w:cs="Times New Roman"/>
          <w:noProof/>
          <w:color w:val="auto"/>
          <w:sz w:val="28"/>
          <w:szCs w:val="28"/>
          <w:lang w:bidi="ar-SA"/>
        </w:rPr>
        <mc:AlternateContent>
          <mc:Choice Requires="wpg">
            <w:drawing>
              <wp:anchor distT="0" distB="0" distL="114300" distR="114300" simplePos="0" relativeHeight="251666432" behindDoc="0" locked="0" layoutInCell="1" allowOverlap="1" wp14:anchorId="32200312" wp14:editId="32200313">
                <wp:simplePos x="0" y="0"/>
                <wp:positionH relativeFrom="column">
                  <wp:posOffset>1838325</wp:posOffset>
                </wp:positionH>
                <wp:positionV relativeFrom="paragraph">
                  <wp:posOffset>37465</wp:posOffset>
                </wp:positionV>
                <wp:extent cx="978408" cy="203066"/>
                <wp:effectExtent l="0" t="209550" r="0" b="197485"/>
                <wp:wrapNone/>
                <wp:docPr id="12" name="Стрілка вправо 14"/>
                <wp:cNvGraphicFramePr/>
                <a:graphic xmlns:a="http://schemas.openxmlformats.org/drawingml/2006/main">
                  <a:graphicData uri="http://schemas.microsoft.com/office/word/2010/wordprocessingShape">
                    <wps:wsp>
                      <wps:cNvSpPr/>
                      <wps:spPr bwMode="auto">
                        <a:xfrm rot="19846952">
                          <a:off x="0" y="0"/>
                          <a:ext cx="978408" cy="203066"/>
                        </a:xfrm>
                        <a:prstGeom prst="rightArrow">
                          <a:avLst>
                            <a:gd name="adj1" fmla="val 50000"/>
                            <a:gd name="adj2" fmla="val 50000"/>
                          </a:avLst>
                        </a:prstGeom>
                        <a:solidFill>
                          <a:srgbClr val="ED7D31">
                            <a:lumMod val="20000"/>
                            <a:lumOff val="80000"/>
                          </a:srgbClr>
                        </a:solidFill>
                        <a:ln w="12700" cap="flat" cmpd="sng" algn="ctr">
                          <a:solidFill>
                            <a:srgbClr val="5B9BD5">
                              <a:shade val="50000"/>
                            </a:srgbClr>
                          </a:solidFill>
                          <a:prstDash val="solid"/>
                          <a:miter lim="800000"/>
                        </a:ln>
                        <a:effectLst/>
                      </wps:spPr>
                      <wps:bodyPr rot="0">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 id="shape 6" o:spid="_x0000_s6" o:spt="13" type="#_x0000_t13" style="position:absolute;z-index:251666432;o:allowoverlap:true;o:allowincell:true;mso-position-horizontal-relative:text;margin-left:144.75pt;mso-position-horizontal:absolute;mso-position-vertical-relative:text;margin-top:2.95pt;mso-position-vertical:absolute;width:77.04pt;height:15.99pt;mso-wrap-distance-left:9.00pt;mso-wrap-distance-top:0.00pt;mso-wrap-distance-right:9.00pt;mso-wrap-distance-bottom:0.00pt;rotation:330;visibility:visible;" fillcolor="#FBE1D1" strokecolor="#2D4D6A" strokeweight="1.00pt">
                <v:stroke dashstyle="solid"/>
              </v:shape>
            </w:pict>
          </mc:Fallback>
        </mc:AlternateContent>
      </w:r>
    </w:p>
    <w:p w14:paraId="322000A1"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noProof/>
          <w:color w:val="auto"/>
          <w:sz w:val="28"/>
          <w:szCs w:val="28"/>
          <w:lang w:bidi="ar-SA"/>
        </w:rPr>
        <mc:AlternateContent>
          <mc:Choice Requires="wps">
            <w:drawing>
              <wp:anchor distT="0" distB="0" distL="114300" distR="114300" simplePos="0" relativeHeight="251660288" behindDoc="0" locked="0" layoutInCell="1" allowOverlap="1" wp14:anchorId="32200314" wp14:editId="32200315">
                <wp:simplePos x="0" y="0"/>
                <wp:positionH relativeFrom="column">
                  <wp:posOffset>2696845</wp:posOffset>
                </wp:positionH>
                <wp:positionV relativeFrom="paragraph">
                  <wp:posOffset>62865</wp:posOffset>
                </wp:positionV>
                <wp:extent cx="2979420" cy="758825"/>
                <wp:effectExtent l="0" t="0" r="11430" b="22225"/>
                <wp:wrapNone/>
                <wp:docPr id="13" name="Блок-схема: знак завершення 7"/>
                <wp:cNvGraphicFramePr/>
                <a:graphic xmlns:a="http://schemas.openxmlformats.org/drawingml/2006/main">
                  <a:graphicData uri="http://schemas.microsoft.com/office/word/2010/wordprocessingShape">
                    <wps:wsp>
                      <wps:cNvSpPr/>
                      <wps:spPr bwMode="auto">
                        <a:xfrm>
                          <a:off x="0" y="0"/>
                          <a:ext cx="2979420" cy="758825"/>
                        </a:xfrm>
                        <a:prstGeom prst="flowChartTerminator">
                          <a:avLst/>
                        </a:prstGeom>
                        <a:solidFill>
                          <a:srgbClr val="ED7D31">
                            <a:lumMod val="60000"/>
                            <a:lumOff val="40000"/>
                          </a:srgbClr>
                        </a:solidFill>
                        <a:ln w="12700" cap="flat" cmpd="sng" algn="ctr">
                          <a:solidFill>
                            <a:srgbClr val="5B9BD5">
                              <a:shade val="50000"/>
                            </a:srgbClr>
                          </a:solidFill>
                          <a:prstDash val="solid"/>
                          <a:miter lim="800000"/>
                        </a:ln>
                        <a:effectLst/>
                      </wps:spPr>
                      <wps:txbx>
                        <w:txbxContent>
                          <w:p w14:paraId="3220032B" w14:textId="77777777" w:rsidR="001A5B20" w:rsidRDefault="001A5B20">
                            <w:pPr>
                              <w:jc w:val="center"/>
                            </w:pPr>
                            <w:r>
                              <w:t>Кл</w:t>
                            </w:r>
                            <w:r>
                              <w:rPr>
                                <w:rFonts w:ascii="Calibri" w:hAnsi="Calibri" w:cs="Calibri"/>
                              </w:rPr>
                              <w:t>і</w:t>
                            </w:r>
                            <w:r>
                              <w:t>н</w:t>
                            </w:r>
                            <w:r>
                              <w:rPr>
                                <w:rFonts w:ascii="Calibri" w:hAnsi="Calibri" w:cs="Calibri"/>
                              </w:rPr>
                              <w:t>і</w:t>
                            </w:r>
                            <w:r>
                              <w:t>чні механ</w:t>
                            </w:r>
                            <w:r>
                              <w:rPr>
                                <w:rFonts w:ascii="Calibri" w:hAnsi="Calibri" w:cs="Calibri"/>
                              </w:rPr>
                              <w:t>і</w:t>
                            </w:r>
                            <w:r>
                              <w:t>зми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200314" id="Блок-схема: знак завершення 7" o:spid="_x0000_s1027" type="#_x0000_t116" style="position:absolute;left:0;text-align:left;margin-left:212.35pt;margin-top:4.95pt;width:234.6pt;height:5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" fillcolor="#f4b183" strokecolor="#41719c" strokeweight="1pt">
                <v:textbox>
                  <w:txbxContent>
                    <w:p w14:paraId="3220032B" w14:textId="77777777" w:rsidR="001A5B20" w:rsidRDefault="001A5B20">
                      <w:pPr>
                        <w:jc w:val="center"/>
                      </w:pPr>
                      <w:r>
                        <w:t>Кл</w:t>
                      </w:r>
                      <w:r>
                        <w:rPr>
                          <w:rFonts w:ascii="Calibri" w:hAnsi="Calibri" w:cs="Calibri"/>
                        </w:rPr>
                        <w:t>і</w:t>
                      </w:r>
                      <w:r>
                        <w:t>н</w:t>
                      </w:r>
                      <w:r>
                        <w:rPr>
                          <w:rFonts w:ascii="Calibri" w:hAnsi="Calibri" w:cs="Calibri"/>
                        </w:rPr>
                        <w:t>і</w:t>
                      </w:r>
                      <w:r>
                        <w:t>чні механ</w:t>
                      </w:r>
                      <w:r>
                        <w:rPr>
                          <w:rFonts w:ascii="Calibri" w:hAnsi="Calibri" w:cs="Calibri"/>
                        </w:rPr>
                        <w:t>і</w:t>
                      </w:r>
                      <w:r>
                        <w:t>зми</w:t>
                      </w:r>
                    </w:p>
                  </w:txbxContent>
                </v:textbox>
              </v:shape>
            </w:pict>
          </mc:Fallback>
        </mc:AlternateContent>
      </w:r>
      <w:r>
        <w:rPr>
          <w:rFonts w:ascii="Times New Roman" w:eastAsia="Times New Roman" w:hAnsi="Times New Roman" w:cs="Times New Roman"/>
          <w:noProof/>
          <w:color w:val="auto"/>
          <w:sz w:val="28"/>
          <w:szCs w:val="28"/>
          <w:lang w:bidi="ar-SA"/>
        </w:rPr>
        <mc:AlternateContent>
          <mc:Choice Requires="wps">
            <w:drawing>
              <wp:anchor distT="0" distB="0" distL="114300" distR="114300" simplePos="0" relativeHeight="251659264" behindDoc="0" locked="0" layoutInCell="1" allowOverlap="1" wp14:anchorId="32200316" wp14:editId="7209CBA3">
                <wp:simplePos x="0" y="0"/>
                <wp:positionH relativeFrom="column">
                  <wp:posOffset>144145</wp:posOffset>
                </wp:positionH>
                <wp:positionV relativeFrom="paragraph">
                  <wp:posOffset>62865</wp:posOffset>
                </wp:positionV>
                <wp:extent cx="1996440" cy="1402080"/>
                <wp:effectExtent l="19050" t="19050" r="41910" b="45720"/>
                <wp:wrapNone/>
                <wp:docPr id="14" name="Округлений прямокутник 11"/>
                <wp:cNvGraphicFramePr/>
                <a:graphic xmlns:a="http://schemas.openxmlformats.org/drawingml/2006/main">
                  <a:graphicData uri="http://schemas.microsoft.com/office/word/2010/wordprocessingShape">
                    <wps:wsp>
                      <wps:cNvSpPr/>
                      <wps:spPr bwMode="auto">
                        <a:xfrm>
                          <a:off x="0" y="0"/>
                          <a:ext cx="1996440" cy="1402080"/>
                        </a:xfrm>
                        <a:prstGeom prst="roundRect">
                          <a:avLst>
                            <a:gd name="adj" fmla="val 16667"/>
                          </a:avLst>
                        </a:prstGeom>
                        <a:solidFill>
                          <a:schemeClr val="bg2"/>
                        </a:solidFill>
                        <a:ln w="57150" cap="flat" cmpd="sng" algn="ctr">
                          <a:solidFill>
                            <a:srgbClr val="5B9BD5">
                              <a:shade val="50000"/>
                            </a:srgbClr>
                          </a:solidFill>
                          <a:prstDash val="solid"/>
                          <a:miter lim="800000"/>
                        </a:ln>
                        <a:effectLst/>
                      </wps:spPr>
                      <wps:txbx>
                        <w:txbxContent>
                          <w:p w14:paraId="3220032C" w14:textId="77777777" w:rsidR="001A5B20" w:rsidRDefault="001A5B20">
                            <w:pPr>
                              <w:jc w:val="center"/>
                              <w:rPr>
                                <w:sz w:val="28"/>
                                <w:szCs w:val="28"/>
                                <w14:textOutline w14:w="0" w14:cap="flat" w14:cmpd="sng" w14:algn="ctr">
                                  <w14:noFill/>
                                  <w14:prstDash w14:val="solid"/>
                                  <w14:round/>
                                </w14:textOutline>
                              </w:rPr>
                            </w:pPr>
                            <w:r>
                              <w:rPr>
                                <w:sz w:val="28"/>
                                <w:szCs w:val="28"/>
                                <w14:textOutline w14:w="0" w14:cap="flat" w14:cmpd="sng" w14:algn="ctr">
                                  <w14:noFill/>
                                  <w14:prstDash w14:val="solid"/>
                                  <w14:round/>
                                </w14:textOutline>
                              </w:rPr>
                              <w:t>Комплексна система управл</w:t>
                            </w:r>
                            <w:r>
                              <w:rPr>
                                <w:rFonts w:ascii="Calibri" w:hAnsi="Calibri" w:cs="Calibri"/>
                                <w:sz w:val="28"/>
                                <w:szCs w:val="28"/>
                                <w14:textOutline w14:w="0" w14:cap="flat" w14:cmpd="sng" w14:algn="ctr">
                                  <w14:noFill/>
                                  <w14:prstDash w14:val="solid"/>
                                  <w14:round/>
                                </w14:textOutline>
                              </w:rPr>
                              <w:t>і</w:t>
                            </w:r>
                            <w:r>
                              <w:rPr>
                                <w:sz w:val="28"/>
                                <w:szCs w:val="28"/>
                                <w14:textOutline w14:w="0" w14:cap="flat" w14:cmpd="sng" w14:algn="ctr">
                                  <w14:noFill/>
                                  <w14:prstDash w14:val="solid"/>
                                  <w14:round/>
                                </w14:textOutline>
                              </w:rPr>
                              <w:t>ння як</w:t>
                            </w:r>
                            <w:r>
                              <w:rPr>
                                <w:rFonts w:ascii="Calibri" w:hAnsi="Calibri" w:cs="Calibri"/>
                                <w:sz w:val="28"/>
                                <w:szCs w:val="28"/>
                                <w14:textOutline w14:w="0" w14:cap="flat" w14:cmpd="sng" w14:algn="ctr">
                                  <w14:noFill/>
                                  <w14:prstDash w14:val="solid"/>
                                  <w14:round/>
                                </w14:textOutline>
                              </w:rPr>
                              <w:t>і</w:t>
                            </w:r>
                            <w:r>
                              <w:rPr>
                                <w:sz w:val="28"/>
                                <w:szCs w:val="28"/>
                                <w14:textOutline w14:w="0" w14:cap="flat" w14:cmpd="sng" w14:algn="ctr">
                                  <w14:noFill/>
                                  <w14:prstDash w14:val="solid"/>
                                  <w14:round/>
                                </w14:textOutline>
                              </w:rPr>
                              <w:t>стю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200316" id="Округлений прямокутник 11" o:spid="_x0000_s1028" style="position:absolute;left:0;text-align:left;margin-left:11.35pt;margin-top:4.95pt;width:157.2pt;height:110.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" fillcolor="#eeece1 [3214]" strokecolor="#41719c" strokeweight="4.5pt">
                <v:stroke joinstyle="miter"/>
                <v:textbox>
                  <w:txbxContent>
                    <w:p w14:paraId="3220032C" w14:textId="77777777" w:rsidR="001A5B20" w:rsidRDefault="001A5B20">
                      <w:pPr>
                        <w:jc w:val="center"/>
                        <w:rPr>
                          <w:sz w:val="28"/>
                          <w:szCs w:val="28"/>
                          <w14:textOutline w14:w="0" w14:cap="flat" w14:cmpd="sng" w14:algn="ctr">
                            <w14:noFill/>
                            <w14:prstDash w14:val="solid"/>
                            <w14:round/>
                          </w14:textOutline>
                        </w:rPr>
                      </w:pPr>
                      <w:r>
                        <w:rPr>
                          <w:sz w:val="28"/>
                          <w:szCs w:val="28"/>
                          <w14:textOutline w14:w="0" w14:cap="flat" w14:cmpd="sng" w14:algn="ctr">
                            <w14:noFill/>
                            <w14:prstDash w14:val="solid"/>
                            <w14:round/>
                          </w14:textOutline>
                        </w:rPr>
                        <w:t>Комплексна система управл</w:t>
                      </w:r>
                      <w:r>
                        <w:rPr>
                          <w:rFonts w:ascii="Calibri" w:hAnsi="Calibri" w:cs="Calibri"/>
                          <w:sz w:val="28"/>
                          <w:szCs w:val="28"/>
                          <w14:textOutline w14:w="0" w14:cap="flat" w14:cmpd="sng" w14:algn="ctr">
                            <w14:noFill/>
                            <w14:prstDash w14:val="solid"/>
                            <w14:round/>
                          </w14:textOutline>
                        </w:rPr>
                        <w:t>і</w:t>
                      </w:r>
                      <w:r>
                        <w:rPr>
                          <w:sz w:val="28"/>
                          <w:szCs w:val="28"/>
                          <w14:textOutline w14:w="0" w14:cap="flat" w14:cmpd="sng" w14:algn="ctr">
                            <w14:noFill/>
                            <w14:prstDash w14:val="solid"/>
                            <w14:round/>
                          </w14:textOutline>
                        </w:rPr>
                        <w:t>ння як</w:t>
                      </w:r>
                      <w:r>
                        <w:rPr>
                          <w:rFonts w:ascii="Calibri" w:hAnsi="Calibri" w:cs="Calibri"/>
                          <w:sz w:val="28"/>
                          <w:szCs w:val="28"/>
                          <w14:textOutline w14:w="0" w14:cap="flat" w14:cmpd="sng" w14:algn="ctr">
                            <w14:noFill/>
                            <w14:prstDash w14:val="solid"/>
                            <w14:round/>
                          </w14:textOutline>
                        </w:rPr>
                        <w:t>і</w:t>
                      </w:r>
                      <w:r>
                        <w:rPr>
                          <w:sz w:val="28"/>
                          <w:szCs w:val="28"/>
                          <w14:textOutline w14:w="0" w14:cap="flat" w14:cmpd="sng" w14:algn="ctr">
                            <w14:noFill/>
                            <w14:prstDash w14:val="solid"/>
                            <w14:round/>
                          </w14:textOutline>
                        </w:rPr>
                        <w:t>стю</w:t>
                      </w:r>
                    </w:p>
                  </w:txbxContent>
                </v:textbox>
              </v:roundrect>
            </w:pict>
          </mc:Fallback>
        </mc:AlternateContent>
      </w:r>
    </w:p>
    <w:p w14:paraId="322000A2"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noProof/>
          <w:color w:val="auto"/>
          <w:sz w:val="28"/>
          <w:szCs w:val="28"/>
          <w:lang w:bidi="ar-SA"/>
        </w:rPr>
        <mc:AlternateContent>
          <mc:Choice Requires="wpg">
            <w:drawing>
              <wp:anchor distT="0" distB="0" distL="114300" distR="114300" simplePos="0" relativeHeight="251665408" behindDoc="0" locked="0" layoutInCell="1" allowOverlap="1" wp14:anchorId="32200318" wp14:editId="32200319">
                <wp:simplePos x="0" y="0"/>
                <wp:positionH relativeFrom="column">
                  <wp:posOffset>2125345</wp:posOffset>
                </wp:positionH>
                <wp:positionV relativeFrom="paragraph">
                  <wp:posOffset>83820</wp:posOffset>
                </wp:positionV>
                <wp:extent cx="563880" cy="182880"/>
                <wp:effectExtent l="0" t="19050" r="45720" b="45720"/>
                <wp:wrapNone/>
                <wp:docPr id="15" name="Стрілка вправо 16"/>
                <wp:cNvGraphicFramePr/>
                <a:graphic xmlns:a="http://schemas.openxmlformats.org/drawingml/2006/main">
                  <a:graphicData uri="http://schemas.microsoft.com/office/word/2010/wordprocessingShape">
                    <wps:wsp>
                      <wps:cNvSpPr/>
                      <wps:spPr bwMode="auto">
                        <a:xfrm>
                          <a:off x="0" y="0"/>
                          <a:ext cx="563880" cy="182880"/>
                        </a:xfrm>
                        <a:prstGeom prst="rightArrow">
                          <a:avLst>
                            <a:gd name="adj1" fmla="val 50000"/>
                            <a:gd name="adj2" fmla="val 50000"/>
                          </a:avLst>
                        </a:prstGeom>
                        <a:solidFill>
                          <a:srgbClr val="ED7D31">
                            <a:lumMod val="20000"/>
                            <a:lumOff val="80000"/>
                          </a:srgbClr>
                        </a:solidFill>
                        <a:ln w="12700" cap="flat" cmpd="sng" algn="ctr">
                          <a:solidFill>
                            <a:srgbClr val="5B9BD5">
                              <a:shade val="50000"/>
                            </a:srgbClr>
                          </a:solidFill>
                          <a:prstDash val="solid"/>
                          <a:miter lim="800000"/>
                        </a:ln>
                        <a:effectLst/>
                      </wps:spPr>
                      <wps:bodyPr rot="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 id="shape 9" o:spid="_x0000_s9" o:spt="13" type="#_x0000_t13" style="position:absolute;z-index:251665408;o:allowoverlap:true;o:allowincell:true;mso-position-horizontal-relative:text;margin-left:167.35pt;mso-position-horizontal:absolute;mso-position-vertical-relative:text;margin-top:6.60pt;mso-position-vertical:absolute;width:44.40pt;height:14.40pt;mso-wrap-distance-left:9.00pt;mso-wrap-distance-top:0.00pt;mso-wrap-distance-right:9.00pt;mso-wrap-distance-bottom:0.00pt;visibility:visible;" fillcolor="#FBE1D1" strokecolor="#2D4D6A" strokeweight="1.00pt">
                <v:stroke dashstyle="solid"/>
              </v:shape>
            </w:pict>
          </mc:Fallback>
        </mc:AlternateContent>
      </w:r>
    </w:p>
    <w:p w14:paraId="322000A3"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noProof/>
          <w:color w:val="auto"/>
          <w:sz w:val="28"/>
          <w:szCs w:val="28"/>
          <w:lang w:bidi="ar-SA"/>
        </w:rPr>
        <mc:AlternateContent>
          <mc:Choice Requires="wps">
            <w:drawing>
              <wp:anchor distT="0" distB="0" distL="114300" distR="114300" simplePos="0" relativeHeight="251661312" behindDoc="0" locked="0" layoutInCell="1" allowOverlap="1" wp14:anchorId="3220031A" wp14:editId="3220031B">
                <wp:simplePos x="0" y="0"/>
                <wp:positionH relativeFrom="column">
                  <wp:posOffset>2719705</wp:posOffset>
                </wp:positionH>
                <wp:positionV relativeFrom="paragraph">
                  <wp:posOffset>280035</wp:posOffset>
                </wp:positionV>
                <wp:extent cx="2910840" cy="662940"/>
                <wp:effectExtent l="0" t="0" r="22860" b="22860"/>
                <wp:wrapNone/>
                <wp:docPr id="16" name="Блок-схема: знак завершення 12"/>
                <wp:cNvGraphicFramePr/>
                <a:graphic xmlns:a="http://schemas.openxmlformats.org/drawingml/2006/main">
                  <a:graphicData uri="http://schemas.microsoft.com/office/word/2010/wordprocessingShape">
                    <wps:wsp>
                      <wps:cNvSpPr/>
                      <wps:spPr bwMode="auto">
                        <a:xfrm>
                          <a:off x="0" y="0"/>
                          <a:ext cx="2910840" cy="662940"/>
                        </a:xfrm>
                        <a:prstGeom prst="flowChartTerminator">
                          <a:avLst/>
                        </a:prstGeom>
                        <a:solidFill>
                          <a:srgbClr val="ED7D31">
                            <a:lumMod val="60000"/>
                            <a:lumOff val="40000"/>
                          </a:srgbClr>
                        </a:solidFill>
                        <a:ln w="12700" cap="flat" cmpd="sng" algn="ctr">
                          <a:solidFill>
                            <a:srgbClr val="5B9BD5">
                              <a:shade val="50000"/>
                            </a:srgbClr>
                          </a:solidFill>
                          <a:prstDash val="solid"/>
                          <a:miter lim="800000"/>
                        </a:ln>
                        <a:effectLst/>
                      </wps:spPr>
                      <wps:txbx>
                        <w:txbxContent>
                          <w:p w14:paraId="3220032D" w14:textId="77777777" w:rsidR="001A5B20" w:rsidRDefault="001A5B20">
                            <w:pPr>
                              <w:jc w:val="center"/>
                            </w:pPr>
                            <w:r>
                              <w:t>Орган</w:t>
                            </w:r>
                            <w:r>
                              <w:rPr>
                                <w:rFonts w:ascii="Calibri" w:hAnsi="Calibri" w:cs="Calibri"/>
                              </w:rPr>
                              <w:t>і</w:t>
                            </w:r>
                            <w:r>
                              <w:t>зац</w:t>
                            </w:r>
                            <w:r>
                              <w:rPr>
                                <w:rFonts w:ascii="Calibri" w:hAnsi="Calibri" w:cs="Calibri"/>
                              </w:rPr>
                              <w:t>і</w:t>
                            </w:r>
                            <w:r>
                              <w:t>йні механ</w:t>
                            </w:r>
                            <w:r>
                              <w:rPr>
                                <w:rFonts w:ascii="Calibri" w:hAnsi="Calibri" w:cs="Calibri"/>
                              </w:rPr>
                              <w:t>і</w:t>
                            </w:r>
                            <w:r>
                              <w:t>зми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20031A" id="Блок-схема: знак завершення 12" o:spid="_x0000_s1029" type="#_x0000_t116" style="position:absolute;left:0;text-align:left;margin-left:214.15pt;margin-top:22.05pt;width:229.2pt;height:5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" fillcolor="#f4b183" strokecolor="#41719c" strokeweight="1pt">
                <v:textbox>
                  <w:txbxContent>
                    <w:p w14:paraId="3220032D" w14:textId="77777777" w:rsidR="001A5B20" w:rsidRDefault="001A5B20">
                      <w:pPr>
                        <w:jc w:val="center"/>
                      </w:pPr>
                      <w:r>
                        <w:t>Орган</w:t>
                      </w:r>
                      <w:r>
                        <w:rPr>
                          <w:rFonts w:ascii="Calibri" w:hAnsi="Calibri" w:cs="Calibri"/>
                        </w:rPr>
                        <w:t>і</w:t>
                      </w:r>
                      <w:r>
                        <w:t>зац</w:t>
                      </w:r>
                      <w:r>
                        <w:rPr>
                          <w:rFonts w:ascii="Calibri" w:hAnsi="Calibri" w:cs="Calibri"/>
                        </w:rPr>
                        <w:t>і</w:t>
                      </w:r>
                      <w:r>
                        <w:t>йні механ</w:t>
                      </w:r>
                      <w:r>
                        <w:rPr>
                          <w:rFonts w:ascii="Calibri" w:hAnsi="Calibri" w:cs="Calibri"/>
                        </w:rPr>
                        <w:t>і</w:t>
                      </w:r>
                      <w:r>
                        <w:t>зми</w:t>
                      </w:r>
                    </w:p>
                  </w:txbxContent>
                </v:textbox>
              </v:shape>
            </w:pict>
          </mc:Fallback>
        </mc:AlternateContent>
      </w:r>
    </w:p>
    <w:p w14:paraId="322000A4"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noProof/>
          <w:color w:val="auto"/>
          <w:sz w:val="28"/>
          <w:szCs w:val="28"/>
          <w:lang w:bidi="ar-SA"/>
        </w:rPr>
        <mc:AlternateContent>
          <mc:Choice Requires="wpg">
            <w:drawing>
              <wp:anchor distT="0" distB="0" distL="114300" distR="114300" simplePos="0" relativeHeight="251667456" behindDoc="0" locked="0" layoutInCell="1" allowOverlap="1" wp14:anchorId="3220031C" wp14:editId="3220031D">
                <wp:simplePos x="0" y="0"/>
                <wp:positionH relativeFrom="column">
                  <wp:posOffset>2125345</wp:posOffset>
                </wp:positionH>
                <wp:positionV relativeFrom="paragraph">
                  <wp:posOffset>163830</wp:posOffset>
                </wp:positionV>
                <wp:extent cx="579120" cy="175260"/>
                <wp:effectExtent l="0" t="19050" r="30480" b="34290"/>
                <wp:wrapNone/>
                <wp:docPr id="17" name="Стрілка вправо 17"/>
                <wp:cNvGraphicFramePr/>
                <a:graphic xmlns:a="http://schemas.openxmlformats.org/drawingml/2006/main">
                  <a:graphicData uri="http://schemas.microsoft.com/office/word/2010/wordprocessingShape">
                    <wps:wsp>
                      <wps:cNvSpPr/>
                      <wps:spPr bwMode="auto">
                        <a:xfrm>
                          <a:off x="0" y="0"/>
                          <a:ext cx="579120" cy="175260"/>
                        </a:xfrm>
                        <a:prstGeom prst="rightArrow">
                          <a:avLst>
                            <a:gd name="adj1" fmla="val 50000"/>
                            <a:gd name="adj2" fmla="val 50000"/>
                          </a:avLst>
                        </a:prstGeom>
                        <a:solidFill>
                          <a:srgbClr val="ED7D31">
                            <a:lumMod val="20000"/>
                            <a:lumOff val="80000"/>
                          </a:srgbClr>
                        </a:solidFill>
                        <a:ln w="12700" cap="flat" cmpd="sng" algn="ctr">
                          <a:solidFill>
                            <a:srgbClr val="5B9BD5">
                              <a:shade val="50000"/>
                            </a:srgbClr>
                          </a:solidFill>
                          <a:prstDash val="solid"/>
                          <a:miter lim="800000"/>
                        </a:ln>
                        <a:effectLst/>
                      </wps:spPr>
                      <wps:bodyPr rot="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 id="shape 11" o:spid="_x0000_s11" o:spt="13" type="#_x0000_t13" style="position:absolute;z-index:251667456;o:allowoverlap:true;o:allowincell:true;mso-position-horizontal-relative:text;margin-left:167.35pt;mso-position-horizontal:absolute;mso-position-vertical-relative:text;margin-top:12.90pt;mso-position-vertical:absolute;width:45.60pt;height:13.80pt;mso-wrap-distance-left:9.00pt;mso-wrap-distance-top:0.00pt;mso-wrap-distance-right:9.00pt;mso-wrap-distance-bottom:0.00pt;visibility:visible;" fillcolor="#FBE1D1" strokecolor="#2D4D6A" strokeweight="1.00pt">
                <v:stroke dashstyle="solid"/>
              </v:shape>
            </w:pict>
          </mc:Fallback>
        </mc:AlternateContent>
      </w:r>
    </w:p>
    <w:p w14:paraId="322000A5" w14:textId="77777777" w:rsidR="003C626E" w:rsidRDefault="003C626E">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p>
    <w:p w14:paraId="322000A6"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noProof/>
          <w:color w:val="auto"/>
          <w:sz w:val="28"/>
          <w:szCs w:val="28"/>
          <w:lang w:bidi="ar-SA"/>
        </w:rPr>
        <mc:AlternateContent>
          <mc:Choice Requires="wpg">
            <w:drawing>
              <wp:anchor distT="0" distB="0" distL="114300" distR="114300" simplePos="0" relativeHeight="251664384" behindDoc="0" locked="0" layoutInCell="1" allowOverlap="1" wp14:anchorId="3220031E" wp14:editId="3220031F">
                <wp:simplePos x="0" y="0"/>
                <wp:positionH relativeFrom="column">
                  <wp:posOffset>1865178</wp:posOffset>
                </wp:positionH>
                <wp:positionV relativeFrom="paragraph">
                  <wp:posOffset>34104</wp:posOffset>
                </wp:positionV>
                <wp:extent cx="1008380" cy="207790"/>
                <wp:effectExtent l="0" t="209550" r="0" b="211454"/>
                <wp:wrapNone/>
                <wp:docPr id="18" name="Стрілка вправо 15"/>
                <wp:cNvGraphicFramePr/>
                <a:graphic xmlns:a="http://schemas.openxmlformats.org/drawingml/2006/main">
                  <a:graphicData uri="http://schemas.microsoft.com/office/word/2010/wordprocessingShape">
                    <wps:wsp>
                      <wps:cNvSpPr/>
                      <wps:spPr bwMode="auto">
                        <a:xfrm rot="1723107">
                          <a:off x="0" y="0"/>
                          <a:ext cx="1008380" cy="207790"/>
                        </a:xfrm>
                        <a:prstGeom prst="rightArrow">
                          <a:avLst>
                            <a:gd name="adj1" fmla="val 50000"/>
                            <a:gd name="adj2" fmla="val 50000"/>
                          </a:avLst>
                        </a:prstGeom>
                        <a:solidFill>
                          <a:srgbClr val="ED7D31">
                            <a:lumMod val="20000"/>
                            <a:lumOff val="80000"/>
                          </a:srgbClr>
                        </a:solidFill>
                        <a:ln w="12700" cap="flat" cmpd="sng" algn="ctr">
                          <a:solidFill>
                            <a:srgbClr val="5B9BD5">
                              <a:shade val="50000"/>
                            </a:srgbClr>
                          </a:solidFill>
                          <a:prstDash val="solid"/>
                          <a:miter lim="800000"/>
                        </a:ln>
                        <a:effectLst/>
                      </wps:spPr>
                      <wps:bodyPr rot="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http://schemas.openxmlformats.org/drawingml/2006/main">
            <w:pict>
              <v:shape id="shape 12" o:spid="_x0000_s12" o:spt="13" type="#_x0000_t13" style="position:absolute;z-index:251664384;o:allowoverlap:true;o:allowincell:true;mso-position-horizontal-relative:text;margin-left:146.86pt;mso-position-horizontal:absolute;mso-position-vertical-relative:text;margin-top:2.69pt;mso-position-vertical:absolute;width:79.40pt;height:16.36pt;mso-wrap-distance-left:9.00pt;mso-wrap-distance-top:0.00pt;mso-wrap-distance-right:9.00pt;mso-wrap-distance-bottom:0.00pt;rotation:28;visibility:visible;" fillcolor="#FBE1D1" strokecolor="#2D4D6A" strokeweight="1.00pt">
                <v:stroke dashstyle="solid"/>
              </v:shape>
            </w:pict>
          </mc:Fallback>
        </mc:AlternateContent>
      </w:r>
      <w:r>
        <w:rPr>
          <w:rFonts w:ascii="Times New Roman" w:eastAsia="Times New Roman" w:hAnsi="Times New Roman" w:cs="Times New Roman"/>
          <w:noProof/>
          <w:color w:val="auto"/>
          <w:sz w:val="28"/>
          <w:szCs w:val="28"/>
          <w:lang w:bidi="ar-SA"/>
        </w:rPr>
        <mc:AlternateContent>
          <mc:Choice Requires="wps">
            <w:drawing>
              <wp:anchor distT="0" distB="0" distL="114300" distR="114300" simplePos="0" relativeHeight="251662336" behindDoc="0" locked="0" layoutInCell="1" allowOverlap="1" wp14:anchorId="32200320" wp14:editId="32200321">
                <wp:simplePos x="0" y="0"/>
                <wp:positionH relativeFrom="column">
                  <wp:posOffset>2719705</wp:posOffset>
                </wp:positionH>
                <wp:positionV relativeFrom="paragraph">
                  <wp:posOffset>93345</wp:posOffset>
                </wp:positionV>
                <wp:extent cx="3001338" cy="845820"/>
                <wp:effectExtent l="0" t="0" r="27940" b="11430"/>
                <wp:wrapNone/>
                <wp:docPr id="19" name="Блок-схема: знак завершення 13"/>
                <wp:cNvGraphicFramePr/>
                <a:graphic xmlns:a="http://schemas.openxmlformats.org/drawingml/2006/main">
                  <a:graphicData uri="http://schemas.microsoft.com/office/word/2010/wordprocessingShape">
                    <wps:wsp>
                      <wps:cNvSpPr/>
                      <wps:spPr bwMode="auto">
                        <a:xfrm>
                          <a:off x="0" y="0"/>
                          <a:ext cx="3001338" cy="845820"/>
                        </a:xfrm>
                        <a:prstGeom prst="flowChartTerminator">
                          <a:avLst/>
                        </a:prstGeom>
                        <a:solidFill>
                          <a:srgbClr val="ED7D31">
                            <a:lumMod val="60000"/>
                            <a:lumOff val="40000"/>
                          </a:srgbClr>
                        </a:solidFill>
                        <a:ln w="12700" cap="flat" cmpd="sng" algn="ctr">
                          <a:solidFill>
                            <a:srgbClr val="5B9BD5">
                              <a:shade val="50000"/>
                            </a:srgbClr>
                          </a:solidFill>
                          <a:prstDash val="solid"/>
                          <a:miter lim="800000"/>
                        </a:ln>
                        <a:effectLst/>
                      </wps:spPr>
                      <wps:txbx>
                        <w:txbxContent>
                          <w:p w14:paraId="3220032E" w14:textId="77777777" w:rsidR="001A5B20" w:rsidRDefault="001A5B20">
                            <w:pPr>
                              <w:jc w:val="center"/>
                            </w:pPr>
                            <w:r>
                              <w:rPr>
                                <w:rFonts w:ascii="Calibri" w:hAnsi="Calibri" w:cs="Calibri"/>
                              </w:rPr>
                              <w:t>І</w:t>
                            </w:r>
                            <w:r>
                              <w:t>нформац</w:t>
                            </w:r>
                            <w:r>
                              <w:rPr>
                                <w:rFonts w:ascii="Calibri" w:hAnsi="Calibri" w:cs="Calibri"/>
                              </w:rPr>
                              <w:t>і</w:t>
                            </w:r>
                            <w:r>
                              <w:t>йно-анал</w:t>
                            </w:r>
                            <w:r>
                              <w:rPr>
                                <w:rFonts w:ascii="Calibri" w:hAnsi="Calibri" w:cs="Calibri"/>
                              </w:rPr>
                              <w:t>і</w:t>
                            </w:r>
                            <w:r>
                              <w:t>тичні механ</w:t>
                            </w:r>
                            <w:r>
                              <w:rPr>
                                <w:rFonts w:ascii="Calibri" w:hAnsi="Calibri" w:cs="Calibri"/>
                              </w:rPr>
                              <w:t>і</w:t>
                            </w:r>
                            <w:r>
                              <w:t>зми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200320" id="Блок-схема: знак завершення 13" o:spid="_x0000_s1030" type="#_x0000_t116" style="position:absolute;left:0;text-align:left;margin-left:214.15pt;margin-top:7.35pt;width:236.35pt;height:66.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" fillcolor="#f4b183" strokecolor="#41719c" strokeweight="1pt">
                <v:textbox>
                  <w:txbxContent>
                    <w:p w14:paraId="3220032E" w14:textId="77777777" w:rsidR="001A5B20" w:rsidRDefault="001A5B20">
                      <w:pPr>
                        <w:jc w:val="center"/>
                      </w:pPr>
                      <w:r>
                        <w:rPr>
                          <w:rFonts w:ascii="Calibri" w:hAnsi="Calibri" w:cs="Calibri"/>
                        </w:rPr>
                        <w:t>І</w:t>
                      </w:r>
                      <w:r>
                        <w:t>нформац</w:t>
                      </w:r>
                      <w:r>
                        <w:rPr>
                          <w:rFonts w:ascii="Calibri" w:hAnsi="Calibri" w:cs="Calibri"/>
                        </w:rPr>
                        <w:t>і</w:t>
                      </w:r>
                      <w:r>
                        <w:t>йно-анал</w:t>
                      </w:r>
                      <w:r>
                        <w:rPr>
                          <w:rFonts w:ascii="Calibri" w:hAnsi="Calibri" w:cs="Calibri"/>
                        </w:rPr>
                        <w:t>і</w:t>
                      </w:r>
                      <w:r>
                        <w:t>тичні механ</w:t>
                      </w:r>
                      <w:r>
                        <w:rPr>
                          <w:rFonts w:ascii="Calibri" w:hAnsi="Calibri" w:cs="Calibri"/>
                        </w:rPr>
                        <w:t>і</w:t>
                      </w:r>
                      <w:r>
                        <w:t>зми</w:t>
                      </w:r>
                    </w:p>
                  </w:txbxContent>
                </v:textbox>
              </v:shape>
            </w:pict>
          </mc:Fallback>
        </mc:AlternateContent>
      </w:r>
    </w:p>
    <w:p w14:paraId="322000A7" w14:textId="77777777" w:rsidR="003C626E" w:rsidRDefault="003C626E">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p>
    <w:p w14:paraId="322000A8" w14:textId="77777777" w:rsidR="003C626E" w:rsidRDefault="003C626E">
      <w:pPr>
        <w:widowControl/>
        <w:tabs>
          <w:tab w:val="left" w:pos="851"/>
        </w:tabs>
        <w:spacing w:line="360" w:lineRule="auto"/>
        <w:ind w:firstLine="709"/>
        <w:jc w:val="both"/>
        <w:rPr>
          <w:rFonts w:ascii="Times New Roman" w:eastAsia="Times New Roman" w:hAnsi="Times New Roman" w:cs="Times New Roman"/>
          <w:b/>
          <w:color w:val="auto"/>
          <w:sz w:val="28"/>
          <w:szCs w:val="28"/>
          <w:lang w:bidi="ar-SA"/>
        </w:rPr>
      </w:pPr>
    </w:p>
    <w:p w14:paraId="322000A9" w14:textId="77777777" w:rsidR="003C626E" w:rsidRDefault="003C626E">
      <w:pPr>
        <w:widowControl/>
        <w:tabs>
          <w:tab w:val="left" w:pos="851"/>
        </w:tabs>
        <w:spacing w:line="360" w:lineRule="auto"/>
        <w:ind w:firstLine="709"/>
        <w:jc w:val="both"/>
        <w:rPr>
          <w:rFonts w:ascii="Times New Roman" w:eastAsia="Times New Roman" w:hAnsi="Times New Roman" w:cs="Times New Roman"/>
          <w:b/>
          <w:color w:val="auto"/>
          <w:sz w:val="28"/>
          <w:szCs w:val="28"/>
          <w:lang w:bidi="ar-SA"/>
        </w:rPr>
      </w:pPr>
    </w:p>
    <w:p w14:paraId="322000AA" w14:textId="77777777" w:rsidR="003C626E" w:rsidRDefault="001A5B20">
      <w:pPr>
        <w:widowControl/>
        <w:tabs>
          <w:tab w:val="left" w:pos="851"/>
        </w:tabs>
        <w:spacing w:line="360" w:lineRule="auto"/>
        <w:ind w:firstLine="709"/>
        <w:jc w:val="center"/>
        <w:rPr>
          <w:rFonts w:ascii="Times New Roman" w:eastAsia="Times New Roman" w:hAnsi="Times New Roman" w:cs="Times New Roman"/>
          <w:b/>
          <w:color w:val="auto"/>
          <w:sz w:val="28"/>
          <w:szCs w:val="28"/>
          <w:lang w:bidi="ar-SA"/>
        </w:rPr>
      </w:pPr>
      <w:r>
        <w:rPr>
          <w:rFonts w:ascii="Times New Roman" w:eastAsia="Times New Roman" w:hAnsi="Times New Roman" w:cs="Times New Roman"/>
          <w:b/>
          <w:color w:val="auto"/>
          <w:sz w:val="28"/>
          <w:szCs w:val="28"/>
          <w:lang w:bidi="ar-SA"/>
        </w:rPr>
        <w:t xml:space="preserve">Рис. 2.5. Механізми функціонування комплексної системи управління якістю медичних послуг у КНП «Міська клінічна лікарня №11» ОМР </w:t>
      </w:r>
    </w:p>
    <w:p w14:paraId="322000AB" w14:textId="77777777" w:rsidR="003C626E" w:rsidRDefault="001A5B20">
      <w:pPr>
        <w:widowControl/>
        <w:tabs>
          <w:tab w:val="left" w:pos="851"/>
        </w:tabs>
        <w:spacing w:line="360" w:lineRule="auto"/>
        <w:ind w:firstLine="709"/>
        <w:jc w:val="both"/>
        <w:rPr>
          <w:rFonts w:ascii="Times New Roman" w:eastAsia="Times New Roman" w:hAnsi="Times New Roman" w:cs="Times New Roman"/>
          <w:i/>
          <w:color w:val="auto"/>
          <w:lang w:bidi="ar-SA"/>
        </w:rPr>
      </w:pPr>
      <w:r>
        <w:rPr>
          <w:rFonts w:ascii="Times New Roman" w:eastAsia="Times New Roman" w:hAnsi="Times New Roman" w:cs="Times New Roman"/>
          <w:i/>
          <w:color w:val="auto"/>
          <w:lang w:bidi="ar-SA"/>
        </w:rPr>
        <w:t>Джерело: побудовано автором</w:t>
      </w:r>
    </w:p>
    <w:p w14:paraId="322000AC" w14:textId="77777777" w:rsidR="003C626E" w:rsidRDefault="001A5B20">
      <w:pPr>
        <w:widowControl/>
        <w:tabs>
          <w:tab w:val="left" w:pos="851"/>
        </w:tabs>
        <w:spacing w:line="360" w:lineRule="auto"/>
        <w:ind w:firstLine="709"/>
        <w:jc w:val="right"/>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Таблиця 2.5</w:t>
      </w:r>
    </w:p>
    <w:p w14:paraId="322000AD" w14:textId="77777777" w:rsidR="003C626E" w:rsidRDefault="001A5B20">
      <w:pPr>
        <w:widowControl/>
        <w:tabs>
          <w:tab w:val="left" w:pos="851"/>
        </w:tabs>
        <w:spacing w:line="360" w:lineRule="auto"/>
        <w:ind w:firstLine="709"/>
        <w:jc w:val="center"/>
        <w:rPr>
          <w:rFonts w:ascii="Times New Roman" w:eastAsia="Times New Roman" w:hAnsi="Times New Roman" w:cs="Times New Roman"/>
          <w:b/>
          <w:color w:val="auto"/>
          <w:sz w:val="28"/>
          <w:szCs w:val="28"/>
          <w:lang w:bidi="ar-SA"/>
        </w:rPr>
      </w:pPr>
      <w:r>
        <w:rPr>
          <w:rFonts w:ascii="Times New Roman" w:eastAsia="Times New Roman" w:hAnsi="Times New Roman" w:cs="Times New Roman"/>
          <w:b/>
          <w:color w:val="auto"/>
          <w:sz w:val="28"/>
          <w:szCs w:val="28"/>
          <w:lang w:bidi="ar-SA"/>
        </w:rPr>
        <w:t>Функції контролю якості медичної допомоги у</w:t>
      </w:r>
      <w:r>
        <w:rPr>
          <w:rFonts w:ascii="Microsoft YaHei" w:eastAsia="Microsoft YaHei" w:hAnsi="Microsoft YaHei" w:cs="Microsoft YaHei"/>
          <w:b/>
        </w:rPr>
        <w:t xml:space="preserve"> </w:t>
      </w:r>
      <w:r>
        <w:rPr>
          <w:rFonts w:ascii="Times New Roman" w:eastAsia="Times New Roman" w:hAnsi="Times New Roman" w:cs="Times New Roman"/>
          <w:b/>
          <w:color w:val="auto"/>
          <w:sz w:val="28"/>
          <w:szCs w:val="28"/>
          <w:lang w:bidi="ar-SA"/>
        </w:rPr>
        <w:t>КНП «Міська клінічна лікарня №11» ОМР</w:t>
      </w:r>
    </w:p>
    <w:tbl>
      <w:tblPr>
        <w:tblStyle w:val="3a"/>
        <w:tblW w:w="0" w:type="auto"/>
        <w:tblLook w:val="04A0" w:firstRow="1" w:lastRow="0" w:firstColumn="1" w:lastColumn="0" w:noHBand="0" w:noVBand="1"/>
      </w:tblPr>
      <w:tblGrid>
        <w:gridCol w:w="3397"/>
        <w:gridCol w:w="5947"/>
      </w:tblGrid>
      <w:tr w:rsidR="003C626E" w14:paraId="322000B0" w14:textId="77777777">
        <w:tc>
          <w:tcPr>
            <w:tcW w:w="3397" w:type="dxa"/>
            <w:shd w:val="clear" w:color="auto" w:fill="FDE9D9" w:themeFill="accent6" w:themeFillTint="33"/>
            <w:vAlign w:val="center"/>
          </w:tcPr>
          <w:p w14:paraId="322000AE" w14:textId="77777777" w:rsidR="003C626E" w:rsidRDefault="001A5B20">
            <w:pPr>
              <w:widowControl/>
              <w:tabs>
                <w:tab w:val="left" w:pos="851"/>
              </w:tabs>
              <w:jc w:val="cente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Внутрішні орган контролю та відповідальні</w:t>
            </w:r>
          </w:p>
        </w:tc>
        <w:tc>
          <w:tcPr>
            <w:tcW w:w="5947" w:type="dxa"/>
            <w:shd w:val="clear" w:color="auto" w:fill="FDE9D9" w:themeFill="accent6" w:themeFillTint="33"/>
            <w:vAlign w:val="center"/>
          </w:tcPr>
          <w:p w14:paraId="322000AF" w14:textId="77777777" w:rsidR="003C626E" w:rsidRDefault="001A5B20">
            <w:pPr>
              <w:widowControl/>
              <w:tabs>
                <w:tab w:val="left" w:pos="851"/>
              </w:tabs>
              <w:jc w:val="cente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Функції</w:t>
            </w:r>
          </w:p>
        </w:tc>
      </w:tr>
      <w:tr w:rsidR="003C626E" w14:paraId="322000B3" w14:textId="77777777">
        <w:tc>
          <w:tcPr>
            <w:tcW w:w="3397" w:type="dxa"/>
            <w:shd w:val="clear" w:color="auto" w:fill="DBE5F1" w:themeFill="accent1" w:themeFillTint="33"/>
            <w:vAlign w:val="center"/>
          </w:tcPr>
          <w:p w14:paraId="322000B1"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Адміністрація лікарні</w:t>
            </w:r>
          </w:p>
        </w:tc>
        <w:tc>
          <w:tcPr>
            <w:tcW w:w="5947" w:type="dxa"/>
            <w:shd w:val="clear" w:color="auto" w:fill="DAEEF3" w:themeFill="accent5" w:themeFillTint="33"/>
            <w:vAlign w:val="center"/>
          </w:tcPr>
          <w:p w14:paraId="322000B2"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здійснює стратегічне управління, організовує планування, затверджує стандарти, проводить внутрішні аудити, контролює виконання показників ефективності</w:t>
            </w:r>
          </w:p>
        </w:tc>
      </w:tr>
      <w:tr w:rsidR="003C626E" w14:paraId="322000B6" w14:textId="77777777">
        <w:tc>
          <w:tcPr>
            <w:tcW w:w="3397" w:type="dxa"/>
            <w:shd w:val="clear" w:color="auto" w:fill="DBE5F1" w:themeFill="accent1" w:themeFillTint="33"/>
            <w:vAlign w:val="center"/>
          </w:tcPr>
          <w:p w14:paraId="322000B4"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Комісія з контролю якості медичної допомоги</w:t>
            </w:r>
          </w:p>
        </w:tc>
        <w:tc>
          <w:tcPr>
            <w:tcW w:w="5947" w:type="dxa"/>
            <w:shd w:val="clear" w:color="auto" w:fill="DAEEF3" w:themeFill="accent5" w:themeFillTint="33"/>
            <w:vAlign w:val="center"/>
          </w:tcPr>
          <w:p w14:paraId="322000B5"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проводить експертну оцінку історій хвороб, аналіз летальних випадків, випадків ускладнень, повторних госпіталізацій, здійснює моніторинг індикаторів якості та розробляє рекомендації для персоналу</w:t>
            </w:r>
          </w:p>
        </w:tc>
      </w:tr>
      <w:tr w:rsidR="003C626E" w14:paraId="322000B9" w14:textId="77777777">
        <w:tc>
          <w:tcPr>
            <w:tcW w:w="3397" w:type="dxa"/>
            <w:shd w:val="clear" w:color="auto" w:fill="DBE5F1" w:themeFill="accent1" w:themeFillTint="33"/>
            <w:vAlign w:val="center"/>
          </w:tcPr>
          <w:p w14:paraId="322000B7"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Завідувачі відділень</w:t>
            </w:r>
          </w:p>
        </w:tc>
        <w:tc>
          <w:tcPr>
            <w:tcW w:w="5947" w:type="dxa"/>
            <w:shd w:val="clear" w:color="auto" w:fill="DAEEF3" w:themeFill="accent5" w:themeFillTint="33"/>
            <w:vAlign w:val="center"/>
          </w:tcPr>
          <w:p w14:paraId="322000B8"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відповідають за дотримання клінічних протоколів, правильність ведення медичної документації, раціональне використання ресурсів, ефективність лікування та профілактику ускладнень</w:t>
            </w:r>
          </w:p>
        </w:tc>
      </w:tr>
      <w:tr w:rsidR="003C626E" w14:paraId="322000BC" w14:textId="77777777">
        <w:tc>
          <w:tcPr>
            <w:tcW w:w="3397" w:type="dxa"/>
            <w:shd w:val="clear" w:color="auto" w:fill="DBE5F1" w:themeFill="accent1" w:themeFillTint="33"/>
            <w:vAlign w:val="center"/>
          </w:tcPr>
          <w:p w14:paraId="322000BA"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Медичні сестри та молодший персонал</w:t>
            </w:r>
          </w:p>
        </w:tc>
        <w:tc>
          <w:tcPr>
            <w:tcW w:w="5947" w:type="dxa"/>
            <w:shd w:val="clear" w:color="auto" w:fill="DAEEF3" w:themeFill="accent5" w:themeFillTint="33"/>
            <w:vAlign w:val="center"/>
          </w:tcPr>
          <w:p w14:paraId="322000BB"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забезпечують виконання стандартів догляду, санітарно-гігієнічного режиму, контролюють стан пацієнтів та дотримання інфекційного контролю</w:t>
            </w:r>
          </w:p>
        </w:tc>
      </w:tr>
    </w:tbl>
    <w:p w14:paraId="322000BD" w14:textId="77777777" w:rsidR="003C626E" w:rsidRDefault="001A5B20">
      <w:pPr>
        <w:widowControl/>
        <w:tabs>
          <w:tab w:val="left" w:pos="851"/>
        </w:tabs>
        <w:spacing w:line="360" w:lineRule="auto"/>
        <w:ind w:firstLine="709"/>
        <w:jc w:val="both"/>
        <w:rPr>
          <w:rFonts w:ascii="Times New Roman" w:eastAsia="Times New Roman" w:hAnsi="Times New Roman" w:cs="Times New Roman"/>
          <w:i/>
          <w:color w:val="auto"/>
          <w:lang w:bidi="ar-SA"/>
        </w:rPr>
      </w:pPr>
      <w:r>
        <w:rPr>
          <w:rFonts w:ascii="Times New Roman" w:eastAsia="Times New Roman" w:hAnsi="Times New Roman" w:cs="Times New Roman"/>
          <w:i/>
          <w:color w:val="auto"/>
          <w:lang w:bidi="ar-SA"/>
        </w:rPr>
        <w:t>Джерело: побудовано автором</w:t>
      </w:r>
    </w:p>
    <w:p w14:paraId="322000BE" w14:textId="77777777" w:rsidR="003C626E" w:rsidRDefault="003C626E">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p>
    <w:p w14:paraId="322000BF"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lastRenderedPageBreak/>
        <w:t xml:space="preserve">Важливою складовою є </w:t>
      </w:r>
      <w:r>
        <w:rPr>
          <w:rFonts w:ascii="Times New Roman" w:eastAsia="Times New Roman" w:hAnsi="Times New Roman" w:cs="Times New Roman"/>
          <w:bCs/>
          <w:color w:val="auto"/>
          <w:sz w:val="28"/>
          <w:szCs w:val="28"/>
          <w:lang w:bidi="ar-SA"/>
        </w:rPr>
        <w:t>інформаційна система обліку та моніторингу</w:t>
      </w:r>
      <w:r>
        <w:rPr>
          <w:rFonts w:ascii="Times New Roman" w:eastAsia="Times New Roman" w:hAnsi="Times New Roman" w:cs="Times New Roman"/>
          <w:color w:val="auto"/>
          <w:sz w:val="28"/>
          <w:szCs w:val="28"/>
          <w:lang w:bidi="ar-SA"/>
        </w:rPr>
        <w:t>, що дозволяє збирати, зберігати й аналізувати дані щодо кількості госпіталізацій, оперативних втручань, скарг пацієнтів, ускладнень тощо. Ці дані використовуються для планування коригувальних заходів.</w:t>
      </w:r>
    </w:p>
    <w:p w14:paraId="322000C0" w14:textId="77777777" w:rsidR="003C626E" w:rsidRDefault="001A5B20">
      <w:pPr>
        <w:widowControl/>
        <w:tabs>
          <w:tab w:val="left" w:pos="851"/>
        </w:tabs>
        <w:spacing w:line="360" w:lineRule="auto"/>
        <w:ind w:firstLine="709"/>
        <w:jc w:val="both"/>
        <w:rPr>
          <w:rFonts w:ascii="Times New Roman" w:eastAsia="Times New Roman" w:hAnsi="Times New Roman" w:cs="Times New Roman"/>
          <w:bCs/>
          <w:color w:val="auto"/>
          <w:sz w:val="28"/>
          <w:szCs w:val="28"/>
          <w:lang w:bidi="ar-SA"/>
        </w:rPr>
      </w:pPr>
      <w:r>
        <w:rPr>
          <w:rFonts w:ascii="Times New Roman" w:eastAsia="Times New Roman" w:hAnsi="Times New Roman" w:cs="Times New Roman"/>
          <w:bCs/>
          <w:color w:val="auto"/>
          <w:sz w:val="28"/>
          <w:szCs w:val="28"/>
          <w:lang w:bidi="ar-SA"/>
        </w:rPr>
        <w:t>Контроль якості медичних послуг у КНП «Міська клінічна лікарня №11» ОМР здійснюється в комплексі за різними напрямами: медико-організаційний контроль, клініко-експертний контроль, фармакологічний контроль, інфекційний контроль, контроль задоволеності пацієнтів, контроль професійної компетентності персоналу. Основні напрями контролю якості наведені в таблиці 2.6.</w:t>
      </w:r>
    </w:p>
    <w:p w14:paraId="322000C1" w14:textId="77777777" w:rsidR="003C626E" w:rsidRDefault="001A5B20">
      <w:pPr>
        <w:widowControl/>
        <w:tabs>
          <w:tab w:val="left" w:pos="851"/>
        </w:tabs>
        <w:spacing w:line="360" w:lineRule="auto"/>
        <w:ind w:firstLine="709"/>
        <w:jc w:val="right"/>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Таблиця 2.6</w:t>
      </w:r>
    </w:p>
    <w:p w14:paraId="322000C2" w14:textId="77777777" w:rsidR="003C626E" w:rsidRDefault="001A5B20">
      <w:pPr>
        <w:widowControl/>
        <w:tabs>
          <w:tab w:val="left" w:pos="851"/>
        </w:tabs>
        <w:spacing w:line="360" w:lineRule="auto"/>
        <w:ind w:firstLine="709"/>
        <w:jc w:val="center"/>
        <w:rPr>
          <w:rFonts w:ascii="Times New Roman" w:eastAsia="Times New Roman" w:hAnsi="Times New Roman" w:cs="Times New Roman"/>
          <w:b/>
          <w:bCs/>
          <w:color w:val="auto"/>
          <w:sz w:val="28"/>
          <w:szCs w:val="28"/>
          <w:lang w:bidi="ar-SA"/>
        </w:rPr>
      </w:pPr>
      <w:r>
        <w:rPr>
          <w:rFonts w:ascii="Times New Roman" w:eastAsia="Times New Roman" w:hAnsi="Times New Roman" w:cs="Times New Roman"/>
          <w:b/>
          <w:bCs/>
          <w:color w:val="auto"/>
          <w:sz w:val="28"/>
          <w:szCs w:val="28"/>
          <w:lang w:bidi="ar-SA"/>
        </w:rPr>
        <w:t>Основні напрями контролю якості медичних послуг</w:t>
      </w:r>
      <w:r>
        <w:rPr>
          <w:rFonts w:ascii="Microsoft YaHei" w:eastAsia="Microsoft YaHei" w:hAnsi="Microsoft YaHei" w:cs="Microsoft YaHei"/>
          <w:b/>
        </w:rPr>
        <w:t xml:space="preserve"> </w:t>
      </w:r>
      <w:r>
        <w:rPr>
          <w:rFonts w:ascii="Times New Roman" w:eastAsia="Times New Roman" w:hAnsi="Times New Roman" w:cs="Times New Roman"/>
          <w:b/>
          <w:bCs/>
          <w:color w:val="auto"/>
          <w:sz w:val="28"/>
          <w:szCs w:val="28"/>
          <w:lang w:bidi="ar-SA"/>
        </w:rPr>
        <w:t>у КНП «Міська клінічна лікарня №11» ОМР</w:t>
      </w:r>
    </w:p>
    <w:tbl>
      <w:tblPr>
        <w:tblStyle w:val="3a"/>
        <w:tblW w:w="0" w:type="auto"/>
        <w:tblLook w:val="04A0" w:firstRow="1" w:lastRow="0" w:firstColumn="1" w:lastColumn="0" w:noHBand="0" w:noVBand="1"/>
      </w:tblPr>
      <w:tblGrid>
        <w:gridCol w:w="3539"/>
        <w:gridCol w:w="5805"/>
      </w:tblGrid>
      <w:tr w:rsidR="003C626E" w14:paraId="322000C5" w14:textId="77777777">
        <w:tc>
          <w:tcPr>
            <w:tcW w:w="3539" w:type="dxa"/>
            <w:shd w:val="clear" w:color="auto" w:fill="FDE9D9" w:themeFill="accent6" w:themeFillTint="33"/>
            <w:vAlign w:val="center"/>
          </w:tcPr>
          <w:p w14:paraId="322000C3" w14:textId="77777777" w:rsidR="003C626E" w:rsidRDefault="001A5B20">
            <w:pPr>
              <w:widowControl/>
              <w:tabs>
                <w:tab w:val="left" w:pos="851"/>
              </w:tabs>
              <w:jc w:val="cente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Напрями контролю якості</w:t>
            </w:r>
          </w:p>
        </w:tc>
        <w:tc>
          <w:tcPr>
            <w:tcW w:w="5805" w:type="dxa"/>
            <w:shd w:val="clear" w:color="auto" w:fill="FDE9D9" w:themeFill="accent6" w:themeFillTint="33"/>
            <w:vAlign w:val="center"/>
          </w:tcPr>
          <w:p w14:paraId="322000C4" w14:textId="77777777" w:rsidR="003C626E" w:rsidRDefault="001A5B20">
            <w:pPr>
              <w:widowControl/>
              <w:tabs>
                <w:tab w:val="left" w:pos="851"/>
              </w:tabs>
              <w:jc w:val="cente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Об’єкти контролю</w:t>
            </w:r>
          </w:p>
        </w:tc>
      </w:tr>
      <w:tr w:rsidR="003C626E" w14:paraId="322000C8" w14:textId="77777777">
        <w:tc>
          <w:tcPr>
            <w:tcW w:w="3539" w:type="dxa"/>
            <w:shd w:val="clear" w:color="auto" w:fill="EAF1DD" w:themeFill="accent3" w:themeFillTint="33"/>
            <w:vAlign w:val="center"/>
          </w:tcPr>
          <w:p w14:paraId="322000C6"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Медико-організаційний контроль</w:t>
            </w:r>
          </w:p>
        </w:tc>
        <w:tc>
          <w:tcPr>
            <w:tcW w:w="5805" w:type="dxa"/>
            <w:shd w:val="clear" w:color="auto" w:fill="DAEEF3" w:themeFill="accent5" w:themeFillTint="33"/>
            <w:vAlign w:val="center"/>
          </w:tcPr>
          <w:p w14:paraId="322000C7"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аналіз своєчасності та обґрунтованості госпіталізацій, ефективності використання ліжкового фонду, тривалості перебування пацієнтів у стаціонарі</w:t>
            </w:r>
          </w:p>
        </w:tc>
      </w:tr>
      <w:tr w:rsidR="003C626E" w14:paraId="322000CB" w14:textId="77777777">
        <w:tc>
          <w:tcPr>
            <w:tcW w:w="3539" w:type="dxa"/>
            <w:shd w:val="clear" w:color="auto" w:fill="EAF1DD" w:themeFill="accent3" w:themeFillTint="33"/>
            <w:vAlign w:val="center"/>
          </w:tcPr>
          <w:p w14:paraId="322000C9"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Клініко-експертний контроль</w:t>
            </w:r>
          </w:p>
        </w:tc>
        <w:tc>
          <w:tcPr>
            <w:tcW w:w="5805" w:type="dxa"/>
            <w:shd w:val="clear" w:color="auto" w:fill="DAEEF3" w:themeFill="accent5" w:themeFillTint="33"/>
            <w:vAlign w:val="center"/>
          </w:tcPr>
          <w:p w14:paraId="322000CA"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перевірка відповідності лікувально-діагностичних заходів затвердженим клінічним протоколам і стандартам медичної допомоги</w:t>
            </w:r>
          </w:p>
        </w:tc>
      </w:tr>
      <w:tr w:rsidR="003C626E" w14:paraId="322000CE" w14:textId="77777777">
        <w:tc>
          <w:tcPr>
            <w:tcW w:w="3539" w:type="dxa"/>
            <w:shd w:val="clear" w:color="auto" w:fill="EAF1DD" w:themeFill="accent3" w:themeFillTint="33"/>
            <w:vAlign w:val="center"/>
          </w:tcPr>
          <w:p w14:paraId="322000CC"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Фармакологічний контроль</w:t>
            </w:r>
          </w:p>
        </w:tc>
        <w:tc>
          <w:tcPr>
            <w:tcW w:w="5805" w:type="dxa"/>
            <w:shd w:val="clear" w:color="auto" w:fill="DAEEF3" w:themeFill="accent5" w:themeFillTint="33"/>
            <w:vAlign w:val="center"/>
          </w:tcPr>
          <w:p w14:paraId="322000CD"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моніторинг раціональності призначень лікарських засобів, зокрема антибіотикотерапії</w:t>
            </w:r>
          </w:p>
        </w:tc>
      </w:tr>
      <w:tr w:rsidR="003C626E" w14:paraId="322000D1" w14:textId="77777777">
        <w:tc>
          <w:tcPr>
            <w:tcW w:w="3539" w:type="dxa"/>
            <w:shd w:val="clear" w:color="auto" w:fill="EAF1DD" w:themeFill="accent3" w:themeFillTint="33"/>
            <w:vAlign w:val="center"/>
          </w:tcPr>
          <w:p w14:paraId="322000CF"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Інфекційний контроль</w:t>
            </w:r>
          </w:p>
        </w:tc>
        <w:tc>
          <w:tcPr>
            <w:tcW w:w="5805" w:type="dxa"/>
            <w:shd w:val="clear" w:color="auto" w:fill="DAEEF3" w:themeFill="accent5" w:themeFillTint="33"/>
            <w:vAlign w:val="center"/>
          </w:tcPr>
          <w:p w14:paraId="322000D0"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дотримання правил асептики, антисептики, стерильності, профілактики внутрішньолікарняних інфекцій</w:t>
            </w:r>
          </w:p>
        </w:tc>
      </w:tr>
      <w:tr w:rsidR="003C626E" w14:paraId="322000D4" w14:textId="77777777">
        <w:tc>
          <w:tcPr>
            <w:tcW w:w="3539" w:type="dxa"/>
            <w:shd w:val="clear" w:color="auto" w:fill="EAF1DD" w:themeFill="accent3" w:themeFillTint="33"/>
            <w:vAlign w:val="center"/>
          </w:tcPr>
          <w:p w14:paraId="322000D2"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Контроль задоволеності пацієнтів</w:t>
            </w:r>
          </w:p>
        </w:tc>
        <w:tc>
          <w:tcPr>
            <w:tcW w:w="5805" w:type="dxa"/>
            <w:shd w:val="clear" w:color="auto" w:fill="DAEEF3" w:themeFill="accent5" w:themeFillTint="33"/>
            <w:vAlign w:val="center"/>
          </w:tcPr>
          <w:p w14:paraId="322000D3"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аналіз анкет, скарг, відгуків, що надходять через адміністрацію або інформаційну систему</w:t>
            </w:r>
          </w:p>
        </w:tc>
      </w:tr>
      <w:tr w:rsidR="003C626E" w14:paraId="322000D7" w14:textId="77777777">
        <w:tc>
          <w:tcPr>
            <w:tcW w:w="3539" w:type="dxa"/>
            <w:shd w:val="clear" w:color="auto" w:fill="EAF1DD" w:themeFill="accent3" w:themeFillTint="33"/>
            <w:vAlign w:val="center"/>
          </w:tcPr>
          <w:p w14:paraId="322000D5" w14:textId="77777777" w:rsidR="003C626E" w:rsidRDefault="001A5B20">
            <w:pPr>
              <w:widowControl/>
              <w:tabs>
                <w:tab w:val="left" w:pos="851"/>
              </w:tabs>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Контроль професійної компетентності персоналу</w:t>
            </w:r>
          </w:p>
        </w:tc>
        <w:tc>
          <w:tcPr>
            <w:tcW w:w="5805" w:type="dxa"/>
            <w:shd w:val="clear" w:color="auto" w:fill="DAEEF3" w:themeFill="accent5" w:themeFillTint="33"/>
            <w:vAlign w:val="center"/>
          </w:tcPr>
          <w:p w14:paraId="322000D6"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участь у підвищенні кваліфікації, тренінгах, семінарах, внутрішніх клінічних конференціях</w:t>
            </w:r>
          </w:p>
        </w:tc>
      </w:tr>
    </w:tbl>
    <w:p w14:paraId="322000D8" w14:textId="77777777" w:rsidR="003C626E" w:rsidRDefault="001A5B20">
      <w:pPr>
        <w:widowControl/>
        <w:tabs>
          <w:tab w:val="left" w:pos="851"/>
        </w:tabs>
        <w:spacing w:line="360" w:lineRule="auto"/>
        <w:ind w:firstLine="709"/>
        <w:jc w:val="both"/>
        <w:rPr>
          <w:rFonts w:ascii="Times New Roman" w:eastAsia="Times New Roman" w:hAnsi="Times New Roman" w:cs="Times New Roman"/>
          <w:i/>
          <w:color w:val="auto"/>
          <w:lang w:bidi="ar-SA"/>
        </w:rPr>
      </w:pPr>
      <w:r>
        <w:rPr>
          <w:rFonts w:ascii="Times New Roman" w:eastAsia="Times New Roman" w:hAnsi="Times New Roman" w:cs="Times New Roman"/>
          <w:i/>
          <w:color w:val="auto"/>
          <w:lang w:bidi="ar-SA"/>
        </w:rPr>
        <w:t>Джерело: побудовано автором</w:t>
      </w:r>
    </w:p>
    <w:p w14:paraId="322000D9" w14:textId="77777777" w:rsidR="003C626E" w:rsidRDefault="003C626E">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p>
    <w:p w14:paraId="322000DA"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У 2023 - 2024 рр. у КНП «МКЛ №11» спостерігалося підвищення рівня дотримання стандартів медичної допомоги, зниження кількості скарг пацієнтів, удосконалення процесів взаємодії між підрозділами. Впровадження цифрових технологій (електронної черги, медичних інформаційних систем, PACS-сервісів для рентген- та КТ-знімків) дало можливість підвищити </w:t>
      </w:r>
      <w:r>
        <w:rPr>
          <w:rFonts w:ascii="Times New Roman" w:eastAsia="Times New Roman" w:hAnsi="Times New Roman" w:cs="Times New Roman"/>
          <w:color w:val="auto"/>
          <w:sz w:val="28"/>
          <w:szCs w:val="28"/>
          <w:lang w:bidi="ar-SA"/>
        </w:rPr>
        <w:lastRenderedPageBreak/>
        <w:t>швидкість і точність діагностики, що позитивно вплинуло на результати лікування.</w:t>
      </w:r>
    </w:p>
    <w:p w14:paraId="322000DB"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Водночас аналіз результатів внутрішніх аудитів свідчить, що потребує подальшого удосконалення система документування результатів контролю, а також формалізація механізмів зворотного зв’язку між пацієнтами і керівництвом лікарні.</w:t>
      </w:r>
    </w:p>
    <w:p w14:paraId="322000DC"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Результати аналізу системи контролю якості медичних послуг у КНП «МКЛ №11» ОМР наведені в таблиці 2.7.</w:t>
      </w:r>
    </w:p>
    <w:p w14:paraId="322000DD" w14:textId="77777777" w:rsidR="003C626E" w:rsidRDefault="001A5B20">
      <w:pPr>
        <w:widowControl/>
        <w:tabs>
          <w:tab w:val="left" w:pos="851"/>
        </w:tabs>
        <w:spacing w:line="360" w:lineRule="auto"/>
        <w:ind w:firstLine="709"/>
        <w:jc w:val="right"/>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Таблиця 2.7</w:t>
      </w:r>
    </w:p>
    <w:p w14:paraId="322000DE" w14:textId="77777777" w:rsidR="003C626E" w:rsidRDefault="001A5B20">
      <w:pPr>
        <w:widowControl/>
        <w:tabs>
          <w:tab w:val="left" w:pos="851"/>
        </w:tabs>
        <w:spacing w:line="360" w:lineRule="auto"/>
        <w:ind w:firstLine="709"/>
        <w:jc w:val="center"/>
        <w:rPr>
          <w:rFonts w:ascii="Times New Roman" w:eastAsia="Times New Roman" w:hAnsi="Times New Roman" w:cs="Times New Roman"/>
          <w:b/>
          <w:bCs/>
          <w:color w:val="auto"/>
          <w:sz w:val="28"/>
          <w:szCs w:val="28"/>
          <w:lang w:bidi="ar-SA"/>
        </w:rPr>
      </w:pPr>
      <w:r>
        <w:rPr>
          <w:rFonts w:ascii="Times New Roman" w:eastAsia="Times New Roman" w:hAnsi="Times New Roman" w:cs="Times New Roman"/>
          <w:b/>
          <w:bCs/>
          <w:color w:val="auto"/>
          <w:sz w:val="28"/>
          <w:szCs w:val="28"/>
          <w:lang w:bidi="ar-SA"/>
        </w:rPr>
        <w:t xml:space="preserve">Аналіз системи контролю якості медичних послуг </w:t>
      </w:r>
    </w:p>
    <w:p w14:paraId="322000DF" w14:textId="77777777" w:rsidR="003C626E" w:rsidRDefault="001A5B20">
      <w:pPr>
        <w:widowControl/>
        <w:tabs>
          <w:tab w:val="left" w:pos="851"/>
        </w:tabs>
        <w:spacing w:line="360" w:lineRule="auto"/>
        <w:ind w:firstLine="709"/>
        <w:jc w:val="center"/>
        <w:rPr>
          <w:rFonts w:ascii="Times New Roman" w:eastAsia="Times New Roman" w:hAnsi="Times New Roman" w:cs="Times New Roman"/>
          <w:b/>
          <w:color w:val="auto"/>
          <w:sz w:val="28"/>
          <w:szCs w:val="28"/>
          <w:lang w:bidi="ar-SA"/>
        </w:rPr>
      </w:pPr>
      <w:r>
        <w:rPr>
          <w:rFonts w:ascii="Times New Roman" w:eastAsia="Times New Roman" w:hAnsi="Times New Roman" w:cs="Times New Roman"/>
          <w:b/>
          <w:bCs/>
          <w:color w:val="auto"/>
          <w:sz w:val="28"/>
          <w:szCs w:val="28"/>
          <w:lang w:bidi="ar-SA"/>
        </w:rPr>
        <w:t>у КНП «МКЛ №11» ОМР</w:t>
      </w:r>
    </w:p>
    <w:tbl>
      <w:tblPr>
        <w:tblStyle w:val="3a"/>
        <w:tblW w:w="0" w:type="auto"/>
        <w:tblLook w:val="04A0" w:firstRow="1" w:lastRow="0" w:firstColumn="1" w:lastColumn="0" w:noHBand="0" w:noVBand="1"/>
      </w:tblPr>
      <w:tblGrid>
        <w:gridCol w:w="3071"/>
        <w:gridCol w:w="3210"/>
        <w:gridCol w:w="3063"/>
      </w:tblGrid>
      <w:tr w:rsidR="003C626E" w14:paraId="322000E3" w14:textId="77777777">
        <w:tc>
          <w:tcPr>
            <w:tcW w:w="0" w:type="auto"/>
            <w:shd w:val="clear" w:color="auto" w:fill="E5B8B7" w:themeFill="accent2" w:themeFillTint="66"/>
            <w:vAlign w:val="center"/>
          </w:tcPr>
          <w:p w14:paraId="322000E0" w14:textId="77777777" w:rsidR="003C626E" w:rsidRDefault="001A5B20">
            <w:pPr>
              <w:widowControl/>
              <w:tabs>
                <w:tab w:val="left" w:pos="851"/>
              </w:tabs>
              <w:jc w:val="center"/>
              <w:rPr>
                <w:rFonts w:ascii="Times New Roman" w:eastAsia="Times New Roman" w:hAnsi="Times New Roman" w:cs="Times New Roman"/>
                <w:b/>
                <w:bCs/>
                <w:color w:val="auto"/>
                <w:lang w:bidi="ar-SA"/>
              </w:rPr>
            </w:pPr>
            <w:r>
              <w:rPr>
                <w:rFonts w:ascii="Times New Roman" w:eastAsia="Times New Roman" w:hAnsi="Times New Roman" w:cs="Times New Roman"/>
                <w:b/>
                <w:bCs/>
                <w:color w:val="auto"/>
                <w:lang w:bidi="ar-SA"/>
              </w:rPr>
              <w:t>Переваги</w:t>
            </w:r>
          </w:p>
        </w:tc>
        <w:tc>
          <w:tcPr>
            <w:tcW w:w="0" w:type="auto"/>
            <w:shd w:val="clear" w:color="auto" w:fill="E5B8B7" w:themeFill="accent2" w:themeFillTint="66"/>
            <w:vAlign w:val="center"/>
          </w:tcPr>
          <w:p w14:paraId="322000E1" w14:textId="77777777" w:rsidR="003C626E" w:rsidRDefault="001A5B20">
            <w:pPr>
              <w:widowControl/>
              <w:tabs>
                <w:tab w:val="left" w:pos="851"/>
              </w:tabs>
              <w:jc w:val="center"/>
              <w:rPr>
                <w:rFonts w:ascii="Times New Roman" w:eastAsia="Times New Roman" w:hAnsi="Times New Roman" w:cs="Times New Roman"/>
                <w:b/>
                <w:bCs/>
                <w:color w:val="auto"/>
                <w:lang w:bidi="ar-SA"/>
              </w:rPr>
            </w:pPr>
            <w:r>
              <w:rPr>
                <w:rFonts w:ascii="Times New Roman" w:eastAsia="Times New Roman" w:hAnsi="Times New Roman" w:cs="Times New Roman"/>
                <w:b/>
                <w:bCs/>
                <w:color w:val="auto"/>
                <w:lang w:bidi="ar-SA"/>
              </w:rPr>
              <w:t>Недоліки / проблемні аспекти</w:t>
            </w:r>
          </w:p>
        </w:tc>
        <w:tc>
          <w:tcPr>
            <w:tcW w:w="0" w:type="auto"/>
            <w:shd w:val="clear" w:color="auto" w:fill="E5B8B7" w:themeFill="accent2" w:themeFillTint="66"/>
            <w:vAlign w:val="center"/>
          </w:tcPr>
          <w:p w14:paraId="322000E2" w14:textId="77777777" w:rsidR="003C626E" w:rsidRDefault="001A5B20">
            <w:pPr>
              <w:widowControl/>
              <w:tabs>
                <w:tab w:val="left" w:pos="851"/>
              </w:tabs>
              <w:jc w:val="center"/>
              <w:rPr>
                <w:rFonts w:ascii="Times New Roman" w:eastAsia="Times New Roman" w:hAnsi="Times New Roman" w:cs="Times New Roman"/>
                <w:b/>
                <w:bCs/>
                <w:color w:val="auto"/>
                <w:lang w:bidi="ar-SA"/>
              </w:rPr>
            </w:pPr>
            <w:r>
              <w:rPr>
                <w:rFonts w:ascii="Times New Roman" w:eastAsia="Times New Roman" w:hAnsi="Times New Roman" w:cs="Times New Roman"/>
                <w:b/>
                <w:bCs/>
                <w:color w:val="auto"/>
                <w:lang w:bidi="ar-SA"/>
              </w:rPr>
              <w:t>Пропозиції щодо удосконалення</w:t>
            </w:r>
          </w:p>
        </w:tc>
      </w:tr>
      <w:tr w:rsidR="003C626E" w14:paraId="322000E7" w14:textId="77777777">
        <w:tc>
          <w:tcPr>
            <w:tcW w:w="0" w:type="auto"/>
            <w:shd w:val="clear" w:color="auto" w:fill="EAF1DD" w:themeFill="accent3" w:themeFillTint="33"/>
            <w:vAlign w:val="center"/>
          </w:tcPr>
          <w:p w14:paraId="322000E4" w14:textId="77777777" w:rsidR="003C626E" w:rsidRDefault="001A5B20">
            <w:pPr>
              <w:widowControl/>
              <w:tabs>
                <w:tab w:val="left" w:pos="851"/>
              </w:tabs>
              <w:ind w:firstLine="34"/>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Наявність внутрішньої документації з якості (положення, протоколи, алгоритми).</w:t>
            </w:r>
          </w:p>
        </w:tc>
        <w:tc>
          <w:tcPr>
            <w:tcW w:w="0" w:type="auto"/>
            <w:shd w:val="clear" w:color="auto" w:fill="DBE5F1" w:themeFill="accent1" w:themeFillTint="33"/>
            <w:vAlign w:val="center"/>
          </w:tcPr>
          <w:p w14:paraId="322000E5" w14:textId="77777777" w:rsidR="003C626E" w:rsidRDefault="001A5B20">
            <w:pPr>
              <w:widowControl/>
              <w:tabs>
                <w:tab w:val="left" w:pos="851"/>
              </w:tabs>
              <w:ind w:firstLine="25"/>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Недостатня автоматизація контролю якості у деяких підрозділах.</w:t>
            </w:r>
          </w:p>
        </w:tc>
        <w:tc>
          <w:tcPr>
            <w:tcW w:w="0" w:type="auto"/>
            <w:shd w:val="clear" w:color="auto" w:fill="FDE9D9" w:themeFill="accent6" w:themeFillTint="33"/>
            <w:vAlign w:val="center"/>
          </w:tcPr>
          <w:p w14:paraId="322000E6"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Впровадити єдину електронну систему моніторингу якості з аналітичними звітами.</w:t>
            </w:r>
          </w:p>
        </w:tc>
      </w:tr>
      <w:tr w:rsidR="003C626E" w14:paraId="322000EB" w14:textId="77777777">
        <w:tc>
          <w:tcPr>
            <w:tcW w:w="0" w:type="auto"/>
            <w:shd w:val="clear" w:color="auto" w:fill="EAF1DD" w:themeFill="accent3" w:themeFillTint="33"/>
            <w:vAlign w:val="center"/>
          </w:tcPr>
          <w:p w14:paraId="322000E8" w14:textId="77777777" w:rsidR="003C626E" w:rsidRDefault="001A5B20">
            <w:pPr>
              <w:widowControl/>
              <w:tabs>
                <w:tab w:val="left" w:pos="851"/>
              </w:tabs>
              <w:ind w:firstLine="34"/>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Функціонування комісії з якості, що здійснює регулярний моніторинг та експертні оцінки.</w:t>
            </w:r>
          </w:p>
        </w:tc>
        <w:tc>
          <w:tcPr>
            <w:tcW w:w="0" w:type="auto"/>
            <w:shd w:val="clear" w:color="auto" w:fill="DBE5F1" w:themeFill="accent1" w:themeFillTint="33"/>
            <w:vAlign w:val="center"/>
          </w:tcPr>
          <w:p w14:paraId="322000E9" w14:textId="77777777" w:rsidR="003C626E" w:rsidRDefault="001A5B20">
            <w:pPr>
              <w:widowControl/>
              <w:tabs>
                <w:tab w:val="left" w:pos="851"/>
              </w:tabs>
              <w:ind w:firstLine="25"/>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Недостатній рівень залучення середнього медичного персоналу до процесів оцінювання якості.</w:t>
            </w:r>
          </w:p>
        </w:tc>
        <w:tc>
          <w:tcPr>
            <w:tcW w:w="0" w:type="auto"/>
            <w:shd w:val="clear" w:color="auto" w:fill="FDE9D9" w:themeFill="accent6" w:themeFillTint="33"/>
            <w:vAlign w:val="center"/>
          </w:tcPr>
          <w:p w14:paraId="322000EA"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Проводити тренінги для медсестер щодо оцінювання якості послуг та інфекційного контролю.</w:t>
            </w:r>
          </w:p>
        </w:tc>
      </w:tr>
      <w:tr w:rsidR="003C626E" w14:paraId="322000EF" w14:textId="77777777">
        <w:tc>
          <w:tcPr>
            <w:tcW w:w="0" w:type="auto"/>
            <w:shd w:val="clear" w:color="auto" w:fill="EAF1DD" w:themeFill="accent3" w:themeFillTint="33"/>
            <w:vAlign w:val="center"/>
          </w:tcPr>
          <w:p w14:paraId="322000EC" w14:textId="77777777" w:rsidR="003C626E" w:rsidRDefault="001A5B20">
            <w:pPr>
              <w:widowControl/>
              <w:tabs>
                <w:tab w:val="left" w:pos="851"/>
              </w:tabs>
              <w:ind w:firstLine="34"/>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Високий рівень кваліфікації лікарів, постійне підвищення кваліфікації персоналу.</w:t>
            </w:r>
          </w:p>
        </w:tc>
        <w:tc>
          <w:tcPr>
            <w:tcW w:w="0" w:type="auto"/>
            <w:shd w:val="clear" w:color="auto" w:fill="DBE5F1" w:themeFill="accent1" w:themeFillTint="33"/>
            <w:vAlign w:val="center"/>
          </w:tcPr>
          <w:p w14:paraId="322000ED" w14:textId="77777777" w:rsidR="003C626E" w:rsidRDefault="001A5B20">
            <w:pPr>
              <w:widowControl/>
              <w:tabs>
                <w:tab w:val="left" w:pos="851"/>
              </w:tabs>
              <w:ind w:firstLine="25"/>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Відсутність систематичного аналізу задоволеності пацієнтів.</w:t>
            </w:r>
          </w:p>
        </w:tc>
        <w:tc>
          <w:tcPr>
            <w:tcW w:w="0" w:type="auto"/>
            <w:shd w:val="clear" w:color="auto" w:fill="FDE9D9" w:themeFill="accent6" w:themeFillTint="33"/>
            <w:vAlign w:val="center"/>
          </w:tcPr>
          <w:p w14:paraId="322000EE"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Запровадити регулярне анкетування пацієнтів та щоквартальний аналіз результатів.</w:t>
            </w:r>
          </w:p>
        </w:tc>
      </w:tr>
      <w:tr w:rsidR="003C626E" w14:paraId="322000F3" w14:textId="77777777">
        <w:tc>
          <w:tcPr>
            <w:tcW w:w="0" w:type="auto"/>
            <w:shd w:val="clear" w:color="auto" w:fill="EAF1DD" w:themeFill="accent3" w:themeFillTint="33"/>
            <w:vAlign w:val="center"/>
          </w:tcPr>
          <w:p w14:paraId="322000F0" w14:textId="77777777" w:rsidR="003C626E" w:rsidRDefault="001A5B20">
            <w:pPr>
              <w:widowControl/>
              <w:tabs>
                <w:tab w:val="left" w:pos="851"/>
              </w:tabs>
              <w:ind w:firstLine="34"/>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Застосування принципів доказової медицини.</w:t>
            </w:r>
          </w:p>
        </w:tc>
        <w:tc>
          <w:tcPr>
            <w:tcW w:w="0" w:type="auto"/>
            <w:shd w:val="clear" w:color="auto" w:fill="DBE5F1" w:themeFill="accent1" w:themeFillTint="33"/>
            <w:vAlign w:val="center"/>
          </w:tcPr>
          <w:p w14:paraId="322000F1" w14:textId="77777777" w:rsidR="003C626E" w:rsidRDefault="001A5B20">
            <w:pPr>
              <w:widowControl/>
              <w:tabs>
                <w:tab w:val="left" w:pos="851"/>
              </w:tabs>
              <w:ind w:firstLine="25"/>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Наявність певних розбіжностей у веденні медичної документації між відділеннями.</w:t>
            </w:r>
          </w:p>
        </w:tc>
        <w:tc>
          <w:tcPr>
            <w:tcW w:w="0" w:type="auto"/>
            <w:shd w:val="clear" w:color="auto" w:fill="FDE9D9" w:themeFill="accent6" w:themeFillTint="33"/>
            <w:vAlign w:val="center"/>
          </w:tcPr>
          <w:p w14:paraId="322000F2"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Уніфікувати шаблони електронних медичних записів.</w:t>
            </w:r>
          </w:p>
        </w:tc>
      </w:tr>
      <w:tr w:rsidR="003C626E" w14:paraId="322000F7" w14:textId="77777777">
        <w:tc>
          <w:tcPr>
            <w:tcW w:w="0" w:type="auto"/>
            <w:shd w:val="clear" w:color="auto" w:fill="EAF1DD" w:themeFill="accent3" w:themeFillTint="33"/>
            <w:vAlign w:val="center"/>
          </w:tcPr>
          <w:p w14:paraId="322000F4" w14:textId="77777777" w:rsidR="003C626E" w:rsidRDefault="001A5B20">
            <w:pPr>
              <w:widowControl/>
              <w:tabs>
                <w:tab w:val="left" w:pos="851"/>
              </w:tabs>
              <w:ind w:firstLine="34"/>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Ефективна міжвідомча взаємодія між підрозділами (ВЕМД, стаціонар, КДЦ).</w:t>
            </w:r>
          </w:p>
        </w:tc>
        <w:tc>
          <w:tcPr>
            <w:tcW w:w="0" w:type="auto"/>
            <w:shd w:val="clear" w:color="auto" w:fill="DBE5F1" w:themeFill="accent1" w:themeFillTint="33"/>
            <w:vAlign w:val="center"/>
          </w:tcPr>
          <w:p w14:paraId="322000F5" w14:textId="77777777" w:rsidR="003C626E" w:rsidRDefault="001A5B20">
            <w:pPr>
              <w:widowControl/>
              <w:tabs>
                <w:tab w:val="left" w:pos="851"/>
              </w:tabs>
              <w:ind w:firstLine="25"/>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Обмежене використання статистичних індикаторів для оцінки ефективності лікування.</w:t>
            </w:r>
          </w:p>
        </w:tc>
        <w:tc>
          <w:tcPr>
            <w:tcW w:w="0" w:type="auto"/>
            <w:shd w:val="clear" w:color="auto" w:fill="FDE9D9" w:themeFill="accent6" w:themeFillTint="33"/>
            <w:vAlign w:val="center"/>
          </w:tcPr>
          <w:p w14:paraId="322000F6"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Розробити систему ключових показників якості (KPI) для кожного відділення.</w:t>
            </w:r>
          </w:p>
        </w:tc>
      </w:tr>
      <w:tr w:rsidR="003C626E" w14:paraId="322000FB" w14:textId="77777777">
        <w:tc>
          <w:tcPr>
            <w:tcW w:w="0" w:type="auto"/>
            <w:shd w:val="clear" w:color="auto" w:fill="EAF1DD" w:themeFill="accent3" w:themeFillTint="33"/>
            <w:vAlign w:val="center"/>
          </w:tcPr>
          <w:p w14:paraId="322000F8" w14:textId="77777777" w:rsidR="003C626E" w:rsidRDefault="001A5B20">
            <w:pPr>
              <w:widowControl/>
              <w:tabs>
                <w:tab w:val="left" w:pos="851"/>
              </w:tabs>
              <w:ind w:firstLine="34"/>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Використання сучасних інформаційних технологій, електронного документообігу.</w:t>
            </w:r>
          </w:p>
        </w:tc>
        <w:tc>
          <w:tcPr>
            <w:tcW w:w="0" w:type="auto"/>
            <w:shd w:val="clear" w:color="auto" w:fill="DBE5F1" w:themeFill="accent1" w:themeFillTint="33"/>
            <w:vAlign w:val="center"/>
          </w:tcPr>
          <w:p w14:paraId="322000F9" w14:textId="77777777" w:rsidR="003C626E" w:rsidRDefault="001A5B20">
            <w:pPr>
              <w:widowControl/>
              <w:tabs>
                <w:tab w:val="left" w:pos="851"/>
              </w:tabs>
              <w:ind w:firstLine="25"/>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Потреба у посиленні системи інфекційного контролю у зв’язку зі зростанням кількості ургентних хворих.</w:t>
            </w:r>
          </w:p>
        </w:tc>
        <w:tc>
          <w:tcPr>
            <w:tcW w:w="0" w:type="auto"/>
            <w:shd w:val="clear" w:color="auto" w:fill="FDE9D9" w:themeFill="accent6" w:themeFillTint="33"/>
            <w:vAlign w:val="center"/>
          </w:tcPr>
          <w:p w14:paraId="322000FA"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Провести аудит інфекційного контролю та оновити план профілактичних заходів.</w:t>
            </w:r>
          </w:p>
        </w:tc>
      </w:tr>
    </w:tbl>
    <w:p w14:paraId="322000FC" w14:textId="77777777" w:rsidR="003C626E" w:rsidRDefault="001A5B20">
      <w:pPr>
        <w:widowControl/>
        <w:tabs>
          <w:tab w:val="left" w:pos="851"/>
        </w:tabs>
        <w:spacing w:line="360" w:lineRule="auto"/>
        <w:ind w:firstLine="709"/>
        <w:jc w:val="both"/>
        <w:rPr>
          <w:rFonts w:ascii="Times New Roman" w:eastAsia="Times New Roman" w:hAnsi="Times New Roman" w:cs="Times New Roman"/>
          <w:i/>
          <w:color w:val="auto"/>
          <w:lang w:bidi="ar-SA"/>
        </w:rPr>
      </w:pPr>
      <w:r>
        <w:rPr>
          <w:rFonts w:ascii="Times New Roman" w:eastAsia="Times New Roman" w:hAnsi="Times New Roman" w:cs="Times New Roman"/>
          <w:i/>
          <w:color w:val="auto"/>
          <w:lang w:bidi="ar-SA"/>
        </w:rPr>
        <w:t>Джерело: побудовано автором</w:t>
      </w:r>
    </w:p>
    <w:p w14:paraId="322000FD" w14:textId="77777777" w:rsidR="003C626E" w:rsidRDefault="003C626E">
      <w:pPr>
        <w:widowControl/>
        <w:tabs>
          <w:tab w:val="left" w:pos="851"/>
        </w:tabs>
        <w:spacing w:line="360" w:lineRule="auto"/>
        <w:ind w:firstLine="709"/>
        <w:jc w:val="both"/>
        <w:rPr>
          <w:rFonts w:ascii="Times New Roman" w:eastAsia="Times New Roman" w:hAnsi="Times New Roman" w:cs="Times New Roman"/>
          <w:b/>
          <w:bCs/>
          <w:color w:val="auto"/>
          <w:sz w:val="28"/>
          <w:szCs w:val="28"/>
          <w:lang w:bidi="ar-SA"/>
        </w:rPr>
      </w:pPr>
    </w:p>
    <w:p w14:paraId="322000FE"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Система контролю якості медичних послуг у КНП «Міська клінічна лікарня №11» ОМР є розвиненою та багаторівневою. Вона охоплює усі етапи </w:t>
      </w:r>
      <w:r>
        <w:rPr>
          <w:rFonts w:ascii="Times New Roman" w:eastAsia="Times New Roman" w:hAnsi="Times New Roman" w:cs="Times New Roman"/>
          <w:color w:val="auto"/>
          <w:sz w:val="28"/>
          <w:szCs w:val="28"/>
          <w:lang w:bidi="ar-SA"/>
        </w:rPr>
        <w:lastRenderedPageBreak/>
        <w:t>медичного процесу - від реєстрації пацієнта до його виписки - і забезпечує постійний моніторинг результатів лікування, ефективності, безпеки та задоволеності пацієнтів.</w:t>
      </w:r>
    </w:p>
    <w:p w14:paraId="322000FF"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Лікарня демонструє орієнтацію на </w:t>
      </w:r>
      <w:r>
        <w:rPr>
          <w:rFonts w:ascii="Times New Roman" w:eastAsia="Times New Roman" w:hAnsi="Times New Roman" w:cs="Times New Roman"/>
          <w:bCs/>
          <w:color w:val="auto"/>
          <w:sz w:val="28"/>
          <w:szCs w:val="28"/>
          <w:lang w:bidi="ar-SA"/>
        </w:rPr>
        <w:t>постійне вдосконалення</w:t>
      </w:r>
      <w:r>
        <w:rPr>
          <w:rFonts w:ascii="Times New Roman" w:eastAsia="Times New Roman" w:hAnsi="Times New Roman" w:cs="Times New Roman"/>
          <w:color w:val="auto"/>
          <w:sz w:val="28"/>
          <w:szCs w:val="28"/>
          <w:lang w:bidi="ar-SA"/>
        </w:rPr>
        <w:t>, підвищення стандартів якості, розвиток внутрішньої культури безпеки пацієнтів і професійної відповідальності персоналу.</w:t>
      </w:r>
    </w:p>
    <w:p w14:paraId="32200100" w14:textId="77777777" w:rsidR="003C626E" w:rsidRDefault="001A5B20">
      <w:pPr>
        <w:widowControl/>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Подальший розвиток системи контролю має ґрунтуватися на цифровізації, уніфікації показників якості, удосконаленні механізмів зворотного зв’язку з пацієнтами та розширенні участі медичного персоналу у процесах самооцінювання.</w:t>
      </w:r>
    </w:p>
    <w:p w14:paraId="32200101" w14:textId="77777777" w:rsidR="003C626E" w:rsidRDefault="001A5B20">
      <w:pPr>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Отже, У КНП «Міська клінічна лікарня № 11» Одеської міської ради функціонує багаторівнева система контролю якості медичних послуг, спрямована на забезпечення безперервного вдосконалення процесів медичного обслуговування, дотримання стандартів надання допомоги та підвищення рівня задоволеності пацієнтів.</w:t>
      </w:r>
    </w:p>
    <w:p w14:paraId="32200102" w14:textId="77777777" w:rsidR="003C626E" w:rsidRDefault="001A5B20">
      <w:pPr>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Основна мета системи полягає у забезпеченні доступності, безпеки та ефективності лікувально-діагностичних процесів, а також у мінімізації медичних ризиків і запобіганні дефектам у роботі персоналу.</w:t>
      </w:r>
    </w:p>
    <w:p w14:paraId="32200103" w14:textId="77777777" w:rsidR="003C626E" w:rsidRDefault="001A5B20">
      <w:pPr>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Контроль якості здійснюється на всіх етапах медичної діяльності - від первинного огляду до виписки пацієнта. У лікарні створено комісію з контролю якості медичної допомоги, розроблено та затверджено локальні протоколи лікування відповідно до чинних наказів МОЗ України. Здійснюється внутрішній аудит структурних підрозділів, контроль ведення медичної документації, а також моніторинг клінічних показників, рівня госпітальної летальності, ускладнень, післяопераційних інфекцій тощо.</w:t>
      </w:r>
    </w:p>
    <w:p w14:paraId="32200104" w14:textId="77777777" w:rsidR="003C626E" w:rsidRDefault="001A5B20">
      <w:pPr>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Важливим напрямом є зворотний зв’язок із пацієнтами - проводяться анкетування щодо задоволеності медичними послугами, умовами перебування, ставленням персоналу. Результати анкет аналізуються, формуються пропозиції щодо усунення виявлених недоліків.</w:t>
      </w:r>
    </w:p>
    <w:p w14:paraId="32200105" w14:textId="77777777" w:rsidR="003C626E" w:rsidRDefault="001A5B20">
      <w:pPr>
        <w:tabs>
          <w:tab w:val="left" w:pos="851"/>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Разом із тим, аналіз системи якості засвідчує наявність певних проблем: </w:t>
      </w:r>
      <w:r>
        <w:rPr>
          <w:rFonts w:ascii="Times New Roman" w:eastAsia="Times New Roman" w:hAnsi="Times New Roman" w:cs="Times New Roman"/>
          <w:color w:val="auto"/>
          <w:sz w:val="28"/>
          <w:szCs w:val="28"/>
          <w:lang w:bidi="ar-SA"/>
        </w:rPr>
        <w:lastRenderedPageBreak/>
        <w:t>недостатня цифровізація управлінських процесів, потреба у підвищенні кваліфікації персоналу з питань клінічного аудиту, обмежене фінансування на оновлення медичного обладнання, що впливає на діагностичну точність і швидкість обслуговування (табл. 2.8).</w:t>
      </w:r>
    </w:p>
    <w:p w14:paraId="32200106" w14:textId="77777777" w:rsidR="003C626E" w:rsidRDefault="001A5B20">
      <w:pPr>
        <w:tabs>
          <w:tab w:val="left" w:pos="851"/>
        </w:tabs>
        <w:spacing w:line="360" w:lineRule="auto"/>
        <w:ind w:firstLine="709"/>
        <w:jc w:val="right"/>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Таблиця 2.8</w:t>
      </w:r>
    </w:p>
    <w:p w14:paraId="32200107" w14:textId="77777777" w:rsidR="003C626E" w:rsidRDefault="001A5B20">
      <w:pPr>
        <w:tabs>
          <w:tab w:val="left" w:pos="851"/>
        </w:tabs>
        <w:spacing w:line="360" w:lineRule="auto"/>
        <w:ind w:firstLine="709"/>
        <w:jc w:val="center"/>
        <w:rPr>
          <w:rFonts w:ascii="Times New Roman" w:eastAsia="Microsoft YaHei" w:hAnsi="Times New Roman" w:cs="Times New Roman"/>
          <w:b/>
          <w:color w:val="auto"/>
          <w:sz w:val="28"/>
          <w:szCs w:val="28"/>
        </w:rPr>
      </w:pPr>
      <w:r>
        <w:rPr>
          <w:rFonts w:ascii="Times New Roman" w:eastAsia="Microsoft YaHei" w:hAnsi="Times New Roman" w:cs="Times New Roman"/>
          <w:b/>
          <w:color w:val="auto"/>
          <w:sz w:val="28"/>
          <w:szCs w:val="28"/>
        </w:rPr>
        <w:t>Оцінка складових системи контролю якості медичних послуг у КНП «Міська клінічна лікарня № 11» ОМР</w:t>
      </w:r>
    </w:p>
    <w:tbl>
      <w:tblPr>
        <w:tblStyle w:val="3a"/>
        <w:tblW w:w="0" w:type="auto"/>
        <w:tblLook w:val="04A0" w:firstRow="1" w:lastRow="0" w:firstColumn="1" w:lastColumn="0" w:noHBand="0" w:noVBand="1"/>
      </w:tblPr>
      <w:tblGrid>
        <w:gridCol w:w="1998"/>
        <w:gridCol w:w="2236"/>
        <w:gridCol w:w="2490"/>
        <w:gridCol w:w="2620"/>
      </w:tblGrid>
      <w:tr w:rsidR="003C626E" w14:paraId="3220010C" w14:textId="77777777">
        <w:tc>
          <w:tcPr>
            <w:tcW w:w="0" w:type="auto"/>
            <w:shd w:val="clear" w:color="auto" w:fill="E5DFEC" w:themeFill="accent4" w:themeFillTint="33"/>
            <w:vAlign w:val="center"/>
          </w:tcPr>
          <w:p w14:paraId="32200108" w14:textId="77777777" w:rsidR="003C626E" w:rsidRDefault="001A5B20">
            <w:pPr>
              <w:widowControl/>
              <w:tabs>
                <w:tab w:val="left" w:pos="851"/>
              </w:tabs>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Напрям контролю</w:t>
            </w:r>
          </w:p>
        </w:tc>
        <w:tc>
          <w:tcPr>
            <w:tcW w:w="0" w:type="auto"/>
            <w:shd w:val="clear" w:color="auto" w:fill="E5DFEC" w:themeFill="accent4" w:themeFillTint="33"/>
            <w:vAlign w:val="center"/>
          </w:tcPr>
          <w:p w14:paraId="32200109" w14:textId="77777777" w:rsidR="003C626E" w:rsidRDefault="001A5B20">
            <w:pPr>
              <w:widowControl/>
              <w:tabs>
                <w:tab w:val="left" w:pos="851"/>
              </w:tabs>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Стан реалізації</w:t>
            </w:r>
          </w:p>
        </w:tc>
        <w:tc>
          <w:tcPr>
            <w:tcW w:w="0" w:type="auto"/>
            <w:shd w:val="clear" w:color="auto" w:fill="E5DFEC" w:themeFill="accent4" w:themeFillTint="33"/>
            <w:vAlign w:val="center"/>
          </w:tcPr>
          <w:p w14:paraId="3220010A" w14:textId="77777777" w:rsidR="003C626E" w:rsidRDefault="001A5B20">
            <w:pPr>
              <w:widowControl/>
              <w:tabs>
                <w:tab w:val="left" w:pos="851"/>
              </w:tabs>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Сильні сторони</w:t>
            </w:r>
          </w:p>
        </w:tc>
        <w:tc>
          <w:tcPr>
            <w:tcW w:w="0" w:type="auto"/>
            <w:shd w:val="clear" w:color="auto" w:fill="E5DFEC" w:themeFill="accent4" w:themeFillTint="33"/>
            <w:vAlign w:val="center"/>
          </w:tcPr>
          <w:p w14:paraId="3220010B" w14:textId="77777777" w:rsidR="003C626E" w:rsidRDefault="001A5B20">
            <w:pPr>
              <w:widowControl/>
              <w:tabs>
                <w:tab w:val="left" w:pos="851"/>
              </w:tabs>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Проблеми / Резерви покращення</w:t>
            </w:r>
          </w:p>
        </w:tc>
      </w:tr>
      <w:tr w:rsidR="003C626E" w14:paraId="32200111" w14:textId="77777777">
        <w:tc>
          <w:tcPr>
            <w:tcW w:w="0" w:type="auto"/>
            <w:shd w:val="clear" w:color="auto" w:fill="DDD9C3" w:themeFill="background2" w:themeFillShade="E6"/>
            <w:vAlign w:val="center"/>
          </w:tcPr>
          <w:p w14:paraId="3220010D"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Організаційна структура управління якістю</w:t>
            </w:r>
          </w:p>
        </w:tc>
        <w:tc>
          <w:tcPr>
            <w:tcW w:w="0" w:type="auto"/>
            <w:shd w:val="clear" w:color="auto" w:fill="C6D9F1" w:themeFill="text2" w:themeFillTint="33"/>
            <w:vAlign w:val="center"/>
          </w:tcPr>
          <w:p w14:paraId="3220010E"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Діє комісія з якості, відповідальні особи у відділеннях</w:t>
            </w:r>
          </w:p>
        </w:tc>
        <w:tc>
          <w:tcPr>
            <w:tcW w:w="0" w:type="auto"/>
            <w:shd w:val="clear" w:color="auto" w:fill="F2DBDB" w:themeFill="accent2" w:themeFillTint="33"/>
            <w:vAlign w:val="center"/>
          </w:tcPr>
          <w:p w14:paraId="3220010F"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Наявність чітко визначених відповідальних осіб</w:t>
            </w:r>
          </w:p>
        </w:tc>
        <w:tc>
          <w:tcPr>
            <w:tcW w:w="0" w:type="auto"/>
            <w:shd w:val="clear" w:color="auto" w:fill="DAEEF3" w:themeFill="accent5" w:themeFillTint="33"/>
            <w:vAlign w:val="center"/>
          </w:tcPr>
          <w:p w14:paraId="32200110"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Недостатня інтеграція системи управління якістю у всі процеси лікарні</w:t>
            </w:r>
          </w:p>
        </w:tc>
      </w:tr>
      <w:tr w:rsidR="003C626E" w14:paraId="32200116" w14:textId="77777777">
        <w:tc>
          <w:tcPr>
            <w:tcW w:w="0" w:type="auto"/>
            <w:shd w:val="clear" w:color="auto" w:fill="DDD9C3" w:themeFill="background2" w:themeFillShade="E6"/>
            <w:vAlign w:val="center"/>
          </w:tcPr>
          <w:p w14:paraId="32200112"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Нормативна база та внутрішні стандарти</w:t>
            </w:r>
          </w:p>
        </w:tc>
        <w:tc>
          <w:tcPr>
            <w:tcW w:w="0" w:type="auto"/>
            <w:shd w:val="clear" w:color="auto" w:fill="C6D9F1" w:themeFill="text2" w:themeFillTint="33"/>
            <w:vAlign w:val="center"/>
          </w:tcPr>
          <w:p w14:paraId="32200113"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Розроблено інструкції, протоколи, накази</w:t>
            </w:r>
          </w:p>
        </w:tc>
        <w:tc>
          <w:tcPr>
            <w:tcW w:w="0" w:type="auto"/>
            <w:shd w:val="clear" w:color="auto" w:fill="F2DBDB" w:themeFill="accent2" w:themeFillTint="33"/>
            <w:vAlign w:val="center"/>
          </w:tcPr>
          <w:p w14:paraId="32200114"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Відповідність вимогам МОЗ, наявність документальної бази</w:t>
            </w:r>
          </w:p>
        </w:tc>
        <w:tc>
          <w:tcPr>
            <w:tcW w:w="0" w:type="auto"/>
            <w:shd w:val="clear" w:color="auto" w:fill="DAEEF3" w:themeFill="accent5" w:themeFillTint="33"/>
            <w:vAlign w:val="center"/>
          </w:tcPr>
          <w:p w14:paraId="32200115"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Потреба в оновленні протоколів відповідно до сучасних клінічних настанов</w:t>
            </w:r>
          </w:p>
        </w:tc>
      </w:tr>
      <w:tr w:rsidR="003C626E" w14:paraId="3220011B" w14:textId="77777777">
        <w:tc>
          <w:tcPr>
            <w:tcW w:w="0" w:type="auto"/>
            <w:shd w:val="clear" w:color="auto" w:fill="DDD9C3" w:themeFill="background2" w:themeFillShade="E6"/>
            <w:vAlign w:val="center"/>
          </w:tcPr>
          <w:p w14:paraId="32200117"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Контроль клінічних процесів</w:t>
            </w:r>
          </w:p>
        </w:tc>
        <w:tc>
          <w:tcPr>
            <w:tcW w:w="0" w:type="auto"/>
            <w:shd w:val="clear" w:color="auto" w:fill="C6D9F1" w:themeFill="text2" w:themeFillTint="33"/>
            <w:vAlign w:val="center"/>
          </w:tcPr>
          <w:p w14:paraId="32200118"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Регулярний внутрішній аудит, розбір випадків</w:t>
            </w:r>
          </w:p>
        </w:tc>
        <w:tc>
          <w:tcPr>
            <w:tcW w:w="0" w:type="auto"/>
            <w:shd w:val="clear" w:color="auto" w:fill="F2DBDB" w:themeFill="accent2" w:themeFillTint="33"/>
            <w:vAlign w:val="center"/>
          </w:tcPr>
          <w:p w14:paraId="32200119"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Систематичний аналіз ускладнень, летальності</w:t>
            </w:r>
          </w:p>
        </w:tc>
        <w:tc>
          <w:tcPr>
            <w:tcW w:w="0" w:type="auto"/>
            <w:shd w:val="clear" w:color="auto" w:fill="DAEEF3" w:themeFill="accent5" w:themeFillTint="33"/>
            <w:vAlign w:val="center"/>
          </w:tcPr>
          <w:p w14:paraId="3220011A"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Відсутність автоматизованих систем збору та аналізу показників</w:t>
            </w:r>
          </w:p>
        </w:tc>
      </w:tr>
      <w:tr w:rsidR="003C626E" w14:paraId="32200120" w14:textId="77777777">
        <w:tc>
          <w:tcPr>
            <w:tcW w:w="0" w:type="auto"/>
            <w:shd w:val="clear" w:color="auto" w:fill="DDD9C3" w:themeFill="background2" w:themeFillShade="E6"/>
            <w:vAlign w:val="center"/>
          </w:tcPr>
          <w:p w14:paraId="3220011C"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Кадрове забезпечення та навчання</w:t>
            </w:r>
          </w:p>
        </w:tc>
        <w:tc>
          <w:tcPr>
            <w:tcW w:w="0" w:type="auto"/>
            <w:shd w:val="clear" w:color="auto" w:fill="C6D9F1" w:themeFill="text2" w:themeFillTint="33"/>
            <w:vAlign w:val="center"/>
          </w:tcPr>
          <w:p w14:paraId="3220011D"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Високий рівень фахової підготовки лікарів</w:t>
            </w:r>
          </w:p>
        </w:tc>
        <w:tc>
          <w:tcPr>
            <w:tcW w:w="0" w:type="auto"/>
            <w:shd w:val="clear" w:color="auto" w:fill="F2DBDB" w:themeFill="accent2" w:themeFillTint="33"/>
            <w:vAlign w:val="center"/>
          </w:tcPr>
          <w:p w14:paraId="3220011E"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Підвищення кваліфікації, участь у конференціях</w:t>
            </w:r>
          </w:p>
        </w:tc>
        <w:tc>
          <w:tcPr>
            <w:tcW w:w="0" w:type="auto"/>
            <w:shd w:val="clear" w:color="auto" w:fill="DAEEF3" w:themeFill="accent5" w:themeFillTint="33"/>
            <w:vAlign w:val="center"/>
          </w:tcPr>
          <w:p w14:paraId="3220011F"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Потреба у розширенні програм безперервного професійного розвитку</w:t>
            </w:r>
          </w:p>
        </w:tc>
      </w:tr>
      <w:tr w:rsidR="003C626E" w14:paraId="32200125" w14:textId="77777777">
        <w:tc>
          <w:tcPr>
            <w:tcW w:w="0" w:type="auto"/>
            <w:shd w:val="clear" w:color="auto" w:fill="DDD9C3" w:themeFill="background2" w:themeFillShade="E6"/>
            <w:vAlign w:val="center"/>
          </w:tcPr>
          <w:p w14:paraId="32200121"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Матеріально-технічна база</w:t>
            </w:r>
          </w:p>
        </w:tc>
        <w:tc>
          <w:tcPr>
            <w:tcW w:w="0" w:type="auto"/>
            <w:shd w:val="clear" w:color="auto" w:fill="C6D9F1" w:themeFill="text2" w:themeFillTint="33"/>
            <w:vAlign w:val="center"/>
          </w:tcPr>
          <w:p w14:paraId="32200122"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Достатня для надання ургентної допомоги</w:t>
            </w:r>
          </w:p>
        </w:tc>
        <w:tc>
          <w:tcPr>
            <w:tcW w:w="0" w:type="auto"/>
            <w:shd w:val="clear" w:color="auto" w:fill="F2DBDB" w:themeFill="accent2" w:themeFillTint="33"/>
            <w:vAlign w:val="center"/>
          </w:tcPr>
          <w:p w14:paraId="32200123"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Проведено оновлення обладнання в межах проєкту «Велике Будівництво»</w:t>
            </w:r>
          </w:p>
        </w:tc>
        <w:tc>
          <w:tcPr>
            <w:tcW w:w="0" w:type="auto"/>
            <w:shd w:val="clear" w:color="auto" w:fill="DAEEF3" w:themeFill="accent5" w:themeFillTint="33"/>
            <w:vAlign w:val="center"/>
          </w:tcPr>
          <w:p w14:paraId="32200124"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Недостатність сучасного діагностичного обладнання у деяких відділеннях</w:t>
            </w:r>
          </w:p>
        </w:tc>
      </w:tr>
      <w:tr w:rsidR="003C626E" w14:paraId="3220012A" w14:textId="77777777">
        <w:tc>
          <w:tcPr>
            <w:tcW w:w="0" w:type="auto"/>
            <w:shd w:val="clear" w:color="auto" w:fill="DDD9C3" w:themeFill="background2" w:themeFillShade="E6"/>
            <w:vAlign w:val="center"/>
          </w:tcPr>
          <w:p w14:paraId="32200126"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Взаємодія з пацієнтами</w:t>
            </w:r>
          </w:p>
        </w:tc>
        <w:tc>
          <w:tcPr>
            <w:tcW w:w="0" w:type="auto"/>
            <w:shd w:val="clear" w:color="auto" w:fill="C6D9F1" w:themeFill="text2" w:themeFillTint="33"/>
            <w:vAlign w:val="center"/>
          </w:tcPr>
          <w:p w14:paraId="32200127"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Проводяться опитування, анкетування</w:t>
            </w:r>
          </w:p>
        </w:tc>
        <w:tc>
          <w:tcPr>
            <w:tcW w:w="0" w:type="auto"/>
            <w:shd w:val="clear" w:color="auto" w:fill="F2DBDB" w:themeFill="accent2" w:themeFillTint="33"/>
            <w:vAlign w:val="center"/>
          </w:tcPr>
          <w:p w14:paraId="32200128"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Високий рівень комунікації та довіри пацієнтів</w:t>
            </w:r>
          </w:p>
        </w:tc>
        <w:tc>
          <w:tcPr>
            <w:tcW w:w="0" w:type="auto"/>
            <w:shd w:val="clear" w:color="auto" w:fill="DAEEF3" w:themeFill="accent5" w:themeFillTint="33"/>
            <w:vAlign w:val="center"/>
          </w:tcPr>
          <w:p w14:paraId="32200129"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Недостатній зворотний зв’язок щодо результатів розгляду скарг</w:t>
            </w:r>
          </w:p>
        </w:tc>
      </w:tr>
      <w:tr w:rsidR="003C626E" w14:paraId="3220012F" w14:textId="77777777">
        <w:tc>
          <w:tcPr>
            <w:tcW w:w="0" w:type="auto"/>
            <w:shd w:val="clear" w:color="auto" w:fill="DDD9C3" w:themeFill="background2" w:themeFillShade="E6"/>
            <w:vAlign w:val="center"/>
          </w:tcPr>
          <w:p w14:paraId="3220012B"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Моніторинг показників якості</w:t>
            </w:r>
          </w:p>
        </w:tc>
        <w:tc>
          <w:tcPr>
            <w:tcW w:w="0" w:type="auto"/>
            <w:shd w:val="clear" w:color="auto" w:fill="C6D9F1" w:themeFill="text2" w:themeFillTint="33"/>
            <w:vAlign w:val="center"/>
          </w:tcPr>
          <w:p w14:paraId="3220012C"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Здійснюється щоквартальний аналіз</w:t>
            </w:r>
          </w:p>
        </w:tc>
        <w:tc>
          <w:tcPr>
            <w:tcW w:w="0" w:type="auto"/>
            <w:shd w:val="clear" w:color="auto" w:fill="F2DBDB" w:themeFill="accent2" w:themeFillTint="33"/>
            <w:vAlign w:val="center"/>
          </w:tcPr>
          <w:p w14:paraId="3220012D"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Систематизація даних, звітність</w:t>
            </w:r>
          </w:p>
        </w:tc>
        <w:tc>
          <w:tcPr>
            <w:tcW w:w="0" w:type="auto"/>
            <w:shd w:val="clear" w:color="auto" w:fill="DAEEF3" w:themeFill="accent5" w:themeFillTint="33"/>
            <w:vAlign w:val="center"/>
          </w:tcPr>
          <w:p w14:paraId="3220012E"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Відсутність повноцінної автоматизованої аналітичної платформи</w:t>
            </w:r>
          </w:p>
        </w:tc>
      </w:tr>
      <w:tr w:rsidR="003C626E" w14:paraId="32200134" w14:textId="77777777">
        <w:tc>
          <w:tcPr>
            <w:tcW w:w="0" w:type="auto"/>
            <w:shd w:val="clear" w:color="auto" w:fill="DDD9C3" w:themeFill="background2" w:themeFillShade="E6"/>
            <w:vAlign w:val="center"/>
          </w:tcPr>
          <w:p w14:paraId="32200130"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Інформаційна система та цифровізація</w:t>
            </w:r>
          </w:p>
        </w:tc>
        <w:tc>
          <w:tcPr>
            <w:tcW w:w="0" w:type="auto"/>
            <w:shd w:val="clear" w:color="auto" w:fill="C6D9F1" w:themeFill="text2" w:themeFillTint="33"/>
            <w:vAlign w:val="center"/>
          </w:tcPr>
          <w:p w14:paraId="32200131"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Часткова електронна документація</w:t>
            </w:r>
          </w:p>
        </w:tc>
        <w:tc>
          <w:tcPr>
            <w:tcW w:w="0" w:type="auto"/>
            <w:shd w:val="clear" w:color="auto" w:fill="F2DBDB" w:themeFill="accent2" w:themeFillTint="33"/>
            <w:vAlign w:val="center"/>
          </w:tcPr>
          <w:p w14:paraId="32200132"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Використання eHealth для звітності</w:t>
            </w:r>
          </w:p>
        </w:tc>
        <w:tc>
          <w:tcPr>
            <w:tcW w:w="0" w:type="auto"/>
            <w:shd w:val="clear" w:color="auto" w:fill="DAEEF3" w:themeFill="accent5" w:themeFillTint="33"/>
            <w:vAlign w:val="center"/>
          </w:tcPr>
          <w:p w14:paraId="32200133"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Необхідність повного переходу на електронні медичні картки</w:t>
            </w:r>
          </w:p>
        </w:tc>
      </w:tr>
      <w:tr w:rsidR="003C626E" w14:paraId="32200139" w14:textId="77777777">
        <w:tc>
          <w:tcPr>
            <w:tcW w:w="0" w:type="auto"/>
            <w:shd w:val="clear" w:color="auto" w:fill="DDD9C3" w:themeFill="background2" w:themeFillShade="E6"/>
            <w:vAlign w:val="center"/>
          </w:tcPr>
          <w:p w14:paraId="32200135"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bCs/>
                <w:color w:val="auto"/>
                <w:lang w:bidi="ar-SA"/>
              </w:rPr>
              <w:t>Внутрішній аудит якості</w:t>
            </w:r>
          </w:p>
        </w:tc>
        <w:tc>
          <w:tcPr>
            <w:tcW w:w="0" w:type="auto"/>
            <w:shd w:val="clear" w:color="auto" w:fill="C6D9F1" w:themeFill="text2" w:themeFillTint="33"/>
            <w:vAlign w:val="center"/>
          </w:tcPr>
          <w:p w14:paraId="32200136"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Проводиться планово</w:t>
            </w:r>
          </w:p>
        </w:tc>
        <w:tc>
          <w:tcPr>
            <w:tcW w:w="0" w:type="auto"/>
            <w:shd w:val="clear" w:color="auto" w:fill="F2DBDB" w:themeFill="accent2" w:themeFillTint="33"/>
            <w:vAlign w:val="center"/>
          </w:tcPr>
          <w:p w14:paraId="32200137"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Є контроль дисципліни ведення документації</w:t>
            </w:r>
          </w:p>
        </w:tc>
        <w:tc>
          <w:tcPr>
            <w:tcW w:w="0" w:type="auto"/>
            <w:shd w:val="clear" w:color="auto" w:fill="DAEEF3" w:themeFill="accent5" w:themeFillTint="33"/>
            <w:vAlign w:val="center"/>
          </w:tcPr>
          <w:p w14:paraId="32200138" w14:textId="77777777" w:rsidR="003C626E" w:rsidRDefault="001A5B20">
            <w:pPr>
              <w:widowControl/>
              <w:tabs>
                <w:tab w:val="left" w:pos="851"/>
              </w:tabs>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Недостатня деталізація критеріїв оцінки медичних процесів</w:t>
            </w:r>
          </w:p>
        </w:tc>
      </w:tr>
    </w:tbl>
    <w:p w14:paraId="3220013A" w14:textId="77777777" w:rsidR="003C626E" w:rsidRDefault="001A5B20">
      <w:pPr>
        <w:widowControl/>
        <w:tabs>
          <w:tab w:val="left" w:pos="851"/>
        </w:tabs>
        <w:spacing w:line="360" w:lineRule="auto"/>
        <w:ind w:firstLine="709"/>
        <w:jc w:val="both"/>
        <w:rPr>
          <w:rFonts w:ascii="Times New Roman" w:eastAsia="Times New Roman" w:hAnsi="Times New Roman" w:cs="Times New Roman"/>
          <w:i/>
          <w:color w:val="auto"/>
          <w:lang w:bidi="ar-SA"/>
        </w:rPr>
      </w:pPr>
      <w:r>
        <w:rPr>
          <w:rFonts w:ascii="Times New Roman" w:eastAsia="Times New Roman" w:hAnsi="Times New Roman" w:cs="Times New Roman"/>
          <w:i/>
          <w:color w:val="auto"/>
          <w:lang w:bidi="ar-SA"/>
        </w:rPr>
        <w:t>Джерело: побудовано автором</w:t>
      </w:r>
    </w:p>
    <w:p w14:paraId="3220013B" w14:textId="77777777" w:rsidR="003C626E" w:rsidRDefault="001A5B20">
      <w:pPr>
        <w:widowControl/>
        <w:tabs>
          <w:tab w:val="left" w:pos="851"/>
        </w:tabs>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lastRenderedPageBreak/>
        <w:t>Система контролю якості у КНП «Міська клінічна лікарня № 11» ОМР є структурованою та функціональною, забезпечує базовий рівень управління якістю відповідно до вимог МОЗ України. Проте для підвищення її ефективності доцільно:</w:t>
      </w:r>
    </w:p>
    <w:p w14:paraId="3220013C" w14:textId="77777777" w:rsidR="003C626E" w:rsidRDefault="001A5B20">
      <w:pPr>
        <w:widowControl/>
        <w:numPr>
          <w:ilvl w:val="0"/>
          <w:numId w:val="40"/>
        </w:numPr>
        <w:tabs>
          <w:tab w:val="left" w:pos="851"/>
        </w:tabs>
        <w:spacing w:line="360" w:lineRule="auto"/>
        <w:ind w:left="0" w:firstLine="709"/>
        <w:contextualSpacing/>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посилити цифровізацію управління якістю,</w:t>
      </w:r>
    </w:p>
    <w:p w14:paraId="3220013D" w14:textId="77777777" w:rsidR="003C626E" w:rsidRDefault="001A5B20">
      <w:pPr>
        <w:widowControl/>
        <w:numPr>
          <w:ilvl w:val="0"/>
          <w:numId w:val="40"/>
        </w:numPr>
        <w:tabs>
          <w:tab w:val="left" w:pos="851"/>
        </w:tabs>
        <w:spacing w:line="360" w:lineRule="auto"/>
        <w:ind w:left="0" w:firstLine="709"/>
        <w:contextualSpacing/>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впровадити електронний моніторинг клінічних показників,</w:t>
      </w:r>
    </w:p>
    <w:p w14:paraId="3220013E" w14:textId="77777777" w:rsidR="003C626E" w:rsidRDefault="001A5B20">
      <w:pPr>
        <w:widowControl/>
        <w:numPr>
          <w:ilvl w:val="0"/>
          <w:numId w:val="40"/>
        </w:numPr>
        <w:tabs>
          <w:tab w:val="left" w:pos="851"/>
        </w:tabs>
        <w:spacing w:line="360" w:lineRule="auto"/>
        <w:ind w:left="0" w:firstLine="709"/>
        <w:contextualSpacing/>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активізувати внутрішнє навчання персоналу,</w:t>
      </w:r>
    </w:p>
    <w:p w14:paraId="3220013F" w14:textId="77777777" w:rsidR="003C626E" w:rsidRDefault="001A5B20">
      <w:pPr>
        <w:widowControl/>
        <w:numPr>
          <w:ilvl w:val="0"/>
          <w:numId w:val="40"/>
        </w:numPr>
        <w:tabs>
          <w:tab w:val="left" w:pos="851"/>
        </w:tabs>
        <w:spacing w:line="360" w:lineRule="auto"/>
        <w:ind w:left="0" w:firstLine="709"/>
        <w:contextualSpacing/>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розширити аналітичну складову внутрішнього аудиту,</w:t>
      </w:r>
    </w:p>
    <w:p w14:paraId="32200140" w14:textId="77777777" w:rsidR="003C626E" w:rsidRDefault="001A5B20">
      <w:pPr>
        <w:widowControl/>
        <w:numPr>
          <w:ilvl w:val="0"/>
          <w:numId w:val="40"/>
        </w:numPr>
        <w:tabs>
          <w:tab w:val="left" w:pos="851"/>
        </w:tabs>
        <w:spacing w:line="360" w:lineRule="auto"/>
        <w:ind w:left="0" w:firstLine="709"/>
        <w:contextualSpacing/>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покращити зворотний зв’язок з пацієнтами.</w:t>
      </w:r>
    </w:p>
    <w:p w14:paraId="32200141" w14:textId="77777777" w:rsidR="003C626E" w:rsidRDefault="001A5B20">
      <w:pPr>
        <w:tabs>
          <w:tab w:val="left" w:pos="851"/>
        </w:tabs>
        <w:spacing w:line="360" w:lineRule="auto"/>
        <w:ind w:firstLine="709"/>
        <w:jc w:val="both"/>
        <w:rPr>
          <w:rFonts w:ascii="Times New Roman" w:eastAsia="Microsoft YaHei" w:hAnsi="Times New Roman" w:cs="Times New Roman"/>
          <w:color w:val="auto"/>
          <w:sz w:val="28"/>
          <w:szCs w:val="28"/>
        </w:rPr>
      </w:pPr>
      <w:r>
        <w:rPr>
          <w:rFonts w:ascii="Times New Roman" w:eastAsia="Microsoft YaHei" w:hAnsi="Times New Roman" w:cs="Times New Roman"/>
          <w:color w:val="auto"/>
          <w:sz w:val="28"/>
          <w:szCs w:val="28"/>
        </w:rPr>
        <w:t>Такі заходи сприятимуть підвищенню якості надання медичних послуг, ефективності управління ресурсами та зростанню довіри з боку пацієнтів і громади.</w:t>
      </w:r>
    </w:p>
    <w:p w14:paraId="32200142" w14:textId="77777777" w:rsidR="003C626E" w:rsidRDefault="003C626E">
      <w:pPr>
        <w:tabs>
          <w:tab w:val="left" w:pos="851"/>
        </w:tabs>
        <w:spacing w:line="360" w:lineRule="auto"/>
        <w:ind w:firstLine="709"/>
        <w:jc w:val="both"/>
        <w:rPr>
          <w:rFonts w:ascii="Times New Roman" w:eastAsia="Microsoft YaHei" w:hAnsi="Times New Roman" w:cs="Times New Roman"/>
          <w:b/>
          <w:color w:val="auto"/>
          <w:sz w:val="28"/>
          <w:szCs w:val="28"/>
        </w:rPr>
      </w:pPr>
    </w:p>
    <w:p w14:paraId="32200143" w14:textId="77777777" w:rsidR="003C626E" w:rsidRDefault="001A5B20">
      <w:pPr>
        <w:tabs>
          <w:tab w:val="left" w:pos="851"/>
        </w:tabs>
        <w:spacing w:line="360" w:lineRule="auto"/>
        <w:ind w:firstLine="709"/>
        <w:jc w:val="both"/>
        <w:rPr>
          <w:rFonts w:ascii="Times New Roman" w:eastAsia="Microsoft YaHei" w:hAnsi="Times New Roman" w:cs="Times New Roman"/>
          <w:b/>
          <w:color w:val="auto"/>
          <w:sz w:val="28"/>
          <w:szCs w:val="28"/>
        </w:rPr>
      </w:pPr>
      <w:r>
        <w:rPr>
          <w:rFonts w:ascii="Times New Roman" w:eastAsia="Microsoft YaHei" w:hAnsi="Times New Roman" w:cs="Times New Roman"/>
          <w:b/>
          <w:color w:val="auto"/>
          <w:sz w:val="28"/>
          <w:szCs w:val="28"/>
        </w:rPr>
        <w:t>Висновок до розділу 2</w:t>
      </w:r>
    </w:p>
    <w:p w14:paraId="32200144"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розділі 2 наведено аналіз сучасного стану організації контролю якості медичних послуг у Комунальному некомерційному підприємстві «Міська клінічна лікарня № 11» Одеської міської ради.</w:t>
      </w:r>
    </w:p>
    <w:p w14:paraId="32200145"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КНП «МКЛ № 11» ОМР відоме високим рівнем якості медичних послуг і широким спектром напрямів діяльності: від екстреної допомоги та складних хірургічних операцій до сучасної діагностики й реабілітаційних програм.</w:t>
      </w:r>
    </w:p>
    <w:p w14:paraId="32200146"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До основних завдань лікарні відносяться: надання ургентної допомоги, багатопрофільна спеціалізована допомога, «Велике Будівництво». </w:t>
      </w:r>
    </w:p>
    <w:p w14:paraId="32200147"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 період війни відзначається тенденція до збільшення кількості звернень за ургентними випадками. Ургентація здійснюється цілодобово і щодня по 7 хірургічним спеціальностями, а також згідно з графіком департаменту по терапії та неврології. Щорічно у середньому в медичному закладі виконуються більше 8000 оперативних втручань, з яких 80% ургентно.</w:t>
      </w:r>
    </w:p>
    <w:p w14:paraId="32200148"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Багатопрофільну спеціалізовану допомогу надають підрозділи та відділення терапевтичного та хірургічного профілю. Наведена забезпеченість відділень ліжковим фондом, згідно якої до відділень, які розраховані на </w:t>
      </w:r>
      <w:r>
        <w:rPr>
          <w:rFonts w:ascii="Times New Roman" w:eastAsia="Microsoft YaHei" w:hAnsi="Times New Roman" w:cs="Times New Roman"/>
          <w:sz w:val="28"/>
          <w:szCs w:val="28"/>
        </w:rPr>
        <w:lastRenderedPageBreak/>
        <w:t>найбільшу кількість пацієнтів, відносяться: терапевтичне та відділення інтенсивної терапії, відділення екстреної медичної допомоги, гінекологічне та нейрохірургічне.</w:t>
      </w:r>
    </w:p>
    <w:p w14:paraId="32200149"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Наведена характеристика профільних відділень КНП «МКЛ № 11» ОМР. Проведений аналіз таздійснрена оцінка фінансового стану та ефективності управління КНП «Міська клінічна лікарня № 11» ОМР. Економічні та фінансові показники медичного закладу свідчать про ефективне управління та методи господарювання.  Визначені фактори впливу на стабільність та динаміку розвитку лікарні.</w:t>
      </w:r>
    </w:p>
    <w:p w14:paraId="3220014A"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Охарактеризовано показники фінансового стану КНП «МКЛ №11» OMP, на основі яких можна зробити висновок, що КНП «МКЛ №11» ОМР має ознаки ефективної діяльності за рахунок прибутковості, однак потребує посилення фінансової стабільності, а саме: покращення ліквідності та зменшення кредитної залежності; оптимізації структури активів на користь оборотних; нарощення власного капіталу та створення резервів ліквідності.</w:t>
      </w:r>
    </w:p>
    <w:p w14:paraId="3220014B"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Таким чином, фінансовий стан закладу оцінюється як задовільний, але з ризиком зниження стійкості у разі відсутності коригуючих управлінських дій.</w:t>
      </w:r>
    </w:p>
    <w:p w14:paraId="3220014C"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Фінансова структура лікарні має бюджетно-орієнтований характер, адже основна частина надходжень формується за рахунок капітальних трансфертів, спрямованих на підтримку, оновлення та розвиток матеріально-технічної бази закладу.</w:t>
      </w:r>
    </w:p>
    <w:p w14:paraId="3220014D"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Проведено оцінку існуючої системи контролю якості медичних послуг у КНП «Міська клінічна лікарня №11» ОМР. Визначено, що у лікарні функціонує комплексна система управління якістю, що поєднує адміністративні, клінічні, організаційні та інформаційно-аналітичні механізми. Усі елементи системи працюють у тісній взаємодії між собою, що дозволяє забезпечити цілісність процесу надання медичних послуг і контроль на кожному етапі лікування.</w:t>
      </w:r>
    </w:p>
    <w:p w14:paraId="3220014E"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Розглянуто механізми функціонування комплексної системи управління якістю медичних послуг та функції контролю якості медичної допомоги у </w:t>
      </w:r>
      <w:r>
        <w:rPr>
          <w:rFonts w:ascii="Times New Roman" w:eastAsia="Microsoft YaHei" w:hAnsi="Times New Roman" w:cs="Times New Roman"/>
          <w:sz w:val="28"/>
          <w:szCs w:val="28"/>
        </w:rPr>
        <w:lastRenderedPageBreak/>
        <w:t>КНП «Міська клінічна лікарня №11» ОМР. Визначено основні напрями контролю якості медичних послуг</w:t>
      </w:r>
      <w:r>
        <w:rPr>
          <w:rFonts w:ascii="Microsoft YaHei" w:eastAsia="Microsoft YaHei" w:hAnsi="Microsoft YaHei" w:cs="Microsoft YaHei"/>
        </w:rPr>
        <w:t xml:space="preserve"> </w:t>
      </w:r>
      <w:r>
        <w:rPr>
          <w:rFonts w:ascii="Times New Roman" w:eastAsia="Microsoft YaHei" w:hAnsi="Times New Roman" w:cs="Times New Roman"/>
          <w:sz w:val="28"/>
          <w:szCs w:val="28"/>
        </w:rPr>
        <w:t xml:space="preserve">та здійснено аналіз системи контролю його якості та оцінку складових. </w:t>
      </w:r>
    </w:p>
    <w:p w14:paraId="3220014F"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Хоча система контролю якості у КНП «Міська клінічна лікарня № 11» ОМР є структурованою та функціональною, забезпечує базовий рівень управління якістю відповідно до вимог МОЗ України, проте для підвищення її ефективності доцільно посилити цифровізацію управління якістю, впровадити електронний моніторинг клінічних показників, активізувати внутрішнє навчання персоналу, розширити аналітичну складову внутрішнього аудиту, покращити зворотний зв’язок з пацієнтами. Такі заходи сприятимуть підвищенню якості надання медичних послуг, ефективності управління ресурсами та зростанню довіри з боку пацієнтів і громади.</w:t>
      </w:r>
    </w:p>
    <w:p w14:paraId="32200150" w14:textId="77777777" w:rsidR="003C626E" w:rsidRDefault="003C626E">
      <w:pPr>
        <w:spacing w:line="360" w:lineRule="auto"/>
        <w:ind w:firstLine="709"/>
        <w:jc w:val="both"/>
        <w:rPr>
          <w:rFonts w:ascii="Times New Roman" w:eastAsia="Microsoft YaHei" w:hAnsi="Times New Roman" w:cs="Times New Roman"/>
          <w:sz w:val="28"/>
          <w:szCs w:val="28"/>
        </w:rPr>
      </w:pPr>
    </w:p>
    <w:p w14:paraId="32200151" w14:textId="77777777" w:rsidR="003C626E" w:rsidRDefault="003C626E">
      <w:pPr>
        <w:spacing w:line="360" w:lineRule="auto"/>
        <w:ind w:firstLine="709"/>
        <w:jc w:val="both"/>
        <w:rPr>
          <w:rFonts w:ascii="Times New Roman" w:eastAsia="Microsoft YaHei" w:hAnsi="Times New Roman" w:cs="Times New Roman"/>
          <w:sz w:val="28"/>
          <w:szCs w:val="28"/>
        </w:rPr>
      </w:pPr>
    </w:p>
    <w:p w14:paraId="32200152" w14:textId="77777777" w:rsidR="003C626E" w:rsidRDefault="003C626E">
      <w:pPr>
        <w:tabs>
          <w:tab w:val="left" w:pos="851"/>
        </w:tabs>
        <w:spacing w:line="360" w:lineRule="auto"/>
        <w:ind w:firstLine="709"/>
        <w:jc w:val="both"/>
        <w:rPr>
          <w:rFonts w:ascii="Times New Roman" w:eastAsia="Microsoft YaHei" w:hAnsi="Times New Roman" w:cs="Times New Roman"/>
          <w:b/>
          <w:color w:val="auto"/>
          <w:sz w:val="28"/>
          <w:szCs w:val="28"/>
        </w:rPr>
      </w:pPr>
    </w:p>
    <w:p w14:paraId="32200153"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200154"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200155"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200156"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200157" w14:textId="77777777" w:rsidR="003C626E" w:rsidRDefault="003C626E">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p>
    <w:p w14:paraId="32200158" w14:textId="77777777" w:rsidR="003C626E" w:rsidRDefault="003C626E">
      <w:pPr>
        <w:spacing w:line="360" w:lineRule="auto"/>
        <w:ind w:firstLine="708"/>
        <w:jc w:val="both"/>
        <w:rPr>
          <w:rFonts w:ascii="Times New Roman" w:hAnsi="Times New Roman" w:cs="Times New Roman"/>
          <w:color w:val="auto"/>
          <w:sz w:val="28"/>
          <w:szCs w:val="28"/>
        </w:rPr>
      </w:pPr>
    </w:p>
    <w:p w14:paraId="32200159" w14:textId="77777777" w:rsidR="003C626E" w:rsidRDefault="003C626E">
      <w:pPr>
        <w:spacing w:line="360" w:lineRule="auto"/>
        <w:ind w:firstLine="708"/>
        <w:jc w:val="both"/>
        <w:rPr>
          <w:rFonts w:ascii="Times New Roman" w:hAnsi="Times New Roman" w:cs="Times New Roman"/>
          <w:color w:val="auto"/>
          <w:sz w:val="28"/>
          <w:szCs w:val="28"/>
        </w:rPr>
      </w:pPr>
    </w:p>
    <w:p w14:paraId="3220015A" w14:textId="77777777" w:rsidR="003C626E" w:rsidRDefault="003C626E">
      <w:pPr>
        <w:spacing w:line="360" w:lineRule="auto"/>
        <w:ind w:firstLine="709"/>
        <w:jc w:val="both"/>
        <w:rPr>
          <w:rFonts w:ascii="Times New Roman" w:hAnsi="Times New Roman" w:cs="Times New Roman"/>
          <w:color w:val="auto"/>
          <w:sz w:val="28"/>
          <w:szCs w:val="28"/>
        </w:rPr>
      </w:pPr>
    </w:p>
    <w:p w14:paraId="3220015B" w14:textId="77777777" w:rsidR="003C626E" w:rsidRDefault="003C626E">
      <w:pPr>
        <w:spacing w:line="360" w:lineRule="auto"/>
        <w:ind w:firstLine="709"/>
        <w:jc w:val="both"/>
        <w:rPr>
          <w:rFonts w:ascii="Times New Roman" w:hAnsi="Times New Roman" w:cs="Times New Roman"/>
          <w:color w:val="auto"/>
          <w:sz w:val="28"/>
          <w:szCs w:val="28"/>
        </w:rPr>
      </w:pPr>
    </w:p>
    <w:p w14:paraId="3220015C" w14:textId="77777777" w:rsidR="003C626E" w:rsidRDefault="003C626E">
      <w:pPr>
        <w:spacing w:line="360" w:lineRule="auto"/>
        <w:ind w:firstLine="709"/>
        <w:jc w:val="both"/>
        <w:rPr>
          <w:rFonts w:ascii="Times New Roman" w:hAnsi="Times New Roman" w:cs="Times New Roman"/>
          <w:color w:val="auto"/>
          <w:sz w:val="28"/>
          <w:szCs w:val="28"/>
        </w:rPr>
      </w:pPr>
    </w:p>
    <w:p w14:paraId="3220015D" w14:textId="77777777" w:rsidR="003C626E" w:rsidRDefault="003C626E">
      <w:pPr>
        <w:spacing w:line="360" w:lineRule="auto"/>
        <w:ind w:firstLine="709"/>
        <w:jc w:val="both"/>
        <w:rPr>
          <w:rFonts w:ascii="Times New Roman" w:hAnsi="Times New Roman" w:cs="Times New Roman"/>
          <w:color w:val="auto"/>
          <w:sz w:val="28"/>
          <w:szCs w:val="28"/>
        </w:rPr>
      </w:pPr>
    </w:p>
    <w:p w14:paraId="3220015E" w14:textId="77777777" w:rsidR="003C626E" w:rsidRDefault="003C626E">
      <w:pPr>
        <w:spacing w:line="360" w:lineRule="auto"/>
        <w:ind w:firstLine="709"/>
        <w:jc w:val="both"/>
        <w:rPr>
          <w:rFonts w:ascii="Times New Roman" w:hAnsi="Times New Roman" w:cs="Times New Roman"/>
          <w:color w:val="auto"/>
          <w:sz w:val="28"/>
          <w:szCs w:val="28"/>
        </w:rPr>
      </w:pPr>
    </w:p>
    <w:p w14:paraId="3220015F" w14:textId="77777777" w:rsidR="003C626E" w:rsidRDefault="003C626E">
      <w:pPr>
        <w:spacing w:line="360" w:lineRule="auto"/>
        <w:ind w:firstLine="709"/>
        <w:jc w:val="both"/>
        <w:rPr>
          <w:rFonts w:ascii="Times New Roman" w:hAnsi="Times New Roman" w:cs="Times New Roman"/>
          <w:color w:val="auto"/>
          <w:sz w:val="28"/>
          <w:szCs w:val="28"/>
        </w:rPr>
      </w:pPr>
    </w:p>
    <w:p w14:paraId="32200160" w14:textId="77777777" w:rsidR="003C626E" w:rsidRDefault="003C626E">
      <w:pPr>
        <w:spacing w:line="360" w:lineRule="auto"/>
        <w:ind w:firstLine="709"/>
        <w:jc w:val="both"/>
        <w:rPr>
          <w:rFonts w:ascii="Times New Roman" w:hAnsi="Times New Roman" w:cs="Times New Roman"/>
          <w:color w:val="auto"/>
          <w:sz w:val="28"/>
          <w:szCs w:val="28"/>
        </w:rPr>
      </w:pPr>
    </w:p>
    <w:p w14:paraId="32200161" w14:textId="77777777" w:rsidR="003C626E" w:rsidRDefault="003C626E">
      <w:pPr>
        <w:spacing w:line="360" w:lineRule="auto"/>
        <w:ind w:firstLine="709"/>
        <w:jc w:val="both"/>
        <w:rPr>
          <w:rFonts w:ascii="Times New Roman" w:hAnsi="Times New Roman" w:cs="Times New Roman"/>
          <w:color w:val="auto"/>
          <w:sz w:val="28"/>
          <w:szCs w:val="28"/>
        </w:rPr>
      </w:pPr>
    </w:p>
    <w:p w14:paraId="32200162" w14:textId="77777777" w:rsidR="003C626E" w:rsidRDefault="001A5B20">
      <w:pPr>
        <w:keepNext/>
        <w:keepLines/>
        <w:spacing w:line="360" w:lineRule="auto"/>
        <w:ind w:firstLine="709"/>
        <w:jc w:val="center"/>
        <w:outlineLvl w:val="0"/>
        <w:rPr>
          <w:rFonts w:ascii="Times New Roman" w:eastAsia="Times New Roman" w:hAnsi="Times New Roman" w:cs="Times New Roman"/>
          <w:b/>
          <w:bCs/>
          <w:color w:val="auto"/>
          <w:sz w:val="28"/>
          <w:szCs w:val="28"/>
          <w:lang w:bidi="ar-SA"/>
        </w:rPr>
      </w:pPr>
      <w:r>
        <w:rPr>
          <w:rFonts w:ascii="Times New Roman" w:eastAsia="Times New Roman" w:hAnsi="Times New Roman" w:cs="Times New Roman"/>
          <w:b/>
          <w:bCs/>
          <w:color w:val="auto"/>
          <w:sz w:val="28"/>
          <w:szCs w:val="28"/>
          <w:lang w:bidi="ar-SA"/>
        </w:rPr>
        <w:lastRenderedPageBreak/>
        <w:t>РОЗДІЛ 3</w:t>
      </w:r>
    </w:p>
    <w:p w14:paraId="32200163" w14:textId="0E0F47E4" w:rsidR="003C626E" w:rsidRDefault="001A5B20">
      <w:pPr>
        <w:spacing w:line="360" w:lineRule="auto"/>
        <w:jc w:val="center"/>
        <w:rPr>
          <w:rFonts w:ascii="Times New Roman" w:eastAsia="Microsoft YaHei" w:hAnsi="Times New Roman" w:cs="Times New Roman"/>
          <w:b/>
          <w:sz w:val="28"/>
          <w:szCs w:val="28"/>
          <w:lang w:bidi="ar-SA"/>
        </w:rPr>
      </w:pPr>
      <w:r>
        <w:rPr>
          <w:rFonts w:ascii="Times New Roman" w:eastAsia="Microsoft YaHei" w:hAnsi="Times New Roman" w:cs="Times New Roman"/>
          <w:b/>
          <w:sz w:val="28"/>
          <w:szCs w:val="28"/>
          <w:lang w:bidi="ar-SA"/>
        </w:rPr>
        <w:t xml:space="preserve">НАПРЯМИ УДОСКОНАЛЕННЯ ОРГАНІЗАЦІЇ </w:t>
      </w:r>
      <w:r w:rsidR="004D5117">
        <w:rPr>
          <w:rFonts w:ascii="Times New Roman" w:eastAsia="Microsoft YaHei" w:hAnsi="Times New Roman" w:cs="Times New Roman"/>
          <w:b/>
          <w:sz w:val="28"/>
          <w:szCs w:val="28"/>
          <w:lang w:bidi="ar-SA"/>
        </w:rPr>
        <w:t xml:space="preserve">СИСТЕМИ УПРАВЛІННЯ ТА </w:t>
      </w:r>
      <w:r>
        <w:rPr>
          <w:rFonts w:ascii="Times New Roman" w:eastAsia="Microsoft YaHei" w:hAnsi="Times New Roman" w:cs="Times New Roman"/>
          <w:b/>
          <w:sz w:val="28"/>
          <w:szCs w:val="28"/>
          <w:lang w:bidi="ar-SA"/>
        </w:rPr>
        <w:t>КОНТРОЛЮ ЯКОСТІ НАДАННЯ МЕДИЧНИХ ПОСЛУГ</w:t>
      </w:r>
    </w:p>
    <w:p w14:paraId="32200164" w14:textId="77777777" w:rsidR="003C626E" w:rsidRDefault="003C626E">
      <w:pPr>
        <w:spacing w:line="360" w:lineRule="auto"/>
        <w:jc w:val="center"/>
        <w:rPr>
          <w:rFonts w:ascii="Times New Roman" w:eastAsia="Microsoft YaHei" w:hAnsi="Times New Roman" w:cs="Times New Roman"/>
          <w:b/>
          <w:sz w:val="28"/>
          <w:szCs w:val="28"/>
          <w:lang w:bidi="ar-SA"/>
        </w:rPr>
      </w:pPr>
    </w:p>
    <w:p w14:paraId="32200165" w14:textId="5ABE0F76" w:rsidR="003C626E" w:rsidRDefault="001A5B20">
      <w:pPr>
        <w:keepNext/>
        <w:keepLines/>
        <w:spacing w:line="360" w:lineRule="auto"/>
        <w:ind w:firstLine="709"/>
        <w:jc w:val="both"/>
        <w:outlineLvl w:val="0"/>
        <w:rPr>
          <w:rFonts w:ascii="Times New Roman" w:eastAsia="Times New Roman" w:hAnsi="Times New Roman" w:cs="Times New Roman"/>
          <w:b/>
          <w:bCs/>
          <w:color w:val="auto"/>
          <w:sz w:val="28"/>
          <w:szCs w:val="28"/>
          <w:lang w:bidi="ar-SA"/>
        </w:rPr>
      </w:pPr>
      <w:r>
        <w:rPr>
          <w:rFonts w:ascii="Times New Roman" w:eastAsia="Times New Roman" w:hAnsi="Times New Roman" w:cs="Times New Roman"/>
          <w:b/>
          <w:bCs/>
          <w:color w:val="auto"/>
          <w:sz w:val="28"/>
          <w:szCs w:val="28"/>
          <w:lang w:bidi="ar-SA"/>
        </w:rPr>
        <w:t xml:space="preserve">3.1. Оптимізація процесів </w:t>
      </w:r>
      <w:r w:rsidR="00F75CB1">
        <w:rPr>
          <w:rFonts w:ascii="Times New Roman" w:eastAsia="Times New Roman" w:hAnsi="Times New Roman" w:cs="Times New Roman"/>
          <w:b/>
          <w:bCs/>
          <w:color w:val="auto"/>
          <w:sz w:val="28"/>
          <w:szCs w:val="28"/>
          <w:lang w:bidi="ar-SA"/>
        </w:rPr>
        <w:t>управлінського</w:t>
      </w:r>
      <w:r>
        <w:rPr>
          <w:rFonts w:ascii="Times New Roman" w:eastAsia="Times New Roman" w:hAnsi="Times New Roman" w:cs="Times New Roman"/>
          <w:b/>
          <w:bCs/>
          <w:color w:val="auto"/>
          <w:sz w:val="28"/>
          <w:szCs w:val="28"/>
          <w:lang w:bidi="ar-SA"/>
        </w:rPr>
        <w:t xml:space="preserve"> аудиту медичних послуг у КНП «Міська клінічна лікарня № 11» Одеської міської ради </w:t>
      </w:r>
    </w:p>
    <w:p w14:paraId="32200166" w14:textId="77777777" w:rsidR="003C626E" w:rsidRDefault="001A5B20">
      <w:pPr>
        <w:widowControl/>
        <w:spacing w:line="360" w:lineRule="auto"/>
        <w:ind w:firstLine="709"/>
        <w:jc w:val="both"/>
        <w:rPr>
          <w:rFonts w:ascii="Times New Roman" w:eastAsia="Times New Roman" w:hAnsi="Times New Roman" w:cs="Times New Roman"/>
          <w:color w:val="auto"/>
          <w:lang w:bidi="ar-SA"/>
        </w:rPr>
      </w:pPr>
      <w:r>
        <w:rPr>
          <w:rFonts w:ascii="Times New Roman" w:eastAsia="Times New Roman" w:hAnsi="Times New Roman" w:cs="Times New Roman"/>
          <w:color w:val="auto"/>
          <w:sz w:val="28"/>
          <w:szCs w:val="28"/>
          <w:lang w:bidi="ar-SA"/>
        </w:rPr>
        <w:t>У сучасних умовах реформування системи охорони здоров’я України ефективне управління якістю медичних послуг стає одним із ключових пріоритетів діяльності закладів охорони здоров’я. Для КНП «Міська клінічна лікарня № 11» ОМР особливого значення набуває удосконалення процесів моніторингу та внутрішнього аудиту як складових менеджменту якості, що забезпечують відповідність медичних послуг державним стандартам, очікуванням пацієнтів і вимогам Національної служби здоров’я України (НСЗУ)</w:t>
      </w:r>
      <w:r>
        <w:rPr>
          <w:rFonts w:ascii="Times New Roman" w:eastAsia="Times New Roman" w:hAnsi="Times New Roman" w:cs="Times New Roman"/>
          <w:color w:val="auto"/>
          <w:lang w:bidi="ar-SA"/>
        </w:rPr>
        <w:t>.</w:t>
      </w:r>
    </w:p>
    <w:p w14:paraId="32200167" w14:textId="77777777"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Фінансування лікарні здійснюється за рахунок коштів НСЗУ, місцевого бюджету (капітальні та поточні трансферти), а також благодійних внесків. Основна частка надходжень у 2022–2024 рр. припадала на програму медичних гарантій та капітальні трансферти в рамках проекту Президента України «Велике будівництво».</w:t>
      </w:r>
    </w:p>
    <w:p w14:paraId="32200168" w14:textId="77777777"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Аналіз поточного стану системи контролю якості медичних послуг</w:t>
      </w:r>
      <w:r>
        <w:rPr>
          <w:rFonts w:ascii="Times New Roman" w:eastAsia="Microsoft YaHei" w:hAnsi="Times New Roman" w:cs="Times New Roman"/>
          <w:sz w:val="28"/>
          <w:szCs w:val="28"/>
        </w:rPr>
        <w:t xml:space="preserve">, дозволяє </w:t>
      </w:r>
      <w:r>
        <w:rPr>
          <w:rFonts w:ascii="Times New Roman" w:eastAsia="Times New Roman" w:hAnsi="Times New Roman" w:cs="Times New Roman"/>
          <w:color w:val="auto"/>
          <w:sz w:val="28"/>
          <w:szCs w:val="28"/>
          <w:lang w:bidi="ar-SA"/>
        </w:rPr>
        <w:t xml:space="preserve">впевнитись, що система внутрішнього контролю якості функціонує відповідно до вимог наказів МОЗ України та стандартів управління якістю ISO 9001:2015 </w:t>
      </w:r>
      <w:r>
        <w:rPr>
          <w:rFonts w:ascii="Times New Roman" w:eastAsia="Times New Roman" w:hAnsi="Times New Roman" w:cs="Times New Roman"/>
          <w:color w:val="auto"/>
          <w:sz w:val="28"/>
          <w:szCs w:val="28"/>
          <w:lang w:val="en-US" w:bidi="ar-SA"/>
        </w:rPr>
        <w:t>[43]</w:t>
      </w:r>
      <w:r>
        <w:rPr>
          <w:rFonts w:ascii="Times New Roman" w:eastAsia="Times New Roman" w:hAnsi="Times New Roman" w:cs="Times New Roman"/>
          <w:color w:val="auto"/>
          <w:sz w:val="28"/>
          <w:szCs w:val="28"/>
          <w:lang w:bidi="ar-SA"/>
        </w:rPr>
        <w:t>.</w:t>
      </w:r>
    </w:p>
    <w:p w14:paraId="32200169" w14:textId="77777777"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Система управління якістю, що впроваджена у лікарні, ґрунтується на вимогах МОЗ України та принципах безперервного удосконалення процесів. Основні елементи системи:</w:t>
      </w:r>
    </w:p>
    <w:p w14:paraId="3220016A" w14:textId="77777777" w:rsidR="003C626E" w:rsidRDefault="001A5B20">
      <w:pPr>
        <w:widowControl/>
        <w:numPr>
          <w:ilvl w:val="0"/>
          <w:numId w:val="42"/>
        </w:numPr>
        <w:tabs>
          <w:tab w:val="left" w:pos="993"/>
          <w:tab w:val="num" w:pos="1276"/>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внутрішній аудит</w:t>
      </w:r>
      <w:r>
        <w:rPr>
          <w:rFonts w:ascii="Times New Roman" w:eastAsia="Times New Roman" w:hAnsi="Times New Roman" w:cs="Times New Roman"/>
          <w:color w:val="auto"/>
          <w:sz w:val="28"/>
          <w:szCs w:val="28"/>
          <w:lang w:bidi="ar-SA"/>
        </w:rPr>
        <w:t xml:space="preserve"> - регулярна перевірка дотримання стандартів медичної допомоги;</w:t>
      </w:r>
    </w:p>
    <w:p w14:paraId="3220016B" w14:textId="77777777" w:rsidR="003C626E" w:rsidRDefault="001A5B20">
      <w:pPr>
        <w:widowControl/>
        <w:numPr>
          <w:ilvl w:val="0"/>
          <w:numId w:val="42"/>
        </w:numPr>
        <w:tabs>
          <w:tab w:val="left" w:pos="993"/>
          <w:tab w:val="num" w:pos="1276"/>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lastRenderedPageBreak/>
        <w:t>моніторинг показників ефективності</w:t>
      </w:r>
      <w:r>
        <w:rPr>
          <w:rFonts w:ascii="Times New Roman" w:eastAsia="Times New Roman" w:hAnsi="Times New Roman" w:cs="Times New Roman"/>
          <w:color w:val="auto"/>
          <w:sz w:val="28"/>
          <w:szCs w:val="28"/>
          <w:lang w:bidi="ar-SA"/>
        </w:rPr>
        <w:t xml:space="preserve"> (кількість пролікованих випадків, ускладнень, повторних госпіталізацій);</w:t>
      </w:r>
    </w:p>
    <w:p w14:paraId="3220016C" w14:textId="77777777" w:rsidR="003C626E" w:rsidRDefault="001A5B20">
      <w:pPr>
        <w:widowControl/>
        <w:numPr>
          <w:ilvl w:val="0"/>
          <w:numId w:val="42"/>
        </w:numPr>
        <w:tabs>
          <w:tab w:val="left" w:pos="993"/>
          <w:tab w:val="num" w:pos="1276"/>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збір зворотного зв’язку</w:t>
      </w:r>
      <w:r>
        <w:rPr>
          <w:rFonts w:ascii="Times New Roman" w:eastAsia="Times New Roman" w:hAnsi="Times New Roman" w:cs="Times New Roman"/>
          <w:color w:val="auto"/>
          <w:sz w:val="28"/>
          <w:szCs w:val="28"/>
          <w:lang w:bidi="ar-SA"/>
        </w:rPr>
        <w:t xml:space="preserve"> від пацієнтів і персоналу;</w:t>
      </w:r>
    </w:p>
    <w:p w14:paraId="3220016D" w14:textId="77777777" w:rsidR="003C626E" w:rsidRDefault="001A5B20">
      <w:pPr>
        <w:widowControl/>
        <w:numPr>
          <w:ilvl w:val="0"/>
          <w:numId w:val="42"/>
        </w:numPr>
        <w:tabs>
          <w:tab w:val="left" w:pos="993"/>
          <w:tab w:val="num" w:pos="1276"/>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управління ризиками</w:t>
      </w:r>
      <w:r>
        <w:rPr>
          <w:rFonts w:ascii="Times New Roman" w:eastAsia="Times New Roman" w:hAnsi="Times New Roman" w:cs="Times New Roman"/>
          <w:color w:val="auto"/>
          <w:sz w:val="28"/>
          <w:szCs w:val="28"/>
          <w:lang w:bidi="ar-SA"/>
        </w:rPr>
        <w:t xml:space="preserve"> та проведення клініко-експертних оцінок;</w:t>
      </w:r>
    </w:p>
    <w:p w14:paraId="3220016E" w14:textId="77777777" w:rsidR="003C626E" w:rsidRDefault="001A5B20">
      <w:pPr>
        <w:widowControl/>
        <w:numPr>
          <w:ilvl w:val="0"/>
          <w:numId w:val="42"/>
        </w:numPr>
        <w:tabs>
          <w:tab w:val="left" w:pos="993"/>
          <w:tab w:val="num" w:pos="1276"/>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контроль інфекційної безпеки</w:t>
      </w:r>
      <w:r>
        <w:rPr>
          <w:rFonts w:ascii="Times New Roman" w:eastAsia="Times New Roman" w:hAnsi="Times New Roman" w:cs="Times New Roman"/>
          <w:color w:val="auto"/>
          <w:sz w:val="28"/>
          <w:szCs w:val="28"/>
          <w:lang w:bidi="ar-SA"/>
        </w:rPr>
        <w:t xml:space="preserve"> та антибіотикорезистентності</w:t>
      </w:r>
      <w:r>
        <w:rPr>
          <w:rFonts w:ascii="Times New Roman" w:eastAsia="Times New Roman" w:hAnsi="Times New Roman" w:cs="Times New Roman"/>
          <w:color w:val="auto"/>
          <w:sz w:val="28"/>
          <w:szCs w:val="28"/>
          <w:lang w:val="en-US" w:bidi="ar-SA"/>
        </w:rPr>
        <w:t xml:space="preserve"> [44].</w:t>
      </w:r>
    </w:p>
    <w:p w14:paraId="3220016F" w14:textId="77777777" w:rsidR="003C626E" w:rsidRDefault="001A5B20">
      <w:pPr>
        <w:widowControl/>
        <w:tabs>
          <w:tab w:val="left" w:pos="993"/>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В таблиці 3.1 наведено</w:t>
      </w:r>
      <w:r>
        <w:rPr>
          <w:rFonts w:ascii="Microsoft YaHei" w:eastAsia="Microsoft YaHei" w:hAnsi="Microsoft YaHei" w:cs="Microsoft YaHei"/>
        </w:rPr>
        <w:t xml:space="preserve"> </w:t>
      </w:r>
      <w:r>
        <w:rPr>
          <w:rFonts w:ascii="Times New Roman" w:eastAsia="Times New Roman" w:hAnsi="Times New Roman" w:cs="Times New Roman"/>
          <w:color w:val="auto"/>
          <w:sz w:val="28"/>
          <w:szCs w:val="28"/>
          <w:lang w:bidi="ar-SA"/>
        </w:rPr>
        <w:t>основні індикатори якості медичних послуг за останні роки.</w:t>
      </w:r>
    </w:p>
    <w:p w14:paraId="32200170" w14:textId="77777777" w:rsidR="003C626E" w:rsidRDefault="001A5B20">
      <w:pPr>
        <w:widowControl/>
        <w:tabs>
          <w:tab w:val="left" w:pos="993"/>
        </w:tabs>
        <w:spacing w:line="360" w:lineRule="auto"/>
        <w:ind w:firstLine="709"/>
        <w:jc w:val="right"/>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7"/>
          <w:szCs w:val="27"/>
          <w:lang w:bidi="ar-SA"/>
        </w:rPr>
        <w:t xml:space="preserve">Таблиця 3.1 </w:t>
      </w:r>
    </w:p>
    <w:p w14:paraId="32200171" w14:textId="77777777" w:rsidR="003C626E" w:rsidRDefault="001A5B20">
      <w:pPr>
        <w:widowControl/>
        <w:tabs>
          <w:tab w:val="left" w:pos="993"/>
        </w:tabs>
        <w:spacing w:line="360" w:lineRule="auto"/>
        <w:ind w:firstLine="709"/>
        <w:jc w:val="center"/>
        <w:rPr>
          <w:rFonts w:ascii="Times New Roman" w:eastAsia="Times New Roman" w:hAnsi="Times New Roman" w:cs="Times New Roman"/>
          <w:color w:val="auto"/>
          <w:sz w:val="28"/>
          <w:szCs w:val="28"/>
          <w:lang w:bidi="ar-SA"/>
        </w:rPr>
      </w:pPr>
      <w:r>
        <w:rPr>
          <w:rFonts w:ascii="Times New Roman" w:eastAsia="Times New Roman" w:hAnsi="Times New Roman" w:cs="Times New Roman"/>
          <w:b/>
          <w:bCs/>
          <w:color w:val="auto"/>
          <w:sz w:val="27"/>
          <w:szCs w:val="27"/>
          <w:lang w:bidi="ar-SA"/>
        </w:rPr>
        <w:t>Основні індикатори якості медичних послуг за 2022 - 2024 роки</w:t>
      </w:r>
      <w:r>
        <w:rPr>
          <w:rFonts w:ascii="Microsoft YaHei" w:eastAsia="Microsoft YaHei" w:hAnsi="Microsoft YaHei" w:cs="Microsoft YaHei"/>
          <w:b/>
        </w:rPr>
        <w:t xml:space="preserve"> </w:t>
      </w:r>
      <w:r>
        <w:rPr>
          <w:rFonts w:ascii="Times New Roman" w:eastAsia="Microsoft YaHei" w:hAnsi="Times New Roman" w:cs="Times New Roman"/>
          <w:b/>
          <w:sz w:val="28"/>
          <w:szCs w:val="28"/>
        </w:rPr>
        <w:t>у</w:t>
      </w:r>
      <w:r>
        <w:rPr>
          <w:rFonts w:ascii="Times New Roman" w:eastAsia="Microsoft YaHei" w:hAnsi="Times New Roman" w:cs="Times New Roman"/>
          <w:sz w:val="28"/>
          <w:szCs w:val="28"/>
        </w:rPr>
        <w:t xml:space="preserve"> </w:t>
      </w:r>
      <w:r>
        <w:rPr>
          <w:rFonts w:ascii="Times New Roman" w:eastAsia="Times New Roman" w:hAnsi="Times New Roman" w:cs="Times New Roman"/>
          <w:b/>
          <w:bCs/>
          <w:color w:val="auto"/>
          <w:sz w:val="27"/>
          <w:szCs w:val="27"/>
          <w:lang w:bidi="ar-SA"/>
        </w:rPr>
        <w:t>КНП «Міська клінічна лікарня № 11»</w:t>
      </w:r>
    </w:p>
    <w:tbl>
      <w:tblPr>
        <w:tblStyle w:val="44"/>
        <w:tblW w:w="0" w:type="auto"/>
        <w:jc w:val="center"/>
        <w:tblLook w:val="04A0" w:firstRow="1" w:lastRow="0" w:firstColumn="1" w:lastColumn="0" w:noHBand="0" w:noVBand="1"/>
      </w:tblPr>
      <w:tblGrid>
        <w:gridCol w:w="4390"/>
        <w:gridCol w:w="1371"/>
        <w:gridCol w:w="1322"/>
        <w:gridCol w:w="1559"/>
      </w:tblGrid>
      <w:tr w:rsidR="003C626E" w14:paraId="32200176" w14:textId="77777777">
        <w:trPr>
          <w:jc w:val="center"/>
        </w:trPr>
        <w:tc>
          <w:tcPr>
            <w:tcW w:w="4390" w:type="dxa"/>
            <w:shd w:val="clear" w:color="auto" w:fill="FDE9D9" w:themeFill="accent6" w:themeFillTint="33"/>
          </w:tcPr>
          <w:p w14:paraId="32200172" w14:textId="77777777" w:rsidR="003C626E" w:rsidRDefault="001A5B20">
            <w:pPr>
              <w:widowControl/>
              <w:spacing w:line="360" w:lineRule="auto"/>
              <w:jc w:val="cente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Показник</w:t>
            </w:r>
          </w:p>
        </w:tc>
        <w:tc>
          <w:tcPr>
            <w:tcW w:w="1371" w:type="dxa"/>
            <w:shd w:val="clear" w:color="auto" w:fill="FDE9D9" w:themeFill="accent6" w:themeFillTint="33"/>
            <w:vAlign w:val="center"/>
          </w:tcPr>
          <w:p w14:paraId="32200173" w14:textId="77777777" w:rsidR="003C626E" w:rsidRDefault="001A5B20">
            <w:pPr>
              <w:widowControl/>
              <w:spacing w:line="360" w:lineRule="auto"/>
              <w:jc w:val="cente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2022</w:t>
            </w:r>
          </w:p>
        </w:tc>
        <w:tc>
          <w:tcPr>
            <w:tcW w:w="1322" w:type="dxa"/>
            <w:shd w:val="clear" w:color="auto" w:fill="FDE9D9" w:themeFill="accent6" w:themeFillTint="33"/>
            <w:vAlign w:val="center"/>
          </w:tcPr>
          <w:p w14:paraId="32200174" w14:textId="77777777" w:rsidR="003C626E" w:rsidRDefault="001A5B20">
            <w:pPr>
              <w:widowControl/>
              <w:spacing w:line="360" w:lineRule="auto"/>
              <w:jc w:val="cente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2023</w:t>
            </w:r>
          </w:p>
        </w:tc>
        <w:tc>
          <w:tcPr>
            <w:tcW w:w="1559" w:type="dxa"/>
            <w:shd w:val="clear" w:color="auto" w:fill="FDE9D9" w:themeFill="accent6" w:themeFillTint="33"/>
            <w:vAlign w:val="center"/>
          </w:tcPr>
          <w:p w14:paraId="32200175" w14:textId="77777777" w:rsidR="003C626E" w:rsidRDefault="001A5B20">
            <w:pPr>
              <w:widowControl/>
              <w:spacing w:line="360" w:lineRule="auto"/>
              <w:jc w:val="center"/>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2024</w:t>
            </w:r>
          </w:p>
        </w:tc>
      </w:tr>
      <w:tr w:rsidR="003C626E" w14:paraId="3220017B" w14:textId="77777777">
        <w:trPr>
          <w:jc w:val="center"/>
        </w:trPr>
        <w:tc>
          <w:tcPr>
            <w:tcW w:w="4390" w:type="dxa"/>
            <w:shd w:val="clear" w:color="auto" w:fill="DDD9C3" w:themeFill="background2" w:themeFillShade="E6"/>
          </w:tcPr>
          <w:p w14:paraId="32200177" w14:textId="77777777" w:rsidR="003C626E" w:rsidRDefault="001A5B20">
            <w:pPr>
              <w:widowControl/>
              <w:spacing w:line="360" w:lineRule="auto"/>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Кількість пролікованих пацієнтів</w:t>
            </w:r>
          </w:p>
        </w:tc>
        <w:tc>
          <w:tcPr>
            <w:tcW w:w="1371" w:type="dxa"/>
            <w:shd w:val="clear" w:color="auto" w:fill="E5DFEC" w:themeFill="accent4" w:themeFillTint="33"/>
          </w:tcPr>
          <w:p w14:paraId="32200178"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Microsoft YaHei" w:hAnsi="Times New Roman" w:cs="Times New Roman"/>
              </w:rPr>
              <w:t>32 000</w:t>
            </w:r>
          </w:p>
        </w:tc>
        <w:tc>
          <w:tcPr>
            <w:tcW w:w="1322" w:type="dxa"/>
            <w:shd w:val="clear" w:color="auto" w:fill="E5DFEC" w:themeFill="accent4" w:themeFillTint="33"/>
          </w:tcPr>
          <w:p w14:paraId="32200179"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Microsoft YaHei" w:hAnsi="Times New Roman" w:cs="Times New Roman"/>
              </w:rPr>
              <w:t>34 500</w:t>
            </w:r>
          </w:p>
        </w:tc>
        <w:tc>
          <w:tcPr>
            <w:tcW w:w="1559" w:type="dxa"/>
            <w:shd w:val="clear" w:color="auto" w:fill="E5DFEC" w:themeFill="accent4" w:themeFillTint="33"/>
          </w:tcPr>
          <w:p w14:paraId="3220017A"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Microsoft YaHei" w:hAnsi="Times New Roman" w:cs="Times New Roman"/>
              </w:rPr>
              <w:t>35 800</w:t>
            </w:r>
          </w:p>
        </w:tc>
      </w:tr>
      <w:tr w:rsidR="003C626E" w14:paraId="32200180" w14:textId="77777777">
        <w:trPr>
          <w:jc w:val="center"/>
        </w:trPr>
        <w:tc>
          <w:tcPr>
            <w:tcW w:w="4390" w:type="dxa"/>
            <w:shd w:val="clear" w:color="auto" w:fill="DDD9C3" w:themeFill="background2" w:themeFillShade="E6"/>
          </w:tcPr>
          <w:p w14:paraId="3220017C" w14:textId="77777777" w:rsidR="003C626E" w:rsidRDefault="001A5B20">
            <w:pPr>
              <w:widowControl/>
              <w:spacing w:line="360" w:lineRule="auto"/>
              <w:rPr>
                <w:rFonts w:ascii="Times New Roman" w:eastAsia="Times New Roman" w:hAnsi="Times New Roman" w:cs="Times New Roman"/>
                <w:color w:val="auto"/>
                <w:lang w:bidi="ar-SA"/>
              </w:rPr>
            </w:pPr>
            <w:r>
              <w:rPr>
                <w:rFonts w:ascii="Times New Roman" w:eastAsia="Microsoft YaHei" w:hAnsi="Times New Roman" w:cs="Times New Roman"/>
              </w:rPr>
              <w:t>Кількість операцій</w:t>
            </w:r>
          </w:p>
        </w:tc>
        <w:tc>
          <w:tcPr>
            <w:tcW w:w="1371" w:type="dxa"/>
            <w:shd w:val="clear" w:color="auto" w:fill="E5DFEC" w:themeFill="accent4" w:themeFillTint="33"/>
            <w:vAlign w:val="center"/>
          </w:tcPr>
          <w:p w14:paraId="3220017D" w14:textId="77777777" w:rsidR="003C626E" w:rsidRDefault="001A5B20">
            <w:pPr>
              <w:widowControl/>
              <w:spacing w:line="360" w:lineRule="auto"/>
              <w:jc w:val="right"/>
              <w:rPr>
                <w:rFonts w:ascii="Times New Roman" w:eastAsia="Microsoft YaHei" w:hAnsi="Times New Roman" w:cs="Times New Roman"/>
              </w:rPr>
            </w:pPr>
            <w:r>
              <w:rPr>
                <w:rFonts w:ascii="Times New Roman" w:eastAsia="Microsoft YaHei" w:hAnsi="Times New Roman" w:cs="Times New Roman"/>
              </w:rPr>
              <w:t>9500</w:t>
            </w:r>
          </w:p>
        </w:tc>
        <w:tc>
          <w:tcPr>
            <w:tcW w:w="1322" w:type="dxa"/>
            <w:shd w:val="clear" w:color="auto" w:fill="E5DFEC" w:themeFill="accent4" w:themeFillTint="33"/>
            <w:vAlign w:val="center"/>
          </w:tcPr>
          <w:p w14:paraId="3220017E" w14:textId="77777777" w:rsidR="003C626E" w:rsidRDefault="001A5B20">
            <w:pPr>
              <w:widowControl/>
              <w:spacing w:line="360" w:lineRule="auto"/>
              <w:jc w:val="right"/>
              <w:rPr>
                <w:rFonts w:ascii="Times New Roman" w:eastAsia="Microsoft YaHei" w:hAnsi="Times New Roman" w:cs="Times New Roman"/>
              </w:rPr>
            </w:pPr>
            <w:r>
              <w:rPr>
                <w:rFonts w:ascii="Times New Roman" w:eastAsia="Microsoft YaHei" w:hAnsi="Times New Roman" w:cs="Times New Roman"/>
              </w:rPr>
              <w:t>10800</w:t>
            </w:r>
          </w:p>
        </w:tc>
        <w:tc>
          <w:tcPr>
            <w:tcW w:w="1559" w:type="dxa"/>
            <w:shd w:val="clear" w:color="auto" w:fill="E5DFEC" w:themeFill="accent4" w:themeFillTint="33"/>
            <w:vAlign w:val="center"/>
          </w:tcPr>
          <w:p w14:paraId="3220017F" w14:textId="77777777" w:rsidR="003C626E" w:rsidRDefault="001A5B20">
            <w:pPr>
              <w:widowControl/>
              <w:spacing w:line="360" w:lineRule="auto"/>
              <w:jc w:val="right"/>
              <w:rPr>
                <w:rFonts w:ascii="Times New Roman" w:eastAsia="Microsoft YaHei" w:hAnsi="Times New Roman" w:cs="Times New Roman"/>
              </w:rPr>
            </w:pPr>
            <w:r>
              <w:rPr>
                <w:rFonts w:ascii="Times New Roman" w:eastAsia="Microsoft YaHei" w:hAnsi="Times New Roman" w:cs="Times New Roman"/>
              </w:rPr>
              <w:t>11200</w:t>
            </w:r>
          </w:p>
        </w:tc>
      </w:tr>
      <w:tr w:rsidR="003C626E" w14:paraId="32200185" w14:textId="77777777">
        <w:trPr>
          <w:jc w:val="center"/>
        </w:trPr>
        <w:tc>
          <w:tcPr>
            <w:tcW w:w="4390" w:type="dxa"/>
            <w:shd w:val="clear" w:color="auto" w:fill="DDD9C3" w:themeFill="background2" w:themeFillShade="E6"/>
          </w:tcPr>
          <w:p w14:paraId="32200181" w14:textId="77777777" w:rsidR="003C626E" w:rsidRDefault="001A5B20">
            <w:pPr>
              <w:widowControl/>
              <w:spacing w:line="360" w:lineRule="auto"/>
              <w:rPr>
                <w:rFonts w:ascii="Times New Roman" w:eastAsia="Microsoft YaHei" w:hAnsi="Times New Roman" w:cs="Times New Roman"/>
              </w:rPr>
            </w:pPr>
            <w:r>
              <w:rPr>
                <w:rFonts w:ascii="Times New Roman" w:eastAsia="Microsoft YaHei" w:hAnsi="Times New Roman" w:cs="Times New Roman"/>
              </w:rPr>
              <w:t>Кількість відвідувань КДЦ</w:t>
            </w:r>
          </w:p>
        </w:tc>
        <w:tc>
          <w:tcPr>
            <w:tcW w:w="1371" w:type="dxa"/>
            <w:shd w:val="clear" w:color="auto" w:fill="E5DFEC" w:themeFill="accent4" w:themeFillTint="33"/>
            <w:vAlign w:val="center"/>
          </w:tcPr>
          <w:p w14:paraId="32200182" w14:textId="77777777" w:rsidR="003C626E" w:rsidRDefault="001A5B20">
            <w:pPr>
              <w:widowControl/>
              <w:spacing w:line="360" w:lineRule="auto"/>
              <w:jc w:val="right"/>
              <w:rPr>
                <w:rFonts w:ascii="Times New Roman" w:eastAsia="Microsoft YaHei" w:hAnsi="Times New Roman" w:cs="Times New Roman"/>
              </w:rPr>
            </w:pPr>
            <w:r>
              <w:rPr>
                <w:rFonts w:ascii="Times New Roman" w:eastAsia="Microsoft YaHei" w:hAnsi="Times New Roman" w:cs="Times New Roman"/>
              </w:rPr>
              <w:t>61000</w:t>
            </w:r>
          </w:p>
        </w:tc>
        <w:tc>
          <w:tcPr>
            <w:tcW w:w="1322" w:type="dxa"/>
            <w:shd w:val="clear" w:color="auto" w:fill="E5DFEC" w:themeFill="accent4" w:themeFillTint="33"/>
            <w:vAlign w:val="center"/>
          </w:tcPr>
          <w:p w14:paraId="32200183" w14:textId="77777777" w:rsidR="003C626E" w:rsidRDefault="001A5B20">
            <w:pPr>
              <w:widowControl/>
              <w:spacing w:line="360" w:lineRule="auto"/>
              <w:jc w:val="right"/>
              <w:rPr>
                <w:rFonts w:ascii="Times New Roman" w:eastAsia="Microsoft YaHei" w:hAnsi="Times New Roman" w:cs="Times New Roman"/>
              </w:rPr>
            </w:pPr>
            <w:r>
              <w:rPr>
                <w:rFonts w:ascii="Times New Roman" w:eastAsia="Microsoft YaHei" w:hAnsi="Times New Roman" w:cs="Times New Roman"/>
              </w:rPr>
              <w:t>67500</w:t>
            </w:r>
          </w:p>
        </w:tc>
        <w:tc>
          <w:tcPr>
            <w:tcW w:w="1559" w:type="dxa"/>
            <w:shd w:val="clear" w:color="auto" w:fill="E5DFEC" w:themeFill="accent4" w:themeFillTint="33"/>
            <w:vAlign w:val="center"/>
          </w:tcPr>
          <w:p w14:paraId="32200184" w14:textId="77777777" w:rsidR="003C626E" w:rsidRDefault="001A5B20">
            <w:pPr>
              <w:widowControl/>
              <w:spacing w:line="360" w:lineRule="auto"/>
              <w:jc w:val="right"/>
              <w:rPr>
                <w:rFonts w:ascii="Times New Roman" w:eastAsia="Microsoft YaHei" w:hAnsi="Times New Roman" w:cs="Times New Roman"/>
              </w:rPr>
            </w:pPr>
            <w:r>
              <w:rPr>
                <w:rFonts w:ascii="Times New Roman" w:eastAsia="Microsoft YaHei" w:hAnsi="Times New Roman" w:cs="Times New Roman"/>
              </w:rPr>
              <w:t>71000</w:t>
            </w:r>
          </w:p>
        </w:tc>
      </w:tr>
      <w:tr w:rsidR="003C626E" w14:paraId="3220018A" w14:textId="77777777">
        <w:trPr>
          <w:jc w:val="center"/>
        </w:trPr>
        <w:tc>
          <w:tcPr>
            <w:tcW w:w="4390" w:type="dxa"/>
            <w:shd w:val="clear" w:color="auto" w:fill="DDD9C3" w:themeFill="background2" w:themeFillShade="E6"/>
          </w:tcPr>
          <w:p w14:paraId="32200186" w14:textId="77777777" w:rsidR="003C626E" w:rsidRDefault="001A5B20">
            <w:pPr>
              <w:widowControl/>
              <w:spacing w:line="360" w:lineRule="auto"/>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Кількість скарг пацієнтів</w:t>
            </w:r>
          </w:p>
        </w:tc>
        <w:tc>
          <w:tcPr>
            <w:tcW w:w="1371" w:type="dxa"/>
            <w:shd w:val="clear" w:color="auto" w:fill="E5DFEC" w:themeFill="accent4" w:themeFillTint="33"/>
            <w:vAlign w:val="center"/>
          </w:tcPr>
          <w:p w14:paraId="32200187"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82</w:t>
            </w:r>
          </w:p>
        </w:tc>
        <w:tc>
          <w:tcPr>
            <w:tcW w:w="1322" w:type="dxa"/>
            <w:shd w:val="clear" w:color="auto" w:fill="E5DFEC" w:themeFill="accent4" w:themeFillTint="33"/>
            <w:vAlign w:val="center"/>
          </w:tcPr>
          <w:p w14:paraId="32200188"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67</w:t>
            </w:r>
          </w:p>
        </w:tc>
        <w:tc>
          <w:tcPr>
            <w:tcW w:w="1559" w:type="dxa"/>
            <w:shd w:val="clear" w:color="auto" w:fill="E5DFEC" w:themeFill="accent4" w:themeFillTint="33"/>
            <w:vAlign w:val="center"/>
          </w:tcPr>
          <w:p w14:paraId="32200189"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54</w:t>
            </w:r>
          </w:p>
        </w:tc>
      </w:tr>
      <w:tr w:rsidR="003C626E" w14:paraId="3220018F" w14:textId="77777777">
        <w:trPr>
          <w:jc w:val="center"/>
        </w:trPr>
        <w:tc>
          <w:tcPr>
            <w:tcW w:w="4390" w:type="dxa"/>
            <w:shd w:val="clear" w:color="auto" w:fill="DDD9C3" w:themeFill="background2" w:themeFillShade="E6"/>
          </w:tcPr>
          <w:p w14:paraId="3220018B" w14:textId="77777777" w:rsidR="003C626E" w:rsidRDefault="001A5B20">
            <w:pPr>
              <w:widowControl/>
              <w:spacing w:line="360" w:lineRule="auto"/>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Повторні госпіталізації (%)</w:t>
            </w:r>
          </w:p>
        </w:tc>
        <w:tc>
          <w:tcPr>
            <w:tcW w:w="1371" w:type="dxa"/>
            <w:shd w:val="clear" w:color="auto" w:fill="E5DFEC" w:themeFill="accent4" w:themeFillTint="33"/>
            <w:vAlign w:val="center"/>
          </w:tcPr>
          <w:p w14:paraId="3220018C"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6,1</w:t>
            </w:r>
          </w:p>
        </w:tc>
        <w:tc>
          <w:tcPr>
            <w:tcW w:w="1322" w:type="dxa"/>
            <w:shd w:val="clear" w:color="auto" w:fill="E5DFEC" w:themeFill="accent4" w:themeFillTint="33"/>
            <w:vAlign w:val="center"/>
          </w:tcPr>
          <w:p w14:paraId="3220018D"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5,7</w:t>
            </w:r>
          </w:p>
        </w:tc>
        <w:tc>
          <w:tcPr>
            <w:tcW w:w="1559" w:type="dxa"/>
            <w:shd w:val="clear" w:color="auto" w:fill="E5DFEC" w:themeFill="accent4" w:themeFillTint="33"/>
            <w:vAlign w:val="center"/>
          </w:tcPr>
          <w:p w14:paraId="3220018E"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5,3</w:t>
            </w:r>
          </w:p>
        </w:tc>
      </w:tr>
      <w:tr w:rsidR="003C626E" w14:paraId="32200194" w14:textId="77777777">
        <w:trPr>
          <w:jc w:val="center"/>
        </w:trPr>
        <w:tc>
          <w:tcPr>
            <w:tcW w:w="4390" w:type="dxa"/>
            <w:shd w:val="clear" w:color="auto" w:fill="DDD9C3" w:themeFill="background2" w:themeFillShade="E6"/>
          </w:tcPr>
          <w:p w14:paraId="32200190" w14:textId="77777777" w:rsidR="003C626E" w:rsidRDefault="001A5B20">
            <w:pPr>
              <w:widowControl/>
              <w:spacing w:line="360" w:lineRule="auto"/>
              <w:rPr>
                <w:rFonts w:ascii="Times New Roman" w:eastAsia="Times New Roman" w:hAnsi="Times New Roman" w:cs="Times New Roman"/>
                <w:color w:val="auto"/>
                <w:lang w:bidi="ar-SA"/>
              </w:rPr>
            </w:pPr>
            <w:r>
              <w:rPr>
                <w:rFonts w:ascii="Times New Roman" w:eastAsia="Microsoft YaHei" w:hAnsi="Times New Roman" w:cs="Times New Roman"/>
              </w:rPr>
              <w:t>Летальність, %</w:t>
            </w:r>
          </w:p>
        </w:tc>
        <w:tc>
          <w:tcPr>
            <w:tcW w:w="1371" w:type="dxa"/>
            <w:shd w:val="clear" w:color="auto" w:fill="E5DFEC" w:themeFill="accent4" w:themeFillTint="33"/>
            <w:vAlign w:val="center"/>
          </w:tcPr>
          <w:p w14:paraId="32200191"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Microsoft YaHei" w:hAnsi="Times New Roman" w:cs="Times New Roman"/>
              </w:rPr>
              <w:t>1,2</w:t>
            </w:r>
          </w:p>
        </w:tc>
        <w:tc>
          <w:tcPr>
            <w:tcW w:w="1322" w:type="dxa"/>
            <w:shd w:val="clear" w:color="auto" w:fill="E5DFEC" w:themeFill="accent4" w:themeFillTint="33"/>
            <w:vAlign w:val="center"/>
          </w:tcPr>
          <w:p w14:paraId="32200192"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Microsoft YaHei" w:hAnsi="Times New Roman" w:cs="Times New Roman"/>
              </w:rPr>
              <w:t>1,1</w:t>
            </w:r>
          </w:p>
        </w:tc>
        <w:tc>
          <w:tcPr>
            <w:tcW w:w="1559" w:type="dxa"/>
            <w:shd w:val="clear" w:color="auto" w:fill="E5DFEC" w:themeFill="accent4" w:themeFillTint="33"/>
            <w:vAlign w:val="center"/>
          </w:tcPr>
          <w:p w14:paraId="32200193"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Microsoft YaHei" w:hAnsi="Times New Roman" w:cs="Times New Roman"/>
              </w:rPr>
              <w:t>1,0</w:t>
            </w:r>
          </w:p>
        </w:tc>
      </w:tr>
      <w:tr w:rsidR="003C626E" w14:paraId="32200199" w14:textId="77777777">
        <w:trPr>
          <w:jc w:val="center"/>
        </w:trPr>
        <w:tc>
          <w:tcPr>
            <w:tcW w:w="4390" w:type="dxa"/>
            <w:shd w:val="clear" w:color="auto" w:fill="DDD9C3" w:themeFill="background2" w:themeFillShade="E6"/>
          </w:tcPr>
          <w:p w14:paraId="32200195" w14:textId="77777777" w:rsidR="003C626E" w:rsidRDefault="001A5B20">
            <w:pPr>
              <w:widowControl/>
              <w:spacing w:line="360" w:lineRule="auto"/>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Випадки внутрішньолікарняних інфекцій (%)</w:t>
            </w:r>
          </w:p>
        </w:tc>
        <w:tc>
          <w:tcPr>
            <w:tcW w:w="1371" w:type="dxa"/>
            <w:shd w:val="clear" w:color="auto" w:fill="E5DFEC" w:themeFill="accent4" w:themeFillTint="33"/>
            <w:vAlign w:val="center"/>
          </w:tcPr>
          <w:p w14:paraId="32200196"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0,42</w:t>
            </w:r>
          </w:p>
        </w:tc>
        <w:tc>
          <w:tcPr>
            <w:tcW w:w="1322" w:type="dxa"/>
            <w:shd w:val="clear" w:color="auto" w:fill="E5DFEC" w:themeFill="accent4" w:themeFillTint="33"/>
            <w:vAlign w:val="center"/>
          </w:tcPr>
          <w:p w14:paraId="32200197"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0,39</w:t>
            </w:r>
          </w:p>
        </w:tc>
        <w:tc>
          <w:tcPr>
            <w:tcW w:w="1559" w:type="dxa"/>
            <w:shd w:val="clear" w:color="auto" w:fill="E5DFEC" w:themeFill="accent4" w:themeFillTint="33"/>
            <w:vAlign w:val="center"/>
          </w:tcPr>
          <w:p w14:paraId="32200198"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0,34</w:t>
            </w:r>
          </w:p>
        </w:tc>
      </w:tr>
      <w:tr w:rsidR="003C626E" w14:paraId="3220019E" w14:textId="77777777">
        <w:trPr>
          <w:jc w:val="center"/>
        </w:trPr>
        <w:tc>
          <w:tcPr>
            <w:tcW w:w="4390" w:type="dxa"/>
            <w:shd w:val="clear" w:color="auto" w:fill="DDD9C3" w:themeFill="background2" w:themeFillShade="E6"/>
          </w:tcPr>
          <w:p w14:paraId="3220019A" w14:textId="77777777" w:rsidR="003C626E" w:rsidRDefault="001A5B20">
            <w:pPr>
              <w:widowControl/>
              <w:spacing w:line="360" w:lineRule="auto"/>
              <w:rPr>
                <w:rFonts w:ascii="Times New Roman" w:eastAsia="Times New Roman" w:hAnsi="Times New Roman" w:cs="Times New Roman"/>
                <w:color w:val="auto"/>
                <w:lang w:bidi="ar-SA"/>
              </w:rPr>
            </w:pPr>
            <w:r>
              <w:rPr>
                <w:rFonts w:ascii="Times New Roman" w:eastAsia="Microsoft YaHei" w:hAnsi="Times New Roman" w:cs="Times New Roman"/>
              </w:rPr>
              <w:t>Середня тривалість лікування, днів</w:t>
            </w:r>
          </w:p>
        </w:tc>
        <w:tc>
          <w:tcPr>
            <w:tcW w:w="1371" w:type="dxa"/>
            <w:shd w:val="clear" w:color="auto" w:fill="E5DFEC" w:themeFill="accent4" w:themeFillTint="33"/>
            <w:vAlign w:val="center"/>
          </w:tcPr>
          <w:p w14:paraId="3220019B"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Microsoft YaHei" w:hAnsi="Times New Roman" w:cs="Times New Roman"/>
              </w:rPr>
              <w:t>9,5</w:t>
            </w:r>
          </w:p>
        </w:tc>
        <w:tc>
          <w:tcPr>
            <w:tcW w:w="1322" w:type="dxa"/>
            <w:shd w:val="clear" w:color="auto" w:fill="E5DFEC" w:themeFill="accent4" w:themeFillTint="33"/>
            <w:vAlign w:val="center"/>
          </w:tcPr>
          <w:p w14:paraId="3220019C"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Microsoft YaHei" w:hAnsi="Times New Roman" w:cs="Times New Roman"/>
              </w:rPr>
              <w:t>8,8</w:t>
            </w:r>
          </w:p>
        </w:tc>
        <w:tc>
          <w:tcPr>
            <w:tcW w:w="1559" w:type="dxa"/>
            <w:shd w:val="clear" w:color="auto" w:fill="E5DFEC" w:themeFill="accent4" w:themeFillTint="33"/>
            <w:vAlign w:val="center"/>
          </w:tcPr>
          <w:p w14:paraId="3220019D"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Microsoft YaHei" w:hAnsi="Times New Roman" w:cs="Times New Roman"/>
              </w:rPr>
              <w:t>8,5</w:t>
            </w:r>
          </w:p>
        </w:tc>
      </w:tr>
      <w:tr w:rsidR="003C626E" w14:paraId="322001A3" w14:textId="77777777">
        <w:trPr>
          <w:jc w:val="center"/>
        </w:trPr>
        <w:tc>
          <w:tcPr>
            <w:tcW w:w="4390" w:type="dxa"/>
            <w:shd w:val="clear" w:color="auto" w:fill="DDD9C3" w:themeFill="background2" w:themeFillShade="E6"/>
          </w:tcPr>
          <w:p w14:paraId="3220019F" w14:textId="77777777" w:rsidR="003C626E" w:rsidRDefault="001A5B20">
            <w:pPr>
              <w:widowControl/>
              <w:spacing w:line="360" w:lineRule="auto"/>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Задоволеність пацієнтів (%)</w:t>
            </w:r>
          </w:p>
        </w:tc>
        <w:tc>
          <w:tcPr>
            <w:tcW w:w="1371" w:type="dxa"/>
            <w:shd w:val="clear" w:color="auto" w:fill="E5DFEC" w:themeFill="accent4" w:themeFillTint="33"/>
            <w:vAlign w:val="center"/>
          </w:tcPr>
          <w:p w14:paraId="322001A0"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87</w:t>
            </w:r>
          </w:p>
        </w:tc>
        <w:tc>
          <w:tcPr>
            <w:tcW w:w="1322" w:type="dxa"/>
            <w:shd w:val="clear" w:color="auto" w:fill="E5DFEC" w:themeFill="accent4" w:themeFillTint="33"/>
            <w:vAlign w:val="center"/>
          </w:tcPr>
          <w:p w14:paraId="322001A1"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90</w:t>
            </w:r>
          </w:p>
        </w:tc>
        <w:tc>
          <w:tcPr>
            <w:tcW w:w="1559" w:type="dxa"/>
            <w:shd w:val="clear" w:color="auto" w:fill="E5DFEC" w:themeFill="accent4" w:themeFillTint="33"/>
            <w:vAlign w:val="center"/>
          </w:tcPr>
          <w:p w14:paraId="322001A2" w14:textId="77777777" w:rsidR="003C626E" w:rsidRDefault="001A5B20">
            <w:pPr>
              <w:widowControl/>
              <w:spacing w:line="360" w:lineRule="auto"/>
              <w:jc w:val="right"/>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92</w:t>
            </w:r>
          </w:p>
        </w:tc>
      </w:tr>
    </w:tbl>
    <w:p w14:paraId="322001A4" w14:textId="77777777" w:rsidR="003C626E" w:rsidRDefault="001A5B20">
      <w:pPr>
        <w:spacing w:line="360" w:lineRule="auto"/>
        <w:ind w:firstLine="709"/>
        <w:jc w:val="both"/>
        <w:rPr>
          <w:rFonts w:ascii="Times New Roman" w:eastAsia="Times New Roman" w:hAnsi="Times New Roman" w:cs="Times New Roman"/>
          <w:i/>
          <w:color w:val="0563C1"/>
          <w:u w:val="single"/>
          <w:lang w:eastAsia="ru-RU" w:bidi="ar-SA"/>
        </w:rPr>
      </w:pPr>
      <w:r>
        <w:rPr>
          <w:rFonts w:ascii="Times New Roman" w:eastAsia="Times New Roman" w:hAnsi="Times New Roman" w:cs="Times New Roman"/>
          <w:i/>
          <w:color w:val="auto"/>
          <w:lang w:eastAsia="ru-RU" w:bidi="ar-SA"/>
        </w:rPr>
        <w:t xml:space="preserve">Джерело: </w:t>
      </w:r>
      <w:r>
        <w:rPr>
          <w:rFonts w:ascii="Times New Roman" w:eastAsia="Microsoft YaHei" w:hAnsi="Times New Roman" w:cs="Times New Roman"/>
          <w:i/>
        </w:rPr>
        <w:t>[4</w:t>
      </w:r>
      <w:r>
        <w:rPr>
          <w:rFonts w:ascii="Times New Roman" w:eastAsia="Microsoft YaHei" w:hAnsi="Times New Roman" w:cs="Times New Roman"/>
          <w:i/>
          <w:lang w:val="en-US"/>
        </w:rPr>
        <w:t>2</w:t>
      </w:r>
      <w:r>
        <w:rPr>
          <w:rFonts w:ascii="Times New Roman" w:eastAsia="Microsoft YaHei" w:hAnsi="Times New Roman" w:cs="Times New Roman"/>
          <w:i/>
        </w:rPr>
        <w:t>]</w:t>
      </w:r>
    </w:p>
    <w:p w14:paraId="322001A5" w14:textId="77777777" w:rsidR="003C626E" w:rsidRDefault="003C626E">
      <w:pPr>
        <w:widowControl/>
        <w:spacing w:line="360" w:lineRule="auto"/>
        <w:ind w:firstLine="709"/>
        <w:jc w:val="both"/>
        <w:rPr>
          <w:rFonts w:ascii="Times New Roman" w:eastAsia="Times New Roman" w:hAnsi="Times New Roman" w:cs="Times New Roman"/>
          <w:bCs/>
          <w:color w:val="auto"/>
          <w:sz w:val="28"/>
          <w:szCs w:val="28"/>
          <w:lang w:bidi="ar-SA"/>
        </w:rPr>
      </w:pPr>
    </w:p>
    <w:p w14:paraId="322001A6" w14:textId="77777777" w:rsidR="003C626E" w:rsidRDefault="001A5B20">
      <w:pPr>
        <w:widowControl/>
        <w:spacing w:line="360" w:lineRule="auto"/>
        <w:ind w:firstLine="709"/>
        <w:jc w:val="both"/>
        <w:rPr>
          <w:rFonts w:ascii="Times New Roman" w:eastAsia="Times New Roman" w:hAnsi="Times New Roman" w:cs="Times New Roman"/>
          <w:bCs/>
          <w:color w:val="auto"/>
          <w:sz w:val="28"/>
          <w:szCs w:val="28"/>
          <w:lang w:bidi="ar-SA"/>
        </w:rPr>
      </w:pPr>
      <w:r>
        <w:rPr>
          <w:rFonts w:ascii="Times New Roman" w:eastAsia="Times New Roman" w:hAnsi="Times New Roman" w:cs="Times New Roman"/>
          <w:bCs/>
          <w:color w:val="auto"/>
          <w:sz w:val="28"/>
          <w:szCs w:val="28"/>
          <w:lang w:bidi="ar-SA"/>
        </w:rPr>
        <w:t>Показники кількості пролікованих пацієнтів, кількості проведених  операцій та кількості відвідувань консультаційно-діагностичних центрів, що демонструють позитивну динаміку, свідчить про підвищення рейтингу лікарні, покращення її іміджу та зростання довіри пацієнтів.</w:t>
      </w:r>
    </w:p>
    <w:p w14:paraId="322001A7" w14:textId="77777777"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 xml:space="preserve">Спадна динаміка </w:t>
      </w:r>
      <w:r>
        <w:rPr>
          <w:rFonts w:ascii="Times New Roman" w:eastAsia="Times New Roman" w:hAnsi="Times New Roman" w:cs="Times New Roman"/>
          <w:color w:val="auto"/>
          <w:sz w:val="28"/>
          <w:szCs w:val="28"/>
          <w:lang w:bidi="ar-SA"/>
        </w:rPr>
        <w:t>частоти ускладнень і скарг</w:t>
      </w:r>
      <w:r>
        <w:rPr>
          <w:rFonts w:ascii="Times New Roman" w:eastAsia="Times New Roman" w:hAnsi="Times New Roman" w:cs="Times New Roman"/>
          <w:bCs/>
          <w:color w:val="auto"/>
          <w:sz w:val="28"/>
          <w:szCs w:val="28"/>
          <w:lang w:bidi="ar-SA"/>
        </w:rPr>
        <w:t>, випадків повторної госпіталізації, летальних випадків та випадків внутрішньолікарняних інфекцій, середньої тривалості лікування</w:t>
      </w:r>
      <w:r>
        <w:rPr>
          <w:rFonts w:ascii="Times New Roman" w:eastAsia="Times New Roman" w:hAnsi="Times New Roman" w:cs="Times New Roman"/>
          <w:color w:val="auto"/>
          <w:sz w:val="28"/>
          <w:szCs w:val="28"/>
          <w:lang w:bidi="ar-SA"/>
        </w:rPr>
        <w:t xml:space="preserve">, а також підвищення рівня задоволеності пацієнтів, вказує на покращення якості медичних послуг та ефективність внутрішнього контролю якості (рис. 3.1). </w:t>
      </w:r>
    </w:p>
    <w:p w14:paraId="322001A8" w14:textId="77777777"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lastRenderedPageBreak/>
        <w:t xml:space="preserve">Цьому сприяє створена у лікарні </w:t>
      </w:r>
      <w:r>
        <w:rPr>
          <w:rFonts w:ascii="Times New Roman" w:eastAsia="Times New Roman" w:hAnsi="Times New Roman" w:cs="Times New Roman"/>
          <w:bCs/>
          <w:color w:val="auto"/>
          <w:sz w:val="28"/>
          <w:szCs w:val="28"/>
          <w:lang w:bidi="ar-SA"/>
        </w:rPr>
        <w:t>система моніторингу та внутрішнього аудиту, яка характеризується як потужний інструмент, що гарантує високий рівень якості медичного обслуговування населення. Н</w:t>
      </w:r>
      <w:r>
        <w:rPr>
          <w:rFonts w:ascii="Times New Roman" w:eastAsia="Times New Roman" w:hAnsi="Times New Roman" w:cs="Times New Roman"/>
          <w:color w:val="auto"/>
          <w:sz w:val="28"/>
          <w:szCs w:val="28"/>
          <w:lang w:bidi="ar-SA"/>
        </w:rPr>
        <w:t>аявність постійно діючої комісії з якості, систематичне ведення протоколів внутрішнього контролю, участь лікарів у тренінгах і клінічних конференціях, співпраця з Департаментом охорони здоров’я ОМР щодо клініко-експертної оцінки сприяють підвищенню ефективності контролю ЯМД.</w:t>
      </w:r>
    </w:p>
    <w:p w14:paraId="322001A9" w14:textId="77777777"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Водночас, існують певні виклики, які створюють ризики та представляють собою загрози, тому потребують негайного подолання: фрагментарність збору даних (відсутність єдиної інформаційної системи моніторингу), обмежене використання цифрових інструментів, недостатня мотивація персоналу до участі в аудиті, формальний підхід до аналізу відхилень від національних та міжнародних стандартів.</w:t>
      </w:r>
    </w:p>
    <w:p w14:paraId="322001AA" w14:textId="77777777"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Проведений SWOT-аналіз системи моніторингу та аудиту КНП «МКЛ № 11» ОМР дозволяє виявити сильні та слабкі сторони, проаналізувати можливості та загрози (таблиця 3.2).</w:t>
      </w:r>
    </w:p>
    <w:p w14:paraId="322001AB" w14:textId="77777777" w:rsidR="003C626E" w:rsidRDefault="001A5B20">
      <w:pPr>
        <w:widowControl/>
        <w:spacing w:line="360" w:lineRule="auto"/>
        <w:ind w:firstLine="709"/>
        <w:jc w:val="right"/>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Таблиця 3.2</w:t>
      </w:r>
    </w:p>
    <w:p w14:paraId="322001AC" w14:textId="77777777" w:rsidR="003C626E" w:rsidRDefault="001A5B20">
      <w:pPr>
        <w:widowControl/>
        <w:spacing w:line="360" w:lineRule="auto"/>
        <w:ind w:firstLine="709"/>
        <w:jc w:val="center"/>
        <w:rPr>
          <w:rFonts w:ascii="Times New Roman" w:eastAsia="Times New Roman" w:hAnsi="Times New Roman" w:cs="Times New Roman"/>
          <w:color w:val="auto"/>
          <w:sz w:val="28"/>
          <w:szCs w:val="28"/>
          <w:lang w:bidi="ar-SA"/>
        </w:rPr>
      </w:pPr>
      <w:r>
        <w:rPr>
          <w:rFonts w:ascii="Times New Roman" w:eastAsia="Times New Roman" w:hAnsi="Times New Roman" w:cs="Times New Roman"/>
          <w:b/>
          <w:bCs/>
          <w:color w:val="auto"/>
          <w:sz w:val="27"/>
          <w:szCs w:val="27"/>
          <w:lang w:bidi="ar-SA"/>
        </w:rPr>
        <w:t>SWOT-аналіз системи моніторингу та аудиту КНП «МКЛ № 11» ОМР</w:t>
      </w:r>
    </w:p>
    <w:tbl>
      <w:tblPr>
        <w:tblStyle w:val="44"/>
        <w:tblW w:w="0" w:type="auto"/>
        <w:tblInd w:w="704" w:type="dxa"/>
        <w:tblLook w:val="04A0" w:firstRow="1" w:lastRow="0" w:firstColumn="1" w:lastColumn="0" w:noHBand="0" w:noVBand="1"/>
      </w:tblPr>
      <w:tblGrid>
        <w:gridCol w:w="4253"/>
        <w:gridCol w:w="4387"/>
      </w:tblGrid>
      <w:tr w:rsidR="003C626E" w14:paraId="322001AF" w14:textId="77777777">
        <w:tc>
          <w:tcPr>
            <w:tcW w:w="4394" w:type="dxa"/>
            <w:shd w:val="clear" w:color="auto" w:fill="F7CAAC"/>
            <w:vAlign w:val="center"/>
          </w:tcPr>
          <w:p w14:paraId="322001AD" w14:textId="77777777" w:rsidR="003C626E" w:rsidRDefault="001A5B20">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b/>
                <w:bCs/>
                <w:color w:val="auto"/>
                <w:lang w:bidi="ar-SA"/>
              </w:rPr>
              <w:t>Сильні сторони (S)</w:t>
            </w:r>
          </w:p>
        </w:tc>
        <w:tc>
          <w:tcPr>
            <w:tcW w:w="4531" w:type="dxa"/>
            <w:shd w:val="clear" w:color="auto" w:fill="F7CAAC"/>
            <w:vAlign w:val="center"/>
          </w:tcPr>
          <w:p w14:paraId="322001AE" w14:textId="77777777" w:rsidR="003C626E" w:rsidRDefault="001A5B20">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b/>
                <w:bCs/>
                <w:color w:val="auto"/>
                <w:lang w:bidi="ar-SA"/>
              </w:rPr>
              <w:t>Слабкі сторони (W)</w:t>
            </w:r>
          </w:p>
        </w:tc>
      </w:tr>
      <w:tr w:rsidR="003C626E" w14:paraId="322001B2" w14:textId="77777777">
        <w:tc>
          <w:tcPr>
            <w:tcW w:w="4394" w:type="dxa"/>
            <w:shd w:val="clear" w:color="auto" w:fill="E2EFD9"/>
            <w:vAlign w:val="center"/>
          </w:tcPr>
          <w:p w14:paraId="322001B0"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Високий рівень клінічної кваліфікації лікарів</w:t>
            </w:r>
          </w:p>
        </w:tc>
        <w:tc>
          <w:tcPr>
            <w:tcW w:w="4531" w:type="dxa"/>
            <w:shd w:val="clear" w:color="auto" w:fill="E2EFD9"/>
            <w:vAlign w:val="center"/>
          </w:tcPr>
          <w:p w14:paraId="322001B1"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Недостатня цифровізація процесів контролю</w:t>
            </w:r>
          </w:p>
        </w:tc>
      </w:tr>
      <w:tr w:rsidR="003C626E" w14:paraId="322001B5" w14:textId="77777777">
        <w:tc>
          <w:tcPr>
            <w:tcW w:w="4394" w:type="dxa"/>
            <w:shd w:val="clear" w:color="auto" w:fill="E2EFD9"/>
            <w:vAlign w:val="center"/>
          </w:tcPr>
          <w:p w14:paraId="322001B3"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Розвинена інфраструктура та діагностичні потужності</w:t>
            </w:r>
          </w:p>
        </w:tc>
        <w:tc>
          <w:tcPr>
            <w:tcW w:w="4531" w:type="dxa"/>
            <w:shd w:val="clear" w:color="auto" w:fill="E2EFD9"/>
            <w:vAlign w:val="center"/>
          </w:tcPr>
          <w:p w14:paraId="322001B4"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Обмежене фінансування програм якості</w:t>
            </w:r>
          </w:p>
        </w:tc>
      </w:tr>
      <w:tr w:rsidR="003C626E" w14:paraId="322001B8" w14:textId="77777777">
        <w:tc>
          <w:tcPr>
            <w:tcW w:w="4394" w:type="dxa"/>
            <w:shd w:val="clear" w:color="auto" w:fill="E2EFD9"/>
            <w:vAlign w:val="center"/>
          </w:tcPr>
          <w:p w14:paraId="322001B6"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Позитивна репутація серед пацієнтів</w:t>
            </w:r>
          </w:p>
        </w:tc>
        <w:tc>
          <w:tcPr>
            <w:tcW w:w="4531" w:type="dxa"/>
            <w:shd w:val="clear" w:color="auto" w:fill="E2EFD9"/>
            <w:vAlign w:val="center"/>
          </w:tcPr>
          <w:p w14:paraId="322001B7"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Відсутність автоматизованої аналітики показників</w:t>
            </w:r>
          </w:p>
        </w:tc>
      </w:tr>
      <w:tr w:rsidR="003C626E" w14:paraId="322001BB" w14:textId="77777777">
        <w:tc>
          <w:tcPr>
            <w:tcW w:w="4394" w:type="dxa"/>
            <w:shd w:val="clear" w:color="auto" w:fill="E2EFD9"/>
            <w:vAlign w:val="center"/>
          </w:tcPr>
          <w:p w14:paraId="322001B9"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Досвід участі в програмах НСЗУ</w:t>
            </w:r>
          </w:p>
        </w:tc>
        <w:tc>
          <w:tcPr>
            <w:tcW w:w="4531" w:type="dxa"/>
            <w:shd w:val="clear" w:color="auto" w:fill="E2EFD9"/>
            <w:vAlign w:val="center"/>
          </w:tcPr>
          <w:p w14:paraId="322001BA"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Формальний підхід до самооцінки якості</w:t>
            </w:r>
          </w:p>
        </w:tc>
      </w:tr>
      <w:tr w:rsidR="003C626E" w14:paraId="322001BE" w14:textId="77777777">
        <w:tc>
          <w:tcPr>
            <w:tcW w:w="4394" w:type="dxa"/>
            <w:shd w:val="clear" w:color="auto" w:fill="E2EFD9"/>
            <w:vAlign w:val="center"/>
          </w:tcPr>
          <w:p w14:paraId="322001BC"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Функціонує система аудиту якості</w:t>
            </w:r>
          </w:p>
        </w:tc>
        <w:tc>
          <w:tcPr>
            <w:tcW w:w="4531" w:type="dxa"/>
            <w:shd w:val="clear" w:color="auto" w:fill="E2EFD9"/>
            <w:vAlign w:val="center"/>
          </w:tcPr>
          <w:p w14:paraId="322001BD"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Нестача кадрів служби якості</w:t>
            </w:r>
          </w:p>
        </w:tc>
      </w:tr>
      <w:tr w:rsidR="003C626E" w14:paraId="322001C1" w14:textId="77777777">
        <w:tc>
          <w:tcPr>
            <w:tcW w:w="4394" w:type="dxa"/>
            <w:shd w:val="clear" w:color="auto" w:fill="E2EFD9"/>
            <w:vAlign w:val="center"/>
          </w:tcPr>
          <w:p w14:paraId="322001BF" w14:textId="77777777" w:rsidR="003C626E" w:rsidRDefault="003C626E">
            <w:pPr>
              <w:widowControl/>
              <w:rPr>
                <w:rFonts w:ascii="Times New Roman" w:eastAsia="Times New Roman" w:hAnsi="Times New Roman" w:cs="Times New Roman"/>
                <w:color w:val="auto"/>
                <w:lang w:bidi="ar-SA"/>
              </w:rPr>
            </w:pPr>
          </w:p>
        </w:tc>
        <w:tc>
          <w:tcPr>
            <w:tcW w:w="4531" w:type="dxa"/>
            <w:shd w:val="clear" w:color="auto" w:fill="E2EFD9"/>
            <w:vAlign w:val="center"/>
          </w:tcPr>
          <w:p w14:paraId="322001C0" w14:textId="77777777" w:rsidR="003C626E" w:rsidRDefault="003C626E">
            <w:pPr>
              <w:widowControl/>
              <w:rPr>
                <w:rFonts w:ascii="Times New Roman" w:eastAsia="Times New Roman" w:hAnsi="Times New Roman" w:cs="Times New Roman"/>
                <w:color w:val="auto"/>
                <w:lang w:bidi="ar-SA"/>
              </w:rPr>
            </w:pPr>
          </w:p>
        </w:tc>
      </w:tr>
    </w:tbl>
    <w:p w14:paraId="322001C2" w14:textId="77777777" w:rsidR="003C626E" w:rsidRDefault="003C626E">
      <w:pPr>
        <w:widowControl/>
        <w:spacing w:line="360" w:lineRule="auto"/>
        <w:rPr>
          <w:rFonts w:ascii="Times New Roman" w:eastAsia="Times New Roman" w:hAnsi="Times New Roman" w:cs="Times New Roman"/>
          <w:vanish/>
          <w:color w:val="auto"/>
          <w:lang w:bidi="ar-SA"/>
        </w:rPr>
      </w:pPr>
    </w:p>
    <w:tbl>
      <w:tblPr>
        <w:tblStyle w:val="44"/>
        <w:tblW w:w="0" w:type="auto"/>
        <w:tblInd w:w="704" w:type="dxa"/>
        <w:tblLook w:val="04A0" w:firstRow="1" w:lastRow="0" w:firstColumn="1" w:lastColumn="0" w:noHBand="0" w:noVBand="1"/>
      </w:tblPr>
      <w:tblGrid>
        <w:gridCol w:w="4260"/>
        <w:gridCol w:w="4380"/>
      </w:tblGrid>
      <w:tr w:rsidR="003C626E" w14:paraId="322001C5" w14:textId="77777777">
        <w:tc>
          <w:tcPr>
            <w:tcW w:w="4394" w:type="dxa"/>
            <w:shd w:val="clear" w:color="auto" w:fill="F7CAAC"/>
          </w:tcPr>
          <w:p w14:paraId="322001C3" w14:textId="77777777" w:rsidR="003C626E" w:rsidRDefault="001A5B20">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b/>
                <w:bCs/>
                <w:color w:val="auto"/>
                <w:lang w:bidi="ar-SA"/>
              </w:rPr>
              <w:t>Можливості (O)</w:t>
            </w:r>
          </w:p>
        </w:tc>
        <w:tc>
          <w:tcPr>
            <w:tcW w:w="4531" w:type="dxa"/>
            <w:shd w:val="clear" w:color="auto" w:fill="F7CAAC"/>
          </w:tcPr>
          <w:p w14:paraId="322001C4" w14:textId="77777777" w:rsidR="003C626E" w:rsidRDefault="001A5B20">
            <w:pPr>
              <w:widowControl/>
              <w:jc w:val="center"/>
              <w:rPr>
                <w:rFonts w:ascii="Times New Roman" w:eastAsia="Times New Roman" w:hAnsi="Times New Roman" w:cs="Times New Roman"/>
                <w:color w:val="auto"/>
                <w:lang w:bidi="ar-SA"/>
              </w:rPr>
            </w:pPr>
            <w:r>
              <w:rPr>
                <w:rFonts w:ascii="Times New Roman" w:eastAsia="Times New Roman" w:hAnsi="Times New Roman" w:cs="Times New Roman"/>
                <w:b/>
                <w:bCs/>
                <w:color w:val="auto"/>
                <w:lang w:bidi="ar-SA"/>
              </w:rPr>
              <w:t>Загрози (T)</w:t>
            </w:r>
          </w:p>
        </w:tc>
      </w:tr>
      <w:tr w:rsidR="003C626E" w14:paraId="322001C8" w14:textId="77777777">
        <w:tc>
          <w:tcPr>
            <w:tcW w:w="4394" w:type="dxa"/>
            <w:shd w:val="clear" w:color="auto" w:fill="E2EFD9"/>
            <w:vAlign w:val="center"/>
          </w:tcPr>
          <w:p w14:paraId="322001C6"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Впровадження електронної системи аудиту</w:t>
            </w:r>
          </w:p>
        </w:tc>
        <w:tc>
          <w:tcPr>
            <w:tcW w:w="4531" w:type="dxa"/>
            <w:shd w:val="clear" w:color="auto" w:fill="E2EFD9"/>
            <w:vAlign w:val="center"/>
          </w:tcPr>
          <w:p w14:paraId="322001C7"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Зменшення фінансування від НСЗУ</w:t>
            </w:r>
          </w:p>
        </w:tc>
      </w:tr>
      <w:tr w:rsidR="003C626E" w14:paraId="322001CB" w14:textId="77777777">
        <w:tc>
          <w:tcPr>
            <w:tcW w:w="4394" w:type="dxa"/>
            <w:shd w:val="clear" w:color="auto" w:fill="E2EFD9"/>
            <w:vAlign w:val="center"/>
          </w:tcPr>
          <w:p w14:paraId="322001C9"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Отримання грантів на розвиток менеджменту якості</w:t>
            </w:r>
          </w:p>
        </w:tc>
        <w:tc>
          <w:tcPr>
            <w:tcW w:w="4531" w:type="dxa"/>
            <w:shd w:val="clear" w:color="auto" w:fill="E2EFD9"/>
            <w:vAlign w:val="center"/>
          </w:tcPr>
          <w:p w14:paraId="322001CA"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Плинність кадрів через низьку оплату праці</w:t>
            </w:r>
          </w:p>
        </w:tc>
      </w:tr>
      <w:tr w:rsidR="003C626E" w14:paraId="322001CE" w14:textId="77777777">
        <w:tc>
          <w:tcPr>
            <w:tcW w:w="4394" w:type="dxa"/>
            <w:shd w:val="clear" w:color="auto" w:fill="E2EFD9"/>
            <w:vAlign w:val="center"/>
          </w:tcPr>
          <w:p w14:paraId="322001CC"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Співпраця з університетами та науковими центрами</w:t>
            </w:r>
          </w:p>
        </w:tc>
        <w:tc>
          <w:tcPr>
            <w:tcW w:w="4531" w:type="dxa"/>
            <w:shd w:val="clear" w:color="auto" w:fill="E2EFD9"/>
            <w:vAlign w:val="center"/>
          </w:tcPr>
          <w:p w14:paraId="322001CD"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Підвищення енергетичних і комунальних витрат</w:t>
            </w:r>
          </w:p>
        </w:tc>
      </w:tr>
      <w:tr w:rsidR="003C626E" w14:paraId="322001D1" w14:textId="77777777">
        <w:tc>
          <w:tcPr>
            <w:tcW w:w="4394" w:type="dxa"/>
            <w:shd w:val="clear" w:color="auto" w:fill="E2EFD9"/>
            <w:vAlign w:val="center"/>
          </w:tcPr>
          <w:p w14:paraId="322001CF"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Розвиток телемедицини</w:t>
            </w:r>
          </w:p>
        </w:tc>
        <w:tc>
          <w:tcPr>
            <w:tcW w:w="4531" w:type="dxa"/>
            <w:shd w:val="clear" w:color="auto" w:fill="E2EFD9"/>
            <w:vAlign w:val="center"/>
          </w:tcPr>
          <w:p w14:paraId="322001D0"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Кіберзагрози для даних та систем</w:t>
            </w:r>
          </w:p>
        </w:tc>
      </w:tr>
    </w:tbl>
    <w:p w14:paraId="322001D2" w14:textId="77777777" w:rsidR="003C626E" w:rsidRDefault="001A5B20">
      <w:pPr>
        <w:widowControl/>
        <w:spacing w:line="360" w:lineRule="auto"/>
        <w:ind w:firstLine="709"/>
        <w:jc w:val="both"/>
        <w:outlineLvl w:val="1"/>
        <w:rPr>
          <w:rFonts w:ascii="Times New Roman" w:eastAsia="Times New Roman" w:hAnsi="Times New Roman" w:cs="Times New Roman"/>
          <w:bCs/>
          <w:i/>
          <w:color w:val="auto"/>
          <w:lang w:bidi="ar-SA"/>
        </w:rPr>
      </w:pPr>
      <w:r>
        <w:rPr>
          <w:rFonts w:ascii="Times New Roman" w:eastAsia="Times New Roman" w:hAnsi="Times New Roman" w:cs="Times New Roman"/>
          <w:bCs/>
          <w:i/>
          <w:color w:val="auto"/>
          <w:lang w:bidi="ar-SA"/>
        </w:rPr>
        <w:t>Джерело: побудовано автором</w:t>
      </w:r>
    </w:p>
    <w:p w14:paraId="322001D3" w14:textId="77777777" w:rsidR="003C626E" w:rsidRDefault="001A5B20">
      <w:pPr>
        <w:widowControl/>
        <w:spacing w:line="360" w:lineRule="auto"/>
        <w:ind w:firstLine="709"/>
        <w:jc w:val="both"/>
        <w:outlineLvl w:val="1"/>
        <w:rPr>
          <w:rFonts w:ascii="Times New Roman" w:eastAsia="Times New Roman" w:hAnsi="Times New Roman" w:cs="Times New Roman"/>
          <w:bCs/>
          <w:color w:val="auto"/>
          <w:sz w:val="28"/>
          <w:szCs w:val="28"/>
          <w:lang w:bidi="ar-SA"/>
        </w:rPr>
      </w:pPr>
      <w:r>
        <w:rPr>
          <w:rFonts w:ascii="Times New Roman" w:eastAsia="Times New Roman" w:hAnsi="Times New Roman" w:cs="Times New Roman"/>
          <w:bCs/>
          <w:color w:val="auto"/>
          <w:sz w:val="28"/>
          <w:szCs w:val="28"/>
          <w:lang w:bidi="ar-SA"/>
        </w:rPr>
        <w:lastRenderedPageBreak/>
        <w:t xml:space="preserve">Отже, до основних напрямів оптимізації процесів моніторингу та аудиту ЯМД пропонуємо віднести наступні: </w:t>
      </w:r>
    </w:p>
    <w:p w14:paraId="322001D4" w14:textId="77777777" w:rsidR="003C626E" w:rsidRDefault="001A5B20">
      <w:pPr>
        <w:widowControl/>
        <w:numPr>
          <w:ilvl w:val="0"/>
          <w:numId w:val="43"/>
        </w:numPr>
        <w:tabs>
          <w:tab w:val="left" w:pos="1134"/>
        </w:tabs>
        <w:spacing w:line="360" w:lineRule="auto"/>
        <w:ind w:left="0" w:firstLine="709"/>
        <w:contextualSpacing/>
        <w:jc w:val="both"/>
        <w:outlineLvl w:val="1"/>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Цифровізація контролю якості. П</w:t>
      </w:r>
      <w:r>
        <w:rPr>
          <w:rFonts w:ascii="Times New Roman" w:eastAsia="Times New Roman" w:hAnsi="Times New Roman" w:cs="Times New Roman"/>
          <w:color w:val="auto"/>
          <w:sz w:val="28"/>
          <w:szCs w:val="28"/>
          <w:lang w:bidi="ar-SA"/>
        </w:rPr>
        <w:t xml:space="preserve">ропонується створення </w:t>
      </w:r>
      <w:r>
        <w:rPr>
          <w:rFonts w:ascii="Times New Roman" w:eastAsia="Times New Roman" w:hAnsi="Times New Roman" w:cs="Times New Roman"/>
          <w:bCs/>
          <w:color w:val="auto"/>
          <w:sz w:val="28"/>
          <w:szCs w:val="28"/>
          <w:lang w:bidi="ar-SA"/>
        </w:rPr>
        <w:t>електронної панелі моніторингу</w:t>
      </w:r>
      <w:r>
        <w:rPr>
          <w:rFonts w:ascii="Times New Roman" w:eastAsia="Times New Roman" w:hAnsi="Times New Roman" w:cs="Times New Roman"/>
          <w:color w:val="auto"/>
          <w:sz w:val="28"/>
          <w:szCs w:val="28"/>
          <w:lang w:bidi="ar-SA"/>
        </w:rPr>
        <w:t>, що включатиме:</w:t>
      </w:r>
    </w:p>
    <w:p w14:paraId="322001D5" w14:textId="77777777" w:rsidR="003C626E" w:rsidRDefault="001A5B20">
      <w:pPr>
        <w:widowControl/>
        <w:numPr>
          <w:ilvl w:val="0"/>
          <w:numId w:val="44"/>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реєстрацію випадків порушення стандартів;</w:t>
      </w:r>
    </w:p>
    <w:p w14:paraId="322001D6" w14:textId="77777777" w:rsidR="003C626E" w:rsidRDefault="001A5B20">
      <w:pPr>
        <w:widowControl/>
        <w:numPr>
          <w:ilvl w:val="0"/>
          <w:numId w:val="44"/>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автоматичний аналіз клінічних показників;</w:t>
      </w:r>
    </w:p>
    <w:p w14:paraId="322001D7" w14:textId="77777777" w:rsidR="003C626E" w:rsidRDefault="001A5B20">
      <w:pPr>
        <w:widowControl/>
        <w:numPr>
          <w:ilvl w:val="0"/>
          <w:numId w:val="44"/>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формування щомісячних звітів для адміністрації;</w:t>
      </w:r>
    </w:p>
    <w:p w14:paraId="322001D8" w14:textId="77777777" w:rsidR="003C626E" w:rsidRDefault="001A5B20">
      <w:pPr>
        <w:widowControl/>
        <w:numPr>
          <w:ilvl w:val="0"/>
          <w:numId w:val="44"/>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можливість інтеграції з eHealth та системою НСЗУ.</w:t>
      </w:r>
    </w:p>
    <w:p w14:paraId="322001D9" w14:textId="77777777" w:rsidR="003C626E" w:rsidRDefault="001A5B20">
      <w:pPr>
        <w:widowControl/>
        <w:numPr>
          <w:ilvl w:val="0"/>
          <w:numId w:val="43"/>
        </w:numPr>
        <w:tabs>
          <w:tab w:val="left" w:pos="1134"/>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 xml:space="preserve">Підвищення мотивації персоналу. В першу чергу мається на увазі </w:t>
      </w:r>
      <w:r>
        <w:rPr>
          <w:rFonts w:ascii="Times New Roman" w:eastAsia="Times New Roman" w:hAnsi="Times New Roman" w:cs="Times New Roman"/>
          <w:color w:val="auto"/>
          <w:sz w:val="28"/>
          <w:szCs w:val="28"/>
          <w:lang w:bidi="ar-SA"/>
        </w:rPr>
        <w:t xml:space="preserve">запровадження </w:t>
      </w:r>
      <w:r>
        <w:rPr>
          <w:rFonts w:ascii="Times New Roman" w:eastAsia="Times New Roman" w:hAnsi="Times New Roman" w:cs="Times New Roman"/>
          <w:bCs/>
          <w:color w:val="auto"/>
          <w:sz w:val="28"/>
          <w:szCs w:val="28"/>
          <w:lang w:bidi="ar-SA"/>
        </w:rPr>
        <w:t>нематеріальних стимулів</w:t>
      </w:r>
      <w:r>
        <w:rPr>
          <w:rFonts w:ascii="Times New Roman" w:eastAsia="Times New Roman" w:hAnsi="Times New Roman" w:cs="Times New Roman"/>
          <w:color w:val="auto"/>
          <w:sz w:val="28"/>
          <w:szCs w:val="28"/>
          <w:lang w:bidi="ar-SA"/>
        </w:rPr>
        <w:t xml:space="preserve"> (визнання, рейтинг лікарів, сертифікати якості), а також </w:t>
      </w:r>
      <w:r>
        <w:rPr>
          <w:rFonts w:ascii="Times New Roman" w:eastAsia="Times New Roman" w:hAnsi="Times New Roman" w:cs="Times New Roman"/>
          <w:bCs/>
          <w:color w:val="auto"/>
          <w:sz w:val="28"/>
          <w:szCs w:val="28"/>
          <w:lang w:bidi="ar-SA"/>
        </w:rPr>
        <w:t>системи внутрішнього навчання</w:t>
      </w:r>
      <w:r>
        <w:rPr>
          <w:rFonts w:ascii="Times New Roman" w:eastAsia="Times New Roman" w:hAnsi="Times New Roman" w:cs="Times New Roman"/>
          <w:color w:val="auto"/>
          <w:sz w:val="28"/>
          <w:szCs w:val="28"/>
          <w:lang w:bidi="ar-SA"/>
        </w:rPr>
        <w:t xml:space="preserve"> з питань аудиту та ризик-менеджменту.</w:t>
      </w:r>
    </w:p>
    <w:p w14:paraId="322001DA" w14:textId="77777777" w:rsidR="003C626E" w:rsidRDefault="001A5B20">
      <w:pPr>
        <w:widowControl/>
        <w:numPr>
          <w:ilvl w:val="0"/>
          <w:numId w:val="43"/>
        </w:numPr>
        <w:tabs>
          <w:tab w:val="left" w:pos="1134"/>
        </w:tabs>
        <w:spacing w:line="360" w:lineRule="auto"/>
        <w:ind w:left="0" w:firstLine="709"/>
        <w:contextualSpacing/>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Оптимізація комунікацій - в</w:t>
      </w:r>
      <w:r>
        <w:rPr>
          <w:rFonts w:ascii="Times New Roman" w:eastAsia="Times New Roman" w:hAnsi="Times New Roman" w:cs="Times New Roman"/>
          <w:color w:val="auto"/>
          <w:sz w:val="28"/>
          <w:szCs w:val="28"/>
          <w:lang w:bidi="ar-SA"/>
        </w:rPr>
        <w:t xml:space="preserve">провадження регулярних </w:t>
      </w:r>
      <w:r>
        <w:rPr>
          <w:rFonts w:ascii="Times New Roman" w:eastAsia="Times New Roman" w:hAnsi="Times New Roman" w:cs="Times New Roman"/>
          <w:bCs/>
          <w:color w:val="auto"/>
          <w:sz w:val="28"/>
          <w:szCs w:val="28"/>
          <w:lang w:bidi="ar-SA"/>
        </w:rPr>
        <w:t>аудиторських нарад</w:t>
      </w:r>
      <w:r>
        <w:rPr>
          <w:rFonts w:ascii="Times New Roman" w:eastAsia="Times New Roman" w:hAnsi="Times New Roman" w:cs="Times New Roman"/>
          <w:color w:val="auto"/>
          <w:sz w:val="28"/>
          <w:szCs w:val="28"/>
          <w:lang w:bidi="ar-SA"/>
        </w:rPr>
        <w:t xml:space="preserve"> між підрозділами лікарні з метою обговорення результатів перевірок, запобігання повторним порушенням та обміну досвідом.</w:t>
      </w:r>
    </w:p>
    <w:p w14:paraId="322001DB" w14:textId="77777777" w:rsidR="003C626E" w:rsidRDefault="001A5B20">
      <w:pPr>
        <w:widowControl/>
        <w:numPr>
          <w:ilvl w:val="0"/>
          <w:numId w:val="43"/>
        </w:numPr>
        <w:tabs>
          <w:tab w:val="left" w:pos="1134"/>
        </w:tabs>
        <w:spacing w:line="360" w:lineRule="auto"/>
        <w:ind w:left="0" w:firstLine="709"/>
        <w:contextualSpacing/>
        <w:jc w:val="both"/>
        <w:rPr>
          <w:rFonts w:ascii="Times New Roman" w:eastAsia="Times New Roman" w:hAnsi="Times New Roman" w:cs="Times New Roman"/>
          <w:color w:val="auto"/>
          <w:lang w:bidi="ar-SA"/>
        </w:rPr>
      </w:pPr>
      <w:r>
        <w:rPr>
          <w:rFonts w:ascii="Times New Roman" w:eastAsia="Times New Roman" w:hAnsi="Times New Roman" w:cs="Times New Roman"/>
          <w:bCs/>
          <w:color w:val="auto"/>
          <w:sz w:val="28"/>
          <w:szCs w:val="28"/>
          <w:lang w:bidi="ar-SA"/>
        </w:rPr>
        <w:t>Використання методів доказової аналітики - з</w:t>
      </w:r>
      <w:r>
        <w:rPr>
          <w:rFonts w:ascii="Times New Roman" w:eastAsia="Times New Roman" w:hAnsi="Times New Roman" w:cs="Times New Roman"/>
          <w:color w:val="auto"/>
          <w:sz w:val="28"/>
          <w:szCs w:val="28"/>
          <w:lang w:bidi="ar-SA"/>
        </w:rPr>
        <w:t xml:space="preserve">астосування </w:t>
      </w:r>
      <w:r>
        <w:rPr>
          <w:rFonts w:ascii="Times New Roman" w:eastAsia="Times New Roman" w:hAnsi="Times New Roman" w:cs="Times New Roman"/>
          <w:bCs/>
          <w:color w:val="auto"/>
          <w:sz w:val="28"/>
          <w:szCs w:val="28"/>
          <w:lang w:bidi="ar-SA"/>
        </w:rPr>
        <w:t>індикаторів результативності</w:t>
      </w:r>
      <w:r>
        <w:rPr>
          <w:rFonts w:ascii="Times New Roman" w:eastAsia="Times New Roman" w:hAnsi="Times New Roman" w:cs="Times New Roman"/>
          <w:color w:val="auto"/>
          <w:sz w:val="28"/>
          <w:szCs w:val="28"/>
          <w:lang w:bidi="ar-SA"/>
        </w:rPr>
        <w:t xml:space="preserve"> (KPI) та порівняльного аналізу між відділеннями для визначення сильних і слабких ділянок діяльності</w:t>
      </w:r>
      <w:r>
        <w:rPr>
          <w:rFonts w:ascii="Times New Roman" w:eastAsia="Times New Roman" w:hAnsi="Times New Roman" w:cs="Times New Roman"/>
          <w:color w:val="auto"/>
          <w:lang w:bidi="ar-SA"/>
        </w:rPr>
        <w:t>.</w:t>
      </w:r>
    </w:p>
    <w:p w14:paraId="322001DC" w14:textId="77777777"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Система моніторингу та внутрішнього аудиту у КНП «Міська клінічна лікарня № 11» ОМР у 2022–2024 роках продемонструвала стабільну ефективність, однак потребує подальшої оптимізації в частині цифровізації, аналітики та кадрової мотивації. Запровадження електронної системи управління якістю, регулярних внутрішніх аудитів і комплексної оцінки результативності сприятиме підвищенню прозорості управлінських процесів, ефективному використанню бюджетних ресурсів та покращенню якості медичних послуг для пацієнтів.</w:t>
      </w:r>
    </w:p>
    <w:p w14:paraId="322001DD" w14:textId="77777777" w:rsidR="003C626E" w:rsidRDefault="001A5B20">
      <w:pPr>
        <w:widowControl/>
        <w:tabs>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Таким чином, актуальними рекомендаціями для вдосконалення системи контролю за ЯМД на сучасному етапі діяльності КНП «МКЛ № 11» ОМР є:</w:t>
      </w:r>
    </w:p>
    <w:p w14:paraId="322001DE" w14:textId="77777777" w:rsidR="003C626E" w:rsidRDefault="001A5B20">
      <w:pPr>
        <w:widowControl/>
        <w:numPr>
          <w:ilvl w:val="0"/>
          <w:numId w:val="41"/>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Розробити та впровадити єдину електронну систему моніторингу якості.</w:t>
      </w:r>
    </w:p>
    <w:p w14:paraId="322001DF" w14:textId="77777777" w:rsidR="003C626E" w:rsidRDefault="001A5B20">
      <w:pPr>
        <w:widowControl/>
        <w:numPr>
          <w:ilvl w:val="0"/>
          <w:numId w:val="41"/>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lastRenderedPageBreak/>
        <w:t>Проводити щоквартальні внутрішні аудити з участю мультидисциплінарних команд.</w:t>
      </w:r>
    </w:p>
    <w:p w14:paraId="322001E0" w14:textId="77777777" w:rsidR="003C626E" w:rsidRDefault="001A5B20">
      <w:pPr>
        <w:widowControl/>
        <w:numPr>
          <w:ilvl w:val="0"/>
          <w:numId w:val="41"/>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Посилити аналітичну складову аудиту через використання BI-інструментів.</w:t>
      </w:r>
    </w:p>
    <w:p w14:paraId="322001E1" w14:textId="77777777" w:rsidR="003C626E" w:rsidRDefault="001A5B20">
      <w:pPr>
        <w:widowControl/>
        <w:numPr>
          <w:ilvl w:val="0"/>
          <w:numId w:val="41"/>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Залучати персонал до системи мотивації за показниками якості.</w:t>
      </w:r>
    </w:p>
    <w:p w14:paraId="322001E2" w14:textId="77777777" w:rsidR="003C626E" w:rsidRDefault="001A5B20">
      <w:pPr>
        <w:widowControl/>
        <w:numPr>
          <w:ilvl w:val="0"/>
          <w:numId w:val="41"/>
        </w:numPr>
        <w:tabs>
          <w:tab w:val="left" w:pos="1134"/>
        </w:tabs>
        <w:spacing w:line="360" w:lineRule="auto"/>
        <w:ind w:left="0"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Налагодити співпрацю з ОНМедУ для розвитку методологічної бази внутрішнього контролю.</w:t>
      </w:r>
    </w:p>
    <w:p w14:paraId="322001E3" w14:textId="77777777" w:rsidR="003C626E" w:rsidRDefault="001A5B20">
      <w:pPr>
        <w:widowControl/>
        <w:tabs>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Поступове впровадження цих заходів у практику контролю ЯМД в лікарні спрямоване на підвищення ефективності функціонування лікарні, воно сприятиме зростанню довіри пацієнтів та покращенню іміджу КНП на медичному ринку.</w:t>
      </w:r>
    </w:p>
    <w:p w14:paraId="322001E4" w14:textId="77777777" w:rsidR="003C626E" w:rsidRDefault="003C626E">
      <w:pPr>
        <w:widowControl/>
        <w:tabs>
          <w:tab w:val="left" w:pos="1134"/>
        </w:tabs>
        <w:spacing w:line="360" w:lineRule="auto"/>
        <w:ind w:firstLine="709"/>
        <w:jc w:val="both"/>
        <w:rPr>
          <w:rFonts w:ascii="Times New Roman" w:eastAsia="Times New Roman" w:hAnsi="Times New Roman" w:cs="Times New Roman"/>
          <w:color w:val="auto"/>
          <w:sz w:val="28"/>
          <w:szCs w:val="28"/>
          <w:lang w:bidi="ar-SA"/>
        </w:rPr>
      </w:pPr>
    </w:p>
    <w:p w14:paraId="32200228" w14:textId="3D05C7D6"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
          <w:bCs/>
          <w:color w:val="auto"/>
          <w:sz w:val="28"/>
          <w:szCs w:val="28"/>
          <w:lang w:bidi="ar-SA"/>
        </w:rPr>
        <w:t>3.</w:t>
      </w:r>
      <w:r w:rsidR="00F75CB1">
        <w:rPr>
          <w:rFonts w:ascii="Times New Roman" w:eastAsia="Times New Roman" w:hAnsi="Times New Roman" w:cs="Times New Roman"/>
          <w:b/>
          <w:bCs/>
          <w:color w:val="auto"/>
          <w:sz w:val="28"/>
          <w:szCs w:val="28"/>
          <w:lang w:bidi="ar-SA"/>
        </w:rPr>
        <w:t>2</w:t>
      </w:r>
      <w:r>
        <w:rPr>
          <w:rFonts w:ascii="Times New Roman" w:eastAsia="Times New Roman" w:hAnsi="Times New Roman" w:cs="Times New Roman"/>
          <w:b/>
          <w:bCs/>
          <w:color w:val="auto"/>
          <w:sz w:val="28"/>
          <w:szCs w:val="28"/>
          <w:lang w:bidi="ar-SA"/>
        </w:rPr>
        <w:t xml:space="preserve">. Очікувані результати та ефекти від реалізації запропонованих заходів у КНП «МКЛ №11» Одеської міської ради </w:t>
      </w:r>
    </w:p>
    <w:p w14:paraId="32200229" w14:textId="77777777" w:rsidR="003C626E" w:rsidRDefault="001A5B20">
      <w:pPr>
        <w:widowControl/>
        <w:tabs>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Реалізація комплексу управлінських, цифрових та аналітичних заходів у межах програми оптимізації системи моніторингу якості медичних послуг спрямована на підвищення ефективності функціонування лікарні, раціональне використання ресурсів та покращення пацієнт-орієнтованості медичної допомоги.</w:t>
      </w:r>
    </w:p>
    <w:p w14:paraId="3220022A" w14:textId="738656D1" w:rsidR="003C626E" w:rsidRDefault="001A5B20">
      <w:pPr>
        <w:widowControl/>
        <w:tabs>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Цифровізація контролю якості передбачає р</w:t>
      </w:r>
      <w:r>
        <w:rPr>
          <w:rFonts w:ascii="Times New Roman" w:eastAsia="Times New Roman" w:hAnsi="Times New Roman" w:cs="Times New Roman"/>
          <w:color w:val="auto"/>
          <w:sz w:val="28"/>
          <w:szCs w:val="28"/>
          <w:lang w:bidi="ar-SA"/>
        </w:rPr>
        <w:t xml:space="preserve">озробку та впровадження </w:t>
      </w:r>
      <w:r>
        <w:rPr>
          <w:rFonts w:ascii="Times New Roman" w:eastAsia="Times New Roman" w:hAnsi="Times New Roman" w:cs="Times New Roman"/>
          <w:bCs/>
          <w:color w:val="auto"/>
          <w:sz w:val="28"/>
          <w:szCs w:val="28"/>
          <w:lang w:bidi="ar-SA"/>
        </w:rPr>
        <w:t>єдиної електронної системи моніторингу якості</w:t>
      </w:r>
      <w:r>
        <w:rPr>
          <w:rFonts w:ascii="Times New Roman" w:eastAsia="Times New Roman" w:hAnsi="Times New Roman" w:cs="Times New Roman"/>
          <w:color w:val="auto"/>
          <w:sz w:val="28"/>
          <w:szCs w:val="28"/>
          <w:lang w:bidi="ar-SA"/>
        </w:rPr>
        <w:t xml:space="preserve"> медичних послуг; автоматизацію збору, обробки та аналізу показників результативності лікувального процесу; використання BI-інструментів (Business Intelligence) для аналітики ключових показників ефективності. Такі заходи забезпечать  </w:t>
      </w:r>
      <w:r>
        <w:rPr>
          <w:rFonts w:ascii="Times New Roman" w:eastAsia="Times New Roman" w:hAnsi="Times New Roman" w:cs="Times New Roman"/>
          <w:bCs/>
          <w:color w:val="auto"/>
          <w:sz w:val="28"/>
          <w:szCs w:val="28"/>
          <w:lang w:bidi="ar-SA"/>
        </w:rPr>
        <w:t>оперативний доступ до об’єктивної інформації</w:t>
      </w:r>
      <w:r>
        <w:rPr>
          <w:rFonts w:ascii="Times New Roman" w:eastAsia="Times New Roman" w:hAnsi="Times New Roman" w:cs="Times New Roman"/>
          <w:color w:val="auto"/>
          <w:sz w:val="28"/>
          <w:szCs w:val="28"/>
          <w:lang w:bidi="ar-SA"/>
        </w:rPr>
        <w:t xml:space="preserve"> про якість наданих послуг; дозволять скоротити час на обробку звітних даних у 2–3 рази; підвисити точність оцінки результатів аудиту за рахунок автоматизованого контролю; зменшити кількості помилок, пов’язаних з людським фактором. Буде досягнута прозорість управлінських рішень, буде створено цифрове середовище для безперервного покращення якості та з’явиться можливість </w:t>
      </w:r>
      <w:r>
        <w:rPr>
          <w:rFonts w:ascii="Times New Roman" w:eastAsia="Times New Roman" w:hAnsi="Times New Roman" w:cs="Times New Roman"/>
          <w:color w:val="auto"/>
          <w:sz w:val="28"/>
          <w:szCs w:val="28"/>
          <w:lang w:bidi="ar-SA"/>
        </w:rPr>
        <w:lastRenderedPageBreak/>
        <w:t>порівняння результатів між відділеннями та динамічного коригування процесів лікування</w:t>
      </w:r>
      <w:r>
        <w:rPr>
          <w:rFonts w:ascii="Microsoft YaHei" w:eastAsia="Microsoft YaHei" w:hAnsi="Microsoft YaHei" w:cs="Microsoft YaHei"/>
        </w:rPr>
        <w:t xml:space="preserve"> </w:t>
      </w:r>
      <w:r>
        <w:rPr>
          <w:rFonts w:ascii="Times New Roman" w:eastAsia="Times New Roman" w:hAnsi="Times New Roman" w:cs="Times New Roman"/>
          <w:color w:val="auto"/>
          <w:sz w:val="28"/>
          <w:szCs w:val="28"/>
          <w:lang w:bidi="ar-SA"/>
        </w:rPr>
        <w:t>[4</w:t>
      </w:r>
      <w:r w:rsidR="002C3AE7">
        <w:rPr>
          <w:rFonts w:ascii="Times New Roman" w:eastAsia="Times New Roman" w:hAnsi="Times New Roman" w:cs="Times New Roman"/>
          <w:color w:val="auto"/>
          <w:sz w:val="28"/>
          <w:szCs w:val="28"/>
          <w:lang w:bidi="ar-SA"/>
        </w:rPr>
        <w:t>5, с. 167</w:t>
      </w:r>
      <w:r>
        <w:rPr>
          <w:rFonts w:ascii="Times New Roman" w:eastAsia="Times New Roman" w:hAnsi="Times New Roman" w:cs="Times New Roman"/>
          <w:color w:val="auto"/>
          <w:sz w:val="28"/>
          <w:szCs w:val="28"/>
          <w:lang w:bidi="ar-SA"/>
        </w:rPr>
        <w:t xml:space="preserve">; </w:t>
      </w:r>
      <w:r w:rsidR="002C3AE7">
        <w:rPr>
          <w:rFonts w:ascii="Times New Roman" w:eastAsia="Times New Roman" w:hAnsi="Times New Roman" w:cs="Times New Roman"/>
          <w:color w:val="auto"/>
          <w:sz w:val="28"/>
          <w:szCs w:val="28"/>
          <w:lang w:bidi="ar-SA"/>
        </w:rPr>
        <w:t>46</w:t>
      </w:r>
      <w:r>
        <w:rPr>
          <w:rFonts w:ascii="Times New Roman" w:eastAsia="Times New Roman" w:hAnsi="Times New Roman" w:cs="Times New Roman"/>
          <w:color w:val="auto"/>
          <w:sz w:val="28"/>
          <w:szCs w:val="28"/>
          <w:lang w:bidi="ar-SA"/>
        </w:rPr>
        <w:t>].</w:t>
      </w:r>
    </w:p>
    <w:p w14:paraId="3220022B" w14:textId="77777777" w:rsidR="003C626E" w:rsidRDefault="001A5B20">
      <w:pPr>
        <w:widowControl/>
        <w:tabs>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Підвищення мотивації персоналу полягає у ф</w:t>
      </w:r>
      <w:r>
        <w:rPr>
          <w:rFonts w:ascii="Times New Roman" w:eastAsia="Times New Roman" w:hAnsi="Times New Roman" w:cs="Times New Roman"/>
          <w:color w:val="auto"/>
          <w:sz w:val="28"/>
          <w:szCs w:val="28"/>
          <w:lang w:bidi="ar-SA"/>
        </w:rPr>
        <w:t xml:space="preserve">ормуванні </w:t>
      </w:r>
      <w:r>
        <w:rPr>
          <w:rFonts w:ascii="Times New Roman" w:eastAsia="Times New Roman" w:hAnsi="Times New Roman" w:cs="Times New Roman"/>
          <w:bCs/>
          <w:color w:val="auto"/>
          <w:sz w:val="28"/>
          <w:szCs w:val="28"/>
          <w:lang w:bidi="ar-SA"/>
        </w:rPr>
        <w:t>системи нематеріальної та матеріальної мотивації</w:t>
      </w:r>
      <w:r>
        <w:rPr>
          <w:rFonts w:ascii="Times New Roman" w:eastAsia="Times New Roman" w:hAnsi="Times New Roman" w:cs="Times New Roman"/>
          <w:color w:val="auto"/>
          <w:sz w:val="28"/>
          <w:szCs w:val="28"/>
          <w:lang w:bidi="ar-SA"/>
        </w:rPr>
        <w:t xml:space="preserve"> працівників на основі результатів аудиту якості; впровадження </w:t>
      </w:r>
      <w:r>
        <w:rPr>
          <w:rFonts w:ascii="Times New Roman" w:eastAsia="Times New Roman" w:hAnsi="Times New Roman" w:cs="Times New Roman"/>
          <w:bCs/>
          <w:color w:val="auto"/>
          <w:sz w:val="28"/>
          <w:szCs w:val="28"/>
          <w:lang w:bidi="ar-SA"/>
        </w:rPr>
        <w:t>індивідуальних показників ефективності (KPI)</w:t>
      </w:r>
      <w:r>
        <w:rPr>
          <w:rFonts w:ascii="Times New Roman" w:eastAsia="Times New Roman" w:hAnsi="Times New Roman" w:cs="Times New Roman"/>
          <w:color w:val="auto"/>
          <w:sz w:val="28"/>
          <w:szCs w:val="28"/>
          <w:lang w:bidi="ar-SA"/>
        </w:rPr>
        <w:t xml:space="preserve">, пов’язаних із дотриманням клінічних стандартів; проведення </w:t>
      </w:r>
      <w:r>
        <w:rPr>
          <w:rFonts w:ascii="Times New Roman" w:eastAsia="Times New Roman" w:hAnsi="Times New Roman" w:cs="Times New Roman"/>
          <w:bCs/>
          <w:color w:val="auto"/>
          <w:sz w:val="28"/>
          <w:szCs w:val="28"/>
          <w:lang w:bidi="ar-SA"/>
        </w:rPr>
        <w:t>регулярних тренінгів та внутрішніх семінарів</w:t>
      </w:r>
      <w:r>
        <w:rPr>
          <w:rFonts w:ascii="Times New Roman" w:eastAsia="Times New Roman" w:hAnsi="Times New Roman" w:cs="Times New Roman"/>
          <w:color w:val="auto"/>
          <w:sz w:val="28"/>
          <w:szCs w:val="28"/>
          <w:lang w:bidi="ar-SA"/>
        </w:rPr>
        <w:t xml:space="preserve"> із підвищення культури якості. Завдяки цьому буде підвищено залученість працівників до системи внутрішнього контролю; сформовано </w:t>
      </w:r>
      <w:r>
        <w:rPr>
          <w:rFonts w:ascii="Times New Roman" w:eastAsia="Times New Roman" w:hAnsi="Times New Roman" w:cs="Times New Roman"/>
          <w:bCs/>
          <w:color w:val="auto"/>
          <w:sz w:val="28"/>
          <w:szCs w:val="28"/>
          <w:lang w:bidi="ar-SA"/>
        </w:rPr>
        <w:t>корпоративну культуру відповідальності</w:t>
      </w:r>
      <w:r>
        <w:rPr>
          <w:rFonts w:ascii="Times New Roman" w:eastAsia="Times New Roman" w:hAnsi="Times New Roman" w:cs="Times New Roman"/>
          <w:color w:val="auto"/>
          <w:sz w:val="28"/>
          <w:szCs w:val="28"/>
          <w:lang w:bidi="ar-SA"/>
        </w:rPr>
        <w:t xml:space="preserve"> за якість; зросте задоволеність працівників умовами праці та управлінською комунікацією, що спричинить досягнення таких ефектів, як зниження плинності кадрів на 10–12%; підвищення ефективності роботи персоналу на 15–20%; посилення командної взаємодії між структурними підрозділами.</w:t>
      </w:r>
    </w:p>
    <w:p w14:paraId="3220022C" w14:textId="6CE49DBD" w:rsidR="003C626E" w:rsidRDefault="001A5B20">
      <w:pPr>
        <w:widowControl/>
        <w:tabs>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Оптимізація комунікацій буде здійснено через в</w:t>
      </w:r>
      <w:r>
        <w:rPr>
          <w:rFonts w:ascii="Times New Roman" w:eastAsia="Times New Roman" w:hAnsi="Times New Roman" w:cs="Times New Roman"/>
          <w:color w:val="auto"/>
          <w:sz w:val="28"/>
          <w:szCs w:val="28"/>
          <w:lang w:bidi="ar-SA"/>
        </w:rPr>
        <w:t xml:space="preserve">провадження електронних інструментів внутрішніх комунікацій (інтранет-платформа, чати для мультидисциплінарних команд); регулярне інформування персоналу про результати внутрішніх аудитів та зміни у стандартах якості; організацію </w:t>
      </w:r>
      <w:r>
        <w:rPr>
          <w:rFonts w:ascii="Times New Roman" w:eastAsia="Times New Roman" w:hAnsi="Times New Roman" w:cs="Times New Roman"/>
          <w:bCs/>
          <w:color w:val="auto"/>
          <w:sz w:val="28"/>
          <w:szCs w:val="28"/>
          <w:lang w:bidi="ar-SA"/>
        </w:rPr>
        <w:t>щоквартальних нарад з аналізу ключових індикаторів якості</w:t>
      </w:r>
      <w:r>
        <w:rPr>
          <w:rFonts w:ascii="Times New Roman" w:eastAsia="Times New Roman" w:hAnsi="Times New Roman" w:cs="Times New Roman"/>
          <w:color w:val="auto"/>
          <w:sz w:val="28"/>
          <w:szCs w:val="28"/>
          <w:lang w:bidi="ar-SA"/>
        </w:rPr>
        <w:t xml:space="preserve">. Це забезпечить підвищення швидкості прийняття управлінських рішень; зворотній зв’язок між адміністрацією та підрозділами; зменшить комунікаційні бар’єри між лікарями, середнім медперсоналом і адміністрацією. </w:t>
      </w:r>
      <w:r>
        <w:rPr>
          <w:rFonts w:ascii="Times New Roman" w:eastAsia="Times New Roman" w:hAnsi="Times New Roman" w:cs="Times New Roman"/>
          <w:bCs/>
          <w:color w:val="auto"/>
          <w:sz w:val="28"/>
          <w:szCs w:val="28"/>
          <w:lang w:bidi="ar-SA"/>
        </w:rPr>
        <w:t>Ефектом від цих заходів стане з</w:t>
      </w:r>
      <w:r>
        <w:rPr>
          <w:rFonts w:ascii="Times New Roman" w:eastAsia="Times New Roman" w:hAnsi="Times New Roman" w:cs="Times New Roman"/>
          <w:color w:val="auto"/>
          <w:sz w:val="28"/>
          <w:szCs w:val="28"/>
          <w:lang w:bidi="ar-SA"/>
        </w:rPr>
        <w:t>ростання рівня внутрішньої координації та ефективності управління; скорочення часу реагування на відхилення в якості медичних процесів; формування єдиного інформаційного простору лікарні</w:t>
      </w:r>
      <w:r>
        <w:rPr>
          <w:rFonts w:ascii="Microsoft YaHei" w:eastAsia="Microsoft YaHei" w:hAnsi="Microsoft YaHei" w:cs="Microsoft YaHei"/>
        </w:rPr>
        <w:t xml:space="preserve"> </w:t>
      </w:r>
      <w:r>
        <w:rPr>
          <w:rFonts w:ascii="Times New Roman" w:eastAsia="Times New Roman" w:hAnsi="Times New Roman" w:cs="Times New Roman"/>
          <w:color w:val="auto"/>
          <w:sz w:val="28"/>
          <w:szCs w:val="28"/>
          <w:lang w:bidi="ar-SA"/>
        </w:rPr>
        <w:t>[</w:t>
      </w:r>
      <w:r w:rsidR="002C3AE7">
        <w:rPr>
          <w:rFonts w:ascii="Times New Roman" w:eastAsia="Times New Roman" w:hAnsi="Times New Roman" w:cs="Times New Roman"/>
          <w:color w:val="auto"/>
          <w:sz w:val="28"/>
          <w:szCs w:val="28"/>
          <w:lang w:bidi="ar-SA"/>
        </w:rPr>
        <w:t>47-49</w:t>
      </w:r>
      <w:r>
        <w:rPr>
          <w:rFonts w:ascii="Times New Roman" w:eastAsia="Times New Roman" w:hAnsi="Times New Roman" w:cs="Times New Roman"/>
          <w:color w:val="auto"/>
          <w:sz w:val="28"/>
          <w:szCs w:val="28"/>
          <w:lang w:bidi="ar-SA"/>
        </w:rPr>
        <w:t>].</w:t>
      </w:r>
    </w:p>
    <w:p w14:paraId="3220022D" w14:textId="77777777" w:rsidR="003C626E" w:rsidRDefault="001A5B20">
      <w:pPr>
        <w:widowControl/>
        <w:tabs>
          <w:tab w:val="left" w:pos="1134"/>
        </w:tabs>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bCs/>
          <w:color w:val="auto"/>
          <w:sz w:val="28"/>
          <w:szCs w:val="28"/>
          <w:lang w:bidi="ar-SA"/>
        </w:rPr>
        <w:t>Використання методів доказової аналітики п</w:t>
      </w:r>
      <w:r>
        <w:rPr>
          <w:rFonts w:ascii="Times New Roman" w:eastAsia="Times New Roman" w:hAnsi="Times New Roman" w:cs="Times New Roman"/>
          <w:color w:val="auto"/>
          <w:sz w:val="28"/>
          <w:szCs w:val="28"/>
          <w:lang w:bidi="ar-SA"/>
        </w:rPr>
        <w:t xml:space="preserve">осилить аналітичну складову аудиту через </w:t>
      </w:r>
      <w:r>
        <w:rPr>
          <w:rFonts w:ascii="Times New Roman" w:eastAsia="Times New Roman" w:hAnsi="Times New Roman" w:cs="Times New Roman"/>
          <w:bCs/>
          <w:color w:val="auto"/>
          <w:sz w:val="28"/>
          <w:szCs w:val="28"/>
          <w:lang w:bidi="ar-SA"/>
        </w:rPr>
        <w:t>використання BI-панелей, Data Studio або Power BI</w:t>
      </w:r>
      <w:r>
        <w:rPr>
          <w:rFonts w:ascii="Times New Roman" w:eastAsia="Times New Roman" w:hAnsi="Times New Roman" w:cs="Times New Roman"/>
          <w:color w:val="auto"/>
          <w:sz w:val="28"/>
          <w:szCs w:val="28"/>
          <w:lang w:bidi="ar-SA"/>
        </w:rPr>
        <w:t xml:space="preserve">; забезпечить застосування методів </w:t>
      </w:r>
      <w:r>
        <w:rPr>
          <w:rFonts w:ascii="Times New Roman" w:eastAsia="Times New Roman" w:hAnsi="Times New Roman" w:cs="Times New Roman"/>
          <w:bCs/>
          <w:color w:val="auto"/>
          <w:sz w:val="28"/>
          <w:szCs w:val="28"/>
          <w:lang w:bidi="ar-SA"/>
        </w:rPr>
        <w:t>доказової медицини</w:t>
      </w:r>
      <w:r>
        <w:rPr>
          <w:rFonts w:ascii="Times New Roman" w:eastAsia="Times New Roman" w:hAnsi="Times New Roman" w:cs="Times New Roman"/>
          <w:color w:val="auto"/>
          <w:sz w:val="28"/>
          <w:szCs w:val="28"/>
          <w:lang w:bidi="ar-SA"/>
        </w:rPr>
        <w:t xml:space="preserve"> при аналізі ефективності лікування; дозволить залучити фахівців </w:t>
      </w:r>
      <w:r>
        <w:rPr>
          <w:rFonts w:ascii="Times New Roman" w:eastAsia="Times New Roman" w:hAnsi="Times New Roman" w:cs="Times New Roman"/>
          <w:bCs/>
          <w:color w:val="auto"/>
          <w:sz w:val="28"/>
          <w:szCs w:val="28"/>
          <w:lang w:bidi="ar-SA"/>
        </w:rPr>
        <w:t>ОНМедУ</w:t>
      </w:r>
      <w:r>
        <w:rPr>
          <w:rFonts w:ascii="Times New Roman" w:eastAsia="Times New Roman" w:hAnsi="Times New Roman" w:cs="Times New Roman"/>
          <w:color w:val="auto"/>
          <w:sz w:val="28"/>
          <w:szCs w:val="28"/>
          <w:lang w:bidi="ar-SA"/>
        </w:rPr>
        <w:t xml:space="preserve"> для розроблення методологічної бази внутрішнього контролю. Буде досягнуте підвищення достовірності аналітичних висновків за результатами перевірок; </w:t>
      </w:r>
      <w:r>
        <w:rPr>
          <w:rFonts w:ascii="Times New Roman" w:eastAsia="Times New Roman" w:hAnsi="Times New Roman" w:cs="Times New Roman"/>
          <w:color w:val="auto"/>
          <w:sz w:val="28"/>
          <w:szCs w:val="28"/>
          <w:lang w:bidi="ar-SA"/>
        </w:rPr>
        <w:lastRenderedPageBreak/>
        <w:t>здатність прогнозувати ризики та виявляти системні проблеми в роботі відділень; зміцнить наукову базу управління якістю у медичному закладі, що призведе до підвищення довіри до результатів аудиту з боку керівництва та контролюючих органів; надасть можливість впровадження науково обґрунтованих підходів до управлінських рішень; та створення передумови для подальшої участі лікарні у програмах акредитації та сертифікації за стандартами ISO (табл. 3.3).</w:t>
      </w:r>
    </w:p>
    <w:p w14:paraId="3220022F" w14:textId="77777777" w:rsidR="003C626E" w:rsidRDefault="001A5B20">
      <w:pPr>
        <w:widowControl/>
        <w:tabs>
          <w:tab w:val="left" w:pos="1134"/>
        </w:tabs>
        <w:spacing w:line="360" w:lineRule="auto"/>
        <w:ind w:firstLine="709"/>
        <w:jc w:val="right"/>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Таблиця 3.3</w:t>
      </w:r>
    </w:p>
    <w:p w14:paraId="32200230" w14:textId="77777777" w:rsidR="003C626E" w:rsidRDefault="001A5B20">
      <w:pPr>
        <w:widowControl/>
        <w:tabs>
          <w:tab w:val="left" w:pos="1134"/>
        </w:tabs>
        <w:spacing w:line="360" w:lineRule="auto"/>
        <w:ind w:firstLine="709"/>
        <w:jc w:val="center"/>
        <w:rPr>
          <w:rFonts w:ascii="Times New Roman" w:eastAsia="Times New Roman" w:hAnsi="Times New Roman" w:cs="Times New Roman"/>
          <w:color w:val="auto"/>
          <w:sz w:val="28"/>
          <w:szCs w:val="28"/>
          <w:lang w:bidi="ar-SA"/>
        </w:rPr>
      </w:pPr>
      <w:r>
        <w:rPr>
          <w:rFonts w:ascii="Times New Roman" w:eastAsia="Times New Roman" w:hAnsi="Times New Roman" w:cs="Times New Roman"/>
          <w:b/>
          <w:bCs/>
          <w:color w:val="auto"/>
          <w:sz w:val="27"/>
          <w:szCs w:val="27"/>
          <w:lang w:bidi="ar-SA"/>
        </w:rPr>
        <w:t>Очікувані інтегральні результати</w:t>
      </w:r>
      <w:r>
        <w:rPr>
          <w:rFonts w:ascii="Microsoft YaHei" w:eastAsia="Microsoft YaHei" w:hAnsi="Microsoft YaHei" w:cs="Microsoft YaHei"/>
          <w:b/>
        </w:rPr>
        <w:t xml:space="preserve"> </w:t>
      </w:r>
      <w:r>
        <w:rPr>
          <w:rFonts w:ascii="Times New Roman" w:eastAsia="Times New Roman" w:hAnsi="Times New Roman" w:cs="Times New Roman"/>
          <w:b/>
          <w:bCs/>
          <w:color w:val="auto"/>
          <w:sz w:val="27"/>
          <w:szCs w:val="27"/>
          <w:lang w:bidi="ar-SA"/>
        </w:rPr>
        <w:t>від реалізації запропонованих заходів у КНП «МКЛ №11» Одеської міської ради</w:t>
      </w:r>
    </w:p>
    <w:tbl>
      <w:tblPr>
        <w:tblStyle w:val="44"/>
        <w:tblW w:w="0" w:type="auto"/>
        <w:tblLook w:val="04A0" w:firstRow="1" w:lastRow="0" w:firstColumn="1" w:lastColumn="0" w:noHBand="0" w:noVBand="1"/>
      </w:tblPr>
      <w:tblGrid>
        <w:gridCol w:w="2201"/>
        <w:gridCol w:w="5022"/>
        <w:gridCol w:w="2121"/>
      </w:tblGrid>
      <w:tr w:rsidR="003C626E" w14:paraId="32200234" w14:textId="77777777">
        <w:tc>
          <w:tcPr>
            <w:tcW w:w="0" w:type="auto"/>
            <w:shd w:val="clear" w:color="auto" w:fill="EEECE1" w:themeFill="background2"/>
            <w:vAlign w:val="center"/>
          </w:tcPr>
          <w:p w14:paraId="32200231" w14:textId="77777777" w:rsidR="003C626E" w:rsidRDefault="001A5B20">
            <w:pPr>
              <w:widowControl/>
              <w:spacing w:line="360" w:lineRule="auto"/>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Напрямок змін</w:t>
            </w:r>
          </w:p>
        </w:tc>
        <w:tc>
          <w:tcPr>
            <w:tcW w:w="5022" w:type="dxa"/>
            <w:shd w:val="clear" w:color="auto" w:fill="EEECE1" w:themeFill="background2"/>
            <w:vAlign w:val="center"/>
          </w:tcPr>
          <w:p w14:paraId="32200232" w14:textId="77777777" w:rsidR="003C626E" w:rsidRDefault="001A5B20">
            <w:pPr>
              <w:widowControl/>
              <w:spacing w:line="360" w:lineRule="auto"/>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Очікуваний ефект</w:t>
            </w:r>
          </w:p>
        </w:tc>
        <w:tc>
          <w:tcPr>
            <w:tcW w:w="2121" w:type="dxa"/>
            <w:shd w:val="clear" w:color="auto" w:fill="EEECE1" w:themeFill="background2"/>
            <w:vAlign w:val="center"/>
          </w:tcPr>
          <w:p w14:paraId="32200233" w14:textId="77777777" w:rsidR="003C626E" w:rsidRDefault="001A5B20">
            <w:pPr>
              <w:widowControl/>
              <w:spacing w:line="360" w:lineRule="auto"/>
              <w:jc w:val="center"/>
              <w:rPr>
                <w:rFonts w:ascii="Times New Roman" w:eastAsia="Times New Roman" w:hAnsi="Times New Roman" w:cs="Times New Roman"/>
                <w:bCs/>
                <w:color w:val="auto"/>
                <w:lang w:bidi="ar-SA"/>
              </w:rPr>
            </w:pPr>
            <w:r>
              <w:rPr>
                <w:rFonts w:ascii="Times New Roman" w:eastAsia="Times New Roman" w:hAnsi="Times New Roman" w:cs="Times New Roman"/>
                <w:bCs/>
                <w:color w:val="auto"/>
                <w:lang w:bidi="ar-SA"/>
              </w:rPr>
              <w:t>Кількісна оцінка</w:t>
            </w:r>
          </w:p>
        </w:tc>
      </w:tr>
      <w:tr w:rsidR="003C626E" w14:paraId="32200238" w14:textId="77777777">
        <w:tc>
          <w:tcPr>
            <w:tcW w:w="0" w:type="auto"/>
            <w:shd w:val="clear" w:color="auto" w:fill="DBE5F1" w:themeFill="accent1" w:themeFillTint="33"/>
            <w:vAlign w:val="center"/>
          </w:tcPr>
          <w:p w14:paraId="32200235"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Ефективність контролю якості</w:t>
            </w:r>
          </w:p>
        </w:tc>
        <w:tc>
          <w:tcPr>
            <w:tcW w:w="5022" w:type="dxa"/>
            <w:shd w:val="clear" w:color="auto" w:fill="DAEEF3" w:themeFill="accent5" w:themeFillTint="33"/>
            <w:vAlign w:val="center"/>
          </w:tcPr>
          <w:p w14:paraId="32200236"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Зростання точності оцінки, скорочення часу збору даних</w:t>
            </w:r>
          </w:p>
        </w:tc>
        <w:tc>
          <w:tcPr>
            <w:tcW w:w="2121" w:type="dxa"/>
            <w:shd w:val="clear" w:color="auto" w:fill="FDE9D9" w:themeFill="accent6" w:themeFillTint="33"/>
            <w:vAlign w:val="center"/>
          </w:tcPr>
          <w:p w14:paraId="32200237"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до 40%</w:t>
            </w:r>
          </w:p>
        </w:tc>
      </w:tr>
      <w:tr w:rsidR="003C626E" w14:paraId="3220023C" w14:textId="77777777">
        <w:tc>
          <w:tcPr>
            <w:tcW w:w="0" w:type="auto"/>
            <w:shd w:val="clear" w:color="auto" w:fill="DBE5F1" w:themeFill="accent1" w:themeFillTint="33"/>
            <w:vAlign w:val="center"/>
          </w:tcPr>
          <w:p w14:paraId="32200239"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Мотивація персоналу</w:t>
            </w:r>
          </w:p>
        </w:tc>
        <w:tc>
          <w:tcPr>
            <w:tcW w:w="5022" w:type="dxa"/>
            <w:shd w:val="clear" w:color="auto" w:fill="DAEEF3" w:themeFill="accent5" w:themeFillTint="33"/>
            <w:vAlign w:val="center"/>
          </w:tcPr>
          <w:p w14:paraId="3220023A"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Підвищення залученості, зниження плинності кадрів</w:t>
            </w:r>
          </w:p>
        </w:tc>
        <w:tc>
          <w:tcPr>
            <w:tcW w:w="2121" w:type="dxa"/>
            <w:shd w:val="clear" w:color="auto" w:fill="FDE9D9" w:themeFill="accent6" w:themeFillTint="33"/>
            <w:vAlign w:val="center"/>
          </w:tcPr>
          <w:p w14:paraId="3220023B"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на 10–12%</w:t>
            </w:r>
          </w:p>
        </w:tc>
      </w:tr>
      <w:tr w:rsidR="003C626E" w14:paraId="32200240" w14:textId="77777777">
        <w:tc>
          <w:tcPr>
            <w:tcW w:w="0" w:type="auto"/>
            <w:shd w:val="clear" w:color="auto" w:fill="DBE5F1" w:themeFill="accent1" w:themeFillTint="33"/>
            <w:vAlign w:val="center"/>
          </w:tcPr>
          <w:p w14:paraId="3220023D"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Комунікації</w:t>
            </w:r>
          </w:p>
        </w:tc>
        <w:tc>
          <w:tcPr>
            <w:tcW w:w="5022" w:type="dxa"/>
            <w:shd w:val="clear" w:color="auto" w:fill="DAEEF3" w:themeFill="accent5" w:themeFillTint="33"/>
            <w:vAlign w:val="center"/>
          </w:tcPr>
          <w:p w14:paraId="3220023E"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Прискорення управлінських процесів, покращення зворотного зв’язку</w:t>
            </w:r>
          </w:p>
        </w:tc>
        <w:tc>
          <w:tcPr>
            <w:tcW w:w="2121" w:type="dxa"/>
            <w:shd w:val="clear" w:color="auto" w:fill="FDE9D9" w:themeFill="accent6" w:themeFillTint="33"/>
            <w:vAlign w:val="center"/>
          </w:tcPr>
          <w:p w14:paraId="3220023F"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ефективність на 25%</w:t>
            </w:r>
          </w:p>
        </w:tc>
      </w:tr>
      <w:tr w:rsidR="003C626E" w14:paraId="32200244" w14:textId="77777777">
        <w:tc>
          <w:tcPr>
            <w:tcW w:w="0" w:type="auto"/>
            <w:shd w:val="clear" w:color="auto" w:fill="DBE5F1" w:themeFill="accent1" w:themeFillTint="33"/>
            <w:vAlign w:val="center"/>
          </w:tcPr>
          <w:p w14:paraId="32200241"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Аналітика</w:t>
            </w:r>
          </w:p>
        </w:tc>
        <w:tc>
          <w:tcPr>
            <w:tcW w:w="5022" w:type="dxa"/>
            <w:shd w:val="clear" w:color="auto" w:fill="DAEEF3" w:themeFill="accent5" w:themeFillTint="33"/>
            <w:vAlign w:val="center"/>
          </w:tcPr>
          <w:p w14:paraId="32200242"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Впровадження BI-звітності, прогнозування ризиків</w:t>
            </w:r>
          </w:p>
        </w:tc>
        <w:tc>
          <w:tcPr>
            <w:tcW w:w="2121" w:type="dxa"/>
            <w:shd w:val="clear" w:color="auto" w:fill="FDE9D9" w:themeFill="accent6" w:themeFillTint="33"/>
            <w:vAlign w:val="center"/>
          </w:tcPr>
          <w:p w14:paraId="32200243"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100% підрозділів підключено</w:t>
            </w:r>
          </w:p>
        </w:tc>
      </w:tr>
      <w:tr w:rsidR="003C626E" w14:paraId="32200248" w14:textId="77777777">
        <w:tc>
          <w:tcPr>
            <w:tcW w:w="0" w:type="auto"/>
            <w:shd w:val="clear" w:color="auto" w:fill="DBE5F1" w:themeFill="accent1" w:themeFillTint="33"/>
            <w:vAlign w:val="center"/>
          </w:tcPr>
          <w:p w14:paraId="32200245"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Якість медичних послуг</w:t>
            </w:r>
          </w:p>
        </w:tc>
        <w:tc>
          <w:tcPr>
            <w:tcW w:w="5022" w:type="dxa"/>
            <w:shd w:val="clear" w:color="auto" w:fill="DAEEF3" w:themeFill="accent5" w:themeFillTint="33"/>
            <w:vAlign w:val="center"/>
          </w:tcPr>
          <w:p w14:paraId="32200246"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Зменшення повторних госпіталізацій, покращення результатів лікування</w:t>
            </w:r>
          </w:p>
        </w:tc>
        <w:tc>
          <w:tcPr>
            <w:tcW w:w="2121" w:type="dxa"/>
            <w:shd w:val="clear" w:color="auto" w:fill="FDE9D9" w:themeFill="accent6" w:themeFillTint="33"/>
            <w:vAlign w:val="center"/>
          </w:tcPr>
          <w:p w14:paraId="32200247" w14:textId="77777777" w:rsidR="003C626E" w:rsidRDefault="001A5B20">
            <w:pPr>
              <w:widowControl/>
              <w:rPr>
                <w:rFonts w:ascii="Times New Roman" w:eastAsia="Times New Roman" w:hAnsi="Times New Roman" w:cs="Times New Roman"/>
                <w:color w:val="auto"/>
                <w:lang w:bidi="ar-SA"/>
              </w:rPr>
            </w:pPr>
            <w:r>
              <w:rPr>
                <w:rFonts w:ascii="Times New Roman" w:eastAsia="Times New Roman" w:hAnsi="Times New Roman" w:cs="Times New Roman"/>
                <w:color w:val="auto"/>
                <w:lang w:bidi="ar-SA"/>
              </w:rPr>
              <w:t>↓ на 15–20%</w:t>
            </w:r>
          </w:p>
        </w:tc>
      </w:tr>
    </w:tbl>
    <w:p w14:paraId="32200249" w14:textId="77777777" w:rsidR="003C626E" w:rsidRDefault="001A5B20">
      <w:pPr>
        <w:widowControl/>
        <w:spacing w:line="360" w:lineRule="auto"/>
        <w:ind w:firstLine="709"/>
        <w:rPr>
          <w:rFonts w:ascii="Times New Roman" w:eastAsia="Times New Roman" w:hAnsi="Times New Roman" w:cs="Times New Roman"/>
          <w:i/>
          <w:color w:val="auto"/>
          <w:lang w:bidi="ar-SA"/>
        </w:rPr>
      </w:pPr>
      <w:r>
        <w:rPr>
          <w:rFonts w:ascii="Times New Roman" w:eastAsia="Times New Roman" w:hAnsi="Times New Roman" w:cs="Times New Roman"/>
          <w:i/>
          <w:color w:val="auto"/>
          <w:lang w:bidi="ar-SA"/>
        </w:rPr>
        <w:t>Джерело: побудовано на основі проведених досліджень</w:t>
      </w:r>
    </w:p>
    <w:p w14:paraId="3220024A" w14:textId="77777777" w:rsidR="003C626E" w:rsidRDefault="003C626E">
      <w:pPr>
        <w:widowControl/>
        <w:spacing w:line="360" w:lineRule="auto"/>
        <w:rPr>
          <w:rFonts w:ascii="Times New Roman" w:eastAsia="Times New Roman" w:hAnsi="Times New Roman" w:cs="Times New Roman"/>
          <w:color w:val="auto"/>
          <w:lang w:bidi="ar-SA"/>
        </w:rPr>
      </w:pPr>
    </w:p>
    <w:p w14:paraId="3220024B" w14:textId="54FF9DC9"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Комплекс заходів забезпечить </w:t>
      </w:r>
      <w:r>
        <w:rPr>
          <w:rFonts w:ascii="Times New Roman" w:eastAsia="Times New Roman" w:hAnsi="Times New Roman" w:cs="Times New Roman"/>
          <w:bCs/>
          <w:color w:val="auto"/>
          <w:sz w:val="28"/>
          <w:szCs w:val="28"/>
          <w:lang w:bidi="ar-SA"/>
        </w:rPr>
        <w:t>формування ефективної системи управління якістю медичних послуг</w:t>
      </w:r>
      <w:r>
        <w:rPr>
          <w:rFonts w:ascii="Times New Roman" w:eastAsia="Times New Roman" w:hAnsi="Times New Roman" w:cs="Times New Roman"/>
          <w:color w:val="auto"/>
          <w:sz w:val="28"/>
          <w:szCs w:val="28"/>
          <w:lang w:bidi="ar-SA"/>
        </w:rPr>
        <w:t>, яка ґрунтується на принципах цифровізації, доказової аналітики та партнерств</w:t>
      </w:r>
      <w:r w:rsidR="002C3AE7">
        <w:rPr>
          <w:rFonts w:ascii="Times New Roman" w:eastAsia="Times New Roman" w:hAnsi="Times New Roman" w:cs="Times New Roman"/>
          <w:color w:val="auto"/>
          <w:sz w:val="28"/>
          <w:szCs w:val="28"/>
          <w:lang w:bidi="ar-SA"/>
        </w:rPr>
        <w:t>а між керівництвом і персоналом</w:t>
      </w:r>
      <w:r w:rsidR="002C3AE7" w:rsidRPr="002C3AE7">
        <w:rPr>
          <w:rFonts w:ascii="Times New Roman" w:eastAsia="Times New Roman" w:hAnsi="Times New Roman" w:cs="Times New Roman"/>
          <w:color w:val="auto"/>
          <w:sz w:val="28"/>
          <w:szCs w:val="28"/>
          <w:lang w:bidi="ar-SA"/>
        </w:rPr>
        <w:t xml:space="preserve"> </w:t>
      </w:r>
      <w:r w:rsidR="002C3AE7">
        <w:rPr>
          <w:rFonts w:ascii="Times New Roman" w:eastAsia="Times New Roman" w:hAnsi="Times New Roman" w:cs="Times New Roman"/>
          <w:color w:val="auto"/>
          <w:sz w:val="28"/>
          <w:szCs w:val="28"/>
          <w:lang w:bidi="ar-SA"/>
        </w:rPr>
        <w:t>[50-52].</w:t>
      </w:r>
    </w:p>
    <w:p w14:paraId="3220024C" w14:textId="77777777" w:rsidR="003C626E" w:rsidRDefault="001A5B20">
      <w:pPr>
        <w:widowControl/>
        <w:spacing w:line="360" w:lineRule="auto"/>
        <w:ind w:firstLine="709"/>
        <w:jc w:val="both"/>
        <w:rPr>
          <w:rFonts w:ascii="Times New Roman" w:eastAsia="Times New Roman" w:hAnsi="Times New Roman" w:cs="Times New Roman"/>
          <w:color w:val="auto"/>
          <w:sz w:val="28"/>
          <w:szCs w:val="28"/>
          <w:lang w:bidi="ar-SA"/>
        </w:rPr>
      </w:pPr>
      <w:r>
        <w:rPr>
          <w:rFonts w:ascii="Times New Roman" w:eastAsia="Times New Roman" w:hAnsi="Times New Roman" w:cs="Times New Roman"/>
          <w:color w:val="auto"/>
          <w:sz w:val="28"/>
          <w:szCs w:val="28"/>
          <w:lang w:bidi="ar-SA"/>
        </w:rPr>
        <w:t xml:space="preserve">Реалізація програми дозволить підвищити </w:t>
      </w:r>
      <w:r>
        <w:rPr>
          <w:rFonts w:ascii="Times New Roman" w:eastAsia="Times New Roman" w:hAnsi="Times New Roman" w:cs="Times New Roman"/>
          <w:bCs/>
          <w:color w:val="auto"/>
          <w:sz w:val="28"/>
          <w:szCs w:val="28"/>
          <w:lang w:bidi="ar-SA"/>
        </w:rPr>
        <w:t>довіру пацієнтів</w:t>
      </w:r>
      <w:r>
        <w:rPr>
          <w:rFonts w:ascii="Times New Roman" w:eastAsia="Times New Roman" w:hAnsi="Times New Roman" w:cs="Times New Roman"/>
          <w:color w:val="auto"/>
          <w:sz w:val="28"/>
          <w:szCs w:val="28"/>
          <w:lang w:bidi="ar-SA"/>
        </w:rPr>
        <w:t xml:space="preserve">, оптимізувати </w:t>
      </w:r>
      <w:r>
        <w:rPr>
          <w:rFonts w:ascii="Times New Roman" w:eastAsia="Times New Roman" w:hAnsi="Times New Roman" w:cs="Times New Roman"/>
          <w:bCs/>
          <w:color w:val="auto"/>
          <w:sz w:val="28"/>
          <w:szCs w:val="28"/>
          <w:lang w:bidi="ar-SA"/>
        </w:rPr>
        <w:t>використання ресурсів</w:t>
      </w:r>
      <w:r>
        <w:rPr>
          <w:rFonts w:ascii="Times New Roman" w:eastAsia="Times New Roman" w:hAnsi="Times New Roman" w:cs="Times New Roman"/>
          <w:color w:val="auto"/>
          <w:sz w:val="28"/>
          <w:szCs w:val="28"/>
          <w:lang w:bidi="ar-SA"/>
        </w:rPr>
        <w:t xml:space="preserve">, зменшити </w:t>
      </w:r>
      <w:r>
        <w:rPr>
          <w:rFonts w:ascii="Times New Roman" w:eastAsia="Times New Roman" w:hAnsi="Times New Roman" w:cs="Times New Roman"/>
          <w:bCs/>
          <w:color w:val="auto"/>
          <w:sz w:val="28"/>
          <w:szCs w:val="28"/>
          <w:lang w:bidi="ar-SA"/>
        </w:rPr>
        <w:t>кількість відхилень від стандартів лікування</w:t>
      </w:r>
      <w:r>
        <w:rPr>
          <w:rFonts w:ascii="Times New Roman" w:eastAsia="Times New Roman" w:hAnsi="Times New Roman" w:cs="Times New Roman"/>
          <w:color w:val="auto"/>
          <w:sz w:val="28"/>
          <w:szCs w:val="28"/>
          <w:lang w:bidi="ar-SA"/>
        </w:rPr>
        <w:t xml:space="preserve"> та забезпечити </w:t>
      </w:r>
      <w:r>
        <w:rPr>
          <w:rFonts w:ascii="Times New Roman" w:eastAsia="Times New Roman" w:hAnsi="Times New Roman" w:cs="Times New Roman"/>
          <w:bCs/>
          <w:color w:val="auto"/>
          <w:sz w:val="28"/>
          <w:szCs w:val="28"/>
          <w:lang w:bidi="ar-SA"/>
        </w:rPr>
        <w:t>сталий розвиток КНП «МКЛ №11» ОМР</w:t>
      </w:r>
      <w:r>
        <w:rPr>
          <w:rFonts w:ascii="Times New Roman" w:eastAsia="Times New Roman" w:hAnsi="Times New Roman" w:cs="Times New Roman"/>
          <w:color w:val="auto"/>
          <w:sz w:val="28"/>
          <w:szCs w:val="28"/>
          <w:lang w:bidi="ar-SA"/>
        </w:rPr>
        <w:t xml:space="preserve"> у системі міської охорони здоров’я.</w:t>
      </w:r>
    </w:p>
    <w:p w14:paraId="3220024D" w14:textId="77777777" w:rsidR="003C626E" w:rsidRDefault="003C626E">
      <w:pPr>
        <w:widowControl/>
        <w:spacing w:line="360" w:lineRule="auto"/>
        <w:ind w:firstLine="709"/>
        <w:jc w:val="both"/>
        <w:rPr>
          <w:rFonts w:ascii="Times New Roman" w:eastAsia="Times New Roman" w:hAnsi="Times New Roman" w:cs="Times New Roman"/>
          <w:color w:val="auto"/>
          <w:sz w:val="28"/>
          <w:szCs w:val="28"/>
          <w:lang w:bidi="ar-SA"/>
        </w:rPr>
      </w:pPr>
    </w:p>
    <w:p w14:paraId="3220024E" w14:textId="77777777" w:rsidR="003C626E" w:rsidRDefault="001A5B20">
      <w:pPr>
        <w:widowControl/>
        <w:spacing w:line="360" w:lineRule="auto"/>
        <w:ind w:firstLine="709"/>
        <w:jc w:val="both"/>
        <w:rPr>
          <w:rFonts w:ascii="Times New Roman" w:eastAsia="Times New Roman" w:hAnsi="Times New Roman" w:cs="Times New Roman"/>
          <w:b/>
          <w:color w:val="auto"/>
          <w:sz w:val="28"/>
          <w:szCs w:val="28"/>
          <w:lang w:bidi="ar-SA"/>
        </w:rPr>
      </w:pPr>
      <w:r>
        <w:rPr>
          <w:rFonts w:ascii="Times New Roman" w:eastAsia="Times New Roman" w:hAnsi="Times New Roman" w:cs="Times New Roman"/>
          <w:b/>
          <w:color w:val="auto"/>
          <w:sz w:val="28"/>
          <w:szCs w:val="28"/>
          <w:lang w:bidi="ar-SA"/>
        </w:rPr>
        <w:t>Висновок до розділу 3</w:t>
      </w:r>
    </w:p>
    <w:p w14:paraId="3220024F"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Особливого значення для КНП «Міська клінічна лікарня № 11» ОМР набуває удосконалення процесів моніторингу та внутрішнього аудиту як </w:t>
      </w:r>
      <w:r>
        <w:rPr>
          <w:rFonts w:ascii="Times New Roman" w:eastAsia="Microsoft YaHei" w:hAnsi="Times New Roman" w:cs="Times New Roman"/>
          <w:sz w:val="28"/>
          <w:szCs w:val="28"/>
        </w:rPr>
        <w:lastRenderedPageBreak/>
        <w:t>складових менеджменту якості, що забезпечують відповідність медичних послуг державним стандартам, очікуванням пацієнтів і вимогам Національної служби здоров’я України.</w:t>
      </w:r>
    </w:p>
    <w:p w14:paraId="32200250"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Аналіз поточного стану системи контролю якості медичних послуг, дозволяє впевнитись, що система внутрішнього контролю якості функціонує відповідно до вимог наказів МОЗ України та стандартів управління якістю ISO 9001:2015.</w:t>
      </w:r>
    </w:p>
    <w:p w14:paraId="32200251"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розділі наведено основні індикатори якості медичних послуг за останні роки, які свідчить про підвищення рейтингу лікарні, покращення її іміджу та зростання довіри пацієнтів.</w:t>
      </w:r>
      <w:r>
        <w:rPr>
          <w:rFonts w:ascii="Microsoft YaHei" w:eastAsia="Microsoft YaHei" w:hAnsi="Microsoft YaHei" w:cs="Microsoft YaHei"/>
        </w:rPr>
        <w:t xml:space="preserve"> </w:t>
      </w:r>
      <w:r>
        <w:rPr>
          <w:rFonts w:ascii="Times New Roman" w:eastAsia="Microsoft YaHei" w:hAnsi="Times New Roman" w:cs="Times New Roman"/>
          <w:sz w:val="28"/>
          <w:szCs w:val="28"/>
        </w:rPr>
        <w:t>Спадна динаміка частоти ускладнень і скарг, випадків повторної госпіталізації, летальних випадків та випадків внутрішньолікарняних інфекцій, середньої тривалості лікування, а також підвищення рівня задоволеності пацієнтів, вказує на покращення якості медичних послуг та ефективність внутрішнього контролю якості.</w:t>
      </w:r>
    </w:p>
    <w:p w14:paraId="32200252"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Проведений SWOT-аналіз системи моніторингу та аудиту КНП «МКЛ № 11» ОМР дозволяє виявити сильні та слабкі сторони, проаналізувати можливості та загрози для медичного закладу.</w:t>
      </w:r>
      <w:r>
        <w:rPr>
          <w:rFonts w:ascii="Microsoft YaHei" w:eastAsia="Microsoft YaHei" w:hAnsi="Microsoft YaHei" w:cs="Microsoft YaHei"/>
        </w:rPr>
        <w:t xml:space="preserve"> </w:t>
      </w:r>
      <w:r>
        <w:rPr>
          <w:rFonts w:ascii="Times New Roman" w:eastAsia="Microsoft YaHei" w:hAnsi="Times New Roman" w:cs="Times New Roman"/>
          <w:sz w:val="28"/>
          <w:szCs w:val="28"/>
        </w:rPr>
        <w:t>Пропоновано основні напрями оптимізації процесів моніторингу та аудиту ЯМД: цифровізація контролю якості, підвищення мотивації персоналу, оптимізація комунікацій, використання методів доказової аналітики.</w:t>
      </w:r>
    </w:p>
    <w:p w14:paraId="32200253"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Система моніторингу та внутрішнього аудиту у КНП «Міська клінічна лікарня № 11» ОМР у 2022–2024 роках продемонструвала стабільну ефективність. Конкретними заходами для вдосконалення системи контролю за ЯМД на сучасному етапі діяльності КНП «МКЛ № 11» ОМР пропонується: розробка та впровадження єдиної електронної системи моніторингу якості, проведення щоквартальних внутрішніх аудитів з участю мультидисциплінарних команд, посилення аналітичної складової аудиту через використання BI-інструментів, залучення персоналу до системи мотивації за показниками якості, налагодження співпраці з ОНМедУ для розвитку методологічної бази внутрішнього контролю. Поступове впровадження цих </w:t>
      </w:r>
      <w:r>
        <w:rPr>
          <w:rFonts w:ascii="Times New Roman" w:eastAsia="Microsoft YaHei" w:hAnsi="Times New Roman" w:cs="Times New Roman"/>
          <w:sz w:val="28"/>
          <w:szCs w:val="28"/>
        </w:rPr>
        <w:lastRenderedPageBreak/>
        <w:t>заходів у практику контролю ЯМД в лікарні спрямоване на підвищення ефективності функціонування лікарні, воно сприятиме зростанню довіри пацієнтів та покращенню іміджу КНП на медичному ринку.</w:t>
      </w:r>
    </w:p>
    <w:p w14:paraId="32200256"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розділі 3 розраховано очікувані інтегральні результати та ефекти від реалізації запропонованих заходів у КНП «МКЛ №11» Одеської міської ради, які дозволять підвищити довіру пацієнтів, оптимізувати використання ресурсів, зменшити кількість відхилень від стандартів лікування та забезпечити сталий розвиток КНП «МКЛ №11» ОМР у системі міської охорони здоров’я.</w:t>
      </w:r>
    </w:p>
    <w:p w14:paraId="32200257" w14:textId="77777777" w:rsidR="003C626E" w:rsidRDefault="003C626E">
      <w:pPr>
        <w:widowControl/>
        <w:spacing w:line="360" w:lineRule="auto"/>
        <w:ind w:firstLine="709"/>
        <w:jc w:val="both"/>
        <w:rPr>
          <w:rFonts w:ascii="Times New Roman" w:eastAsia="Times New Roman" w:hAnsi="Times New Roman" w:cs="Times New Roman"/>
          <w:b/>
          <w:color w:val="auto"/>
          <w:sz w:val="28"/>
          <w:szCs w:val="28"/>
          <w:lang w:bidi="ar-SA"/>
        </w:rPr>
      </w:pPr>
    </w:p>
    <w:p w14:paraId="32200258" w14:textId="77777777" w:rsidR="003C626E" w:rsidRDefault="003C626E">
      <w:pPr>
        <w:widowControl/>
        <w:spacing w:line="360" w:lineRule="auto"/>
        <w:ind w:firstLine="709"/>
        <w:jc w:val="both"/>
        <w:rPr>
          <w:rFonts w:ascii="Times New Roman" w:eastAsia="Times New Roman" w:hAnsi="Times New Roman" w:cs="Times New Roman"/>
          <w:color w:val="auto"/>
          <w:sz w:val="28"/>
          <w:szCs w:val="28"/>
          <w:lang w:bidi="ar-SA"/>
        </w:rPr>
      </w:pPr>
    </w:p>
    <w:p w14:paraId="32200259" w14:textId="77777777" w:rsidR="003C626E" w:rsidRDefault="001A5B20">
      <w:pPr>
        <w:widowControl/>
        <w:pBdr>
          <w:top w:val="single" w:sz="6" w:space="1" w:color="000000"/>
        </w:pBdr>
        <w:tabs>
          <w:tab w:val="left" w:pos="1134"/>
        </w:tabs>
        <w:spacing w:line="360" w:lineRule="auto"/>
        <w:ind w:firstLine="709"/>
        <w:jc w:val="both"/>
        <w:rPr>
          <w:rFonts w:ascii="Arial" w:eastAsia="Times New Roman" w:hAnsi="Arial" w:cs="Arial"/>
          <w:vanish/>
          <w:color w:val="auto"/>
          <w:sz w:val="28"/>
          <w:szCs w:val="28"/>
          <w:lang w:bidi="ar-SA"/>
        </w:rPr>
      </w:pPr>
      <w:r>
        <w:rPr>
          <w:rFonts w:ascii="Arial" w:eastAsia="Times New Roman" w:hAnsi="Arial" w:cs="Arial"/>
          <w:vanish/>
          <w:color w:val="auto"/>
          <w:sz w:val="28"/>
          <w:szCs w:val="28"/>
          <w:lang w:bidi="ar-SA"/>
        </w:rPr>
        <w:t>Кінець форми</w:t>
      </w:r>
    </w:p>
    <w:p w14:paraId="3220025A" w14:textId="77777777" w:rsidR="003C626E" w:rsidRDefault="003C626E">
      <w:pPr>
        <w:tabs>
          <w:tab w:val="left" w:pos="1134"/>
        </w:tabs>
        <w:spacing w:line="360" w:lineRule="auto"/>
        <w:ind w:firstLine="709"/>
        <w:jc w:val="both"/>
        <w:rPr>
          <w:rFonts w:ascii="Times New Roman" w:eastAsia="Microsoft YaHei" w:hAnsi="Times New Roman" w:cs="Times New Roman"/>
          <w:sz w:val="28"/>
          <w:szCs w:val="28"/>
        </w:rPr>
      </w:pPr>
    </w:p>
    <w:p w14:paraId="3220025B" w14:textId="77777777" w:rsidR="003C626E" w:rsidRDefault="003C626E">
      <w:pPr>
        <w:spacing w:line="360" w:lineRule="auto"/>
        <w:ind w:firstLine="709"/>
        <w:jc w:val="both"/>
        <w:rPr>
          <w:rFonts w:ascii="Times New Roman" w:hAnsi="Times New Roman" w:cs="Times New Roman"/>
          <w:color w:val="auto"/>
          <w:sz w:val="28"/>
          <w:szCs w:val="28"/>
        </w:rPr>
      </w:pPr>
    </w:p>
    <w:p w14:paraId="3220025C" w14:textId="77777777" w:rsidR="003C626E" w:rsidRDefault="003C626E">
      <w:pPr>
        <w:spacing w:line="360" w:lineRule="auto"/>
        <w:ind w:firstLine="709"/>
        <w:jc w:val="both"/>
        <w:rPr>
          <w:rFonts w:ascii="Times New Roman" w:hAnsi="Times New Roman" w:cs="Times New Roman"/>
          <w:color w:val="auto"/>
          <w:sz w:val="28"/>
          <w:szCs w:val="28"/>
        </w:rPr>
      </w:pPr>
    </w:p>
    <w:p w14:paraId="3220025D" w14:textId="77777777" w:rsidR="003C626E" w:rsidRDefault="003C626E">
      <w:pPr>
        <w:spacing w:line="360" w:lineRule="auto"/>
        <w:ind w:firstLine="709"/>
        <w:jc w:val="both"/>
        <w:rPr>
          <w:rFonts w:ascii="Times New Roman" w:hAnsi="Times New Roman" w:cs="Times New Roman"/>
          <w:color w:val="auto"/>
          <w:sz w:val="28"/>
          <w:szCs w:val="28"/>
        </w:rPr>
      </w:pPr>
    </w:p>
    <w:p w14:paraId="3220025E" w14:textId="77777777" w:rsidR="003C626E" w:rsidRDefault="003C626E">
      <w:pPr>
        <w:spacing w:line="360" w:lineRule="auto"/>
        <w:ind w:firstLine="709"/>
        <w:jc w:val="both"/>
        <w:rPr>
          <w:rFonts w:ascii="Times New Roman" w:hAnsi="Times New Roman" w:cs="Times New Roman"/>
          <w:color w:val="auto"/>
          <w:sz w:val="28"/>
          <w:szCs w:val="28"/>
        </w:rPr>
      </w:pPr>
    </w:p>
    <w:p w14:paraId="3220025F" w14:textId="77777777" w:rsidR="003C626E" w:rsidRDefault="003C626E">
      <w:pPr>
        <w:spacing w:line="360" w:lineRule="auto"/>
        <w:ind w:firstLine="709"/>
        <w:jc w:val="both"/>
        <w:rPr>
          <w:rFonts w:ascii="Times New Roman" w:hAnsi="Times New Roman" w:cs="Times New Roman"/>
          <w:color w:val="auto"/>
          <w:sz w:val="28"/>
          <w:szCs w:val="28"/>
        </w:rPr>
      </w:pPr>
    </w:p>
    <w:p w14:paraId="32200260" w14:textId="77777777" w:rsidR="003C626E" w:rsidRDefault="003C626E">
      <w:pPr>
        <w:spacing w:line="360" w:lineRule="auto"/>
        <w:ind w:firstLine="709"/>
        <w:jc w:val="both"/>
        <w:rPr>
          <w:rFonts w:ascii="Times New Roman" w:hAnsi="Times New Roman" w:cs="Times New Roman"/>
          <w:color w:val="auto"/>
          <w:sz w:val="28"/>
          <w:szCs w:val="28"/>
        </w:rPr>
      </w:pPr>
    </w:p>
    <w:p w14:paraId="32200261" w14:textId="77777777" w:rsidR="003C626E" w:rsidRDefault="003C626E">
      <w:pPr>
        <w:spacing w:line="360" w:lineRule="auto"/>
        <w:ind w:firstLine="709"/>
        <w:jc w:val="both"/>
        <w:rPr>
          <w:rFonts w:ascii="Times New Roman" w:hAnsi="Times New Roman" w:cs="Times New Roman"/>
          <w:color w:val="auto"/>
          <w:sz w:val="28"/>
          <w:szCs w:val="28"/>
        </w:rPr>
      </w:pPr>
    </w:p>
    <w:p w14:paraId="32200262" w14:textId="77777777" w:rsidR="003C626E" w:rsidRDefault="003C626E">
      <w:pPr>
        <w:spacing w:line="360" w:lineRule="auto"/>
        <w:ind w:firstLine="709"/>
        <w:jc w:val="both"/>
        <w:rPr>
          <w:rFonts w:ascii="Times New Roman" w:hAnsi="Times New Roman" w:cs="Times New Roman"/>
          <w:color w:val="auto"/>
          <w:sz w:val="28"/>
          <w:szCs w:val="28"/>
        </w:rPr>
      </w:pPr>
    </w:p>
    <w:p w14:paraId="32200263" w14:textId="77777777" w:rsidR="003C626E" w:rsidRDefault="003C626E">
      <w:pPr>
        <w:spacing w:line="360" w:lineRule="auto"/>
        <w:ind w:firstLine="709"/>
        <w:jc w:val="both"/>
        <w:rPr>
          <w:rFonts w:ascii="Times New Roman" w:hAnsi="Times New Roman" w:cs="Times New Roman"/>
          <w:color w:val="auto"/>
          <w:sz w:val="28"/>
          <w:szCs w:val="28"/>
        </w:rPr>
      </w:pPr>
    </w:p>
    <w:p w14:paraId="32200264" w14:textId="77777777" w:rsidR="003C626E" w:rsidRDefault="003C626E">
      <w:pPr>
        <w:spacing w:line="360" w:lineRule="auto"/>
        <w:ind w:firstLine="709"/>
        <w:jc w:val="both"/>
        <w:rPr>
          <w:rFonts w:ascii="Times New Roman" w:hAnsi="Times New Roman" w:cs="Times New Roman"/>
          <w:color w:val="auto"/>
          <w:sz w:val="28"/>
          <w:szCs w:val="28"/>
        </w:rPr>
      </w:pPr>
    </w:p>
    <w:p w14:paraId="32200265" w14:textId="77777777" w:rsidR="003C626E" w:rsidRDefault="003C626E">
      <w:pPr>
        <w:spacing w:line="360" w:lineRule="auto"/>
        <w:ind w:firstLine="709"/>
        <w:jc w:val="both"/>
        <w:rPr>
          <w:rFonts w:ascii="Times New Roman" w:hAnsi="Times New Roman" w:cs="Times New Roman"/>
          <w:color w:val="auto"/>
          <w:sz w:val="28"/>
          <w:szCs w:val="28"/>
        </w:rPr>
      </w:pPr>
    </w:p>
    <w:p w14:paraId="32200266" w14:textId="77777777" w:rsidR="003C626E" w:rsidRDefault="003C626E">
      <w:pPr>
        <w:spacing w:line="360" w:lineRule="auto"/>
        <w:ind w:firstLine="709"/>
        <w:jc w:val="both"/>
        <w:rPr>
          <w:rFonts w:ascii="Times New Roman" w:hAnsi="Times New Roman" w:cs="Times New Roman"/>
          <w:color w:val="auto"/>
          <w:sz w:val="28"/>
          <w:szCs w:val="28"/>
        </w:rPr>
      </w:pPr>
    </w:p>
    <w:p w14:paraId="32200267" w14:textId="77777777" w:rsidR="003C626E" w:rsidRDefault="003C626E">
      <w:pPr>
        <w:spacing w:line="360" w:lineRule="auto"/>
        <w:ind w:firstLine="709"/>
        <w:jc w:val="both"/>
        <w:rPr>
          <w:rFonts w:ascii="Times New Roman" w:hAnsi="Times New Roman" w:cs="Times New Roman"/>
          <w:color w:val="auto"/>
          <w:sz w:val="28"/>
          <w:szCs w:val="28"/>
        </w:rPr>
      </w:pPr>
    </w:p>
    <w:p w14:paraId="32200268" w14:textId="71CB6EEE" w:rsidR="003C626E" w:rsidRDefault="003C626E">
      <w:pPr>
        <w:spacing w:line="360" w:lineRule="auto"/>
        <w:ind w:firstLine="709"/>
        <w:jc w:val="both"/>
        <w:rPr>
          <w:rFonts w:ascii="Times New Roman" w:hAnsi="Times New Roman" w:cs="Times New Roman"/>
          <w:color w:val="auto"/>
          <w:sz w:val="28"/>
          <w:szCs w:val="28"/>
        </w:rPr>
      </w:pPr>
    </w:p>
    <w:p w14:paraId="246B97E6" w14:textId="0F14C902" w:rsidR="00F75CB1" w:rsidRDefault="00F75CB1">
      <w:pPr>
        <w:spacing w:line="360" w:lineRule="auto"/>
        <w:ind w:firstLine="709"/>
        <w:jc w:val="both"/>
        <w:rPr>
          <w:rFonts w:ascii="Times New Roman" w:hAnsi="Times New Roman" w:cs="Times New Roman"/>
          <w:color w:val="auto"/>
          <w:sz w:val="28"/>
          <w:szCs w:val="28"/>
        </w:rPr>
      </w:pPr>
    </w:p>
    <w:p w14:paraId="2B700A00" w14:textId="15C47C26" w:rsidR="00F75CB1" w:rsidRDefault="00F75CB1">
      <w:pPr>
        <w:spacing w:line="360" w:lineRule="auto"/>
        <w:ind w:firstLine="709"/>
        <w:jc w:val="both"/>
        <w:rPr>
          <w:rFonts w:ascii="Times New Roman" w:hAnsi="Times New Roman" w:cs="Times New Roman"/>
          <w:color w:val="auto"/>
          <w:sz w:val="28"/>
          <w:szCs w:val="28"/>
        </w:rPr>
      </w:pPr>
    </w:p>
    <w:p w14:paraId="2DDB7361" w14:textId="77777777" w:rsidR="00F75CB1" w:rsidRDefault="00F75CB1">
      <w:pPr>
        <w:spacing w:line="360" w:lineRule="auto"/>
        <w:ind w:firstLine="709"/>
        <w:jc w:val="both"/>
        <w:rPr>
          <w:rFonts w:ascii="Times New Roman" w:hAnsi="Times New Roman" w:cs="Times New Roman"/>
          <w:color w:val="auto"/>
          <w:sz w:val="28"/>
          <w:szCs w:val="28"/>
        </w:rPr>
      </w:pPr>
    </w:p>
    <w:p w14:paraId="32200269" w14:textId="77777777" w:rsidR="003C626E" w:rsidRDefault="003C626E">
      <w:pPr>
        <w:spacing w:line="360" w:lineRule="auto"/>
        <w:ind w:firstLine="709"/>
        <w:jc w:val="both"/>
        <w:rPr>
          <w:rFonts w:ascii="Times New Roman" w:hAnsi="Times New Roman" w:cs="Times New Roman"/>
          <w:color w:val="auto"/>
          <w:sz w:val="28"/>
          <w:szCs w:val="28"/>
        </w:rPr>
      </w:pPr>
    </w:p>
    <w:p w14:paraId="3220026A" w14:textId="77777777" w:rsidR="003C626E" w:rsidRDefault="001A5B20">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lastRenderedPageBreak/>
        <w:t>ВИСНОВОК</w:t>
      </w:r>
    </w:p>
    <w:p w14:paraId="3220026B" w14:textId="77777777" w:rsidR="003C626E" w:rsidRDefault="003C626E">
      <w:pPr>
        <w:tabs>
          <w:tab w:val="left" w:pos="993"/>
          <w:tab w:val="left" w:pos="1276"/>
        </w:tabs>
        <w:spacing w:line="360" w:lineRule="auto"/>
        <w:ind w:firstLine="709"/>
        <w:contextualSpacing/>
        <w:jc w:val="center"/>
        <w:rPr>
          <w:rFonts w:ascii="Times New Roman" w:eastAsia="Microsoft YaHei" w:hAnsi="Times New Roman" w:cs="Times New Roman"/>
          <w:b/>
          <w:sz w:val="28"/>
          <w:szCs w:val="28"/>
        </w:rPr>
      </w:pPr>
    </w:p>
    <w:p w14:paraId="3220026C" w14:textId="64F078D6" w:rsidR="003C626E" w:rsidRDefault="00F75CB1">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w:t>
      </w:r>
      <w:r w:rsidR="001A5B20">
        <w:rPr>
          <w:rFonts w:ascii="Times New Roman" w:eastAsia="Microsoft YaHei" w:hAnsi="Times New Roman" w:cs="Times New Roman"/>
          <w:sz w:val="28"/>
          <w:szCs w:val="28"/>
        </w:rPr>
        <w:t>валіфікаційна робота присвячена проблемам вдосконалення організації контролю якості надання медичних послуг або медичної допомоги, як це прийнято застосовувати у медичній практиці.</w:t>
      </w:r>
    </w:p>
    <w:p w14:paraId="3220026D"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Існують різні підходи до визначення якості медичної допомоги: адекватність, ефективність, морально-етичні норми, економічність. Визначення ЯМД також міститься і в загальних європейських стандартах ІСО 9000, що розповсюджуються на сферу виробництва та надання послуг, у тому числі медичних, і в ДСТУ ISO 9000:2007.</w:t>
      </w:r>
    </w:p>
    <w:p w14:paraId="3220026E"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Головним механізмом забезпечення якості виступає контроль. Як система він розглядається в контексті сукупності взаємопов’язаних між собою елементів: мети, завдань, суб’єктів і об’єктів, функцій контролю, методів його проведення, засобів його здійснення, джерел інформації, критеріїв системи якості та результатів здійсненого контролю. </w:t>
      </w:r>
    </w:p>
    <w:p w14:paraId="3220026F"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роботі розглянуто види контролю в закладах охорони здоров’я та механізм забезпечення якості надання медичної допомоги, до яких відносяться: ліцензування; акредитація; сертифікація; стандартизація; клінічний аудит; бенчмаркінг, наведена характеристика їх основних особливостей та визначена їх роль у забезпеченні контролю ЯМД.</w:t>
      </w:r>
    </w:p>
    <w:p w14:paraId="32200270"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Розглянуто методи загального управління якістю; параметри та компоненти якості в охороні здоров’я; цикл Демінга-Шухарта «Plan - Do - Check - Act» (PDCA). Наведено характеристика моделей управління якістю медичних послуг, основні напрями стратегії управління ЯМД та визначено системи індикаторів якості медичної допомоги. Оцінено три взаємопов’язані компоненти тріади Донабедіана, а також показники їх організаційної діяльності та стану здоров’я населення, що обслуговується.</w:t>
      </w:r>
    </w:p>
    <w:p w14:paraId="32200271"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Визначено рівні здійснення контролю якості медичної допомоги та експертизи конкретного клінічного випадку, визначено посадові обов’язки відповідальних осіб на кожному рівні здійснення контролю ЯМД.</w:t>
      </w:r>
    </w:p>
    <w:p w14:paraId="32200272"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Підкреслено роль внутрішнього аудиту в медичному закладі як складової внутрішнього контролю якості та безпеки медичної допомоги. Доведена необхідність його проведення, охарактеризовано його напрямки. Продемонстровано приклади складання Програми внутрішнього аудиту та  Плану внутрішнього аудиту у медичному закладі, Чек-листа під час проведення внутрішніх аудитів поліклінічного відділення.</w:t>
      </w:r>
    </w:p>
    <w:p w14:paraId="32200273" w14:textId="77777777" w:rsidR="003C626E" w:rsidRDefault="001A5B20">
      <w:pPr>
        <w:tabs>
          <w:tab w:val="left" w:pos="993"/>
          <w:tab w:val="left" w:pos="1276"/>
        </w:tabs>
        <w:spacing w:line="360" w:lineRule="auto"/>
        <w:ind w:firstLine="709"/>
        <w:contextualSpacing/>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Проаналізовано особливості проведення кожного етапу аудиту як об’єктивного інструменту виявлення існуючих проблем у медичному закладі. Під час проведення перевірок забезпечується якісний, системний та комплексний підхід, який дозволяє визначити невідповідності та дефекти у наданні медичної допомоги безпосередньо на робочому місці, оцінити всі етапи процесу з різних напрямків діяльності. Виділено 10 напрямків аудиту та наведена їх характеристика. Визначено, що послідовне виконання кожного етапу аудиту дозволяє охопити всі процеси в підрозділах закладі охорони здоров’я з позиції оцінки якості та безпеки медичної діяльності.</w:t>
      </w:r>
    </w:p>
    <w:p w14:paraId="32200274"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Наведено аналіз сучасного стану організації контролю якості медичних послуг у Комунальному некомерційному підприємстві «Міська клінічна лікарня № 11» Одеської міської ради.</w:t>
      </w:r>
    </w:p>
    <w:p w14:paraId="32200275"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КНП «МКЛ № 11» ОМР відоме високим рівнем якості медичних послуг і широким спектром напрямів діяльності: від екстреної допомоги та складних хірургічних операцій до сучасної діагностики й реабілітаційних програм.</w:t>
      </w:r>
    </w:p>
    <w:p w14:paraId="32200276"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До основних завдань лікарні відносяться: надання ургентної допомоги, багатопрофільна спеціалізована допомога, «Велике Будівництво». </w:t>
      </w:r>
    </w:p>
    <w:p w14:paraId="32200277"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За період війни відзначається тенденція до збільшення кількості звернень за ургентними випадками. Ургентація здійснюється цілодобово і щодня по 7 хірургічним спеціальностями, а також згідно з графіком департаменту по терапії та неврології. Щорічно у середньому в медичному закладі виконуються більше 8000 оперативних втручань, з яких 80% ургентно.</w:t>
      </w:r>
    </w:p>
    <w:p w14:paraId="32200278"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Багатопрофільну спеціалізовану допомогу надають підрозділи та відділення терапевтичного та хірургічного профілю. Наведена забезпеченість </w:t>
      </w:r>
      <w:r>
        <w:rPr>
          <w:rFonts w:ascii="Times New Roman" w:eastAsia="Microsoft YaHei" w:hAnsi="Times New Roman" w:cs="Times New Roman"/>
          <w:sz w:val="28"/>
          <w:szCs w:val="28"/>
        </w:rPr>
        <w:lastRenderedPageBreak/>
        <w:t>відділень ліжковим фондом, згідно якої до відділень, які розраховані на найбільшу кількість пацієнтів, відносяться: терапевтичне та відділення інтенсивної терапії, відділення екстреної медичної допомоги, гінекологічне та нейрохірургічне.</w:t>
      </w:r>
    </w:p>
    <w:p w14:paraId="32200279"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Наведена характеристика профільних відділень КНП «МКЛ № 11» ОМР. Проведений аналіз таздійснрена оцінка фінансового стану та ефективності управління КНП «Міська клінічна лікарня № 11» ОМР. Економічні та фінансові показники медичного закладу свідчать про ефективне управління та методи господарювання.  Визначені фактори впливу на стабільність та динаміку розвитку лікарні.</w:t>
      </w:r>
    </w:p>
    <w:p w14:paraId="3220027A"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Охарактеризовано показники фінансового стану КНП «МКЛ №11» OMP, на основі яких можна зробити висновок, що КНП «МКЛ №11» ОМР має ознаки ефективної діяльності за рахунок прибутковості, однак потребує посилення фінансової стабільності, а саме: покращення ліквідності та зменшення кредитної залежності; оптимізації структури активів на користь оборотних; нарощення власного капіталу та створення резервів ліквідності.</w:t>
      </w:r>
    </w:p>
    <w:p w14:paraId="3220027B"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Таким чином, фінансовий стан закладу оцінюється як задовільний, але з ризиком зниження стійкості у разі відсутності коригуючих управлінських дій.</w:t>
      </w:r>
    </w:p>
    <w:p w14:paraId="3220027C"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Фінансова структура лікарні має бюджетно-орієнтований характер, адже основна частина надходжень формується за рахунок капітальних трансфертів, спрямованих на підтримку, оновлення та розвиток матеріально-технічної бази закладу.</w:t>
      </w:r>
    </w:p>
    <w:p w14:paraId="3220027D"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Проведено оцінку існуючої системи контролю якості медичних послуг у КНП «Міська клінічна лікарня №11» ОМР. Визначено, що у лікарні функціонує комплексна система управління якістю, що поєднує адміністративні, клінічні, організаційні та інформаційно-аналітичні механізми. Усі елементи системи працюють у тісній взаємодії між собою, що дозволяє забезпечити цілісність процесу надання медичних послуг і контроль на кожному етапі лікування.</w:t>
      </w:r>
    </w:p>
    <w:p w14:paraId="3220027E"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Розглянуто механізми функціонування комплексної системи управління </w:t>
      </w:r>
      <w:r>
        <w:rPr>
          <w:rFonts w:ascii="Times New Roman" w:eastAsia="Microsoft YaHei" w:hAnsi="Times New Roman" w:cs="Times New Roman"/>
          <w:sz w:val="28"/>
          <w:szCs w:val="28"/>
        </w:rPr>
        <w:lastRenderedPageBreak/>
        <w:t>якістю медичних послуг та функції контролю якості медичної допомоги у КНП «Міська клінічна лікарня №11» ОМР. Визначено основні напрями контролю якості медичних послуг</w:t>
      </w:r>
      <w:r>
        <w:rPr>
          <w:rFonts w:ascii="Microsoft YaHei" w:eastAsia="Microsoft YaHei" w:hAnsi="Microsoft YaHei" w:cs="Microsoft YaHei"/>
        </w:rPr>
        <w:t xml:space="preserve"> </w:t>
      </w:r>
      <w:r>
        <w:rPr>
          <w:rFonts w:ascii="Times New Roman" w:eastAsia="Microsoft YaHei" w:hAnsi="Times New Roman" w:cs="Times New Roman"/>
          <w:sz w:val="28"/>
          <w:szCs w:val="28"/>
        </w:rPr>
        <w:t xml:space="preserve">та здійснено аналіз системи контролю його якості та оцінку складових. </w:t>
      </w:r>
    </w:p>
    <w:p w14:paraId="3220027F"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Хоча система контролю якості у КНП «Міська клінічна лікарня № 11» ОМР є структурованою та функціональною, забезпечує базовий рівень управління якістю відповідно до вимог МОЗ України, проте для підвищення її ефективності доцільно посилити цифровізацію управління якістю, впровадити електронний моніторинг клінічних показників, активізувати внутрішнє навчання персоналу, розширити аналітичну складову внутрішнього аудиту, покращити зворотний зв’язок з пацієнтами. Такі заходи сприятимуть підвищенню якості надання медичних послуг, ефективності управління ресурсами та зростанню довіри з боку пацієнтів і громади.</w:t>
      </w:r>
    </w:p>
    <w:p w14:paraId="32200280"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Особливого значення для КНП «Міська клінічна лікарня № 11» ОМР набуває удосконалення процесів моніторингу та внутрішнього аудиту як складових менеджменту якості, що забезпечують відповідність медичних послуг державним стандартам, очікуванням пацієнтів і вимогам Національної служби здоров’я України.</w:t>
      </w:r>
    </w:p>
    <w:p w14:paraId="32200281"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Аналіз поточного стану системи контролю якості медичних послуг, дозволяє впевнитись, що система внутрішнього контролю якості функціонує відповідно до вимог наказів МОЗ України та стандартів управління якістю ISO 9001:2015.</w:t>
      </w:r>
    </w:p>
    <w:p w14:paraId="32200282"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роботі наведено основні індикатори якості медичних послуг за останні роки, які свідчить про підвищення рейтингу лікарні, покращення її іміджу та зростання довіри пацієнтів.</w:t>
      </w:r>
      <w:r>
        <w:rPr>
          <w:rFonts w:ascii="Microsoft YaHei" w:eastAsia="Microsoft YaHei" w:hAnsi="Microsoft YaHei" w:cs="Microsoft YaHei"/>
        </w:rPr>
        <w:t xml:space="preserve"> </w:t>
      </w:r>
      <w:r>
        <w:rPr>
          <w:rFonts w:ascii="Times New Roman" w:eastAsia="Microsoft YaHei" w:hAnsi="Times New Roman" w:cs="Times New Roman"/>
          <w:sz w:val="28"/>
          <w:szCs w:val="28"/>
        </w:rPr>
        <w:t>Спадна динаміка частоти ускладнень і скарг, випадків повторної госпіталізації, летальних випадків та випадків внутрішньолікарняних інфекцій, середньої тривалості лікування, а також підвищення рівня задоволеності пацієнтів, вказує на покращення якості медичних послуг та ефективність внутрішнього контролю якості.</w:t>
      </w:r>
    </w:p>
    <w:p w14:paraId="32200283"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Проведений SWOT-аналіз системи моніторингу та аудиту КНП «МКЛ </w:t>
      </w:r>
      <w:r>
        <w:rPr>
          <w:rFonts w:ascii="Times New Roman" w:eastAsia="Microsoft YaHei" w:hAnsi="Times New Roman" w:cs="Times New Roman"/>
          <w:sz w:val="28"/>
          <w:szCs w:val="28"/>
        </w:rPr>
        <w:lastRenderedPageBreak/>
        <w:t>№ 11» ОМР дозволяє виявити сильні та слабкі сторони, проаналізувати можливості та загрози для медичного закладу.</w:t>
      </w:r>
      <w:r>
        <w:rPr>
          <w:rFonts w:ascii="Microsoft YaHei" w:eastAsia="Microsoft YaHei" w:hAnsi="Microsoft YaHei" w:cs="Microsoft YaHei"/>
        </w:rPr>
        <w:t xml:space="preserve"> </w:t>
      </w:r>
      <w:r>
        <w:rPr>
          <w:rFonts w:ascii="Times New Roman" w:eastAsia="Microsoft YaHei" w:hAnsi="Times New Roman" w:cs="Times New Roman"/>
          <w:sz w:val="28"/>
          <w:szCs w:val="28"/>
        </w:rPr>
        <w:t>Пропоновано основні напрями оптимізації процесів моніторингу та аудиту ЯМД: цифровізація контролю якості, підвищення мотивації персоналу, оптимізація комунікацій, використання методів доказової аналітики.</w:t>
      </w:r>
    </w:p>
    <w:p w14:paraId="32200284"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Система моніторингу та внутрішнього аудиту у КНП «Міська клінічна лікарня № 11» ОМР у 2022–2024 роках продемонструвала стабільну ефективність. Конкретними заходами для вдосконалення системи контролю за ЯМД на сучасному етапі діяльності КНП «МКЛ № 11» ОМР пропонується: розробка та впровадження єдиної електронної системи моніторингу якості, проведення щоквартальних внутрішніх аудитів з участю мультидисциплінарних команд, посилення аналітичної складової аудиту через використання BI-інструментів, залучення персоналу до системи мотивації за показниками якості, налагодження співпраці з ОНМедУ для розвитку методологічної бази внутрішнього контролю. Поступове впровадження цих заходів у практику контролю ЯМД в лікарні спрямоване на підвищення ефективності функціонування лікарні, воно сприятиме зростанню довіри пацієнтів та покращенню іміджу КНП на медичному ринку.</w:t>
      </w:r>
    </w:p>
    <w:p w14:paraId="32200287" w14:textId="77777777" w:rsidR="003C626E" w:rsidRDefault="001A5B20">
      <w:pPr>
        <w:spacing w:line="360" w:lineRule="auto"/>
        <w:ind w:firstLine="709"/>
        <w:jc w:val="both"/>
        <w:rPr>
          <w:rFonts w:ascii="Times New Roman" w:eastAsia="Microsoft YaHei" w:hAnsi="Times New Roman" w:cs="Times New Roman"/>
          <w:sz w:val="28"/>
          <w:szCs w:val="28"/>
        </w:rPr>
      </w:pPr>
      <w:r>
        <w:rPr>
          <w:rFonts w:ascii="Times New Roman" w:eastAsia="Microsoft YaHei" w:hAnsi="Times New Roman" w:cs="Times New Roman"/>
          <w:sz w:val="28"/>
          <w:szCs w:val="28"/>
        </w:rPr>
        <w:t>В роботі розраховано очікувані інтегральні результати та ефекти від реалізації запропонованих заходів у КНП «МКЛ №11» Одеської міської ради, які дозволять підвищити довіру пацієнтів, оптимізувати використання ресурсів, зменшити кількість відхилень від стандартів лікування та забезпечити сталий розвиток КНП «МКЛ №11» ОМР у системі міської охорони здоров’я.</w:t>
      </w:r>
    </w:p>
    <w:p w14:paraId="32200288" w14:textId="77777777" w:rsidR="003C626E" w:rsidRDefault="003C626E">
      <w:pPr>
        <w:spacing w:line="360" w:lineRule="auto"/>
        <w:ind w:firstLine="709"/>
        <w:jc w:val="both"/>
        <w:rPr>
          <w:rFonts w:ascii="Times New Roman" w:hAnsi="Times New Roman" w:cs="Times New Roman"/>
          <w:color w:val="auto"/>
          <w:sz w:val="28"/>
          <w:szCs w:val="28"/>
        </w:rPr>
      </w:pPr>
    </w:p>
    <w:p w14:paraId="32200289" w14:textId="77777777" w:rsidR="003C626E" w:rsidRDefault="003C626E">
      <w:pPr>
        <w:spacing w:line="360" w:lineRule="auto"/>
        <w:ind w:firstLine="709"/>
        <w:jc w:val="both"/>
        <w:rPr>
          <w:rFonts w:ascii="Times New Roman" w:hAnsi="Times New Roman" w:cs="Times New Roman"/>
          <w:color w:val="auto"/>
          <w:sz w:val="28"/>
          <w:szCs w:val="28"/>
        </w:rPr>
      </w:pPr>
    </w:p>
    <w:p w14:paraId="3220028A" w14:textId="77777777" w:rsidR="003C626E" w:rsidRDefault="003C626E">
      <w:pPr>
        <w:spacing w:line="360" w:lineRule="auto"/>
        <w:ind w:firstLine="709"/>
        <w:jc w:val="both"/>
        <w:rPr>
          <w:rFonts w:ascii="Times New Roman" w:hAnsi="Times New Roman" w:cs="Times New Roman"/>
          <w:color w:val="auto"/>
          <w:sz w:val="28"/>
          <w:szCs w:val="28"/>
        </w:rPr>
      </w:pPr>
    </w:p>
    <w:p w14:paraId="3220028B" w14:textId="77777777" w:rsidR="003C626E" w:rsidRDefault="003C626E">
      <w:pPr>
        <w:spacing w:line="360" w:lineRule="auto"/>
        <w:ind w:firstLine="709"/>
        <w:jc w:val="both"/>
        <w:rPr>
          <w:rFonts w:ascii="Times New Roman" w:hAnsi="Times New Roman" w:cs="Times New Roman"/>
          <w:color w:val="auto"/>
          <w:sz w:val="28"/>
          <w:szCs w:val="28"/>
        </w:rPr>
      </w:pPr>
    </w:p>
    <w:p w14:paraId="3220028C" w14:textId="77777777" w:rsidR="003C626E" w:rsidRDefault="003C626E">
      <w:pPr>
        <w:spacing w:line="360" w:lineRule="auto"/>
        <w:ind w:firstLine="709"/>
        <w:jc w:val="both"/>
        <w:rPr>
          <w:rFonts w:ascii="Times New Roman" w:hAnsi="Times New Roman" w:cs="Times New Roman"/>
          <w:color w:val="auto"/>
          <w:sz w:val="28"/>
          <w:szCs w:val="28"/>
        </w:rPr>
      </w:pPr>
    </w:p>
    <w:p w14:paraId="3220028D" w14:textId="77777777" w:rsidR="003C626E" w:rsidRDefault="003C626E">
      <w:pPr>
        <w:spacing w:line="360" w:lineRule="auto"/>
        <w:ind w:firstLine="709"/>
        <w:jc w:val="both"/>
        <w:rPr>
          <w:rFonts w:ascii="Times New Roman" w:hAnsi="Times New Roman" w:cs="Times New Roman"/>
          <w:color w:val="auto"/>
          <w:sz w:val="28"/>
          <w:szCs w:val="28"/>
        </w:rPr>
      </w:pPr>
    </w:p>
    <w:p w14:paraId="322002A2" w14:textId="77777777" w:rsidR="003C626E" w:rsidRDefault="001A5B20">
      <w:pPr>
        <w:spacing w:line="360" w:lineRule="auto"/>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lastRenderedPageBreak/>
        <w:t>СПИСОК ЛІТЕРАТУРИ</w:t>
      </w:r>
    </w:p>
    <w:p w14:paraId="322002A3" w14:textId="77777777" w:rsidR="003C626E" w:rsidRDefault="001A5B20">
      <w:pPr>
        <w:spacing w:line="360" w:lineRule="auto"/>
        <w:jc w:val="center"/>
        <w:rPr>
          <w:rFonts w:ascii="Times New Roman" w:eastAsia="Microsoft YaHei" w:hAnsi="Times New Roman" w:cs="Times New Roman"/>
          <w:b/>
          <w:sz w:val="28"/>
          <w:szCs w:val="28"/>
        </w:rPr>
      </w:pPr>
      <w:r>
        <w:rPr>
          <w:rFonts w:ascii="Times New Roman" w:eastAsia="Microsoft YaHei" w:hAnsi="Times New Roman" w:cs="Times New Roman"/>
          <w:b/>
          <w:sz w:val="28"/>
          <w:szCs w:val="28"/>
        </w:rPr>
        <w:t xml:space="preserve"> </w:t>
      </w:r>
    </w:p>
    <w:p w14:paraId="322002A4"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Pr>
          <w:rFonts w:ascii="Times New Roman" w:eastAsia="Microsoft YaHei" w:hAnsi="Times New Roman" w:cs="Times New Roman"/>
          <w:sz w:val="28"/>
          <w:szCs w:val="28"/>
        </w:rPr>
        <w:t xml:space="preserve">Загальна </w:t>
      </w:r>
      <w:r w:rsidRPr="002C3AE7">
        <w:rPr>
          <w:rFonts w:ascii="Times New Roman" w:eastAsia="Microsoft YaHei" w:hAnsi="Times New Roman" w:cs="Times New Roman"/>
          <w:color w:val="auto"/>
          <w:sz w:val="28"/>
          <w:szCs w:val="28"/>
        </w:rPr>
        <w:t xml:space="preserve">декларація прав людини. Прийнята і проголошена резолюцією 217 A (III) Генеральної Асамблеї ООН від 10 грудня 1948 року. Документ 995_015. URL: </w:t>
      </w:r>
      <w:hyperlink r:id="rId42" w:anchor="Text" w:tooltip="https://zakon.rada.gov.ua/laws/show/995_015#Text" w:history="1">
        <w:r w:rsidRPr="002C3AE7">
          <w:rPr>
            <w:rFonts w:ascii="Times New Roman" w:eastAsia="Microsoft YaHei" w:hAnsi="Times New Roman" w:cs="Times New Roman"/>
            <w:color w:val="auto"/>
            <w:sz w:val="28"/>
            <w:szCs w:val="28"/>
          </w:rPr>
          <w:t>https://zakon.rada.gov.ua/laws/show/995_015#Text</w:t>
        </w:r>
      </w:hyperlink>
      <w:r w:rsidRPr="002C3AE7">
        <w:rPr>
          <w:rFonts w:ascii="Times New Roman" w:eastAsia="Microsoft YaHei" w:hAnsi="Times New Roman" w:cs="Times New Roman"/>
          <w:color w:val="auto"/>
          <w:sz w:val="28"/>
          <w:szCs w:val="28"/>
        </w:rPr>
        <w:t xml:space="preserve"> </w:t>
      </w:r>
    </w:p>
    <w:p w14:paraId="322002A5"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Європейська соціальна хартія</w:t>
      </w:r>
      <w:r w:rsidRPr="002C3AE7">
        <w:rPr>
          <w:rFonts w:ascii="Microsoft YaHei" w:eastAsia="Microsoft YaHei" w:hAnsi="Microsoft YaHei" w:cs="Microsoft YaHei"/>
          <w:color w:val="auto"/>
        </w:rPr>
        <w:t xml:space="preserve"> </w:t>
      </w:r>
      <w:r w:rsidRPr="002C3AE7">
        <w:rPr>
          <w:rFonts w:ascii="Times New Roman" w:eastAsia="Microsoft YaHei" w:hAnsi="Times New Roman" w:cs="Times New Roman"/>
          <w:color w:val="auto"/>
          <w:sz w:val="28"/>
          <w:szCs w:val="28"/>
        </w:rPr>
        <w:t>(переглянута).   Страсбург, 3 травня 1996 року.</w:t>
      </w:r>
      <w:r w:rsidRPr="002C3AE7">
        <w:rPr>
          <w:rFonts w:ascii="Microsoft YaHei" w:eastAsia="Microsoft YaHei" w:hAnsi="Microsoft YaHei" w:cs="Microsoft YaHei"/>
          <w:color w:val="auto"/>
        </w:rPr>
        <w:t xml:space="preserve"> </w:t>
      </w:r>
      <w:r w:rsidRPr="002C3AE7">
        <w:rPr>
          <w:rFonts w:ascii="Times New Roman" w:eastAsia="Microsoft YaHei" w:hAnsi="Times New Roman" w:cs="Times New Roman"/>
          <w:color w:val="auto"/>
          <w:sz w:val="28"/>
          <w:szCs w:val="28"/>
        </w:rPr>
        <w:t>Документ 994_062.</w:t>
      </w:r>
      <w:r w:rsidRPr="002C3AE7">
        <w:rPr>
          <w:rFonts w:ascii="Microsoft YaHei" w:eastAsia="Microsoft YaHei" w:hAnsi="Microsoft YaHei" w:cs="Microsoft YaHei"/>
          <w:color w:val="auto"/>
        </w:rPr>
        <w:t xml:space="preserve"> </w:t>
      </w:r>
      <w:r w:rsidRPr="002C3AE7">
        <w:rPr>
          <w:rFonts w:ascii="Times New Roman" w:eastAsia="Microsoft YaHei" w:hAnsi="Times New Roman" w:cs="Times New Roman"/>
          <w:color w:val="auto"/>
          <w:sz w:val="28"/>
          <w:szCs w:val="28"/>
        </w:rPr>
        <w:t>URL:</w:t>
      </w:r>
      <w:r w:rsidRPr="002C3AE7">
        <w:rPr>
          <w:rFonts w:ascii="Microsoft YaHei" w:eastAsia="Microsoft YaHei" w:hAnsi="Microsoft YaHei" w:cs="Microsoft YaHei"/>
          <w:color w:val="auto"/>
        </w:rPr>
        <w:t xml:space="preserve"> </w:t>
      </w:r>
      <w:hyperlink r:id="rId43" w:anchor="Text" w:tooltip="https://zakon.rada.gov.ua/laws/show/994_062#Text" w:history="1">
        <w:r w:rsidRPr="002C3AE7">
          <w:rPr>
            <w:rFonts w:ascii="Times New Roman" w:eastAsia="Microsoft YaHei" w:hAnsi="Times New Roman" w:cs="Times New Roman"/>
            <w:color w:val="auto"/>
            <w:sz w:val="28"/>
            <w:szCs w:val="28"/>
          </w:rPr>
          <w:t>https://zakon.rada.gov.ua/laws/show/994_062#Text</w:t>
        </w:r>
      </w:hyperlink>
      <w:r w:rsidRPr="002C3AE7">
        <w:rPr>
          <w:rFonts w:ascii="Times New Roman" w:eastAsia="Microsoft YaHei" w:hAnsi="Times New Roman" w:cs="Times New Roman"/>
          <w:color w:val="auto"/>
          <w:sz w:val="28"/>
          <w:szCs w:val="28"/>
        </w:rPr>
        <w:t xml:space="preserve"> </w:t>
      </w:r>
    </w:p>
    <w:p w14:paraId="322002A6"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Міжнародний кодекс медичної етики. Прийнятий 3-ю Генеральною Асамблеєю Всесвітньої Медичної Асоціації, Женева, Швейцарія, в жовтні 1949 року, доповнений 22-ю Всесвітньої Медичної Асамблеєю, Сідней, Австралія, в серпні 1968 року і тридцять п’ятою Всесвітньої Медичної Асамблеєю, Венеція, Італія, в 1983 році. Документ 990_002 від 01.10.1983. URL:</w:t>
      </w:r>
      <w:r w:rsidRPr="002C3AE7">
        <w:rPr>
          <w:rFonts w:ascii="Microsoft YaHei" w:eastAsia="Microsoft YaHei" w:hAnsi="Microsoft YaHei" w:cs="Microsoft YaHei"/>
          <w:color w:val="auto"/>
        </w:rPr>
        <w:t xml:space="preserve"> </w:t>
      </w:r>
      <w:hyperlink r:id="rId44" w:tooltip="https://med.sumdu.edu.ua/images/content/doctors/Deontology/InternKodex%20Ethics.pdf" w:history="1">
        <w:r w:rsidRPr="002C3AE7">
          <w:rPr>
            <w:rFonts w:ascii="Times New Roman" w:eastAsia="Microsoft YaHei" w:hAnsi="Times New Roman" w:cs="Times New Roman"/>
            <w:color w:val="auto"/>
            <w:sz w:val="28"/>
            <w:szCs w:val="28"/>
          </w:rPr>
          <w:t>https://med.sumdu.edu.ua/images/content/doctors/Deontology/InternKodex Ethics.pdf</w:t>
        </w:r>
      </w:hyperlink>
      <w:r w:rsidRPr="002C3AE7">
        <w:rPr>
          <w:rFonts w:ascii="Times New Roman" w:eastAsia="Microsoft YaHei" w:hAnsi="Times New Roman" w:cs="Times New Roman"/>
          <w:color w:val="auto"/>
          <w:sz w:val="28"/>
          <w:szCs w:val="28"/>
        </w:rPr>
        <w:t xml:space="preserve"> </w:t>
      </w:r>
    </w:p>
    <w:p w14:paraId="322002A7"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Лісабонська декларація про права пацієнта. Прийнята 34-ю Всесвітньою Медичною Асамблеєю. Лісабон, Португалія, вересень-жовтень 1981 (З урахуванням змін і доповнень, внесених 47-ї Генеральної Асамблеєю. Балі, Індонезія, вересень 1995 р.). Декларація № 990_016. URL: </w:t>
      </w:r>
      <w:hyperlink r:id="rId45" w:tooltip="https://zakononline.ua/documents/show/159441___159441" w:history="1">
        <w:r w:rsidRPr="002C3AE7">
          <w:rPr>
            <w:rFonts w:ascii="Times New Roman" w:eastAsia="Microsoft YaHei" w:hAnsi="Times New Roman" w:cs="Times New Roman"/>
            <w:color w:val="auto"/>
            <w:sz w:val="28"/>
            <w:szCs w:val="28"/>
          </w:rPr>
          <w:t>https://zakononline.ua/documents/show/159441___159441</w:t>
        </w:r>
      </w:hyperlink>
      <w:r w:rsidRPr="002C3AE7">
        <w:rPr>
          <w:rFonts w:ascii="Times New Roman" w:eastAsia="Microsoft YaHei" w:hAnsi="Times New Roman" w:cs="Times New Roman"/>
          <w:color w:val="auto"/>
          <w:sz w:val="28"/>
          <w:szCs w:val="28"/>
        </w:rPr>
        <w:t xml:space="preserve"> </w:t>
      </w:r>
    </w:p>
    <w:p w14:paraId="322002A8"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Програмний документ ВООЗ «Основи політики досягнення здоров’я для всіх у XXI столітті в Європейському регіоні. ЗДОРОВ’Я - XXI».</w:t>
      </w:r>
      <w:r w:rsidRPr="002C3AE7">
        <w:rPr>
          <w:rFonts w:ascii="Microsoft YaHei" w:eastAsia="Microsoft YaHei" w:hAnsi="Microsoft YaHei" w:cs="Microsoft YaHei"/>
          <w:color w:val="auto"/>
        </w:rPr>
        <w:t xml:space="preserve"> </w:t>
      </w:r>
      <w:r w:rsidRPr="002C3AE7">
        <w:rPr>
          <w:rFonts w:ascii="Times New Roman" w:eastAsia="Microsoft YaHei" w:hAnsi="Times New Roman" w:cs="Times New Roman"/>
          <w:color w:val="auto"/>
          <w:sz w:val="28"/>
          <w:szCs w:val="28"/>
        </w:rPr>
        <w:t xml:space="preserve">1998 р. URL: </w:t>
      </w:r>
      <w:hyperlink r:id="rId46" w:tooltip="https://stomat-mayak.kiev.ua/ua/mirovym-soobshhestvom-v-1998-g-prinjata-programma-dostizhenija" w:history="1">
        <w:r w:rsidRPr="002C3AE7">
          <w:rPr>
            <w:rFonts w:ascii="Times New Roman" w:eastAsia="Microsoft YaHei" w:hAnsi="Times New Roman" w:cs="Times New Roman"/>
            <w:color w:val="auto"/>
            <w:sz w:val="28"/>
            <w:szCs w:val="28"/>
          </w:rPr>
          <w:t>https://stomat-mayak.kiev.ua/ua/mirovym-soobshhestvom-v-1998-g-prinjata-programma-dostizhenija</w:t>
        </w:r>
      </w:hyperlink>
      <w:r w:rsidRPr="002C3AE7">
        <w:rPr>
          <w:rFonts w:ascii="Times New Roman" w:eastAsia="Microsoft YaHei" w:hAnsi="Times New Roman" w:cs="Times New Roman"/>
          <w:color w:val="auto"/>
          <w:sz w:val="28"/>
          <w:szCs w:val="28"/>
        </w:rPr>
        <w:t xml:space="preserve"> </w:t>
      </w:r>
    </w:p>
    <w:p w14:paraId="322002A9"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Конституція України від 28.06.1996 № 254к/96-ВР.</w:t>
      </w:r>
      <w:r w:rsidRPr="002C3AE7">
        <w:rPr>
          <w:rFonts w:ascii="Microsoft YaHei" w:eastAsia="Microsoft YaHei" w:hAnsi="Microsoft YaHei" w:cs="Microsoft YaHei"/>
          <w:color w:val="auto"/>
        </w:rPr>
        <w:t xml:space="preserve"> </w:t>
      </w:r>
      <w:r w:rsidRPr="002C3AE7">
        <w:rPr>
          <w:rFonts w:ascii="Times New Roman" w:eastAsia="Microsoft YaHei" w:hAnsi="Times New Roman" w:cs="Times New Roman"/>
          <w:color w:val="auto"/>
          <w:sz w:val="28"/>
          <w:szCs w:val="28"/>
        </w:rPr>
        <w:t xml:space="preserve">URL: </w:t>
      </w:r>
      <w:hyperlink r:id="rId47" w:anchor="Text" w:tooltip="https://zakon.rada.gov.ua/laws/show/254%D0%BA/96-%D0%B2%D1%80#Text" w:history="1">
        <w:r w:rsidRPr="002C3AE7">
          <w:rPr>
            <w:rFonts w:ascii="Times New Roman" w:eastAsia="Microsoft YaHei" w:hAnsi="Times New Roman" w:cs="Times New Roman"/>
            <w:color w:val="auto"/>
            <w:sz w:val="28"/>
            <w:szCs w:val="28"/>
          </w:rPr>
          <w:t>https://zakon.rada.gov.ua/laws/show/254%D0%BA/96-%D0%B2%D1%80#Text</w:t>
        </w:r>
      </w:hyperlink>
      <w:r w:rsidRPr="002C3AE7">
        <w:rPr>
          <w:rFonts w:ascii="Times New Roman" w:eastAsia="Microsoft YaHei" w:hAnsi="Times New Roman" w:cs="Times New Roman"/>
          <w:color w:val="auto"/>
          <w:sz w:val="28"/>
          <w:szCs w:val="28"/>
        </w:rPr>
        <w:t xml:space="preserve"> </w:t>
      </w:r>
    </w:p>
    <w:p w14:paraId="322002AA"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Закон України «Основи законодавства України про охорону здоров’я» від 19.11.1992 № 2801-XII. URL:</w:t>
      </w:r>
      <w:r w:rsidRPr="002C3AE7">
        <w:rPr>
          <w:rFonts w:ascii="Microsoft YaHei" w:eastAsia="Microsoft YaHei" w:hAnsi="Microsoft YaHei" w:cs="Microsoft YaHei"/>
          <w:color w:val="auto"/>
        </w:rPr>
        <w:t xml:space="preserve"> </w:t>
      </w:r>
      <w:hyperlink r:id="rId48" w:anchor="Text" w:tooltip="https://zakon.rada.gov.ua/laws/show/2801-12#Text" w:history="1">
        <w:r w:rsidRPr="002C3AE7">
          <w:rPr>
            <w:rFonts w:ascii="Times New Roman" w:eastAsia="Microsoft YaHei" w:hAnsi="Times New Roman" w:cs="Times New Roman"/>
            <w:color w:val="auto"/>
            <w:sz w:val="28"/>
            <w:szCs w:val="28"/>
          </w:rPr>
          <w:t>https://zakon.rada.gov.ua/laws/show/2801-12#Text</w:t>
        </w:r>
      </w:hyperlink>
      <w:r w:rsidRPr="002C3AE7">
        <w:rPr>
          <w:rFonts w:ascii="Times New Roman" w:eastAsia="Microsoft YaHei" w:hAnsi="Times New Roman" w:cs="Times New Roman"/>
          <w:color w:val="auto"/>
          <w:sz w:val="28"/>
          <w:szCs w:val="28"/>
        </w:rPr>
        <w:t xml:space="preserve"> </w:t>
      </w:r>
    </w:p>
    <w:p w14:paraId="322002AB"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Закон України «Про захист населення від інфекційних хвороб» від </w:t>
      </w:r>
      <w:r w:rsidRPr="002C3AE7">
        <w:rPr>
          <w:rFonts w:ascii="Times New Roman" w:eastAsia="Microsoft YaHei" w:hAnsi="Times New Roman" w:cs="Times New Roman"/>
          <w:color w:val="auto"/>
          <w:sz w:val="28"/>
          <w:szCs w:val="28"/>
        </w:rPr>
        <w:lastRenderedPageBreak/>
        <w:t>06.04.2000 № 1645-III. URL:</w:t>
      </w:r>
      <w:r w:rsidRPr="002C3AE7">
        <w:rPr>
          <w:rFonts w:ascii="Microsoft YaHei" w:eastAsia="Microsoft YaHei" w:hAnsi="Microsoft YaHei" w:cs="Microsoft YaHei"/>
          <w:color w:val="auto"/>
        </w:rPr>
        <w:t xml:space="preserve"> </w:t>
      </w:r>
      <w:hyperlink r:id="rId49" w:anchor="Text" w:tooltip="https://zakon.rada.gov.ua/laws/show/1645-14#Text" w:history="1">
        <w:r w:rsidRPr="002C3AE7">
          <w:rPr>
            <w:rFonts w:ascii="Times New Roman" w:eastAsia="Microsoft YaHei" w:hAnsi="Times New Roman" w:cs="Times New Roman"/>
            <w:color w:val="auto"/>
            <w:sz w:val="28"/>
            <w:szCs w:val="28"/>
          </w:rPr>
          <w:t>https://zakon.rada.gov.ua/laws/show/1645-14#Text</w:t>
        </w:r>
      </w:hyperlink>
      <w:r w:rsidRPr="002C3AE7">
        <w:rPr>
          <w:rFonts w:ascii="Times New Roman" w:eastAsia="Microsoft YaHei" w:hAnsi="Times New Roman" w:cs="Times New Roman"/>
          <w:color w:val="auto"/>
          <w:sz w:val="28"/>
          <w:szCs w:val="28"/>
        </w:rPr>
        <w:t xml:space="preserve"> </w:t>
      </w:r>
    </w:p>
    <w:p w14:paraId="322002AC"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Постанова Кабінету Міністрів України «Про затвердження Ліцензійних умов провадження господарської діяльності з медичної практики» від 02.03.2016 № 285. URL: </w:t>
      </w:r>
      <w:hyperlink r:id="rId50" w:anchor="Text" w:tooltip="https://zakon.rada.gov.ua/laws/show/285-2016-%D0%BF#Text" w:history="1">
        <w:r w:rsidRPr="002C3AE7">
          <w:rPr>
            <w:rFonts w:ascii="Times New Roman" w:eastAsia="Microsoft YaHei" w:hAnsi="Times New Roman" w:cs="Times New Roman"/>
            <w:color w:val="auto"/>
            <w:sz w:val="28"/>
            <w:szCs w:val="28"/>
          </w:rPr>
          <w:t>https://zakon.rada.gov.ua/laws/show/285-2016-%D0%BF#Text</w:t>
        </w:r>
      </w:hyperlink>
      <w:r w:rsidRPr="002C3AE7">
        <w:rPr>
          <w:rFonts w:ascii="Times New Roman" w:eastAsia="Microsoft YaHei" w:hAnsi="Times New Roman" w:cs="Times New Roman"/>
          <w:color w:val="auto"/>
          <w:sz w:val="28"/>
          <w:szCs w:val="28"/>
        </w:rPr>
        <w:t xml:space="preserve"> </w:t>
      </w:r>
    </w:p>
    <w:p w14:paraId="322002AD"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Постанова Кабінету Міністрів України «Порядок державної акредитації закладу охорони здоров’я» від 15.07.1997 № 765. URL: </w:t>
      </w:r>
      <w:hyperlink r:id="rId51" w:anchor="Text" w:tooltip="https://zakon.rada.gov.ua/laws/show/765-97-%D0%BF#Text" w:history="1">
        <w:r w:rsidRPr="002C3AE7">
          <w:rPr>
            <w:rFonts w:ascii="Times New Roman" w:eastAsia="Microsoft YaHei" w:hAnsi="Times New Roman" w:cs="Times New Roman"/>
            <w:color w:val="auto"/>
            <w:sz w:val="28"/>
            <w:szCs w:val="28"/>
          </w:rPr>
          <w:t>https://zakon.rada.gov.ua/laws/show/765-97-%D0%BF#Text</w:t>
        </w:r>
      </w:hyperlink>
      <w:r w:rsidRPr="002C3AE7">
        <w:rPr>
          <w:rFonts w:ascii="Times New Roman" w:eastAsia="Microsoft YaHei" w:hAnsi="Times New Roman" w:cs="Times New Roman"/>
          <w:color w:val="auto"/>
          <w:sz w:val="28"/>
          <w:szCs w:val="28"/>
        </w:rPr>
        <w:t xml:space="preserve"> </w:t>
      </w:r>
    </w:p>
    <w:p w14:paraId="322002AE"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Наказ Міністерства охорони здоров’я України «Про порядок контролю якості медичної допомоги» від 28.09.2012 №752. URL: </w:t>
      </w:r>
      <w:hyperlink r:id="rId52" w:anchor="Text" w:tooltip="https://zakon.rada.gov.ua/laws/show/z1996-12#Text" w:history="1">
        <w:r w:rsidRPr="002C3AE7">
          <w:rPr>
            <w:rStyle w:val="aff6"/>
            <w:rFonts w:ascii="Times New Roman" w:eastAsia="Microsoft YaHei" w:hAnsi="Times New Roman" w:cs="Times New Roman"/>
            <w:color w:val="auto"/>
            <w:sz w:val="28"/>
            <w:szCs w:val="28"/>
            <w:u w:val="none"/>
          </w:rPr>
          <w:t>https://zakon.rada.gov.ua/laws/show/z1996-12#Text</w:t>
        </w:r>
      </w:hyperlink>
      <w:r w:rsidRPr="002C3AE7">
        <w:rPr>
          <w:rFonts w:ascii="Times New Roman" w:eastAsia="Microsoft YaHei" w:hAnsi="Times New Roman" w:cs="Times New Roman"/>
          <w:color w:val="auto"/>
          <w:sz w:val="28"/>
          <w:szCs w:val="28"/>
        </w:rPr>
        <w:t xml:space="preserve">  </w:t>
      </w:r>
    </w:p>
    <w:p w14:paraId="322002AF"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 ДСТУ ISO 9000:2015 (ISO 9000:2015, IDT) Системи управління якістю. URL: </w:t>
      </w:r>
      <w:hyperlink r:id="rId53" w:tooltip="https://m.tntu.edu.ua/storage/pages/00000651/dstu9000-2015_osnovni_pol.slovnyk.pdf" w:history="1">
        <w:r w:rsidRPr="002C3AE7">
          <w:rPr>
            <w:rStyle w:val="aff6"/>
            <w:rFonts w:ascii="Times New Roman" w:eastAsia="Microsoft YaHei" w:hAnsi="Times New Roman" w:cs="Times New Roman"/>
            <w:color w:val="auto"/>
            <w:sz w:val="28"/>
            <w:szCs w:val="28"/>
            <w:u w:val="none"/>
          </w:rPr>
          <w:t>https://m.tntu.edu.ua/storage/pages/00000651/dstu9000-2015_osnovni_pol.slovnyk.pdf</w:t>
        </w:r>
      </w:hyperlink>
      <w:r w:rsidRPr="002C3AE7">
        <w:rPr>
          <w:rFonts w:ascii="Times New Roman" w:eastAsia="Microsoft YaHei" w:hAnsi="Times New Roman" w:cs="Times New Roman"/>
          <w:color w:val="auto"/>
          <w:sz w:val="28"/>
          <w:szCs w:val="28"/>
        </w:rPr>
        <w:t xml:space="preserve"> </w:t>
      </w:r>
    </w:p>
    <w:p w14:paraId="322002B0"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 Підгаєць П., Бригілевич І. Система управління якістю як інструмент вдосконалення діяльності органу місцевого самоврядування. Методичний посібник. Швейцарсько-український проект «Підтримка децентралізації в Україні. DESPRO».  К. : ТОВ «Софія-A».  2012.  134 с.</w:t>
      </w:r>
    </w:p>
    <w:p w14:paraId="322002B1"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 ДСТУ ISO 9000:2007. URL:</w:t>
      </w:r>
      <w:r w:rsidRPr="002C3AE7">
        <w:rPr>
          <w:rFonts w:ascii="Microsoft YaHei" w:eastAsia="Microsoft YaHei" w:hAnsi="Microsoft YaHei" w:cs="Microsoft YaHei"/>
          <w:color w:val="auto"/>
        </w:rPr>
        <w:t xml:space="preserve"> </w:t>
      </w:r>
      <w:hyperlink r:id="rId54" w:tooltip="https://www.ksv.biz.ua/GOST/DSTY/dstu_ISO_9000-2007.pdf" w:history="1">
        <w:r w:rsidRPr="002C3AE7">
          <w:rPr>
            <w:rFonts w:ascii="Times New Roman" w:eastAsia="Microsoft YaHei" w:hAnsi="Times New Roman" w:cs="Times New Roman"/>
            <w:color w:val="auto"/>
            <w:sz w:val="28"/>
            <w:szCs w:val="28"/>
          </w:rPr>
          <w:t>https://www.ksv.biz.ua/GOST/DSTY/dstu_ISO_9000-2007.pdf</w:t>
        </w:r>
      </w:hyperlink>
      <w:r w:rsidRPr="002C3AE7">
        <w:rPr>
          <w:rFonts w:ascii="Times New Roman" w:eastAsia="Microsoft YaHei" w:hAnsi="Times New Roman" w:cs="Times New Roman"/>
          <w:color w:val="auto"/>
          <w:sz w:val="28"/>
          <w:szCs w:val="28"/>
        </w:rPr>
        <w:t xml:space="preserve"> </w:t>
      </w:r>
    </w:p>
    <w:p w14:paraId="322002B2"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Модернізація менеджменту та публічного управління в системі охорони здоров’я / кол. монографія за науковою ред. д.е.н. Шкільняка М.М., д.е.н. Желюк Т.Л. Тернопіль, Крок. 2020. 560 с. </w:t>
      </w:r>
      <w:r w:rsidRPr="002C3AE7">
        <w:rPr>
          <w:rFonts w:ascii="Times New Roman" w:eastAsia="Microsoft YaHei" w:hAnsi="Times New Roman" w:cs="Times New Roman"/>
          <w:color w:val="auto"/>
          <w:sz w:val="28"/>
          <w:szCs w:val="28"/>
          <w:lang w:val="en-US"/>
        </w:rPr>
        <w:t>URL</w:t>
      </w:r>
      <w:r w:rsidRPr="002C3AE7">
        <w:rPr>
          <w:rFonts w:ascii="Times New Roman" w:eastAsia="Microsoft YaHei" w:hAnsi="Times New Roman" w:cs="Times New Roman"/>
          <w:color w:val="auto"/>
          <w:sz w:val="28"/>
          <w:szCs w:val="28"/>
        </w:rPr>
        <w:t xml:space="preserve">: </w:t>
      </w:r>
      <w:hyperlink r:id="rId55" w:tooltip="https://dspace.wunu.edu.ua/bitstream/316497/38546/1/Mon_uzoz_t.pdf" w:history="1">
        <w:r w:rsidRPr="002C3AE7">
          <w:rPr>
            <w:rFonts w:ascii="Times New Roman" w:eastAsia="Microsoft YaHei" w:hAnsi="Times New Roman" w:cs="Times New Roman"/>
            <w:color w:val="auto"/>
            <w:sz w:val="28"/>
            <w:szCs w:val="28"/>
          </w:rPr>
          <w:t>https://dspace.wunu.edu.ua/bitstream/316497/38546/1/Mon_uzoz_t.pdf</w:t>
        </w:r>
      </w:hyperlink>
    </w:p>
    <w:p w14:paraId="322002B3"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Розпорядження Кабінету Міністрів України «Про схвалення Стратегії розвитку системи охорони здоров’я на період до 2030 року та затвердження операційного плану заходів з її реалізації у 2025-2027 роках» від 17.01.2025 № 34-р. URL: </w:t>
      </w:r>
      <w:hyperlink r:id="rId56" w:anchor="Text" w:tooltip="https://zakon.rada.gov.ua/laws/show/34-2025-%D1%80#Text" w:history="1">
        <w:r w:rsidRPr="002C3AE7">
          <w:rPr>
            <w:rFonts w:ascii="Times New Roman" w:eastAsia="Microsoft YaHei" w:hAnsi="Times New Roman" w:cs="Times New Roman"/>
            <w:color w:val="auto"/>
            <w:sz w:val="28"/>
            <w:szCs w:val="28"/>
          </w:rPr>
          <w:t>https://zakon.rada.gov.ua/laws/show/34-2025-%D1%80#Text</w:t>
        </w:r>
      </w:hyperlink>
    </w:p>
    <w:p w14:paraId="322002B4"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Гуржий П.О. Управління якістю медичних послуг закладів </w:t>
      </w:r>
      <w:r w:rsidRPr="002C3AE7">
        <w:rPr>
          <w:rFonts w:ascii="Times New Roman" w:eastAsia="Microsoft YaHei" w:hAnsi="Times New Roman" w:cs="Times New Roman"/>
          <w:color w:val="auto"/>
          <w:sz w:val="28"/>
          <w:szCs w:val="28"/>
        </w:rPr>
        <w:lastRenderedPageBreak/>
        <w:t xml:space="preserve">охорони здоров’я. DOI:10.32782/2415-3583/33.16 </w:t>
      </w:r>
    </w:p>
    <w:p w14:paraId="322002B5"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Ефективний контроль якості медичної допомоги є пріоритетом МОЗ. URL: </w:t>
      </w:r>
      <w:hyperlink r:id="rId57" w:tooltip="https://moz.gov.ua/uk/efektivnij-kontrol-jakosti-medichnoi-dopomogi-e-prioritetom-moz" w:history="1">
        <w:r w:rsidRPr="002C3AE7">
          <w:rPr>
            <w:rFonts w:ascii="Times New Roman" w:eastAsia="Microsoft YaHei" w:hAnsi="Times New Roman" w:cs="Times New Roman"/>
            <w:color w:val="auto"/>
            <w:sz w:val="28"/>
            <w:szCs w:val="28"/>
          </w:rPr>
          <w:t>https://moz.gov.ua/uk/efektivnij-kontrol-jakosti-medichnoi-dopomogi-e-prioritetom-moz</w:t>
        </w:r>
      </w:hyperlink>
    </w:p>
    <w:p w14:paraId="322002B6"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Чабан О., Бойко О. Формулювання засад для розроблення методики оцінювання якості медичних послуг. URL:  </w:t>
      </w:r>
      <w:hyperlink r:id="rId58" w:tooltip="https://science.lpnu.ua/sites/-default/files/journalpaper/2017/jun/3684/vtm75st10.pdf" w:history="1">
        <w:r w:rsidRPr="002C3AE7">
          <w:rPr>
            <w:rStyle w:val="aff6"/>
            <w:rFonts w:ascii="Times New Roman" w:eastAsia="Microsoft YaHei" w:hAnsi="Times New Roman" w:cs="Times New Roman"/>
            <w:color w:val="auto"/>
            <w:sz w:val="28"/>
            <w:szCs w:val="28"/>
            <w:u w:val="none"/>
          </w:rPr>
          <w:t>https://science.lpnu.ua/sites/-default/files/journalpaper/2017/jun/3684/vtm75st10.pdf</w:t>
        </w:r>
      </w:hyperlink>
      <w:r w:rsidRPr="002C3AE7">
        <w:rPr>
          <w:rFonts w:ascii="Times New Roman" w:eastAsia="Microsoft YaHei" w:hAnsi="Times New Roman" w:cs="Times New Roman"/>
          <w:color w:val="auto"/>
          <w:sz w:val="28"/>
          <w:szCs w:val="28"/>
        </w:rPr>
        <w:t xml:space="preserve"> </w:t>
      </w:r>
    </w:p>
    <w:p w14:paraId="322002B7"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Вовк С.М. Системні трансформації охорони здоров’я: монографія. Донецький державний університет управління, МОН України. Кривий Ріг : вид. Р.А. Козлов. 2017. 315 с.</w:t>
      </w:r>
    </w:p>
    <w:p w14:paraId="322002B8" w14:textId="77777777" w:rsidR="003C626E" w:rsidRPr="002C3AE7" w:rsidRDefault="001A5B20">
      <w:pPr>
        <w:numPr>
          <w:ilvl w:val="0"/>
          <w:numId w:val="45"/>
        </w:numPr>
        <w:tabs>
          <w:tab w:val="left" w:pos="709"/>
          <w:tab w:val="left" w:pos="993"/>
        </w:tabs>
        <w:spacing w:line="360" w:lineRule="auto"/>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 Пошукова система CORE. URL:</w:t>
      </w:r>
      <w:r w:rsidRPr="002C3AE7">
        <w:rPr>
          <w:rFonts w:ascii="Microsoft YaHei" w:eastAsia="Microsoft YaHei" w:hAnsi="Microsoft YaHei" w:cs="Microsoft YaHei"/>
          <w:color w:val="auto"/>
        </w:rPr>
        <w:t xml:space="preserve"> </w:t>
      </w:r>
      <w:hyperlink r:id="rId59" w:tooltip="https://core.ac.uk/" w:history="1">
        <w:r w:rsidRPr="002C3AE7">
          <w:rPr>
            <w:rFonts w:ascii="Times New Roman" w:eastAsia="Microsoft YaHei" w:hAnsi="Times New Roman" w:cs="Times New Roman"/>
            <w:color w:val="auto"/>
            <w:sz w:val="28"/>
            <w:szCs w:val="28"/>
          </w:rPr>
          <w:t>https://core.ac.uk/</w:t>
        </w:r>
      </w:hyperlink>
      <w:r w:rsidRPr="002C3AE7">
        <w:rPr>
          <w:rFonts w:ascii="Times New Roman" w:eastAsia="Microsoft YaHei" w:hAnsi="Times New Roman" w:cs="Times New Roman"/>
          <w:color w:val="auto"/>
          <w:sz w:val="28"/>
          <w:szCs w:val="28"/>
        </w:rPr>
        <w:t xml:space="preserve"> </w:t>
      </w:r>
    </w:p>
    <w:p w14:paraId="322002B9"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Бачинська О.М., Винниченко-Кумкова Л.О. Формування системи управління якістю медичної допомоги в Україні в реаліях сьогодення. Інклюзивна економіка. 2024. № 2 (04). С. 10-15.</w:t>
      </w:r>
    </w:p>
    <w:p w14:paraId="322002BA" w14:textId="77777777" w:rsidR="003C626E" w:rsidRPr="002C3AE7" w:rsidRDefault="001A5B20">
      <w:pPr>
        <w:numPr>
          <w:ilvl w:val="0"/>
          <w:numId w:val="45"/>
        </w:numPr>
        <w:tabs>
          <w:tab w:val="left" w:pos="709"/>
          <w:tab w:val="left" w:pos="993"/>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Богомаз В.М. Індикатори якості медичної допомоги та їх роль в управлінні охороною здоров’я. Український медичний часопис. 2010. № 1 (75) І–ІІ. С. 12–26.</w:t>
      </w:r>
    </w:p>
    <w:p w14:paraId="322002BB" w14:textId="77777777" w:rsidR="003C626E" w:rsidRPr="002C3AE7" w:rsidRDefault="001A5B20">
      <w:pPr>
        <w:numPr>
          <w:ilvl w:val="0"/>
          <w:numId w:val="45"/>
        </w:numPr>
        <w:tabs>
          <w:tab w:val="left" w:pos="709"/>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Зіменковський А.Б. Системний підхід до оцінки якості медичної допомоги в період реформування охорони здоров’я в Україні. Вісник соціальної гігієни та організації охорони здоров’я. 2003. № 2. С. 42–45.</w:t>
      </w:r>
    </w:p>
    <w:p w14:paraId="322002BC"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Веденко Б.Г., Мельник Ф.В., Даценко В.Г., Даценко А.В. Кадрові проблеми, що спрямовані на якість і безпеку медичної допомоги (погляд звичайних лікарів). URL: </w:t>
      </w:r>
      <w:hyperlink r:id="rId60" w:tooltip="http://www.mif-ua.com/archive/article/14835" w:history="1">
        <w:r w:rsidRPr="002C3AE7">
          <w:rPr>
            <w:rFonts w:ascii="Times New Roman" w:eastAsia="Microsoft YaHei" w:hAnsi="Times New Roman" w:cs="Times New Roman"/>
            <w:color w:val="auto"/>
            <w:sz w:val="28"/>
            <w:szCs w:val="28"/>
          </w:rPr>
          <w:t>http://www.mif-ua.com/archive/article/14835</w:t>
        </w:r>
      </w:hyperlink>
      <w:r w:rsidRPr="002C3AE7">
        <w:rPr>
          <w:rFonts w:ascii="Times New Roman" w:eastAsia="Microsoft YaHei" w:hAnsi="Times New Roman" w:cs="Times New Roman"/>
          <w:color w:val="auto"/>
          <w:sz w:val="28"/>
          <w:szCs w:val="28"/>
        </w:rPr>
        <w:t xml:space="preserve"> </w:t>
      </w:r>
    </w:p>
    <w:p w14:paraId="322002BD"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Резнікова Н.В., Іващенко О.А., Войтович О.І. Моделі конкуренції на ринку послуг в сфері охорони здоров’я: проблема використання потенціалу медичної галузі та її регулювання в умовах глобалізації. URL: </w:t>
      </w:r>
      <w:hyperlink r:id="rId61" w:tooltip="http://www.economy.nayka.com.ua/pdf/1_2018/13.pdf" w:history="1">
        <w:r w:rsidRPr="002C3AE7">
          <w:rPr>
            <w:rStyle w:val="aff6"/>
            <w:rFonts w:ascii="Times New Roman" w:eastAsia="Microsoft YaHei" w:hAnsi="Times New Roman" w:cs="Times New Roman"/>
            <w:color w:val="auto"/>
            <w:sz w:val="28"/>
            <w:szCs w:val="28"/>
            <w:u w:val="none"/>
          </w:rPr>
          <w:t>http://www.economy.nayka.com.ua/pdf/1_2018/13.pdf</w:t>
        </w:r>
      </w:hyperlink>
      <w:r w:rsidRPr="002C3AE7">
        <w:rPr>
          <w:rFonts w:ascii="Times New Roman" w:eastAsia="Microsoft YaHei" w:hAnsi="Times New Roman" w:cs="Times New Roman"/>
          <w:color w:val="auto"/>
          <w:sz w:val="28"/>
          <w:szCs w:val="28"/>
        </w:rPr>
        <w:t xml:space="preserve"> </w:t>
      </w:r>
    </w:p>
    <w:p w14:paraId="322002BE"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Дубінський С.В. Проблеми забезпечення якості послуг в медичній галузі України. URL: </w:t>
      </w:r>
      <w:hyperlink r:id="rId62" w:tooltip="https://eurodev.duan.edu.ua/images/PDF/2016/1/6.pdf" w:history="1">
        <w:r w:rsidRPr="002C3AE7">
          <w:rPr>
            <w:rFonts w:ascii="Times New Roman" w:eastAsia="Microsoft YaHei" w:hAnsi="Times New Roman" w:cs="Times New Roman"/>
            <w:color w:val="auto"/>
            <w:sz w:val="28"/>
            <w:szCs w:val="28"/>
          </w:rPr>
          <w:t>https://eurodev.duan.edu.ua/images/PDF/2016/1/6.pdf</w:t>
        </w:r>
      </w:hyperlink>
    </w:p>
    <w:p w14:paraId="322002BF"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lastRenderedPageBreak/>
        <w:t xml:space="preserve">Шевчук Р.В. Аналіз проблем реформування системи охорони здоров’я в Україні. Вчені записки ТНУ імені В.І. Вернадського. Серія: Публічне управління та адміністрування. 2022.Том 33 (72). № 6. С. 178-183. URL: </w:t>
      </w:r>
      <w:hyperlink r:id="rId63" w:tooltip="https://pubadm.vernadskyjournals.in.ua/journals/2022/6_2022/28.pdf" w:history="1">
        <w:r w:rsidRPr="002C3AE7">
          <w:rPr>
            <w:rFonts w:ascii="Times New Roman" w:eastAsia="Microsoft YaHei" w:hAnsi="Times New Roman" w:cs="Times New Roman"/>
            <w:color w:val="auto"/>
            <w:sz w:val="28"/>
            <w:szCs w:val="28"/>
          </w:rPr>
          <w:t>https://pubadm.vernadskyjournals.in.ua/journals/2022/6_2022/28.pdf</w:t>
        </w:r>
      </w:hyperlink>
      <w:r w:rsidRPr="002C3AE7">
        <w:rPr>
          <w:rFonts w:ascii="Times New Roman" w:eastAsia="Microsoft YaHei" w:hAnsi="Times New Roman" w:cs="Times New Roman"/>
          <w:color w:val="auto"/>
          <w:sz w:val="28"/>
          <w:szCs w:val="28"/>
        </w:rPr>
        <w:t xml:space="preserve"> </w:t>
      </w:r>
    </w:p>
    <w:p w14:paraId="322002C0" w14:textId="77777777" w:rsidR="003C626E" w:rsidRPr="002C3AE7" w:rsidRDefault="001A5B20">
      <w:pPr>
        <w:numPr>
          <w:ilvl w:val="0"/>
          <w:numId w:val="45"/>
        </w:numPr>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Князькова В. Я., Михайлова А. М. Організаційно-економічні механізми управління закладами охорони здоров’я на державному рівні. Сучасні напрями змін в управлінні охороною здоров’я: модернізація, якість, психологія та комунікація [Електронне видання] : збірка матеріалів II міжнар. наук. практ. конф. м. Одеса, 30 травня 2025 р. / за заг. Ред академіка НАМН України, д. мед. н., професора В. М. Запорожана; наук. ред. д. мед. н., професор В. Г. Марічереда. Одеса : ОНМедУ, 2025. С. 96–99. URL: </w:t>
      </w:r>
      <w:hyperlink r:id="rId64" w:tooltip="https://repo.odmu.edu.ua:443/xmlui/handle/123456789/18192" w:history="1">
        <w:r w:rsidRPr="002C3AE7">
          <w:rPr>
            <w:rStyle w:val="aff6"/>
            <w:rFonts w:ascii="Times New Roman" w:eastAsia="Microsoft YaHei" w:hAnsi="Times New Roman" w:cs="Times New Roman"/>
            <w:color w:val="auto"/>
            <w:sz w:val="28"/>
            <w:szCs w:val="28"/>
            <w:u w:val="none"/>
          </w:rPr>
          <w:t>https://repo.odmu.edu.ua:443/xmlui/handle/123456789/18192</w:t>
        </w:r>
      </w:hyperlink>
      <w:r w:rsidRPr="002C3AE7">
        <w:rPr>
          <w:rFonts w:ascii="Times New Roman" w:eastAsia="Microsoft YaHei" w:hAnsi="Times New Roman" w:cs="Times New Roman"/>
          <w:color w:val="auto"/>
          <w:sz w:val="28"/>
          <w:szCs w:val="28"/>
        </w:rPr>
        <w:t xml:space="preserve">  </w:t>
      </w:r>
    </w:p>
    <w:p w14:paraId="322002C1" w14:textId="77777777" w:rsidR="003C626E" w:rsidRPr="002C3AE7" w:rsidRDefault="001A5B20">
      <w:pPr>
        <w:numPr>
          <w:ilvl w:val="0"/>
          <w:numId w:val="45"/>
        </w:numPr>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Валах В., Рудінська О., Бусел С., Князькова В. Управління якістю медичних послуг в Україні в контексті міжнародного досвіду. Економічний аналіз. 2024. Том 34. № 2. С. 94-105. DOI: </w:t>
      </w:r>
      <w:hyperlink r:id="rId65" w:tooltip="https://doi.org/10.35774/econa2024.02.094" w:history="1">
        <w:r w:rsidRPr="002C3AE7">
          <w:rPr>
            <w:rStyle w:val="aff6"/>
            <w:rFonts w:ascii="Times New Roman" w:eastAsia="Microsoft YaHei" w:hAnsi="Times New Roman" w:cs="Times New Roman"/>
            <w:color w:val="auto"/>
            <w:sz w:val="28"/>
            <w:szCs w:val="28"/>
            <w:u w:val="none"/>
          </w:rPr>
          <w:t>https://doi.org/10.35774/econa2024.02.094</w:t>
        </w:r>
      </w:hyperlink>
      <w:r w:rsidRPr="002C3AE7">
        <w:rPr>
          <w:rFonts w:ascii="Times New Roman" w:eastAsia="Microsoft YaHei" w:hAnsi="Times New Roman" w:cs="Times New Roman"/>
          <w:color w:val="auto"/>
          <w:sz w:val="28"/>
          <w:szCs w:val="28"/>
        </w:rPr>
        <w:t xml:space="preserve"> </w:t>
      </w:r>
    </w:p>
    <w:p w14:paraId="322002C2"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Князькова В., Криленко В. Управління ризиками в системі внутрішнього контролю закладу охорони здоров’я. Матеріали 3 Міжнародної науково-практичної конференції «Modern Science: Exploring Theories, Innovations and Practical Solutions». Одеса, Україна. 30-31 грудня 2024. С. 99-103.</w:t>
      </w:r>
      <w:r w:rsidRPr="002C3AE7">
        <w:rPr>
          <w:rFonts w:ascii="Microsoft YaHei" w:eastAsia="Microsoft YaHei" w:hAnsi="Microsoft YaHei" w:cs="Microsoft YaHei"/>
          <w:color w:val="auto"/>
        </w:rPr>
        <w:t xml:space="preserve"> </w:t>
      </w:r>
      <w:r w:rsidRPr="002C3AE7">
        <w:rPr>
          <w:rFonts w:ascii="Times New Roman" w:eastAsia="Microsoft YaHei" w:hAnsi="Times New Roman" w:cs="Times New Roman"/>
          <w:color w:val="auto"/>
          <w:sz w:val="28"/>
          <w:szCs w:val="28"/>
        </w:rPr>
        <w:t>URL:</w:t>
      </w:r>
      <w:r w:rsidRPr="002C3AE7">
        <w:rPr>
          <w:rFonts w:ascii="Microsoft YaHei" w:eastAsia="Microsoft YaHei" w:hAnsi="Microsoft YaHei" w:cs="Microsoft YaHei"/>
          <w:color w:val="auto"/>
        </w:rPr>
        <w:t xml:space="preserve"> </w:t>
      </w:r>
      <w:hyperlink r:id="rId66" w:tooltip="https://www.eoss-conf.com/wp-content/uploads/2024/12/Odesa_Ukraine_30_12_24.pdf" w:history="1">
        <w:r w:rsidRPr="002C3AE7">
          <w:rPr>
            <w:rFonts w:ascii="Times New Roman" w:eastAsia="Microsoft YaHei" w:hAnsi="Times New Roman" w:cs="Times New Roman"/>
            <w:color w:val="auto"/>
            <w:sz w:val="28"/>
            <w:szCs w:val="28"/>
          </w:rPr>
          <w:t>https://www.eoss-conf.com/wp-content/uploads/2024/12/Odesa_Ukraine_30_12_24.pdf</w:t>
        </w:r>
      </w:hyperlink>
    </w:p>
    <w:p w14:paraId="322002C3"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Організація контролю якості медичної допомоги в закладах охорони</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 xml:space="preserve">здоров’я (Методичні рекомендації). URL: </w:t>
      </w:r>
      <w:hyperlink r:id="rId67" w:tooltip="https://www.dec.gov.ua/wpcontent/uploads/2019/11/oky_zoz.pdf" w:history="1">
        <w:r w:rsidRPr="002C3AE7">
          <w:rPr>
            <w:rFonts w:ascii="Times New Roman" w:eastAsia="Microsoft YaHei" w:hAnsi="Times New Roman" w:cs="Times New Roman"/>
            <w:color w:val="auto"/>
            <w:sz w:val="28"/>
            <w:szCs w:val="28"/>
          </w:rPr>
          <w:t>https://www.dec.gov.ua/wpcontent/uploads/2019/11/oky_zoz.pdf</w:t>
        </w:r>
      </w:hyperlink>
      <w:r w:rsidRPr="002C3AE7">
        <w:rPr>
          <w:rFonts w:ascii="Times New Roman" w:eastAsia="Microsoft YaHei" w:hAnsi="Times New Roman" w:cs="Times New Roman"/>
          <w:color w:val="auto"/>
          <w:sz w:val="28"/>
          <w:szCs w:val="28"/>
        </w:rPr>
        <w:t xml:space="preserve"> </w:t>
      </w:r>
    </w:p>
    <w:p w14:paraId="322002C4"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Шкільняк М.М., Кривокульська Н.М. Розвиток концептуальних підходів до управління якістю медичних послуг закладів охорони здоров’я. Вісник соціальної гігієни та організації охорони здоров’я України. 2020. № 2(84). С. 22-30.</w:t>
      </w:r>
    </w:p>
    <w:p w14:paraId="322002C5"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 Шушпанов Д. Г. Доступність та якість медичної допомоги як </w:t>
      </w:r>
      <w:r w:rsidRPr="002C3AE7">
        <w:rPr>
          <w:rFonts w:ascii="Times New Roman" w:eastAsia="Microsoft YaHei" w:hAnsi="Times New Roman" w:cs="Times New Roman"/>
          <w:color w:val="auto"/>
          <w:sz w:val="28"/>
          <w:szCs w:val="28"/>
        </w:rPr>
        <w:lastRenderedPageBreak/>
        <w:t xml:space="preserve">детермінанти здоров’я населення. Регіональні аспекти розвитку продуктивних сил України. 2018. Вип. 23. С. 118-125. URL: </w:t>
      </w:r>
      <w:hyperlink r:id="rId68" w:tooltip="http://dspace.wunu.edu.ua/bitstream/316497/33759/1/Шушпанов.pdf" w:history="1">
        <w:r w:rsidRPr="002C3AE7">
          <w:rPr>
            <w:rFonts w:ascii="Times New Roman" w:eastAsia="Microsoft YaHei" w:hAnsi="Times New Roman" w:cs="Times New Roman"/>
            <w:color w:val="auto"/>
            <w:sz w:val="28"/>
            <w:szCs w:val="28"/>
          </w:rPr>
          <w:t>http://dspace.wunu.edu.ua/bitstream/316497/33759/1/Шушпанов.pdf</w:t>
        </w:r>
      </w:hyperlink>
    </w:p>
    <w:p w14:paraId="322002C6"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Zhukovska, A., Brechko, O., Zheliuk, T., Chygur, O., Shushpanov, D., Nytka, O. Information System and Technologies in the Health Care Management. 12th International Conference on Advanced Computer Information Technologies (ACIT) (26-28 September, 2022). Spišská Kapitula, Slovakia, 2022. pp. 249-254. URL: </w:t>
      </w:r>
      <w:hyperlink r:id="rId69" w:tooltip="https://doi.org/10.1109/ACIT54803.2022.9913132" w:history="1">
        <w:r w:rsidRPr="002C3AE7">
          <w:rPr>
            <w:rStyle w:val="aff6"/>
            <w:rFonts w:ascii="Times New Roman" w:eastAsia="Microsoft YaHei" w:hAnsi="Times New Roman" w:cs="Times New Roman"/>
            <w:color w:val="auto"/>
            <w:sz w:val="28"/>
            <w:szCs w:val="28"/>
            <w:u w:val="none"/>
          </w:rPr>
          <w:t>https://doi.org/10.1109/ACIT54803.2022.9913132</w:t>
        </w:r>
      </w:hyperlink>
      <w:r w:rsidRPr="002C3AE7">
        <w:rPr>
          <w:rFonts w:ascii="Times New Roman" w:eastAsia="Microsoft YaHei" w:hAnsi="Times New Roman" w:cs="Times New Roman"/>
          <w:color w:val="auto"/>
          <w:sz w:val="28"/>
          <w:szCs w:val="28"/>
        </w:rPr>
        <w:t xml:space="preserve"> </w:t>
      </w:r>
    </w:p>
    <w:p w14:paraId="322002C7"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 Zhukovska, A., Zheliuk, T., Shushpanov, D., Brych V., Brechko, O., Kryvokulska, N. Management of the Development of Artificial Intelligence in Healthcare. 13th International Conference on Advanced Computer Information Technologies (ACIT) (21-23 September, 2023). Wrocław, Poland, 2023. рр. 241-247. URL: </w:t>
      </w:r>
      <w:hyperlink r:id="rId70" w:tooltip="https://doi.org/10.1109/ACIT58437.2023.10275435" w:history="1">
        <w:r w:rsidRPr="002C3AE7">
          <w:rPr>
            <w:rFonts w:ascii="Times New Roman" w:eastAsia="Microsoft YaHei" w:hAnsi="Times New Roman" w:cs="Times New Roman"/>
            <w:color w:val="auto"/>
            <w:sz w:val="28"/>
            <w:szCs w:val="28"/>
          </w:rPr>
          <w:t>https://doi.org/10.1109/ACIT58437.2023.10275435</w:t>
        </w:r>
      </w:hyperlink>
    </w:p>
    <w:p w14:paraId="322002C8"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Толстанов О.К., Круть А.Г., Дмитренко І.А., Горачук В.В. Проблеми</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регулювання якості медичної допомоги в Україні та основні напрямки її</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вирішення. Медичні перспективи. 2022. № 27 (1). С. 166-173</w:t>
      </w:r>
      <w:r w:rsidRPr="002C3AE7">
        <w:rPr>
          <w:rFonts w:ascii="Times New Roman" w:eastAsia="Microsoft YaHei" w:hAnsi="Times New Roman" w:cs="Times New Roman"/>
          <w:color w:val="auto"/>
          <w:sz w:val="28"/>
          <w:szCs w:val="28"/>
          <w:lang w:val="ru-RU"/>
        </w:rPr>
        <w:t>.</w:t>
      </w:r>
    </w:p>
    <w:p w14:paraId="322002C9"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Височина І.Л., Башкірова Н.С., Аношко А.М. Контроль якості роботи</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сімейного лікаря в Україні як запорука успішної практики. Клінічна і</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профілактична медицина. 2022. № 2 (20). С. 60-65.</w:t>
      </w:r>
    </w:p>
    <w:p w14:paraId="322002CA"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Вовк С.М., Вовк Т.В., Чумаріна Т.В. Питання контролю якості в</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управлінській політиці лікувально-діагностичного процес. Держава та</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регіони. Сер. Державне управління. 2019. № 2. С. 50-54.</w:t>
      </w:r>
    </w:p>
    <w:p w14:paraId="322002CB"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Довгань В.І., Арзянцева Д.А., Захаркевич Н.П. Аудит якості</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медичних послуг закладу охорони здоров’я. Наукові перспективи. 2022. № 7(25). С. 79-90.</w:t>
      </w:r>
    </w:p>
    <w:p w14:paraId="322002CC"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Одеська Комунальне некомерційне підприємство «Міська клінічна лікарня № 11». URL: </w:t>
      </w:r>
      <w:hyperlink r:id="rId71" w:tooltip="https://odmkl11.od.ua/pro-nas/" w:history="1">
        <w:r w:rsidRPr="002C3AE7">
          <w:rPr>
            <w:rFonts w:ascii="Times New Roman" w:eastAsia="Microsoft YaHei" w:hAnsi="Times New Roman" w:cs="Times New Roman"/>
            <w:color w:val="auto"/>
            <w:sz w:val="28"/>
            <w:szCs w:val="28"/>
          </w:rPr>
          <w:t>https://odmkl11.od.ua/pro-nas/</w:t>
        </w:r>
      </w:hyperlink>
      <w:r w:rsidRPr="002C3AE7">
        <w:rPr>
          <w:rFonts w:ascii="Times New Roman" w:eastAsia="Microsoft YaHei" w:hAnsi="Times New Roman" w:cs="Times New Roman"/>
          <w:color w:val="auto"/>
          <w:sz w:val="28"/>
          <w:szCs w:val="28"/>
        </w:rPr>
        <w:t xml:space="preserve"> </w:t>
      </w:r>
    </w:p>
    <w:p w14:paraId="322002CD"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 Опендатабот. URL: </w:t>
      </w:r>
      <w:hyperlink r:id="rId72" w:tooltip="https://opendatabot.ua/c/02774415" w:history="1">
        <w:r w:rsidRPr="002C3AE7">
          <w:rPr>
            <w:rFonts w:ascii="Times New Roman" w:eastAsia="Microsoft YaHei" w:hAnsi="Times New Roman" w:cs="Times New Roman"/>
            <w:color w:val="auto"/>
            <w:sz w:val="28"/>
            <w:szCs w:val="28"/>
          </w:rPr>
          <w:t>https://opendatabot.ua/c/02774415</w:t>
        </w:r>
      </w:hyperlink>
      <w:r w:rsidRPr="002C3AE7">
        <w:rPr>
          <w:rFonts w:ascii="Times New Roman" w:eastAsia="Microsoft YaHei" w:hAnsi="Times New Roman" w:cs="Times New Roman"/>
          <w:color w:val="auto"/>
          <w:sz w:val="28"/>
          <w:szCs w:val="28"/>
        </w:rPr>
        <w:t xml:space="preserve"> </w:t>
      </w:r>
    </w:p>
    <w:p w14:paraId="322002CE"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lang w:val="en-US"/>
        </w:rPr>
        <w:t xml:space="preserve"> </w:t>
      </w:r>
      <w:r w:rsidRPr="002C3AE7">
        <w:rPr>
          <w:rFonts w:ascii="Times New Roman" w:eastAsia="Microsoft YaHei" w:hAnsi="Times New Roman" w:cs="Times New Roman"/>
          <w:color w:val="auto"/>
          <w:sz w:val="28"/>
          <w:szCs w:val="28"/>
        </w:rPr>
        <w:t>ДСТУ ISO 9001:2015 Системи управління якістю. Вимоги (ISO 9001:2015, IDT)</w:t>
      </w:r>
      <w:r w:rsidRPr="002C3AE7">
        <w:rPr>
          <w:rFonts w:ascii="Times New Roman" w:eastAsia="Microsoft YaHei" w:hAnsi="Times New Roman" w:cs="Times New Roman"/>
          <w:color w:val="auto"/>
          <w:sz w:val="28"/>
          <w:szCs w:val="28"/>
          <w:lang w:val="en-US"/>
        </w:rPr>
        <w:t xml:space="preserve">. URL:  </w:t>
      </w:r>
      <w:hyperlink r:id="rId73" w:tooltip="https://online.budstandart.com/ua/catalog/doc-page.html?id_doc=64013" w:history="1">
        <w:r w:rsidRPr="002C3AE7">
          <w:rPr>
            <w:rFonts w:ascii="Times New Roman" w:eastAsia="Microsoft YaHei" w:hAnsi="Times New Roman" w:cs="Times New Roman"/>
            <w:color w:val="auto"/>
            <w:sz w:val="28"/>
            <w:szCs w:val="28"/>
            <w:lang w:val="en-US"/>
          </w:rPr>
          <w:t>https://online.budstandart.com/ua/catalog/doc-</w:t>
        </w:r>
        <w:r w:rsidRPr="002C3AE7">
          <w:rPr>
            <w:rFonts w:ascii="Times New Roman" w:eastAsia="Microsoft YaHei" w:hAnsi="Times New Roman" w:cs="Times New Roman"/>
            <w:color w:val="auto"/>
            <w:sz w:val="28"/>
            <w:szCs w:val="28"/>
            <w:lang w:val="en-US"/>
          </w:rPr>
          <w:lastRenderedPageBreak/>
          <w:t>page.html?id_doc=64013</w:t>
        </w:r>
      </w:hyperlink>
      <w:r w:rsidRPr="002C3AE7">
        <w:rPr>
          <w:rFonts w:ascii="Times New Roman" w:eastAsia="Microsoft YaHei" w:hAnsi="Times New Roman" w:cs="Times New Roman"/>
          <w:color w:val="auto"/>
          <w:sz w:val="28"/>
          <w:szCs w:val="28"/>
          <w:lang w:val="en-US"/>
        </w:rPr>
        <w:t xml:space="preserve"> </w:t>
      </w:r>
    </w:p>
    <w:p w14:paraId="322002CF"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Дячук Д.Д., Ліщишина О.М., Зюков О.Л., Гандзюк В.А. Індикатори</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якості в системах охорони здоров’я: в фокусі національних ресурсів</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результати, процеси та продуктивність. Клінічна та профілактична медицина.</w:t>
      </w:r>
      <w:r w:rsidRPr="002C3AE7">
        <w:rPr>
          <w:rFonts w:ascii="Times New Roman" w:eastAsia="Microsoft YaHei" w:hAnsi="Times New Roman" w:cs="Times New Roman"/>
          <w:color w:val="auto"/>
          <w:sz w:val="28"/>
          <w:szCs w:val="28"/>
          <w:lang w:val="ru-RU"/>
        </w:rPr>
        <w:t xml:space="preserve"> </w:t>
      </w:r>
      <w:r w:rsidRPr="002C3AE7">
        <w:rPr>
          <w:rFonts w:ascii="Times New Roman" w:eastAsia="Microsoft YaHei" w:hAnsi="Times New Roman" w:cs="Times New Roman"/>
          <w:color w:val="auto"/>
          <w:sz w:val="28"/>
          <w:szCs w:val="28"/>
        </w:rPr>
        <w:t>2022. № 1(19). С. 90-101.</w:t>
      </w:r>
    </w:p>
    <w:p w14:paraId="322002D1"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Алькема В.Г., Сумець О.М., Кириченко О.С. Менеджмент закладу охорони здоров’я: навчальний посібник. Кн.1. Київ: Університет «КРОК», 2023. 244 с.</w:t>
      </w:r>
    </w:p>
    <w:p w14:paraId="322002D2"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lang w:val="ru-RU"/>
        </w:rPr>
        <w:t xml:space="preserve">Сенюта </w:t>
      </w:r>
      <w:r w:rsidRPr="002C3AE7">
        <w:rPr>
          <w:rFonts w:ascii="Times New Roman" w:eastAsia="Microsoft YaHei" w:hAnsi="Times New Roman" w:cs="Times New Roman"/>
          <w:color w:val="auto"/>
          <w:sz w:val="28"/>
          <w:szCs w:val="28"/>
        </w:rPr>
        <w:t xml:space="preserve">І. Контроль якості надання медичної допомоги: quo vadis? URL: </w:t>
      </w:r>
      <w:hyperlink r:id="rId74" w:tooltip="https://www.hsa.org.ua/blog/kontrol-iakosti-nadannia-medicnoyi-dopomogi-quo-vadis" w:history="1">
        <w:r w:rsidRPr="002C3AE7">
          <w:rPr>
            <w:rFonts w:ascii="Times New Roman" w:eastAsia="Microsoft YaHei" w:hAnsi="Times New Roman" w:cs="Times New Roman"/>
            <w:color w:val="auto"/>
            <w:sz w:val="28"/>
            <w:szCs w:val="28"/>
          </w:rPr>
          <w:t>https://www.hsa.org.ua/blog/kontrol-iakosti-nadannia-medicnoyi-dopomogi-quo-vadis</w:t>
        </w:r>
      </w:hyperlink>
    </w:p>
    <w:p w14:paraId="322002D4" w14:textId="77777777" w:rsidR="003C626E" w:rsidRPr="002C3AE7" w:rsidRDefault="001A5B20">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Князькова В., Криленко В. Управління ризиками в системі внутрішнього контролю закладу охорони здоров’я. Матеріали 3 Міжнародної науково-практичної конференції «Modern Science: Exploring Theories, Innovations and Practical Solutions». Одеса, Україна. 30-31 грудня 2024. С. 99-103.</w:t>
      </w:r>
      <w:r w:rsidRPr="002C3AE7">
        <w:rPr>
          <w:rFonts w:ascii="Microsoft YaHei" w:eastAsia="Microsoft YaHei" w:hAnsi="Microsoft YaHei" w:cs="Microsoft YaHei"/>
          <w:color w:val="auto"/>
        </w:rPr>
        <w:t xml:space="preserve"> </w:t>
      </w:r>
      <w:r w:rsidRPr="002C3AE7">
        <w:rPr>
          <w:rFonts w:ascii="Times New Roman" w:eastAsia="Microsoft YaHei" w:hAnsi="Times New Roman" w:cs="Times New Roman"/>
          <w:color w:val="auto"/>
          <w:sz w:val="28"/>
          <w:szCs w:val="28"/>
        </w:rPr>
        <w:t>URL:</w:t>
      </w:r>
      <w:r w:rsidRPr="002C3AE7">
        <w:rPr>
          <w:rFonts w:ascii="Times New Roman" w:eastAsia="Microsoft YaHei" w:hAnsi="Times New Roman" w:cs="Times New Roman"/>
          <w:color w:val="auto"/>
          <w:sz w:val="28"/>
          <w:szCs w:val="28"/>
          <w:lang w:val="en-US"/>
        </w:rPr>
        <w:t xml:space="preserve"> </w:t>
      </w:r>
      <w:hyperlink r:id="rId75" w:tooltip="https://www.eoss-conf.com/wp-content/uploads/2024/12/Odesa_Ukraine_30_12_24.pdf" w:history="1">
        <w:r w:rsidRPr="002C3AE7">
          <w:rPr>
            <w:rFonts w:ascii="Times New Roman" w:eastAsia="Microsoft YaHei" w:hAnsi="Times New Roman" w:cs="Times New Roman"/>
            <w:color w:val="auto"/>
            <w:sz w:val="28"/>
            <w:szCs w:val="28"/>
            <w:lang w:val="en-US"/>
          </w:rPr>
          <w:t>https://www.eoss-conf.com/wp-content/uploads/2024/12/Odesa_Ukraine_30_12_24.pdf</w:t>
        </w:r>
      </w:hyperlink>
      <w:r w:rsidRPr="002C3AE7">
        <w:rPr>
          <w:rFonts w:ascii="Times New Roman" w:eastAsia="Microsoft YaHei" w:hAnsi="Times New Roman" w:cs="Times New Roman"/>
          <w:color w:val="auto"/>
          <w:sz w:val="28"/>
          <w:szCs w:val="28"/>
          <w:lang w:val="en-US"/>
        </w:rPr>
        <w:t xml:space="preserve"> </w:t>
      </w:r>
    </w:p>
    <w:p w14:paraId="322002D6" w14:textId="4F59BD74" w:rsidR="003C626E" w:rsidRPr="002C3AE7" w:rsidRDefault="001A5B20" w:rsidP="002C3AE7">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 Бадюк М.І., Гутченко К.С., Гутченко О.А., Жупан Б.Б., Мегедь В.П. (Київ). Аналіз функціонування системи управління якістю медичної допомоги. URL:</w:t>
      </w:r>
      <w:r w:rsidRPr="002C3AE7">
        <w:rPr>
          <w:rFonts w:ascii="Microsoft YaHei" w:eastAsia="Microsoft YaHei" w:hAnsi="Microsoft YaHei" w:cs="Microsoft YaHei"/>
          <w:color w:val="auto"/>
        </w:rPr>
        <w:t xml:space="preserve"> </w:t>
      </w:r>
      <w:hyperlink r:id="rId76" w:history="1">
        <w:r w:rsidR="002C3AE7" w:rsidRPr="002C3AE7">
          <w:rPr>
            <w:rStyle w:val="aff6"/>
            <w:rFonts w:ascii="Times New Roman" w:eastAsia="Microsoft YaHei" w:hAnsi="Times New Roman" w:cs="Times New Roman"/>
            <w:color w:val="auto"/>
            <w:sz w:val="28"/>
            <w:szCs w:val="28"/>
            <w:u w:val="none"/>
          </w:rPr>
          <w:t>file:///D:/home/e200466kvy/Downloads/Analiz_funkcionuvanna_sistemi_upravlinna_akistu_me.pdf</w:t>
        </w:r>
      </w:hyperlink>
      <w:r w:rsidRPr="002C3AE7">
        <w:rPr>
          <w:rFonts w:ascii="Times New Roman" w:eastAsia="Microsoft YaHei" w:hAnsi="Times New Roman" w:cs="Times New Roman"/>
          <w:color w:val="auto"/>
          <w:sz w:val="28"/>
          <w:szCs w:val="28"/>
        </w:rPr>
        <w:t xml:space="preserve"> </w:t>
      </w:r>
    </w:p>
    <w:p w14:paraId="4D05CCF5" w14:textId="33AD8FCF" w:rsidR="00F75CB1" w:rsidRPr="002C3AE7" w:rsidRDefault="00F75CB1" w:rsidP="002C3AE7">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Пазєєва Г.. Забезпечення якості розбудови системи управління закладом охорони здоров’я. Вч</w:t>
      </w:r>
      <w:r w:rsidR="002C3AE7" w:rsidRPr="002C3AE7">
        <w:rPr>
          <w:rFonts w:ascii="Times New Roman" w:eastAsia="Microsoft YaHei" w:hAnsi="Times New Roman" w:cs="Times New Roman"/>
          <w:color w:val="auto"/>
          <w:sz w:val="28"/>
          <w:szCs w:val="28"/>
        </w:rPr>
        <w:t>ені записки Університету «КРОК».</w:t>
      </w:r>
      <w:r w:rsidRPr="002C3AE7">
        <w:rPr>
          <w:rFonts w:ascii="Times New Roman" w:eastAsia="Microsoft YaHei" w:hAnsi="Times New Roman" w:cs="Times New Roman"/>
          <w:color w:val="auto"/>
          <w:sz w:val="28"/>
          <w:szCs w:val="28"/>
        </w:rPr>
        <w:t xml:space="preserve"> 2025</w:t>
      </w:r>
      <w:r w:rsidR="002C3AE7" w:rsidRPr="002C3AE7">
        <w:rPr>
          <w:rFonts w:ascii="Times New Roman" w:eastAsia="Microsoft YaHei" w:hAnsi="Times New Roman" w:cs="Times New Roman"/>
          <w:color w:val="auto"/>
          <w:sz w:val="28"/>
          <w:szCs w:val="28"/>
        </w:rPr>
        <w:t>.</w:t>
      </w:r>
      <w:r w:rsidRPr="002C3AE7">
        <w:rPr>
          <w:rFonts w:ascii="Times New Roman" w:eastAsia="Microsoft YaHei" w:hAnsi="Times New Roman" w:cs="Times New Roman"/>
          <w:color w:val="auto"/>
          <w:sz w:val="28"/>
          <w:szCs w:val="28"/>
        </w:rPr>
        <w:t xml:space="preserve"> </w:t>
      </w:r>
      <w:r w:rsidR="002C3AE7" w:rsidRPr="002C3AE7">
        <w:rPr>
          <w:rFonts w:ascii="Times New Roman" w:eastAsia="Microsoft YaHei" w:hAnsi="Times New Roman" w:cs="Times New Roman"/>
          <w:color w:val="auto"/>
          <w:sz w:val="28"/>
          <w:szCs w:val="28"/>
        </w:rPr>
        <w:t xml:space="preserve">            № </w:t>
      </w:r>
      <w:r w:rsidRPr="002C3AE7">
        <w:rPr>
          <w:rFonts w:ascii="Times New Roman" w:eastAsia="Microsoft YaHei" w:hAnsi="Times New Roman" w:cs="Times New Roman"/>
          <w:color w:val="auto"/>
          <w:sz w:val="28"/>
          <w:szCs w:val="28"/>
        </w:rPr>
        <w:t>2(78)</w:t>
      </w:r>
      <w:r w:rsidR="002C3AE7" w:rsidRPr="002C3AE7">
        <w:rPr>
          <w:rFonts w:ascii="Times New Roman" w:eastAsia="Microsoft YaHei" w:hAnsi="Times New Roman" w:cs="Times New Roman"/>
          <w:color w:val="auto"/>
          <w:sz w:val="28"/>
          <w:szCs w:val="28"/>
        </w:rPr>
        <w:t>.</w:t>
      </w:r>
      <w:r w:rsidRPr="002C3AE7">
        <w:rPr>
          <w:rFonts w:ascii="Times New Roman" w:eastAsia="Microsoft YaHei" w:hAnsi="Times New Roman" w:cs="Times New Roman"/>
          <w:color w:val="auto"/>
          <w:sz w:val="28"/>
          <w:szCs w:val="28"/>
        </w:rPr>
        <w:t xml:space="preserve"> </w:t>
      </w:r>
      <w:r w:rsidR="002C3AE7" w:rsidRPr="002C3AE7">
        <w:rPr>
          <w:rFonts w:ascii="Times New Roman" w:eastAsia="Microsoft YaHei" w:hAnsi="Times New Roman" w:cs="Times New Roman"/>
          <w:color w:val="auto"/>
          <w:sz w:val="28"/>
          <w:szCs w:val="28"/>
        </w:rPr>
        <w:t xml:space="preserve">С. </w:t>
      </w:r>
      <w:r w:rsidRPr="002C3AE7">
        <w:rPr>
          <w:rFonts w:ascii="Times New Roman" w:eastAsia="Microsoft YaHei" w:hAnsi="Times New Roman" w:cs="Times New Roman"/>
          <w:color w:val="auto"/>
          <w:sz w:val="28"/>
          <w:szCs w:val="28"/>
        </w:rPr>
        <w:t>256</w:t>
      </w:r>
      <w:r w:rsidR="002C3AE7" w:rsidRPr="002C3AE7">
        <w:rPr>
          <w:rFonts w:ascii="Times New Roman" w:eastAsia="Microsoft YaHei" w:hAnsi="Times New Roman" w:cs="Times New Roman"/>
          <w:color w:val="auto"/>
          <w:sz w:val="28"/>
          <w:szCs w:val="28"/>
        </w:rPr>
        <w:t>-</w:t>
      </w:r>
      <w:r w:rsidRPr="002C3AE7">
        <w:rPr>
          <w:rFonts w:ascii="Times New Roman" w:eastAsia="Microsoft YaHei" w:hAnsi="Times New Roman" w:cs="Times New Roman"/>
          <w:color w:val="auto"/>
          <w:sz w:val="28"/>
          <w:szCs w:val="28"/>
        </w:rPr>
        <w:t xml:space="preserve">264. </w:t>
      </w:r>
      <w:r w:rsidR="002C3AE7" w:rsidRPr="002C3AE7">
        <w:rPr>
          <w:rFonts w:ascii="Times New Roman" w:eastAsia="Microsoft YaHei" w:hAnsi="Times New Roman" w:cs="Times New Roman"/>
          <w:color w:val="auto"/>
          <w:sz w:val="28"/>
          <w:szCs w:val="28"/>
          <w:lang w:val="en-US"/>
        </w:rPr>
        <w:t>DOI</w:t>
      </w:r>
      <w:r w:rsidR="002C3AE7" w:rsidRPr="002C3AE7">
        <w:rPr>
          <w:rFonts w:ascii="Times New Roman" w:eastAsia="Microsoft YaHei" w:hAnsi="Times New Roman" w:cs="Times New Roman"/>
          <w:color w:val="auto"/>
          <w:sz w:val="28"/>
          <w:szCs w:val="28"/>
        </w:rPr>
        <w:t xml:space="preserve">: </w:t>
      </w:r>
      <w:hyperlink r:id="rId77" w:history="1">
        <w:r w:rsidR="002C3AE7" w:rsidRPr="002C3AE7">
          <w:rPr>
            <w:rStyle w:val="aff6"/>
            <w:rFonts w:ascii="Times New Roman" w:eastAsia="Microsoft YaHei" w:hAnsi="Times New Roman" w:cs="Times New Roman"/>
            <w:color w:val="auto"/>
            <w:sz w:val="28"/>
            <w:szCs w:val="28"/>
            <w:u w:val="none"/>
          </w:rPr>
          <w:t>https://doi.org/10.31732/2663-2209-2025-78-256-264</w:t>
        </w:r>
      </w:hyperlink>
      <w:r w:rsidR="002C3AE7" w:rsidRPr="002C3AE7">
        <w:rPr>
          <w:rFonts w:ascii="Times New Roman" w:eastAsia="Microsoft YaHei" w:hAnsi="Times New Roman" w:cs="Times New Roman"/>
          <w:color w:val="auto"/>
          <w:sz w:val="28"/>
          <w:szCs w:val="28"/>
        </w:rPr>
        <w:t xml:space="preserve"> </w:t>
      </w:r>
    </w:p>
    <w:p w14:paraId="775F83BC" w14:textId="5C1B6D3F" w:rsidR="002C3AE7" w:rsidRPr="002C3AE7" w:rsidRDefault="002C3AE7" w:rsidP="002C3AE7">
      <w:pPr>
        <w:numPr>
          <w:ilvl w:val="0"/>
          <w:numId w:val="45"/>
        </w:numPr>
        <w:tabs>
          <w:tab w:val="left" w:pos="709"/>
          <w:tab w:val="left" w:pos="993"/>
          <w:tab w:val="left" w:pos="1134"/>
        </w:tabs>
        <w:spacing w:line="360" w:lineRule="auto"/>
        <w:ind w:left="0" w:firstLine="709"/>
        <w:contextualSpacing/>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Мартинюк О.А., Князькова В.Я., Кравченко В.І. Удосконалення системи управлінських рішень в закладах охорони здоров’я. Міжнародна мультидисциплінарна наукова інтернет-конференція «Світ наукових досліджень». Випуск 45. С. 134-138. URL: </w:t>
      </w:r>
      <w:hyperlink r:id="rId78" w:history="1">
        <w:r w:rsidRPr="002C3AE7">
          <w:rPr>
            <w:rStyle w:val="aff6"/>
            <w:rFonts w:ascii="Times New Roman" w:eastAsia="Microsoft YaHei" w:hAnsi="Times New Roman" w:cs="Times New Roman"/>
            <w:color w:val="auto"/>
            <w:sz w:val="28"/>
            <w:szCs w:val="28"/>
            <w:u w:val="none"/>
          </w:rPr>
          <w:t>https://www.economy-confer.com.ua/full-article/6478/</w:t>
        </w:r>
      </w:hyperlink>
      <w:r w:rsidRPr="002C3AE7">
        <w:rPr>
          <w:rFonts w:ascii="Times New Roman" w:eastAsia="Microsoft YaHei" w:hAnsi="Times New Roman" w:cs="Times New Roman"/>
          <w:color w:val="auto"/>
          <w:sz w:val="28"/>
          <w:szCs w:val="28"/>
        </w:rPr>
        <w:t xml:space="preserve"> </w:t>
      </w:r>
    </w:p>
    <w:p w14:paraId="528351ED" w14:textId="6B5A48C1" w:rsidR="002C3AE7" w:rsidRPr="002C3AE7" w:rsidRDefault="002C3AE7" w:rsidP="002C3AE7">
      <w:pPr>
        <w:pStyle w:val="aff2"/>
        <w:numPr>
          <w:ilvl w:val="0"/>
          <w:numId w:val="45"/>
        </w:numPr>
        <w:tabs>
          <w:tab w:val="left" w:pos="1134"/>
        </w:tabs>
        <w:spacing w:line="360" w:lineRule="auto"/>
        <w:ind w:left="0" w:firstLine="709"/>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lastRenderedPageBreak/>
        <w:t xml:space="preserve">Князькова В. Я., Михайлова А. М. Організаційно-економічні механізми управління закладами охорони здоров’я на державному рівні // Сучасні напрями змін в управлінні охороною здоров’я: модернізація, якість, психологія та комунікація [Електронне видання] : збірка матеріалів II міжнар. наук. практ. конф. м. Одеса, 30 травня 2025 р. / за заг. Ред академіка НАМН України, д. мед. н., професора В. М. Запорожана; наук. ред. д. мед. н., професор В. Г. Марічереда. Одеса : ОНМедУ, 2025. С. 96–99. URL: </w:t>
      </w:r>
      <w:hyperlink r:id="rId79" w:history="1">
        <w:r w:rsidRPr="002C3AE7">
          <w:rPr>
            <w:rStyle w:val="aff6"/>
            <w:rFonts w:ascii="Times New Roman" w:eastAsia="Microsoft YaHei" w:hAnsi="Times New Roman" w:cs="Times New Roman"/>
            <w:color w:val="auto"/>
            <w:sz w:val="28"/>
            <w:szCs w:val="28"/>
            <w:u w:val="none"/>
          </w:rPr>
          <w:t>https://repo.odmu.edu.ua:443/xmlui/handle/123456789/18192</w:t>
        </w:r>
      </w:hyperlink>
      <w:r w:rsidRPr="002C3AE7">
        <w:rPr>
          <w:rFonts w:ascii="Times New Roman" w:eastAsia="Microsoft YaHei" w:hAnsi="Times New Roman" w:cs="Times New Roman"/>
          <w:color w:val="auto"/>
          <w:sz w:val="28"/>
          <w:szCs w:val="28"/>
        </w:rPr>
        <w:t xml:space="preserve">   </w:t>
      </w:r>
    </w:p>
    <w:p w14:paraId="01A5F4ED" w14:textId="300ECCA7" w:rsidR="002C3AE7" w:rsidRPr="002C3AE7" w:rsidRDefault="002C3AE7" w:rsidP="002C3AE7">
      <w:pPr>
        <w:pStyle w:val="aff2"/>
        <w:numPr>
          <w:ilvl w:val="0"/>
          <w:numId w:val="45"/>
        </w:numPr>
        <w:tabs>
          <w:tab w:val="left" w:pos="1134"/>
        </w:tabs>
        <w:spacing w:line="360" w:lineRule="auto"/>
        <w:ind w:left="0" w:firstLine="709"/>
        <w:jc w:val="both"/>
        <w:rPr>
          <w:rFonts w:ascii="Times New Roman" w:eastAsia="Microsoft YaHei" w:hAnsi="Times New Roman" w:cs="Times New Roman"/>
          <w:color w:val="auto"/>
          <w:sz w:val="28"/>
          <w:szCs w:val="28"/>
        </w:rPr>
      </w:pPr>
      <w:r w:rsidRPr="002C3AE7">
        <w:rPr>
          <w:rFonts w:ascii="Times New Roman" w:eastAsia="Microsoft YaHei" w:hAnsi="Times New Roman" w:cs="Times New Roman"/>
          <w:color w:val="auto"/>
          <w:sz w:val="28"/>
          <w:szCs w:val="28"/>
        </w:rPr>
        <w:t xml:space="preserve"> Криленко В.І., Ісмаілов Г.Т. Удосконалення організації контролю якості надання медичних послуг // Сучасні напрями змін в управлінні охороною здоров’я: модернізація, якість, психологія та комунікація [Електронне видання] : збірка матеріалів II міжнар. наук. практ. конф. м. Одеса, 30 травня 2025 р. / за заг. Ред академіка НАМН України, д. мед. н., професора В. М. Запорожана; наук. ред. д. мед. н., професор В. Г. Марічереда. Одеса : ОНМедУ, 2025. С. 111 – 114.</w:t>
      </w:r>
      <w:r w:rsidRPr="002C3AE7">
        <w:rPr>
          <w:color w:val="auto"/>
        </w:rPr>
        <w:t xml:space="preserve"> </w:t>
      </w:r>
      <w:r w:rsidRPr="002C3AE7">
        <w:rPr>
          <w:rFonts w:ascii="Times New Roman" w:eastAsia="Microsoft YaHei" w:hAnsi="Times New Roman" w:cs="Times New Roman"/>
          <w:color w:val="auto"/>
          <w:sz w:val="28"/>
          <w:szCs w:val="28"/>
        </w:rPr>
        <w:t>URI: https://repo.odmu.edu.ua:443/xmlui/handle/123456789/18227</w:t>
      </w:r>
    </w:p>
    <w:p w14:paraId="233AF45D" w14:textId="77777777" w:rsidR="002C3AE7" w:rsidRPr="002C3AE7" w:rsidRDefault="002C3AE7" w:rsidP="002C3AE7">
      <w:pPr>
        <w:tabs>
          <w:tab w:val="left" w:pos="709"/>
          <w:tab w:val="left" w:pos="993"/>
          <w:tab w:val="left" w:pos="1134"/>
        </w:tabs>
        <w:spacing w:line="360" w:lineRule="auto"/>
        <w:ind w:firstLine="709"/>
        <w:contextualSpacing/>
        <w:jc w:val="both"/>
        <w:rPr>
          <w:rFonts w:ascii="Times New Roman" w:eastAsia="Microsoft YaHei" w:hAnsi="Times New Roman" w:cs="Times New Roman"/>
          <w:color w:val="auto"/>
          <w:sz w:val="28"/>
          <w:szCs w:val="28"/>
        </w:rPr>
      </w:pPr>
    </w:p>
    <w:p w14:paraId="2472CC45" w14:textId="77777777" w:rsidR="002C3AE7" w:rsidRPr="002C3AE7" w:rsidRDefault="002C3AE7" w:rsidP="002C3AE7">
      <w:pPr>
        <w:tabs>
          <w:tab w:val="left" w:pos="709"/>
          <w:tab w:val="left" w:pos="993"/>
          <w:tab w:val="left" w:pos="1134"/>
        </w:tabs>
        <w:spacing w:line="360" w:lineRule="auto"/>
        <w:ind w:firstLine="709"/>
        <w:contextualSpacing/>
        <w:jc w:val="both"/>
        <w:rPr>
          <w:rFonts w:ascii="Times New Roman" w:eastAsia="Microsoft YaHei" w:hAnsi="Times New Roman" w:cs="Times New Roman"/>
          <w:color w:val="auto"/>
          <w:sz w:val="28"/>
          <w:szCs w:val="28"/>
        </w:rPr>
      </w:pPr>
    </w:p>
    <w:p w14:paraId="322002D7" w14:textId="77777777" w:rsidR="003C626E" w:rsidRPr="002C3AE7" w:rsidRDefault="003C626E" w:rsidP="002C3AE7">
      <w:pPr>
        <w:spacing w:line="360" w:lineRule="auto"/>
        <w:ind w:firstLine="709"/>
        <w:jc w:val="both"/>
        <w:rPr>
          <w:rFonts w:ascii="Times New Roman" w:hAnsi="Times New Roman" w:cs="Times New Roman"/>
          <w:color w:val="auto"/>
          <w:sz w:val="28"/>
          <w:szCs w:val="28"/>
        </w:rPr>
      </w:pPr>
    </w:p>
    <w:p w14:paraId="322002D8" w14:textId="77777777" w:rsidR="003C626E" w:rsidRDefault="003C626E">
      <w:pPr>
        <w:spacing w:line="360" w:lineRule="auto"/>
        <w:ind w:firstLine="709"/>
        <w:jc w:val="both"/>
        <w:rPr>
          <w:rFonts w:ascii="Times New Roman" w:hAnsi="Times New Roman" w:cs="Times New Roman"/>
          <w:color w:val="auto"/>
          <w:sz w:val="28"/>
          <w:szCs w:val="28"/>
        </w:rPr>
      </w:pPr>
    </w:p>
    <w:p w14:paraId="322002D9" w14:textId="77777777" w:rsidR="003C626E" w:rsidRDefault="003C626E">
      <w:pPr>
        <w:spacing w:line="360" w:lineRule="auto"/>
        <w:ind w:firstLine="709"/>
        <w:jc w:val="both"/>
        <w:rPr>
          <w:rFonts w:ascii="Times New Roman" w:hAnsi="Times New Roman" w:cs="Times New Roman"/>
          <w:color w:val="auto"/>
          <w:sz w:val="28"/>
          <w:szCs w:val="28"/>
        </w:rPr>
      </w:pPr>
    </w:p>
    <w:p w14:paraId="322002DA" w14:textId="77777777" w:rsidR="003C626E" w:rsidRDefault="003C626E">
      <w:pPr>
        <w:spacing w:line="360" w:lineRule="auto"/>
        <w:ind w:firstLine="709"/>
        <w:jc w:val="both"/>
        <w:rPr>
          <w:rFonts w:ascii="Times New Roman" w:hAnsi="Times New Roman" w:cs="Times New Roman"/>
          <w:color w:val="auto"/>
          <w:sz w:val="28"/>
          <w:szCs w:val="28"/>
        </w:rPr>
      </w:pPr>
    </w:p>
    <w:p w14:paraId="322002DB" w14:textId="77777777" w:rsidR="003C626E" w:rsidRDefault="003C626E">
      <w:pPr>
        <w:spacing w:line="360" w:lineRule="auto"/>
        <w:ind w:firstLine="709"/>
        <w:jc w:val="both"/>
        <w:rPr>
          <w:rFonts w:ascii="Times New Roman" w:hAnsi="Times New Roman" w:cs="Times New Roman"/>
          <w:color w:val="auto"/>
          <w:sz w:val="28"/>
          <w:szCs w:val="28"/>
        </w:rPr>
      </w:pPr>
    </w:p>
    <w:p w14:paraId="322002DC" w14:textId="77777777" w:rsidR="003C626E" w:rsidRDefault="003C626E">
      <w:pPr>
        <w:spacing w:line="360" w:lineRule="auto"/>
        <w:ind w:firstLine="709"/>
        <w:jc w:val="both"/>
        <w:rPr>
          <w:rFonts w:ascii="Times New Roman" w:hAnsi="Times New Roman" w:cs="Times New Roman"/>
          <w:color w:val="auto"/>
          <w:sz w:val="28"/>
          <w:szCs w:val="28"/>
        </w:rPr>
      </w:pPr>
    </w:p>
    <w:p w14:paraId="322002DD" w14:textId="77777777" w:rsidR="003C626E" w:rsidRDefault="003C626E">
      <w:pPr>
        <w:spacing w:line="360" w:lineRule="auto"/>
        <w:ind w:firstLine="709"/>
        <w:jc w:val="both"/>
        <w:rPr>
          <w:rFonts w:ascii="Times New Roman" w:hAnsi="Times New Roman" w:cs="Times New Roman"/>
          <w:color w:val="auto"/>
          <w:sz w:val="28"/>
          <w:szCs w:val="28"/>
        </w:rPr>
      </w:pPr>
    </w:p>
    <w:p w14:paraId="322002DE" w14:textId="77777777" w:rsidR="003C626E" w:rsidRDefault="003C626E">
      <w:pPr>
        <w:spacing w:line="360" w:lineRule="auto"/>
        <w:ind w:firstLine="709"/>
        <w:jc w:val="both"/>
        <w:rPr>
          <w:rFonts w:ascii="Times New Roman" w:hAnsi="Times New Roman" w:cs="Times New Roman"/>
          <w:color w:val="auto"/>
          <w:sz w:val="28"/>
          <w:szCs w:val="28"/>
        </w:rPr>
      </w:pPr>
    </w:p>
    <w:p w14:paraId="322002DF" w14:textId="77777777" w:rsidR="003C626E" w:rsidRDefault="003C626E">
      <w:pPr>
        <w:spacing w:line="360" w:lineRule="auto"/>
        <w:ind w:firstLine="709"/>
        <w:jc w:val="both"/>
        <w:rPr>
          <w:rFonts w:ascii="Times New Roman" w:hAnsi="Times New Roman" w:cs="Times New Roman"/>
          <w:color w:val="auto"/>
          <w:sz w:val="28"/>
          <w:szCs w:val="28"/>
        </w:rPr>
      </w:pPr>
    </w:p>
    <w:p w14:paraId="322002E0" w14:textId="77777777" w:rsidR="003C626E" w:rsidRDefault="003C626E">
      <w:pPr>
        <w:spacing w:line="360" w:lineRule="auto"/>
        <w:ind w:firstLine="709"/>
        <w:jc w:val="both"/>
        <w:rPr>
          <w:rFonts w:ascii="Times New Roman" w:hAnsi="Times New Roman" w:cs="Times New Roman"/>
          <w:color w:val="auto"/>
          <w:sz w:val="28"/>
          <w:szCs w:val="28"/>
        </w:rPr>
      </w:pPr>
    </w:p>
    <w:p w14:paraId="322002E1" w14:textId="77777777" w:rsidR="003C626E" w:rsidRDefault="003C626E">
      <w:pPr>
        <w:spacing w:line="360" w:lineRule="auto"/>
        <w:ind w:firstLine="709"/>
        <w:jc w:val="both"/>
        <w:rPr>
          <w:rFonts w:ascii="Times New Roman" w:hAnsi="Times New Roman" w:cs="Times New Roman"/>
          <w:color w:val="auto"/>
          <w:sz w:val="28"/>
          <w:szCs w:val="28"/>
        </w:rPr>
      </w:pPr>
    </w:p>
    <w:p w14:paraId="322002E2" w14:textId="77777777" w:rsidR="003C626E" w:rsidRDefault="003C626E">
      <w:pPr>
        <w:spacing w:line="360" w:lineRule="auto"/>
        <w:ind w:firstLine="709"/>
        <w:jc w:val="both"/>
        <w:rPr>
          <w:rFonts w:ascii="Times New Roman" w:hAnsi="Times New Roman" w:cs="Times New Roman"/>
          <w:color w:val="auto"/>
          <w:sz w:val="28"/>
          <w:szCs w:val="28"/>
        </w:rPr>
      </w:pPr>
    </w:p>
    <w:p w14:paraId="322002E3" w14:textId="77777777" w:rsidR="003C626E" w:rsidRDefault="003C626E">
      <w:pPr>
        <w:spacing w:line="360" w:lineRule="auto"/>
        <w:ind w:firstLine="709"/>
        <w:jc w:val="both"/>
        <w:rPr>
          <w:rFonts w:ascii="Times New Roman" w:hAnsi="Times New Roman" w:cs="Times New Roman"/>
          <w:color w:val="auto"/>
          <w:sz w:val="28"/>
          <w:szCs w:val="28"/>
        </w:rPr>
      </w:pPr>
    </w:p>
    <w:p w14:paraId="322002E4" w14:textId="77777777" w:rsidR="003C626E" w:rsidRDefault="003C626E">
      <w:pPr>
        <w:spacing w:line="360" w:lineRule="auto"/>
        <w:ind w:firstLine="709"/>
        <w:jc w:val="both"/>
        <w:rPr>
          <w:rFonts w:ascii="Times New Roman" w:hAnsi="Times New Roman" w:cs="Times New Roman"/>
          <w:color w:val="auto"/>
          <w:sz w:val="28"/>
          <w:szCs w:val="28"/>
        </w:rPr>
      </w:pPr>
    </w:p>
    <w:p w14:paraId="322002E5" w14:textId="77777777" w:rsidR="003C626E" w:rsidRDefault="003C626E">
      <w:pPr>
        <w:spacing w:line="360" w:lineRule="auto"/>
        <w:ind w:firstLine="709"/>
        <w:jc w:val="both"/>
        <w:rPr>
          <w:rFonts w:ascii="Times New Roman" w:hAnsi="Times New Roman" w:cs="Times New Roman"/>
          <w:color w:val="auto"/>
          <w:sz w:val="28"/>
          <w:szCs w:val="28"/>
        </w:rPr>
      </w:pPr>
    </w:p>
    <w:p w14:paraId="322002E6" w14:textId="77777777" w:rsidR="003C626E" w:rsidRDefault="003C626E">
      <w:pPr>
        <w:spacing w:line="360" w:lineRule="auto"/>
        <w:ind w:firstLine="709"/>
        <w:jc w:val="both"/>
        <w:rPr>
          <w:rFonts w:ascii="Times New Roman" w:hAnsi="Times New Roman" w:cs="Times New Roman"/>
          <w:color w:val="auto"/>
          <w:sz w:val="28"/>
          <w:szCs w:val="28"/>
        </w:rPr>
      </w:pPr>
    </w:p>
    <w:p w14:paraId="322002E7" w14:textId="77777777" w:rsidR="003C626E" w:rsidRDefault="003C626E">
      <w:pPr>
        <w:spacing w:line="360" w:lineRule="auto"/>
        <w:ind w:firstLine="709"/>
        <w:jc w:val="both"/>
        <w:rPr>
          <w:rFonts w:ascii="Times New Roman" w:hAnsi="Times New Roman" w:cs="Times New Roman"/>
          <w:color w:val="auto"/>
          <w:sz w:val="28"/>
          <w:szCs w:val="28"/>
        </w:rPr>
      </w:pPr>
    </w:p>
    <w:p w14:paraId="322002E8" w14:textId="77777777" w:rsidR="003C626E" w:rsidRDefault="003C626E">
      <w:pPr>
        <w:spacing w:line="360" w:lineRule="auto"/>
        <w:ind w:firstLine="709"/>
        <w:jc w:val="both"/>
        <w:rPr>
          <w:rFonts w:ascii="Times New Roman" w:hAnsi="Times New Roman" w:cs="Times New Roman"/>
          <w:color w:val="auto"/>
          <w:sz w:val="28"/>
          <w:szCs w:val="28"/>
        </w:rPr>
      </w:pPr>
    </w:p>
    <w:p w14:paraId="322002E9" w14:textId="77777777" w:rsidR="003C626E" w:rsidRDefault="003C626E">
      <w:pPr>
        <w:spacing w:line="360" w:lineRule="auto"/>
        <w:ind w:firstLine="709"/>
        <w:jc w:val="both"/>
        <w:rPr>
          <w:rFonts w:ascii="Times New Roman" w:hAnsi="Times New Roman" w:cs="Times New Roman"/>
          <w:color w:val="auto"/>
          <w:sz w:val="28"/>
          <w:szCs w:val="28"/>
        </w:rPr>
      </w:pPr>
    </w:p>
    <w:p w14:paraId="322002EA" w14:textId="77777777" w:rsidR="003C626E" w:rsidRDefault="003C626E">
      <w:pPr>
        <w:spacing w:line="360" w:lineRule="auto"/>
        <w:ind w:firstLine="709"/>
        <w:jc w:val="both"/>
        <w:rPr>
          <w:rFonts w:ascii="Times New Roman" w:hAnsi="Times New Roman" w:cs="Times New Roman"/>
          <w:color w:val="auto"/>
          <w:sz w:val="28"/>
          <w:szCs w:val="28"/>
        </w:rPr>
      </w:pPr>
    </w:p>
    <w:p w14:paraId="322002EB" w14:textId="77777777" w:rsidR="003C626E" w:rsidRDefault="003C626E">
      <w:pPr>
        <w:spacing w:line="360" w:lineRule="auto"/>
        <w:ind w:firstLine="709"/>
        <w:jc w:val="both"/>
        <w:rPr>
          <w:rFonts w:ascii="Times New Roman" w:hAnsi="Times New Roman" w:cs="Times New Roman"/>
          <w:color w:val="auto"/>
          <w:sz w:val="28"/>
          <w:szCs w:val="28"/>
        </w:rPr>
      </w:pPr>
    </w:p>
    <w:p w14:paraId="322002EC" w14:textId="77777777" w:rsidR="003C626E" w:rsidRDefault="003C626E">
      <w:pPr>
        <w:spacing w:line="360" w:lineRule="auto"/>
        <w:ind w:firstLine="709"/>
        <w:jc w:val="both"/>
        <w:rPr>
          <w:rFonts w:ascii="Times New Roman" w:hAnsi="Times New Roman" w:cs="Times New Roman"/>
          <w:color w:val="auto"/>
          <w:sz w:val="28"/>
          <w:szCs w:val="28"/>
        </w:rPr>
      </w:pPr>
    </w:p>
    <w:p w14:paraId="322002ED" w14:textId="77777777" w:rsidR="003C626E" w:rsidRDefault="003C626E">
      <w:pPr>
        <w:spacing w:line="360" w:lineRule="auto"/>
        <w:ind w:firstLine="709"/>
        <w:jc w:val="both"/>
        <w:rPr>
          <w:rFonts w:ascii="Times New Roman" w:hAnsi="Times New Roman" w:cs="Times New Roman"/>
          <w:color w:val="auto"/>
          <w:sz w:val="28"/>
          <w:szCs w:val="28"/>
        </w:rPr>
      </w:pPr>
    </w:p>
    <w:p w14:paraId="322002FB" w14:textId="77777777" w:rsidR="003C626E" w:rsidRDefault="001A5B20">
      <w:pPr>
        <w:spacing w:line="360" w:lineRule="auto"/>
        <w:ind w:firstLine="709"/>
        <w:jc w:val="center"/>
        <w:rPr>
          <w:rFonts w:ascii="Times New Roman" w:hAnsi="Times New Roman" w:cs="Times New Roman"/>
          <w:b/>
          <w:color w:val="auto"/>
          <w:sz w:val="96"/>
          <w:szCs w:val="96"/>
        </w:rPr>
      </w:pPr>
      <w:r>
        <w:rPr>
          <w:rFonts w:ascii="Times New Roman" w:hAnsi="Times New Roman" w:cs="Times New Roman"/>
          <w:b/>
          <w:color w:val="auto"/>
          <w:sz w:val="96"/>
          <w:szCs w:val="96"/>
        </w:rPr>
        <w:t>ДОДАТКИ</w:t>
      </w:r>
    </w:p>
    <w:sectPr w:rsidR="003C626E">
      <w:headerReference w:type="default" r:id="rId80"/>
      <w:footerReference w:type="even" r:id="rId81"/>
      <w:footerReference w:type="default" r:id="rId82"/>
      <w:pgSz w:w="11906" w:h="16838"/>
      <w:pgMar w:top="1134" w:right="851" w:bottom="1134" w:left="1701" w:header="708"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200324" w14:textId="77777777" w:rsidR="001A5B20" w:rsidRDefault="001A5B20">
      <w:r>
        <w:separator/>
      </w:r>
    </w:p>
  </w:endnote>
  <w:endnote w:type="continuationSeparator" w:id="0">
    <w:p w14:paraId="32200325" w14:textId="77777777" w:rsidR="001A5B20" w:rsidRDefault="001A5B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auto"/>
    <w:pitch w:val="default"/>
  </w:font>
  <w:font w:name="Arial Unicode MS">
    <w:altName w:val="Arial"/>
    <w:panose1 w:val="020B0604020202020204"/>
    <w:charset w:val="00"/>
    <w:family w:val="auto"/>
    <w:pitch w:val="default"/>
  </w:font>
  <w:font w:name="TimesNewRomanPSMT">
    <w:charset w:val="00"/>
    <w:family w:val="auto"/>
    <w:pitch w:val="default"/>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Bold">
    <w:charset w:val="00"/>
    <w:family w:val="auto"/>
    <w:pitch w:val="default"/>
  </w:font>
  <w:font w:name="TimesNewRoman">
    <w:altName w:val="Times New Roman"/>
    <w:charset w:val="00"/>
    <w:family w:val="auto"/>
    <w:pitch w:val="default"/>
  </w:font>
  <w:font w:name="Microsoft Sans Serif">
    <w:panose1 w:val="020B0604020202020204"/>
    <w:charset w:val="CC"/>
    <w:family w:val="swiss"/>
    <w:pitch w:val="variable"/>
    <w:sig w:usb0="E5002EFF" w:usb1="C000605B" w:usb2="00000029" w:usb3="00000000" w:csb0="000101FF" w:csb1="00000000"/>
  </w:font>
  <w:font w:name="Century Schoolbook">
    <w:panose1 w:val="0204060405050502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imes New Roman Полужирный">
    <w:altName w:val="Times New Roman"/>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00327" w14:textId="77777777" w:rsidR="001A5B20" w:rsidRDefault="001A5B20">
    <w:pPr>
      <w:pStyle w:val="aff0"/>
      <w:framePr w:wrap="around" w:vAnchor="text" w:hAnchor="margin" w:xAlign="right" w:y="1"/>
      <w:rPr>
        <w:rStyle w:val="aff5"/>
      </w:rPr>
    </w:pPr>
    <w:r>
      <w:rPr>
        <w:rStyle w:val="aff5"/>
      </w:rPr>
      <w:fldChar w:fldCharType="begin"/>
    </w:r>
    <w:r>
      <w:rPr>
        <w:rStyle w:val="aff5"/>
      </w:rPr>
      <w:instrText xml:space="preserve"> PAGE </w:instrText>
    </w:r>
    <w:r>
      <w:rPr>
        <w:rStyle w:val="aff5"/>
      </w:rPr>
      <w:fldChar w:fldCharType="end"/>
    </w:r>
  </w:p>
  <w:p w14:paraId="32200328" w14:textId="77777777" w:rsidR="001A5B20" w:rsidRDefault="001A5B20">
    <w:pPr>
      <w:pStyle w:val="aff0"/>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00329" w14:textId="77777777" w:rsidR="001A5B20" w:rsidRDefault="001A5B20">
    <w:pPr>
      <w:pStyle w:val="aff0"/>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200322" w14:textId="77777777" w:rsidR="001A5B20" w:rsidRDefault="001A5B20">
      <w:r>
        <w:separator/>
      </w:r>
    </w:p>
  </w:footnote>
  <w:footnote w:type="continuationSeparator" w:id="0">
    <w:p w14:paraId="32200323" w14:textId="77777777" w:rsidR="001A5B20" w:rsidRDefault="001A5B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7631294"/>
      <w:docPartObj>
        <w:docPartGallery w:val="Page Numbers (Top of Page)"/>
        <w:docPartUnique/>
      </w:docPartObj>
    </w:sdtPr>
    <w:sdtEndPr/>
    <w:sdtContent>
      <w:p w14:paraId="32200326" w14:textId="0044BEE5" w:rsidR="001A5B20" w:rsidRDefault="001A5B20">
        <w:pPr>
          <w:pStyle w:val="afe"/>
          <w:jc w:val="right"/>
        </w:pP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075447" w:rsidRPr="00075447">
          <w:rPr>
            <w:rFonts w:ascii="Times New Roman" w:hAnsi="Times New Roman" w:cs="Times New Roman"/>
            <w:noProof/>
            <w:sz w:val="28"/>
            <w:szCs w:val="28"/>
            <w:lang w:val="ru-RU"/>
          </w:rPr>
          <w:t>60</w:t>
        </w:r>
        <w:r>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202A546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11A6FB2"/>
    <w:multiLevelType w:val="multilevel"/>
    <w:tmpl w:val="486E3ACA"/>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2" w15:restartNumberingAfterBreak="0">
    <w:nsid w:val="021054D6"/>
    <w:multiLevelType w:val="multilevel"/>
    <w:tmpl w:val="D66EE6E0"/>
    <w:lvl w:ilvl="0">
      <w:start w:val="8"/>
      <w:numFmt w:val="bullet"/>
      <w:lvlText w:val="-"/>
      <w:lvlJc w:val="left"/>
      <w:pPr>
        <w:ind w:left="1069" w:hanging="360"/>
      </w:pPr>
      <w:rPr>
        <w:rFonts w:ascii="Times New Roman" w:eastAsia="Microsoft YaHei"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3" w15:restartNumberingAfterBreak="0">
    <w:nsid w:val="0A5A43FD"/>
    <w:multiLevelType w:val="multilevel"/>
    <w:tmpl w:val="CE0E6584"/>
    <w:lvl w:ilvl="0">
      <w:start w:val="2"/>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4" w15:restartNumberingAfterBreak="0">
    <w:nsid w:val="0CA12C84"/>
    <w:multiLevelType w:val="multilevel"/>
    <w:tmpl w:val="079C36E4"/>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59D5D20"/>
    <w:multiLevelType w:val="multilevel"/>
    <w:tmpl w:val="53C4E97C"/>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16283ECC"/>
    <w:multiLevelType w:val="multilevel"/>
    <w:tmpl w:val="010226A8"/>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15:restartNumberingAfterBreak="0">
    <w:nsid w:val="17525D8B"/>
    <w:multiLevelType w:val="multilevel"/>
    <w:tmpl w:val="438A7A8A"/>
    <w:lvl w:ilvl="0">
      <w:start w:val="1"/>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1DD06845"/>
    <w:multiLevelType w:val="multilevel"/>
    <w:tmpl w:val="7C541A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BD6B9B"/>
    <w:multiLevelType w:val="multilevel"/>
    <w:tmpl w:val="1214C64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0B452BF"/>
    <w:multiLevelType w:val="multilevel"/>
    <w:tmpl w:val="575010C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1" w15:restartNumberingAfterBreak="0">
    <w:nsid w:val="21FC743F"/>
    <w:multiLevelType w:val="multilevel"/>
    <w:tmpl w:val="2A58B65E"/>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2" w15:restartNumberingAfterBreak="0">
    <w:nsid w:val="263C759B"/>
    <w:multiLevelType w:val="multilevel"/>
    <w:tmpl w:val="E110A524"/>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13" w15:restartNumberingAfterBreak="0">
    <w:nsid w:val="26A66EDB"/>
    <w:multiLevelType w:val="multilevel"/>
    <w:tmpl w:val="C2BE8708"/>
    <w:lvl w:ilvl="0">
      <w:start w:val="3"/>
      <w:numFmt w:val="bullet"/>
      <w:lvlText w:val="-"/>
      <w:lvlJc w:val="left"/>
      <w:pPr>
        <w:ind w:left="1069" w:hanging="360"/>
      </w:pPr>
      <w:rPr>
        <w:rFonts w:ascii="Times New Roman" w:eastAsia="Microsoft YaHei"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14" w15:restartNumberingAfterBreak="0">
    <w:nsid w:val="289E66F9"/>
    <w:multiLevelType w:val="multilevel"/>
    <w:tmpl w:val="A5CC11C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9AF52EA"/>
    <w:multiLevelType w:val="multilevel"/>
    <w:tmpl w:val="30C09A46"/>
    <w:lvl w:ilvl="0">
      <w:start w:val="1"/>
      <w:numFmt w:val="decimal"/>
      <w:lvlText w:val="%1."/>
      <w:lvlJc w:val="left"/>
      <w:pPr>
        <w:ind w:left="432" w:hanging="432"/>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29CC3F5F"/>
    <w:multiLevelType w:val="multilevel"/>
    <w:tmpl w:val="1F4C0D62"/>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7" w15:restartNumberingAfterBreak="0">
    <w:nsid w:val="2B00629F"/>
    <w:multiLevelType w:val="multilevel"/>
    <w:tmpl w:val="E41EFA30"/>
    <w:lvl w:ilvl="0">
      <w:start w:val="1"/>
      <w:numFmt w:val="decimal"/>
      <w:lvlText w:val="%1."/>
      <w:lvlJc w:val="left"/>
      <w:pPr>
        <w:ind w:left="432" w:hanging="432"/>
      </w:pPr>
      <w:rPr>
        <w:rFonts w:hint="default"/>
      </w:rPr>
    </w:lvl>
    <w:lvl w:ilvl="1">
      <w:start w:val="1"/>
      <w:numFmt w:val="decimal"/>
      <w:lvlText w:val="%1.%2."/>
      <w:lvlJc w:val="left"/>
      <w:pPr>
        <w:ind w:left="2149" w:hanging="720"/>
      </w:pPr>
      <w:rPr>
        <w:rFonts w:hint="default"/>
        <w:b/>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18" w15:restartNumberingAfterBreak="0">
    <w:nsid w:val="2B1A461A"/>
    <w:multiLevelType w:val="multilevel"/>
    <w:tmpl w:val="8DCAE446"/>
    <w:lvl w:ilvl="0">
      <w:start w:val="4"/>
      <w:numFmt w:val="bullet"/>
      <w:lvlText w:val="-"/>
      <w:lvlJc w:val="left"/>
      <w:pPr>
        <w:ind w:left="1789" w:hanging="360"/>
      </w:pPr>
      <w:rPr>
        <w:rFonts w:ascii="Times New Roman" w:eastAsia="Microsoft YaHei" w:hAnsi="Times New Roman" w:cs="Times New Roman" w:hint="default"/>
      </w:rPr>
    </w:lvl>
    <w:lvl w:ilvl="1">
      <w:start w:val="1"/>
      <w:numFmt w:val="bullet"/>
      <w:lvlText w:val="o"/>
      <w:lvlJc w:val="left"/>
      <w:pPr>
        <w:ind w:left="2509" w:hanging="360"/>
      </w:pPr>
      <w:rPr>
        <w:rFonts w:ascii="Courier New" w:hAnsi="Courier New" w:cs="Courier New" w:hint="default"/>
      </w:rPr>
    </w:lvl>
    <w:lvl w:ilvl="2">
      <w:start w:val="1"/>
      <w:numFmt w:val="bullet"/>
      <w:lvlText w:val=""/>
      <w:lvlJc w:val="left"/>
      <w:pPr>
        <w:ind w:left="3229" w:hanging="360"/>
      </w:pPr>
      <w:rPr>
        <w:rFonts w:ascii="Wingdings" w:hAnsi="Wingdings" w:hint="default"/>
      </w:rPr>
    </w:lvl>
    <w:lvl w:ilvl="3">
      <w:start w:val="1"/>
      <w:numFmt w:val="bullet"/>
      <w:lvlText w:val=""/>
      <w:lvlJc w:val="left"/>
      <w:pPr>
        <w:ind w:left="3949" w:hanging="360"/>
      </w:pPr>
      <w:rPr>
        <w:rFonts w:ascii="Symbol" w:hAnsi="Symbol" w:hint="default"/>
      </w:rPr>
    </w:lvl>
    <w:lvl w:ilvl="4">
      <w:start w:val="1"/>
      <w:numFmt w:val="bullet"/>
      <w:lvlText w:val="o"/>
      <w:lvlJc w:val="left"/>
      <w:pPr>
        <w:ind w:left="4669" w:hanging="360"/>
      </w:pPr>
      <w:rPr>
        <w:rFonts w:ascii="Courier New" w:hAnsi="Courier New" w:cs="Courier New" w:hint="default"/>
      </w:rPr>
    </w:lvl>
    <w:lvl w:ilvl="5">
      <w:start w:val="1"/>
      <w:numFmt w:val="bullet"/>
      <w:lvlText w:val=""/>
      <w:lvlJc w:val="left"/>
      <w:pPr>
        <w:ind w:left="5389" w:hanging="360"/>
      </w:pPr>
      <w:rPr>
        <w:rFonts w:ascii="Wingdings" w:hAnsi="Wingdings" w:hint="default"/>
      </w:rPr>
    </w:lvl>
    <w:lvl w:ilvl="6">
      <w:start w:val="1"/>
      <w:numFmt w:val="bullet"/>
      <w:lvlText w:val=""/>
      <w:lvlJc w:val="left"/>
      <w:pPr>
        <w:ind w:left="6109" w:hanging="360"/>
      </w:pPr>
      <w:rPr>
        <w:rFonts w:ascii="Symbol" w:hAnsi="Symbol" w:hint="default"/>
      </w:rPr>
    </w:lvl>
    <w:lvl w:ilvl="7">
      <w:start w:val="1"/>
      <w:numFmt w:val="bullet"/>
      <w:lvlText w:val="o"/>
      <w:lvlJc w:val="left"/>
      <w:pPr>
        <w:ind w:left="6829" w:hanging="360"/>
      </w:pPr>
      <w:rPr>
        <w:rFonts w:ascii="Courier New" w:hAnsi="Courier New" w:cs="Courier New" w:hint="default"/>
      </w:rPr>
    </w:lvl>
    <w:lvl w:ilvl="8">
      <w:start w:val="1"/>
      <w:numFmt w:val="bullet"/>
      <w:lvlText w:val=""/>
      <w:lvlJc w:val="left"/>
      <w:pPr>
        <w:ind w:left="7549" w:hanging="360"/>
      </w:pPr>
      <w:rPr>
        <w:rFonts w:ascii="Wingdings" w:hAnsi="Wingdings" w:hint="default"/>
      </w:rPr>
    </w:lvl>
  </w:abstractNum>
  <w:abstractNum w:abstractNumId="19" w15:restartNumberingAfterBreak="0">
    <w:nsid w:val="2F616075"/>
    <w:multiLevelType w:val="multilevel"/>
    <w:tmpl w:val="F34682C0"/>
    <w:lvl w:ilvl="0">
      <w:start w:val="1"/>
      <w:numFmt w:val="bullet"/>
      <w:lvlText w:val="-"/>
      <w:lvlJc w:val="left"/>
      <w:pPr>
        <w:tabs>
          <w:tab w:val="num" w:pos="284"/>
        </w:tabs>
        <w:ind w:left="284" w:hanging="284"/>
      </w:pPr>
      <w:rPr>
        <w:rFonts w:ascii="Helvetica" w:eastAsia="Helvetica" w:hAnsi="Helvetica" w:cs="Helvetica"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0933951"/>
    <w:multiLevelType w:val="multilevel"/>
    <w:tmpl w:val="A6D27878"/>
    <w:lvl w:ilvl="0">
      <w:start w:val="1"/>
      <w:numFmt w:val="bullet"/>
      <w:lvlText w:val="-"/>
      <w:lvlJc w:val="left"/>
      <w:pPr>
        <w:ind w:left="1429" w:hanging="360"/>
      </w:pPr>
      <w:rPr>
        <w:rFonts w:ascii="Helvetica" w:eastAsia="Helvetica" w:hAnsi="Helvetica" w:cs="Helvetica"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1" w15:restartNumberingAfterBreak="0">
    <w:nsid w:val="311813EA"/>
    <w:multiLevelType w:val="multilevel"/>
    <w:tmpl w:val="3758AED4"/>
    <w:lvl w:ilvl="0">
      <w:start w:val="2"/>
      <w:numFmt w:val="bullet"/>
      <w:lvlText w:val="-"/>
      <w:lvlJc w:val="left"/>
      <w:pPr>
        <w:ind w:left="1069" w:hanging="360"/>
      </w:pPr>
      <w:rPr>
        <w:rFonts w:ascii="Times New Roman" w:eastAsia="Arial Unicode MS"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22" w15:restartNumberingAfterBreak="0">
    <w:nsid w:val="34461DF6"/>
    <w:multiLevelType w:val="multilevel"/>
    <w:tmpl w:val="6C22F064"/>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3" w15:restartNumberingAfterBreak="0">
    <w:nsid w:val="35B237E8"/>
    <w:multiLevelType w:val="multilevel"/>
    <w:tmpl w:val="BABA1808"/>
    <w:lvl w:ilvl="0">
      <w:start w:val="8"/>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4" w15:restartNumberingAfterBreak="0">
    <w:nsid w:val="37AA3A47"/>
    <w:multiLevelType w:val="multilevel"/>
    <w:tmpl w:val="51D6DB2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8955F54"/>
    <w:multiLevelType w:val="multilevel"/>
    <w:tmpl w:val="02664582"/>
    <w:lvl w:ilvl="0">
      <w:start w:val="8"/>
      <w:numFmt w:val="bullet"/>
      <w:lvlText w:val="-"/>
      <w:lvlJc w:val="left"/>
      <w:pPr>
        <w:ind w:left="1429" w:hanging="360"/>
      </w:pPr>
      <w:rPr>
        <w:rFonts w:ascii="Times New Roman" w:eastAsia="Microsoft YaHei"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6" w15:restartNumberingAfterBreak="0">
    <w:nsid w:val="3AAD4503"/>
    <w:multiLevelType w:val="multilevel"/>
    <w:tmpl w:val="07582B80"/>
    <w:lvl w:ilvl="0">
      <w:start w:val="60"/>
      <w:numFmt w:val="bullet"/>
      <w:lvlText w:val="-"/>
      <w:lvlJc w:val="left"/>
      <w:pPr>
        <w:ind w:left="1429" w:hanging="360"/>
      </w:pPr>
      <w:rPr>
        <w:rFonts w:ascii="Times New Roman" w:eastAsia="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27" w15:restartNumberingAfterBreak="0">
    <w:nsid w:val="3BFB58F8"/>
    <w:multiLevelType w:val="multilevel"/>
    <w:tmpl w:val="524A4BA0"/>
    <w:lvl w:ilvl="0">
      <w:start w:val="1"/>
      <w:numFmt w:val="bullet"/>
      <w:lvlText w:val="-"/>
      <w:lvlJc w:val="left"/>
      <w:pPr>
        <w:ind w:left="720" w:hanging="360"/>
      </w:pPr>
      <w:rPr>
        <w:rFonts w:ascii="Helvetica" w:eastAsia="Helvetica" w:hAnsi="Helvetica" w:cs="Helvetica"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3C4013EC"/>
    <w:multiLevelType w:val="multilevel"/>
    <w:tmpl w:val="C6C65268"/>
    <w:lvl w:ilvl="0">
      <w:start w:val="1"/>
      <w:numFmt w:val="bullet"/>
      <w:lvlText w:val="-"/>
      <w:lvlJc w:val="left"/>
      <w:pPr>
        <w:ind w:left="360" w:hanging="360"/>
      </w:pPr>
      <w:rPr>
        <w:rFonts w:ascii="Helvetica" w:eastAsia="Helvetica" w:hAnsi="Helvetica" w:cs="Helvetica"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9" w15:restartNumberingAfterBreak="0">
    <w:nsid w:val="3FE31DDA"/>
    <w:multiLevelType w:val="multilevel"/>
    <w:tmpl w:val="B1CC92D8"/>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30" w15:restartNumberingAfterBreak="0">
    <w:nsid w:val="44367DF3"/>
    <w:multiLevelType w:val="multilevel"/>
    <w:tmpl w:val="D2C2159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44826806"/>
    <w:multiLevelType w:val="multilevel"/>
    <w:tmpl w:val="B5B2FAF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2" w15:restartNumberingAfterBreak="0">
    <w:nsid w:val="45F756F2"/>
    <w:multiLevelType w:val="multilevel"/>
    <w:tmpl w:val="537649B4"/>
    <w:lvl w:ilvl="0">
      <w:start w:val="1"/>
      <w:numFmt w:val="bullet"/>
      <w:lvlText w:val="o"/>
      <w:lvlJc w:val="left"/>
      <w:pPr>
        <w:ind w:left="2498" w:hanging="360"/>
      </w:pPr>
      <w:rPr>
        <w:rFonts w:ascii="Courier New" w:hAnsi="Courier New" w:cs="Courier New" w:hint="default"/>
      </w:rPr>
    </w:lvl>
    <w:lvl w:ilvl="1">
      <w:start w:val="3"/>
      <w:numFmt w:val="bullet"/>
      <w:lvlText w:val="-"/>
      <w:lvlJc w:val="left"/>
      <w:pPr>
        <w:ind w:left="2149" w:hanging="360"/>
      </w:pPr>
      <w:rPr>
        <w:rFonts w:ascii="Times New Roman" w:eastAsia="Microsoft YaHei" w:hAnsi="Times New Roman" w:cs="Times New Roman"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3" w15:restartNumberingAfterBreak="0">
    <w:nsid w:val="46AD166C"/>
    <w:multiLevelType w:val="multilevel"/>
    <w:tmpl w:val="05EEFBA6"/>
    <w:lvl w:ilvl="0">
      <w:start w:val="1"/>
      <w:numFmt w:val="decimal"/>
      <w:lvlText w:val="%1."/>
      <w:lvlJc w:val="left"/>
      <w:pPr>
        <w:ind w:left="420" w:hanging="42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34" w15:restartNumberingAfterBreak="0">
    <w:nsid w:val="485F3062"/>
    <w:multiLevelType w:val="multilevel"/>
    <w:tmpl w:val="CF2ECC62"/>
    <w:lvl w:ilvl="0">
      <w:start w:val="1"/>
      <w:numFmt w:val="decimal"/>
      <w:lvlText w:val="%1."/>
      <w:lvlJc w:val="left"/>
      <w:pPr>
        <w:ind w:left="388" w:hanging="360"/>
      </w:pPr>
      <w:rPr>
        <w:rFonts w:hint="default"/>
      </w:rPr>
    </w:lvl>
    <w:lvl w:ilvl="1">
      <w:start w:val="1"/>
      <w:numFmt w:val="lowerLetter"/>
      <w:lvlText w:val="%2."/>
      <w:lvlJc w:val="left"/>
      <w:pPr>
        <w:ind w:left="1108" w:hanging="360"/>
      </w:pPr>
    </w:lvl>
    <w:lvl w:ilvl="2">
      <w:start w:val="1"/>
      <w:numFmt w:val="lowerRoman"/>
      <w:lvlText w:val="%3."/>
      <w:lvlJc w:val="right"/>
      <w:pPr>
        <w:ind w:left="1828" w:hanging="180"/>
      </w:pPr>
    </w:lvl>
    <w:lvl w:ilvl="3">
      <w:start w:val="1"/>
      <w:numFmt w:val="decimal"/>
      <w:lvlText w:val="%4."/>
      <w:lvlJc w:val="left"/>
      <w:pPr>
        <w:ind w:left="2548" w:hanging="360"/>
      </w:pPr>
    </w:lvl>
    <w:lvl w:ilvl="4">
      <w:start w:val="1"/>
      <w:numFmt w:val="lowerLetter"/>
      <w:lvlText w:val="%5."/>
      <w:lvlJc w:val="left"/>
      <w:pPr>
        <w:ind w:left="3268" w:hanging="360"/>
      </w:pPr>
    </w:lvl>
    <w:lvl w:ilvl="5">
      <w:start w:val="1"/>
      <w:numFmt w:val="lowerRoman"/>
      <w:lvlText w:val="%6."/>
      <w:lvlJc w:val="right"/>
      <w:pPr>
        <w:ind w:left="3988" w:hanging="180"/>
      </w:pPr>
    </w:lvl>
    <w:lvl w:ilvl="6">
      <w:start w:val="1"/>
      <w:numFmt w:val="decimal"/>
      <w:lvlText w:val="%7."/>
      <w:lvlJc w:val="left"/>
      <w:pPr>
        <w:ind w:left="4708" w:hanging="360"/>
      </w:pPr>
    </w:lvl>
    <w:lvl w:ilvl="7">
      <w:start w:val="1"/>
      <w:numFmt w:val="lowerLetter"/>
      <w:lvlText w:val="%8."/>
      <w:lvlJc w:val="left"/>
      <w:pPr>
        <w:ind w:left="5428" w:hanging="360"/>
      </w:pPr>
    </w:lvl>
    <w:lvl w:ilvl="8">
      <w:start w:val="1"/>
      <w:numFmt w:val="lowerRoman"/>
      <w:lvlText w:val="%9."/>
      <w:lvlJc w:val="right"/>
      <w:pPr>
        <w:ind w:left="6148" w:hanging="180"/>
      </w:pPr>
    </w:lvl>
  </w:abstractNum>
  <w:abstractNum w:abstractNumId="35" w15:restartNumberingAfterBreak="0">
    <w:nsid w:val="4EE01E77"/>
    <w:multiLevelType w:val="multilevel"/>
    <w:tmpl w:val="65B06E6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4FFA6247"/>
    <w:multiLevelType w:val="multilevel"/>
    <w:tmpl w:val="F9A8295E"/>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37" w15:restartNumberingAfterBreak="0">
    <w:nsid w:val="501329F7"/>
    <w:multiLevelType w:val="multilevel"/>
    <w:tmpl w:val="73A27B3A"/>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8" w15:restartNumberingAfterBreak="0">
    <w:nsid w:val="5CD34E68"/>
    <w:multiLevelType w:val="multilevel"/>
    <w:tmpl w:val="C338AF66"/>
    <w:lvl w:ilvl="0">
      <w:start w:val="60"/>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E9C3FF8"/>
    <w:multiLevelType w:val="multilevel"/>
    <w:tmpl w:val="55AC4352"/>
    <w:lvl w:ilvl="0">
      <w:start w:val="1"/>
      <w:numFmt w:val="bullet"/>
      <w:lvlText w:val="-"/>
      <w:lvlJc w:val="left"/>
      <w:pPr>
        <w:ind w:left="360" w:hanging="360"/>
      </w:pPr>
      <w:rPr>
        <w:rFonts w:ascii="Helvetica" w:eastAsia="Helvetica" w:hAnsi="Helvetica" w:cs="Helvetica"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40" w15:restartNumberingAfterBreak="0">
    <w:nsid w:val="682A5D6C"/>
    <w:multiLevelType w:val="multilevel"/>
    <w:tmpl w:val="122C7DEC"/>
    <w:lvl w:ilvl="0">
      <w:start w:val="5"/>
      <w:numFmt w:val="bullet"/>
      <w:lvlText w:val="-"/>
      <w:lvlJc w:val="left"/>
      <w:pPr>
        <w:ind w:left="1069" w:hanging="360"/>
      </w:pPr>
      <w:rPr>
        <w:rFonts w:ascii="Times New Roman" w:eastAsia="Microsoft YaHei"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41" w15:restartNumberingAfterBreak="0">
    <w:nsid w:val="6D452C64"/>
    <w:multiLevelType w:val="multilevel"/>
    <w:tmpl w:val="55C49C0C"/>
    <w:lvl w:ilvl="0">
      <w:start w:val="3"/>
      <w:numFmt w:val="bullet"/>
      <w:lvlText w:val="-"/>
      <w:lvlJc w:val="left"/>
      <w:pPr>
        <w:ind w:left="1069" w:hanging="360"/>
      </w:pPr>
      <w:rPr>
        <w:rFonts w:ascii="Times New Roman" w:eastAsia="TimesNewRomanPSMT"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42" w15:restartNumberingAfterBreak="0">
    <w:nsid w:val="70F5413C"/>
    <w:multiLevelType w:val="multilevel"/>
    <w:tmpl w:val="E8B05C34"/>
    <w:lvl w:ilvl="0">
      <w:start w:val="1"/>
      <w:numFmt w:val="bullet"/>
      <w:lvlText w:val="-"/>
      <w:lvlJc w:val="left"/>
      <w:pPr>
        <w:ind w:left="1429" w:hanging="360"/>
      </w:pPr>
      <w:rPr>
        <w:rFonts w:ascii="Helvetica" w:eastAsia="Helvetica" w:hAnsi="Helvetica" w:cs="Helvetica" w:hint="default"/>
      </w:rPr>
    </w:lvl>
    <w:lvl w:ilvl="1">
      <w:numFmt w:val="bullet"/>
      <w:lvlText w:val="•"/>
      <w:lvlJc w:val="left"/>
      <w:pPr>
        <w:ind w:left="2209" w:hanging="420"/>
      </w:pPr>
      <w:rPr>
        <w:rFonts w:ascii="Times New Roman" w:eastAsia="Microsoft YaHei" w:hAnsi="Times New Roman" w:cs="Times New Roman"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43" w15:restartNumberingAfterBreak="0">
    <w:nsid w:val="72F322EC"/>
    <w:multiLevelType w:val="multilevel"/>
    <w:tmpl w:val="A148B3F8"/>
    <w:lvl w:ilvl="0">
      <w:numFmt w:val="bullet"/>
      <w:lvlText w:val="-"/>
      <w:lvlJc w:val="left"/>
      <w:pPr>
        <w:ind w:left="1069" w:hanging="360"/>
      </w:pPr>
      <w:rPr>
        <w:rFonts w:ascii="Times New Roman" w:eastAsia="Arial Unicode MS"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44" w15:restartNumberingAfterBreak="0">
    <w:nsid w:val="7AA57187"/>
    <w:multiLevelType w:val="multilevel"/>
    <w:tmpl w:val="A4363F50"/>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num w:numId="1">
    <w:abstractNumId w:val="14"/>
  </w:num>
  <w:num w:numId="2">
    <w:abstractNumId w:val="37"/>
  </w:num>
  <w:num w:numId="3">
    <w:abstractNumId w:val="1"/>
  </w:num>
  <w:num w:numId="4">
    <w:abstractNumId w:val="29"/>
  </w:num>
  <w:num w:numId="5">
    <w:abstractNumId w:val="12"/>
  </w:num>
  <w:num w:numId="6">
    <w:abstractNumId w:val="3"/>
  </w:num>
  <w:num w:numId="7">
    <w:abstractNumId w:val="33"/>
  </w:num>
  <w:num w:numId="8">
    <w:abstractNumId w:val="4"/>
  </w:num>
  <w:num w:numId="9">
    <w:abstractNumId w:val="19"/>
  </w:num>
  <w:num w:numId="10">
    <w:abstractNumId w:val="28"/>
  </w:num>
  <w:num w:numId="11">
    <w:abstractNumId w:val="39"/>
  </w:num>
  <w:num w:numId="12">
    <w:abstractNumId w:val="31"/>
  </w:num>
  <w:num w:numId="13">
    <w:abstractNumId w:val="43"/>
  </w:num>
  <w:num w:numId="14">
    <w:abstractNumId w:val="21"/>
  </w:num>
  <w:num w:numId="15">
    <w:abstractNumId w:val="41"/>
  </w:num>
  <w:num w:numId="16">
    <w:abstractNumId w:val="0"/>
  </w:num>
  <w:num w:numId="17">
    <w:abstractNumId w:val="30"/>
  </w:num>
  <w:num w:numId="18">
    <w:abstractNumId w:val="7"/>
  </w:num>
  <w:num w:numId="19">
    <w:abstractNumId w:val="40"/>
  </w:num>
  <w:num w:numId="20">
    <w:abstractNumId w:val="36"/>
  </w:num>
  <w:num w:numId="21">
    <w:abstractNumId w:val="2"/>
  </w:num>
  <w:num w:numId="22">
    <w:abstractNumId w:val="25"/>
  </w:num>
  <w:num w:numId="23">
    <w:abstractNumId w:val="23"/>
  </w:num>
  <w:num w:numId="24">
    <w:abstractNumId w:val="24"/>
  </w:num>
  <w:num w:numId="25">
    <w:abstractNumId w:val="34"/>
  </w:num>
  <w:num w:numId="26">
    <w:abstractNumId w:val="9"/>
  </w:num>
  <w:num w:numId="27">
    <w:abstractNumId w:val="16"/>
  </w:num>
  <w:num w:numId="28">
    <w:abstractNumId w:val="44"/>
  </w:num>
  <w:num w:numId="29">
    <w:abstractNumId w:val="18"/>
  </w:num>
  <w:num w:numId="30">
    <w:abstractNumId w:val="17"/>
  </w:num>
  <w:num w:numId="31">
    <w:abstractNumId w:val="15"/>
  </w:num>
  <w:num w:numId="32">
    <w:abstractNumId w:val="10"/>
  </w:num>
  <w:num w:numId="33">
    <w:abstractNumId w:val="20"/>
  </w:num>
  <w:num w:numId="34">
    <w:abstractNumId w:val="5"/>
  </w:num>
  <w:num w:numId="35">
    <w:abstractNumId w:val="6"/>
  </w:num>
  <w:num w:numId="36">
    <w:abstractNumId w:val="27"/>
  </w:num>
  <w:num w:numId="37">
    <w:abstractNumId w:val="42"/>
  </w:num>
  <w:num w:numId="38">
    <w:abstractNumId w:val="13"/>
  </w:num>
  <w:num w:numId="39">
    <w:abstractNumId w:val="32"/>
  </w:num>
  <w:num w:numId="40">
    <w:abstractNumId w:val="26"/>
  </w:num>
  <w:num w:numId="41">
    <w:abstractNumId w:val="35"/>
  </w:num>
  <w:num w:numId="42">
    <w:abstractNumId w:val="38"/>
  </w:num>
  <w:num w:numId="43">
    <w:abstractNumId w:val="11"/>
  </w:num>
  <w:num w:numId="44">
    <w:abstractNumId w:val="8"/>
  </w:num>
  <w:num w:numId="4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626E"/>
    <w:rsid w:val="00075447"/>
    <w:rsid w:val="001365B6"/>
    <w:rsid w:val="001A5B20"/>
    <w:rsid w:val="00206C63"/>
    <w:rsid w:val="002C3AE7"/>
    <w:rsid w:val="003C626E"/>
    <w:rsid w:val="004D5117"/>
    <w:rsid w:val="00553724"/>
    <w:rsid w:val="00F75C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FFC0F"/>
  <w15:docId w15:val="{23A13AEE-8101-4C6C-9597-6BA20F523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pPr>
      <w:keepNext/>
      <w:keepLines/>
      <w:spacing w:before="360" w:after="80"/>
      <w:outlineLvl w:val="0"/>
    </w:pPr>
    <w:rPr>
      <w:rFonts w:ascii="Arial" w:eastAsia="Arial" w:hAnsi="Arial" w:cs="Arial"/>
      <w:color w:val="365F91" w:themeColor="accent1" w:themeShade="BF"/>
      <w:sz w:val="40"/>
      <w:szCs w:val="40"/>
    </w:rPr>
  </w:style>
  <w:style w:type="paragraph" w:styleId="2">
    <w:name w:val="heading 2"/>
    <w:basedOn w:val="a"/>
    <w:next w:val="a"/>
    <w:link w:val="20"/>
    <w:uiPriority w:val="9"/>
    <w:unhideWhenUsed/>
    <w:qFormat/>
    <w:pPr>
      <w:keepNext/>
      <w:keepLines/>
      <w:spacing w:before="160" w:after="80"/>
      <w:outlineLvl w:val="1"/>
    </w:pPr>
    <w:rPr>
      <w:rFonts w:ascii="Arial" w:eastAsia="Arial" w:hAnsi="Arial" w:cs="Arial"/>
      <w:color w:val="365F91" w:themeColor="accent1" w:themeShade="BF"/>
      <w:sz w:val="32"/>
      <w:szCs w:val="32"/>
    </w:rPr>
  </w:style>
  <w:style w:type="paragraph" w:styleId="3">
    <w:name w:val="heading 3"/>
    <w:basedOn w:val="a"/>
    <w:next w:val="a"/>
    <w:link w:val="30"/>
    <w:qFormat/>
    <w:pPr>
      <w:keepNext/>
      <w:widowControl/>
      <w:numPr>
        <w:ilvl w:val="2"/>
        <w:numId w:val="17"/>
      </w:numPr>
      <w:tabs>
        <w:tab w:val="num" w:pos="720"/>
      </w:tabs>
      <w:ind w:left="720"/>
      <w:outlineLvl w:val="2"/>
    </w:pPr>
    <w:rPr>
      <w:rFonts w:ascii="Times New Roman" w:eastAsia="Times New Roman" w:hAnsi="Times New Roman" w:cs="Times New Roman"/>
      <w:b/>
      <w:bCs/>
      <w:color w:val="auto"/>
      <w:sz w:val="28"/>
      <w:szCs w:val="28"/>
      <w:lang w:eastAsia="zh-CN" w:bidi="ar-SA"/>
    </w:rPr>
  </w:style>
  <w:style w:type="paragraph" w:styleId="4">
    <w:name w:val="heading 4"/>
    <w:basedOn w:val="a"/>
    <w:next w:val="a"/>
    <w:link w:val="40"/>
    <w:uiPriority w:val="9"/>
    <w:unhideWhenUsed/>
    <w:qFormat/>
    <w:pPr>
      <w:keepNext/>
      <w:keepLines/>
      <w:spacing w:before="80" w:after="40"/>
      <w:outlineLvl w:val="3"/>
    </w:pPr>
    <w:rPr>
      <w:rFonts w:ascii="Arial" w:eastAsia="Arial" w:hAnsi="Arial" w:cs="Arial"/>
      <w:i/>
      <w:iCs/>
      <w:color w:val="365F91" w:themeColor="accent1" w:themeShade="BF"/>
    </w:rPr>
  </w:style>
  <w:style w:type="paragraph" w:styleId="5">
    <w:name w:val="heading 5"/>
    <w:basedOn w:val="a"/>
    <w:next w:val="a"/>
    <w:link w:val="50"/>
    <w:uiPriority w:val="9"/>
    <w:unhideWhenUsed/>
    <w:qFormat/>
    <w:pPr>
      <w:keepNext/>
      <w:keepLines/>
      <w:spacing w:before="80" w:after="40"/>
      <w:outlineLvl w:val="4"/>
    </w:pPr>
    <w:rPr>
      <w:rFonts w:ascii="Arial" w:eastAsia="Arial" w:hAnsi="Arial" w:cs="Arial"/>
      <w:color w:val="365F91" w:themeColor="accent1" w:themeShade="BF"/>
    </w:rPr>
  </w:style>
  <w:style w:type="paragraph" w:styleId="6">
    <w:name w:val="heading 6"/>
    <w:basedOn w:val="a"/>
    <w:next w:val="a"/>
    <w:link w:val="60"/>
    <w:uiPriority w:val="9"/>
    <w:unhideWhenUsed/>
    <w:qFormat/>
    <w:pPr>
      <w:keepNext/>
      <w:keepLines/>
      <w:spacing w:before="40"/>
      <w:outlineLvl w:val="5"/>
    </w:pPr>
    <w:rPr>
      <w:rFonts w:ascii="Arial" w:eastAsia="Arial" w:hAnsi="Arial" w:cs="Arial"/>
      <w:i/>
      <w:iCs/>
      <w:color w:val="595959" w:themeColor="text1" w:themeTint="A6"/>
    </w:rPr>
  </w:style>
  <w:style w:type="paragraph" w:styleId="7">
    <w:name w:val="heading 7"/>
    <w:basedOn w:val="a"/>
    <w:next w:val="a"/>
    <w:link w:val="70"/>
    <w:uiPriority w:val="9"/>
    <w:unhideWhenUsed/>
    <w:qFormat/>
    <w:pPr>
      <w:keepNext/>
      <w:keepLines/>
      <w:spacing w:before="40"/>
      <w:outlineLvl w:val="6"/>
    </w:pPr>
    <w:rPr>
      <w:rFonts w:ascii="Arial" w:eastAsia="Arial" w:hAnsi="Arial" w:cs="Arial"/>
      <w:color w:val="595959" w:themeColor="text1" w:themeTint="A6"/>
    </w:rPr>
  </w:style>
  <w:style w:type="paragraph" w:styleId="8">
    <w:name w:val="heading 8"/>
    <w:basedOn w:val="a"/>
    <w:next w:val="a"/>
    <w:link w:val="80"/>
    <w:semiHidden/>
    <w:unhideWhenUsed/>
    <w:qFormat/>
    <w:pPr>
      <w:widowControl/>
      <w:spacing w:before="240" w:after="60"/>
      <w:outlineLvl w:val="7"/>
    </w:pPr>
    <w:rPr>
      <w:rFonts w:ascii="Calibri" w:eastAsia="SimSun" w:hAnsi="Calibri" w:cs="Times New Roman"/>
      <w:i/>
      <w:iCs/>
      <w:color w:val="auto"/>
      <w:lang w:eastAsia="en-US" w:bidi="ar-SA"/>
    </w:rPr>
  </w:style>
  <w:style w:type="paragraph" w:styleId="9">
    <w:name w:val="heading 9"/>
    <w:basedOn w:val="a"/>
    <w:next w:val="a"/>
    <w:link w:val="90"/>
    <w:uiPriority w:val="9"/>
    <w:unhideWhenUsed/>
    <w:qFormat/>
    <w:pPr>
      <w:keepNext/>
      <w:keepLines/>
      <w:outlineLvl w:val="8"/>
    </w:pPr>
    <w:rPr>
      <w:rFonts w:ascii="Arial" w:eastAsia="Arial" w:hAnsi="Arial" w:cs="Arial"/>
      <w:i/>
      <w:iCs/>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1">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2">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2">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1">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1">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3">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2">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2">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2">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3">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2">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2">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val="uk-UA" w:eastAsia="uk-UA"/>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val="uk-UA" w:eastAsia="uk-UA"/>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val="uk-UA" w:eastAsia="uk-UA"/>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val="uk-UA" w:eastAsia="uk-UA"/>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val="uk-UA" w:eastAsia="uk-UA"/>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val="uk-UA" w:eastAsia="uk-UA"/>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val="uk-UA" w:eastAsia="uk-UA"/>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val="uk-UA" w:eastAsia="uk-UA"/>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10">
    <w:name w:val="Заголовок 1 Знак"/>
    <w:basedOn w:val="a0"/>
    <w:link w:val="1"/>
    <w:uiPriority w:val="9"/>
    <w:rPr>
      <w:rFonts w:ascii="Arial" w:eastAsia="Arial" w:hAnsi="Arial" w:cs="Arial"/>
      <w:color w:val="365F91" w:themeColor="accent1" w:themeShade="BF"/>
      <w:sz w:val="40"/>
      <w:szCs w:val="40"/>
    </w:rPr>
  </w:style>
  <w:style w:type="character" w:customStyle="1" w:styleId="20">
    <w:name w:val="Заголовок 2 Знак"/>
    <w:basedOn w:val="a0"/>
    <w:link w:val="2"/>
    <w:uiPriority w:val="9"/>
    <w:rPr>
      <w:rFonts w:ascii="Arial" w:eastAsia="Arial" w:hAnsi="Arial" w:cs="Arial"/>
      <w:color w:val="365F91" w:themeColor="accent1" w:themeShade="BF"/>
      <w:sz w:val="32"/>
      <w:szCs w:val="32"/>
    </w:rPr>
  </w:style>
  <w:style w:type="character" w:customStyle="1" w:styleId="Heading3Char">
    <w:name w:val="Heading 3 Char"/>
    <w:basedOn w:val="a0"/>
    <w:uiPriority w:val="9"/>
    <w:rPr>
      <w:rFonts w:ascii="Arial" w:eastAsia="Arial" w:hAnsi="Arial" w:cs="Arial"/>
      <w:color w:val="365F91" w:themeColor="accent1" w:themeShade="BF"/>
      <w:sz w:val="28"/>
      <w:szCs w:val="28"/>
    </w:rPr>
  </w:style>
  <w:style w:type="character" w:customStyle="1" w:styleId="40">
    <w:name w:val="Заголовок 4 Знак"/>
    <w:basedOn w:val="a0"/>
    <w:link w:val="4"/>
    <w:uiPriority w:val="9"/>
    <w:rPr>
      <w:rFonts w:ascii="Arial" w:eastAsia="Arial" w:hAnsi="Arial" w:cs="Arial"/>
      <w:i/>
      <w:iCs/>
      <w:color w:val="365F91" w:themeColor="accent1" w:themeShade="BF"/>
    </w:rPr>
  </w:style>
  <w:style w:type="character" w:customStyle="1" w:styleId="50">
    <w:name w:val="Заголовок 5 Знак"/>
    <w:basedOn w:val="a0"/>
    <w:link w:val="5"/>
    <w:uiPriority w:val="9"/>
    <w:rPr>
      <w:rFonts w:ascii="Arial" w:eastAsia="Arial" w:hAnsi="Arial" w:cs="Arial"/>
      <w:color w:val="365F91" w:themeColor="accent1" w:themeShade="BF"/>
    </w:rPr>
  </w:style>
  <w:style w:type="character" w:customStyle="1" w:styleId="60">
    <w:name w:val="Заголовок 6 Знак"/>
    <w:basedOn w:val="a0"/>
    <w:link w:val="6"/>
    <w:uiPriority w:val="9"/>
    <w:rPr>
      <w:rFonts w:ascii="Arial" w:eastAsia="Arial" w:hAnsi="Arial" w:cs="Arial"/>
      <w:i/>
      <w:iCs/>
      <w:color w:val="595959" w:themeColor="text1" w:themeTint="A6"/>
    </w:rPr>
  </w:style>
  <w:style w:type="character" w:customStyle="1" w:styleId="70">
    <w:name w:val="Заголовок 7 Знак"/>
    <w:basedOn w:val="a0"/>
    <w:link w:val="7"/>
    <w:uiPriority w:val="9"/>
    <w:rPr>
      <w:rFonts w:ascii="Arial" w:eastAsia="Arial" w:hAnsi="Arial" w:cs="Arial"/>
      <w:color w:val="595959" w:themeColor="text1" w:themeTint="A6"/>
    </w:rPr>
  </w:style>
  <w:style w:type="character" w:customStyle="1" w:styleId="Heading8Char">
    <w:name w:val="Heading 8 Char"/>
    <w:basedOn w:val="a0"/>
    <w:uiPriority w:val="9"/>
    <w:rPr>
      <w:rFonts w:ascii="Arial" w:eastAsia="Arial" w:hAnsi="Arial" w:cs="Arial"/>
      <w:i/>
      <w:iCs/>
      <w:color w:val="272727" w:themeColor="text1" w:themeTint="D8"/>
    </w:rPr>
  </w:style>
  <w:style w:type="character" w:customStyle="1" w:styleId="90">
    <w:name w:val="Заголовок 9 Знак"/>
    <w:basedOn w:val="a0"/>
    <w:link w:val="9"/>
    <w:uiPriority w:val="9"/>
    <w:rPr>
      <w:rFonts w:ascii="Arial" w:eastAsia="Arial" w:hAnsi="Arial" w:cs="Arial"/>
      <w:i/>
      <w:iCs/>
      <w:color w:val="272727" w:themeColor="text1" w:themeTint="D8"/>
    </w:rPr>
  </w:style>
  <w:style w:type="paragraph" w:styleId="a3">
    <w:name w:val="Title"/>
    <w:basedOn w:val="a"/>
    <w:next w:val="a"/>
    <w:link w:val="a4"/>
    <w:uiPriority w:val="10"/>
    <w:qFormat/>
    <w:pPr>
      <w:spacing w:after="80"/>
      <w:contextualSpacing/>
    </w:pPr>
    <w:rPr>
      <w:rFonts w:ascii="Arial" w:eastAsia="Arial" w:hAnsi="Arial" w:cs="Arial"/>
      <w:spacing w:val="-10"/>
      <w:sz w:val="56"/>
      <w:szCs w:val="56"/>
    </w:rPr>
  </w:style>
  <w:style w:type="character" w:customStyle="1" w:styleId="a4">
    <w:name w:val="Назва Знак"/>
    <w:basedOn w:val="a0"/>
    <w:link w:val="a3"/>
    <w:uiPriority w:val="10"/>
    <w:rPr>
      <w:rFonts w:ascii="Arial" w:eastAsia="Arial" w:hAnsi="Arial" w:cs="Arial"/>
      <w:spacing w:val="-10"/>
      <w:sz w:val="56"/>
      <w:szCs w:val="56"/>
    </w:rPr>
  </w:style>
  <w:style w:type="paragraph" w:styleId="a5">
    <w:name w:val="Subtitle"/>
    <w:basedOn w:val="a"/>
    <w:next w:val="a"/>
    <w:link w:val="a6"/>
    <w:uiPriority w:val="11"/>
    <w:qFormat/>
    <w:pPr>
      <w:numPr>
        <w:ilvl w:val="1"/>
      </w:numPr>
    </w:pPr>
    <w:rPr>
      <w:color w:val="595959" w:themeColor="text1" w:themeTint="A6"/>
      <w:spacing w:val="15"/>
      <w:sz w:val="28"/>
      <w:szCs w:val="28"/>
    </w:rPr>
  </w:style>
  <w:style w:type="character" w:customStyle="1" w:styleId="a6">
    <w:name w:val="Підзаголовок Знак"/>
    <w:basedOn w:val="a0"/>
    <w:link w:val="a5"/>
    <w:uiPriority w:val="11"/>
    <w:rPr>
      <w:color w:val="595959" w:themeColor="text1" w:themeTint="A6"/>
      <w:spacing w:val="15"/>
      <w:sz w:val="28"/>
      <w:szCs w:val="28"/>
    </w:rPr>
  </w:style>
  <w:style w:type="paragraph" w:styleId="a7">
    <w:name w:val="Quote"/>
    <w:basedOn w:val="a"/>
    <w:next w:val="a"/>
    <w:link w:val="a8"/>
    <w:uiPriority w:val="29"/>
    <w:qFormat/>
    <w:pPr>
      <w:spacing w:before="160"/>
      <w:jc w:val="center"/>
    </w:pPr>
    <w:rPr>
      <w:i/>
      <w:iCs/>
      <w:color w:val="404040" w:themeColor="text1" w:themeTint="BF"/>
    </w:rPr>
  </w:style>
  <w:style w:type="character" w:customStyle="1" w:styleId="a8">
    <w:name w:val="Цитата Знак"/>
    <w:basedOn w:val="a0"/>
    <w:link w:val="a7"/>
    <w:uiPriority w:val="29"/>
    <w:rPr>
      <w:i/>
      <w:iCs/>
      <w:color w:val="404040" w:themeColor="text1" w:themeTint="BF"/>
    </w:rPr>
  </w:style>
  <w:style w:type="character" w:styleId="a9">
    <w:name w:val="Intense Emphasis"/>
    <w:basedOn w:val="a0"/>
    <w:uiPriority w:val="21"/>
    <w:qFormat/>
    <w:rPr>
      <w:i/>
      <w:iCs/>
      <w:color w:val="365F91" w:themeColor="accent1" w:themeShade="BF"/>
    </w:rPr>
  </w:style>
  <w:style w:type="paragraph" w:styleId="aa">
    <w:name w:val="Intense Quote"/>
    <w:basedOn w:val="a"/>
    <w:next w:val="a"/>
    <w:link w:val="ab"/>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ab">
    <w:name w:val="Насичена цитата Знак"/>
    <w:basedOn w:val="a0"/>
    <w:link w:val="aa"/>
    <w:uiPriority w:val="30"/>
    <w:rPr>
      <w:i/>
      <w:iCs/>
      <w:color w:val="365F91" w:themeColor="accent1" w:themeShade="BF"/>
    </w:rPr>
  </w:style>
  <w:style w:type="character" w:styleId="ac">
    <w:name w:val="Intense Reference"/>
    <w:basedOn w:val="a0"/>
    <w:uiPriority w:val="32"/>
    <w:qFormat/>
    <w:rPr>
      <w:b/>
      <w:bCs/>
      <w:smallCaps/>
      <w:color w:val="365F91" w:themeColor="accent1" w:themeShade="BF"/>
      <w:spacing w:val="5"/>
    </w:rPr>
  </w:style>
  <w:style w:type="paragraph" w:styleId="ad">
    <w:name w:val="No Spacing"/>
    <w:basedOn w:val="a"/>
    <w:uiPriority w:val="1"/>
    <w:qFormat/>
  </w:style>
  <w:style w:type="character" w:styleId="ae">
    <w:name w:val="Subtle Emphasis"/>
    <w:basedOn w:val="a0"/>
    <w:uiPriority w:val="19"/>
    <w:qFormat/>
    <w:rPr>
      <w:i/>
      <w:iCs/>
      <w:color w:val="404040" w:themeColor="text1" w:themeTint="BF"/>
    </w:rPr>
  </w:style>
  <w:style w:type="character" w:styleId="af">
    <w:name w:val="Emphasis"/>
    <w:basedOn w:val="a0"/>
    <w:uiPriority w:val="20"/>
    <w:qFormat/>
    <w:rPr>
      <w:i/>
      <w:iCs/>
    </w:rPr>
  </w:style>
  <w:style w:type="character" w:styleId="af0">
    <w:name w:val="Subtle Reference"/>
    <w:basedOn w:val="a0"/>
    <w:uiPriority w:val="31"/>
    <w:qFormat/>
    <w:rPr>
      <w:smallCaps/>
      <w:color w:val="5A5A5A" w:themeColor="text1" w:themeTint="A5"/>
    </w:rPr>
  </w:style>
  <w:style w:type="character" w:styleId="af1">
    <w:name w:val="Book Title"/>
    <w:basedOn w:val="a0"/>
    <w:uiPriority w:val="33"/>
    <w:qFormat/>
    <w:rPr>
      <w:b/>
      <w:bCs/>
      <w:i/>
      <w:iCs/>
      <w:spacing w:val="5"/>
    </w:rPr>
  </w:style>
  <w:style w:type="character" w:customStyle="1" w:styleId="HeaderChar">
    <w:name w:val="Header Char"/>
    <w:basedOn w:val="a0"/>
    <w:uiPriority w:val="99"/>
  </w:style>
  <w:style w:type="character" w:customStyle="1" w:styleId="FooterChar">
    <w:name w:val="Footer Char"/>
    <w:basedOn w:val="a0"/>
    <w:uiPriority w:val="99"/>
  </w:style>
  <w:style w:type="paragraph" w:styleId="af2">
    <w:name w:val="caption"/>
    <w:basedOn w:val="a"/>
    <w:next w:val="a"/>
    <w:uiPriority w:val="35"/>
    <w:unhideWhenUsed/>
    <w:qFormat/>
    <w:pPr>
      <w:spacing w:after="200"/>
    </w:pPr>
    <w:rPr>
      <w:i/>
      <w:iCs/>
      <w:color w:val="1F497D" w:themeColor="text2"/>
      <w:sz w:val="18"/>
      <w:szCs w:val="18"/>
    </w:rPr>
  </w:style>
  <w:style w:type="paragraph" w:styleId="af3">
    <w:name w:val="footnote text"/>
    <w:basedOn w:val="a"/>
    <w:link w:val="af4"/>
    <w:uiPriority w:val="99"/>
    <w:semiHidden/>
    <w:unhideWhenUsed/>
    <w:rPr>
      <w:sz w:val="20"/>
      <w:szCs w:val="20"/>
    </w:rPr>
  </w:style>
  <w:style w:type="character" w:customStyle="1" w:styleId="af4">
    <w:name w:val="Текст виноски Знак"/>
    <w:basedOn w:val="a0"/>
    <w:link w:val="af3"/>
    <w:uiPriority w:val="99"/>
    <w:semiHidden/>
    <w:rPr>
      <w:sz w:val="20"/>
      <w:szCs w:val="20"/>
    </w:rPr>
  </w:style>
  <w:style w:type="character" w:styleId="af5">
    <w:name w:val="footnote reference"/>
    <w:basedOn w:val="a0"/>
    <w:uiPriority w:val="99"/>
    <w:semiHidden/>
    <w:unhideWhenUsed/>
    <w:rPr>
      <w:vertAlign w:val="superscript"/>
    </w:rPr>
  </w:style>
  <w:style w:type="paragraph" w:styleId="af6">
    <w:name w:val="endnote text"/>
    <w:basedOn w:val="a"/>
    <w:link w:val="af7"/>
    <w:uiPriority w:val="99"/>
    <w:semiHidden/>
    <w:unhideWhenUsed/>
    <w:rPr>
      <w:sz w:val="20"/>
      <w:szCs w:val="20"/>
    </w:rPr>
  </w:style>
  <w:style w:type="character" w:customStyle="1" w:styleId="af7">
    <w:name w:val="Текст кінцевої виноски Знак"/>
    <w:basedOn w:val="a0"/>
    <w:link w:val="af6"/>
    <w:uiPriority w:val="99"/>
    <w:semiHidden/>
    <w:rPr>
      <w:sz w:val="20"/>
      <w:szCs w:val="20"/>
    </w:rPr>
  </w:style>
  <w:style w:type="character" w:styleId="af8">
    <w:name w:val="endnote reference"/>
    <w:basedOn w:val="a0"/>
    <w:uiPriority w:val="99"/>
    <w:semiHidden/>
    <w:unhideWhenUsed/>
    <w:rPr>
      <w:vertAlign w:val="superscript"/>
    </w:rPr>
  </w:style>
  <w:style w:type="paragraph" w:styleId="14">
    <w:name w:val="toc 1"/>
    <w:basedOn w:val="a"/>
    <w:next w:val="a"/>
    <w:uiPriority w:val="39"/>
    <w:unhideWhenUsed/>
    <w:pPr>
      <w:spacing w:after="100"/>
    </w:pPr>
  </w:style>
  <w:style w:type="paragraph" w:styleId="23">
    <w:name w:val="toc 2"/>
    <w:basedOn w:val="a"/>
    <w:next w:val="a"/>
    <w:uiPriority w:val="39"/>
    <w:unhideWhenUsed/>
    <w:pPr>
      <w:spacing w:after="100"/>
      <w:ind w:left="220"/>
    </w:pPr>
  </w:style>
  <w:style w:type="paragraph" w:styleId="33">
    <w:name w:val="toc 3"/>
    <w:basedOn w:val="a"/>
    <w:next w:val="a"/>
    <w:uiPriority w:val="39"/>
    <w:unhideWhenUsed/>
    <w:pPr>
      <w:spacing w:after="100"/>
      <w:ind w:left="440"/>
    </w:pPr>
  </w:style>
  <w:style w:type="paragraph" w:styleId="43">
    <w:name w:val="toc 4"/>
    <w:basedOn w:val="a"/>
    <w:next w:val="a"/>
    <w:uiPriority w:val="39"/>
    <w:unhideWhenUsed/>
    <w:pPr>
      <w:spacing w:after="100"/>
      <w:ind w:left="660"/>
    </w:pPr>
  </w:style>
  <w:style w:type="paragraph" w:styleId="54">
    <w:name w:val="toc 5"/>
    <w:basedOn w:val="a"/>
    <w:next w:val="a"/>
    <w:uiPriority w:val="39"/>
    <w:unhideWhenUsed/>
    <w:pPr>
      <w:spacing w:after="100"/>
      <w:ind w:left="880"/>
    </w:pPr>
  </w:style>
  <w:style w:type="paragraph" w:styleId="63">
    <w:name w:val="toc 6"/>
    <w:basedOn w:val="a"/>
    <w:next w:val="a"/>
    <w:uiPriority w:val="39"/>
    <w:unhideWhenUsed/>
    <w:pPr>
      <w:spacing w:after="100"/>
      <w:ind w:left="1100"/>
    </w:pPr>
  </w:style>
  <w:style w:type="paragraph" w:styleId="73">
    <w:name w:val="toc 7"/>
    <w:basedOn w:val="a"/>
    <w:next w:val="a"/>
    <w:uiPriority w:val="39"/>
    <w:unhideWhenUsed/>
    <w:pPr>
      <w:spacing w:after="100"/>
      <w:ind w:left="1320"/>
    </w:pPr>
  </w:style>
  <w:style w:type="paragraph" w:styleId="81">
    <w:name w:val="toc 8"/>
    <w:basedOn w:val="a"/>
    <w:next w:val="a"/>
    <w:uiPriority w:val="39"/>
    <w:unhideWhenUsed/>
    <w:pPr>
      <w:spacing w:after="100"/>
      <w:ind w:left="1540"/>
    </w:pPr>
  </w:style>
  <w:style w:type="paragraph" w:styleId="91">
    <w:name w:val="toc 9"/>
    <w:basedOn w:val="a"/>
    <w:next w:val="a"/>
    <w:uiPriority w:val="39"/>
    <w:unhideWhenUsed/>
    <w:pPr>
      <w:spacing w:after="100"/>
      <w:ind w:left="1760"/>
    </w:pPr>
  </w:style>
  <w:style w:type="character" w:styleId="af9">
    <w:name w:val="Placeholder Text"/>
    <w:basedOn w:val="a0"/>
    <w:uiPriority w:val="99"/>
    <w:semiHidden/>
    <w:rPr>
      <w:color w:val="666666"/>
    </w:rPr>
  </w:style>
  <w:style w:type="paragraph" w:styleId="afa">
    <w:name w:val="TOC Heading"/>
    <w:uiPriority w:val="39"/>
    <w:unhideWhenUsed/>
  </w:style>
  <w:style w:type="paragraph" w:styleId="afb">
    <w:name w:val="table of figures"/>
    <w:basedOn w:val="a"/>
    <w:next w:val="a"/>
    <w:uiPriority w:val="99"/>
    <w:unhideWhenUsed/>
  </w:style>
  <w:style w:type="character" w:customStyle="1" w:styleId="fontstyle01">
    <w:name w:val="fontstyle01"/>
    <w:basedOn w:val="a0"/>
    <w:rPr>
      <w:rFonts w:ascii="Bold" w:hAnsi="Bold" w:hint="default"/>
      <w:b/>
      <w:bCs/>
      <w:i w:val="0"/>
      <w:iCs w:val="0"/>
      <w:color w:val="242021"/>
      <w:sz w:val="24"/>
      <w:szCs w:val="24"/>
    </w:rPr>
  </w:style>
  <w:style w:type="character" w:customStyle="1" w:styleId="fontstyle11">
    <w:name w:val="fontstyle11"/>
    <w:basedOn w:val="a0"/>
    <w:rPr>
      <w:rFonts w:ascii="TimesNewRoman" w:hAnsi="TimesNewRoman" w:hint="default"/>
      <w:b w:val="0"/>
      <w:bCs w:val="0"/>
      <w:i w:val="0"/>
      <w:iCs w:val="0"/>
      <w:color w:val="242021"/>
      <w:sz w:val="24"/>
      <w:szCs w:val="24"/>
    </w:rPr>
  </w:style>
  <w:style w:type="table" w:styleId="afc">
    <w:name w:val="Table Grid"/>
    <w:basedOn w:val="a1"/>
    <w:uiPriority w:val="39"/>
    <w:pPr>
      <w:spacing w:after="0" w:line="240" w:lineRule="auto"/>
    </w:pPr>
    <w:rPr>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d">
    <w:name w:val="Strong"/>
    <w:basedOn w:val="a0"/>
    <w:uiPriority w:val="22"/>
    <w:qFormat/>
    <w:rPr>
      <w:b/>
      <w:bCs/>
    </w:rPr>
  </w:style>
  <w:style w:type="paragraph" w:styleId="afe">
    <w:name w:val="header"/>
    <w:basedOn w:val="a"/>
    <w:link w:val="aff"/>
    <w:uiPriority w:val="99"/>
    <w:unhideWhenUsed/>
    <w:qFormat/>
    <w:pPr>
      <w:tabs>
        <w:tab w:val="center" w:pos="4677"/>
        <w:tab w:val="right" w:pos="9355"/>
      </w:tabs>
    </w:pPr>
  </w:style>
  <w:style w:type="character" w:customStyle="1" w:styleId="aff">
    <w:name w:val="Верхній колонтитул Знак"/>
    <w:basedOn w:val="a0"/>
    <w:link w:val="afe"/>
    <w:uiPriority w:val="99"/>
    <w:rPr>
      <w:rFonts w:ascii="Arial Unicode MS" w:eastAsia="Arial Unicode MS" w:hAnsi="Arial Unicode MS" w:cs="Arial Unicode MS"/>
      <w:color w:val="000000"/>
      <w:sz w:val="24"/>
      <w:szCs w:val="24"/>
      <w:lang w:val="uk-UA" w:eastAsia="uk-UA" w:bidi="uk-UA"/>
    </w:rPr>
  </w:style>
  <w:style w:type="paragraph" w:styleId="aff0">
    <w:name w:val="footer"/>
    <w:basedOn w:val="a"/>
    <w:link w:val="aff1"/>
    <w:uiPriority w:val="99"/>
    <w:unhideWhenUsed/>
    <w:qFormat/>
    <w:pPr>
      <w:tabs>
        <w:tab w:val="center" w:pos="4677"/>
        <w:tab w:val="right" w:pos="9355"/>
      </w:tabs>
    </w:pPr>
  </w:style>
  <w:style w:type="character" w:customStyle="1" w:styleId="aff1">
    <w:name w:val="Нижній колонтитул Знак"/>
    <w:basedOn w:val="a0"/>
    <w:link w:val="aff0"/>
    <w:uiPriority w:val="99"/>
    <w:rPr>
      <w:rFonts w:ascii="Arial Unicode MS" w:eastAsia="Arial Unicode MS" w:hAnsi="Arial Unicode MS" w:cs="Arial Unicode MS"/>
      <w:color w:val="000000"/>
      <w:sz w:val="24"/>
      <w:szCs w:val="24"/>
      <w:lang w:val="uk-UA" w:eastAsia="uk-UA" w:bidi="uk-UA"/>
    </w:rPr>
  </w:style>
  <w:style w:type="paragraph" w:styleId="aff2">
    <w:name w:val="List Paragraph"/>
    <w:basedOn w:val="a"/>
    <w:uiPriority w:val="34"/>
    <w:qFormat/>
    <w:pPr>
      <w:ind w:left="720"/>
      <w:contextualSpacing/>
    </w:pPr>
  </w:style>
  <w:style w:type="paragraph" w:styleId="aff3">
    <w:name w:val="Body Text"/>
    <w:basedOn w:val="a"/>
    <w:link w:val="aff4"/>
    <w:uiPriority w:val="99"/>
    <w:qFormat/>
    <w:pPr>
      <w:ind w:left="114"/>
      <w:jc w:val="both"/>
    </w:pPr>
    <w:rPr>
      <w:rFonts w:ascii="Microsoft Sans Serif" w:eastAsia="Microsoft Sans Serif" w:hAnsi="Microsoft Sans Serif" w:cs="Microsoft Sans Serif"/>
      <w:color w:val="auto"/>
      <w:sz w:val="16"/>
      <w:szCs w:val="16"/>
      <w:lang w:eastAsia="en-US" w:bidi="ar-SA"/>
    </w:rPr>
  </w:style>
  <w:style w:type="character" w:customStyle="1" w:styleId="aff4">
    <w:name w:val="Основний текст Знак"/>
    <w:basedOn w:val="a0"/>
    <w:link w:val="aff3"/>
    <w:uiPriority w:val="99"/>
    <w:qFormat/>
    <w:rPr>
      <w:rFonts w:ascii="Microsoft Sans Serif" w:eastAsia="Microsoft Sans Serif" w:hAnsi="Microsoft Sans Serif" w:cs="Microsoft Sans Serif"/>
      <w:sz w:val="16"/>
      <w:szCs w:val="16"/>
      <w:lang w:val="uk-UA"/>
    </w:rPr>
  </w:style>
  <w:style w:type="character" w:styleId="aff5">
    <w:name w:val="page number"/>
    <w:basedOn w:val="a0"/>
    <w:unhideWhenUsed/>
    <w:qFormat/>
  </w:style>
  <w:style w:type="character" w:styleId="aff6">
    <w:name w:val="Hyperlink"/>
    <w:basedOn w:val="a0"/>
    <w:uiPriority w:val="99"/>
    <w:unhideWhenUsed/>
    <w:qFormat/>
    <w:rPr>
      <w:color w:val="0000FF" w:themeColor="hyperlink"/>
      <w:u w:val="single"/>
    </w:rPr>
  </w:style>
  <w:style w:type="character" w:styleId="aff7">
    <w:name w:val="FollowedHyperlink"/>
    <w:basedOn w:val="a0"/>
    <w:uiPriority w:val="99"/>
    <w:semiHidden/>
    <w:unhideWhenUsed/>
    <w:rPr>
      <w:color w:val="800080" w:themeColor="followedHyperlink"/>
      <w:u w:val="single"/>
    </w:rPr>
  </w:style>
  <w:style w:type="table" w:customStyle="1" w:styleId="15">
    <w:name w:val="Сітка таблиці1"/>
    <w:basedOn w:val="a1"/>
    <w:next w:val="afc"/>
    <w:uiPriority w:val="39"/>
    <w:pPr>
      <w:spacing w:after="0" w:line="240" w:lineRule="auto"/>
    </w:pPr>
    <w:rPr>
      <w:rFonts w:ascii="Times New Roman" w:hAnsi="Times New Roman" w:cs="Times New Roman"/>
      <w:sz w:val="20"/>
      <w:szCs w:val="20"/>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30">
    <w:name w:val="Заголовок 3 Знак"/>
    <w:basedOn w:val="a0"/>
    <w:link w:val="3"/>
    <w:rPr>
      <w:rFonts w:ascii="Times New Roman" w:eastAsia="Times New Roman" w:hAnsi="Times New Roman" w:cs="Times New Roman"/>
      <w:b/>
      <w:bCs/>
      <w:sz w:val="28"/>
      <w:szCs w:val="28"/>
      <w:lang w:val="uk-UA" w:eastAsia="zh-CN"/>
    </w:rPr>
  </w:style>
  <w:style w:type="character" w:customStyle="1" w:styleId="80">
    <w:name w:val="Заголовок 8 Знак"/>
    <w:basedOn w:val="a0"/>
    <w:link w:val="8"/>
    <w:semiHidden/>
    <w:qFormat/>
    <w:rPr>
      <w:rFonts w:ascii="Calibri" w:eastAsia="SimSun" w:hAnsi="Calibri" w:cs="Times New Roman"/>
      <w:i/>
      <w:iCs/>
      <w:sz w:val="24"/>
      <w:szCs w:val="24"/>
      <w:lang w:val="uk-UA"/>
    </w:rPr>
  </w:style>
  <w:style w:type="numbering" w:customStyle="1" w:styleId="16">
    <w:name w:val="Немає списку1"/>
    <w:next w:val="a2"/>
    <w:uiPriority w:val="99"/>
    <w:semiHidden/>
    <w:unhideWhenUsed/>
  </w:style>
  <w:style w:type="character" w:customStyle="1" w:styleId="tlid-translation">
    <w:name w:val="tlid-translation"/>
    <w:qFormat/>
  </w:style>
  <w:style w:type="paragraph" w:customStyle="1" w:styleId="17">
    <w:name w:val="Абзац списка1"/>
    <w:basedOn w:val="a"/>
    <w:qFormat/>
    <w:pPr>
      <w:ind w:left="720"/>
      <w:contextualSpacing/>
    </w:pPr>
    <w:rPr>
      <w:rFonts w:ascii="Microsoft YaHei" w:eastAsia="Microsoft YaHei" w:hAnsi="Microsoft YaHei" w:cs="Microsoft YaHei"/>
    </w:rPr>
  </w:style>
  <w:style w:type="paragraph" w:customStyle="1" w:styleId="FR2">
    <w:name w:val="FR2"/>
    <w:qFormat/>
    <w:pPr>
      <w:widowControl w:val="0"/>
      <w:spacing w:after="0" w:line="240" w:lineRule="auto"/>
    </w:pPr>
    <w:rPr>
      <w:rFonts w:ascii="Arial" w:eastAsia="Times New Roman" w:hAnsi="Arial" w:cs="Times New Roman"/>
      <w:sz w:val="16"/>
      <w:szCs w:val="20"/>
      <w:lang w:val="uk-UA"/>
    </w:rPr>
  </w:style>
  <w:style w:type="paragraph" w:customStyle="1" w:styleId="18">
    <w:name w:val="Основной текст с отступом1"/>
    <w:basedOn w:val="a"/>
    <w:qFormat/>
    <w:pPr>
      <w:spacing w:after="240"/>
      <w:ind w:firstLine="720"/>
      <w:jc w:val="both"/>
    </w:pPr>
    <w:rPr>
      <w:rFonts w:ascii="Microsoft YaHei" w:eastAsia="Calibri" w:hAnsi="Microsoft YaHei" w:cs="Microsoft YaHei"/>
      <w:b/>
      <w:bCs/>
      <w:sz w:val="28"/>
      <w:szCs w:val="28"/>
    </w:rPr>
  </w:style>
  <w:style w:type="character" w:customStyle="1" w:styleId="FontStyle43">
    <w:name w:val="Font Style43"/>
    <w:qFormat/>
    <w:rPr>
      <w:rFonts w:ascii="Century Schoolbook" w:hAnsi="Century Schoolbook" w:cs="Century Schoolbook"/>
      <w:b/>
      <w:bCs/>
      <w:sz w:val="18"/>
      <w:szCs w:val="18"/>
    </w:rPr>
  </w:style>
  <w:style w:type="character" w:customStyle="1" w:styleId="FontStyle54">
    <w:name w:val="Font Style54"/>
    <w:qFormat/>
    <w:rPr>
      <w:rFonts w:ascii="Century Schoolbook" w:hAnsi="Century Schoolbook" w:cs="Century Schoolbook"/>
      <w:b/>
      <w:bCs/>
      <w:sz w:val="16"/>
      <w:szCs w:val="16"/>
    </w:rPr>
  </w:style>
  <w:style w:type="character" w:customStyle="1" w:styleId="FontStyle53">
    <w:name w:val="Font Style53"/>
    <w:qFormat/>
    <w:rPr>
      <w:rFonts w:ascii="Century Schoolbook" w:hAnsi="Century Schoolbook" w:cs="Century Schoolbook"/>
      <w:b/>
      <w:bCs/>
      <w:i/>
      <w:iCs/>
      <w:sz w:val="18"/>
      <w:szCs w:val="18"/>
    </w:rPr>
  </w:style>
  <w:style w:type="character" w:customStyle="1" w:styleId="FontStyle58">
    <w:name w:val="Font Style58"/>
    <w:qFormat/>
    <w:rPr>
      <w:rFonts w:ascii="Century Schoolbook" w:hAnsi="Century Schoolbook" w:cs="Century Schoolbook"/>
      <w:b/>
      <w:bCs/>
      <w:i/>
      <w:iCs/>
      <w:sz w:val="18"/>
      <w:szCs w:val="18"/>
    </w:rPr>
  </w:style>
  <w:style w:type="paragraph" w:customStyle="1" w:styleId="Style24">
    <w:name w:val="Style24"/>
    <w:basedOn w:val="a"/>
    <w:qFormat/>
    <w:pPr>
      <w:spacing w:line="204" w:lineRule="exact"/>
      <w:jc w:val="right"/>
    </w:pPr>
    <w:rPr>
      <w:rFonts w:ascii="Century Schoolbook" w:eastAsia="Microsoft YaHei" w:hAnsi="Century Schoolbook" w:cs="Microsoft YaHei"/>
      <w:lang w:val="ru-RU"/>
    </w:rPr>
  </w:style>
  <w:style w:type="character" w:customStyle="1" w:styleId="FontStyle50">
    <w:name w:val="Font Style50"/>
    <w:qFormat/>
    <w:rPr>
      <w:rFonts w:ascii="Century Schoolbook" w:hAnsi="Century Schoolbook" w:cs="Century Schoolbook"/>
      <w:b/>
      <w:bCs/>
      <w:sz w:val="20"/>
      <w:szCs w:val="20"/>
    </w:rPr>
  </w:style>
  <w:style w:type="character" w:customStyle="1" w:styleId="FontStyle57">
    <w:name w:val="Font Style57"/>
    <w:qFormat/>
    <w:rPr>
      <w:rFonts w:ascii="Century Schoolbook" w:hAnsi="Century Schoolbook" w:cs="Century Schoolbook"/>
      <w:b/>
      <w:bCs/>
      <w:sz w:val="18"/>
      <w:szCs w:val="18"/>
    </w:rPr>
  </w:style>
  <w:style w:type="character" w:customStyle="1" w:styleId="FontStyle37">
    <w:name w:val="Font Style37"/>
    <w:qFormat/>
    <w:rPr>
      <w:rFonts w:ascii="Century Schoolbook" w:hAnsi="Century Schoolbook" w:cs="Century Schoolbook"/>
      <w:b/>
      <w:bCs/>
      <w:sz w:val="14"/>
      <w:szCs w:val="14"/>
    </w:rPr>
  </w:style>
  <w:style w:type="character" w:customStyle="1" w:styleId="hps">
    <w:name w:val="hps"/>
    <w:basedOn w:val="a0"/>
    <w:qFormat/>
  </w:style>
  <w:style w:type="character" w:customStyle="1" w:styleId="aff8">
    <w:name w:val="Основной текст + Курсив"/>
    <w:qFormat/>
    <w:rPr>
      <w:i/>
      <w:iCs/>
      <w:lang w:bidi="ar-SA"/>
    </w:rPr>
  </w:style>
  <w:style w:type="paragraph" w:customStyle="1" w:styleId="55">
    <w:name w:val="Стиль5"/>
    <w:basedOn w:val="24"/>
    <w:qFormat/>
    <w:pPr>
      <w:widowControl/>
      <w:spacing w:after="0" w:line="360" w:lineRule="auto"/>
      <w:ind w:left="0" w:firstLine="709"/>
      <w:jc w:val="both"/>
    </w:pPr>
    <w:rPr>
      <w:rFonts w:ascii="Times New Roman" w:eastAsia="Times New Roman" w:hAnsi="Times New Roman"/>
      <w:color w:val="auto"/>
      <w:sz w:val="28"/>
      <w:szCs w:val="20"/>
      <w:lang w:val="en-US" w:eastAsia="ru-RU" w:bidi="ar-SA"/>
    </w:rPr>
  </w:style>
  <w:style w:type="paragraph" w:styleId="24">
    <w:name w:val="Body Text Indent 2"/>
    <w:basedOn w:val="a"/>
    <w:link w:val="25"/>
    <w:qFormat/>
    <w:pPr>
      <w:spacing w:after="120" w:line="480" w:lineRule="auto"/>
      <w:ind w:left="283"/>
    </w:pPr>
    <w:rPr>
      <w:rFonts w:ascii="Microsoft YaHei" w:eastAsia="Microsoft YaHei" w:hAnsi="Microsoft YaHei" w:cs="Microsoft YaHei"/>
    </w:rPr>
  </w:style>
  <w:style w:type="character" w:customStyle="1" w:styleId="25">
    <w:name w:val="Основний текст з відступом 2 Знак"/>
    <w:basedOn w:val="a0"/>
    <w:link w:val="24"/>
    <w:qFormat/>
    <w:rPr>
      <w:rFonts w:ascii="Microsoft YaHei" w:eastAsia="Microsoft YaHei" w:hAnsi="Microsoft YaHei" w:cs="Microsoft YaHei"/>
      <w:color w:val="000000"/>
      <w:sz w:val="24"/>
      <w:szCs w:val="24"/>
      <w:lang w:val="uk-UA" w:eastAsia="uk-UA" w:bidi="uk-UA"/>
    </w:rPr>
  </w:style>
  <w:style w:type="character" w:customStyle="1" w:styleId="rvts9">
    <w:name w:val="rvts9"/>
    <w:qFormat/>
  </w:style>
  <w:style w:type="character" w:customStyle="1" w:styleId="rvts23">
    <w:name w:val="rvts23"/>
    <w:qFormat/>
    <w:rPr>
      <w:rFonts w:cs="Times New Roman"/>
    </w:rPr>
  </w:style>
  <w:style w:type="paragraph" w:customStyle="1" w:styleId="Default">
    <w:name w:val="Default"/>
    <w:qFormat/>
    <w:pPr>
      <w:spacing w:after="0" w:line="240" w:lineRule="auto"/>
    </w:pPr>
    <w:rPr>
      <w:rFonts w:ascii="Times New Roman" w:eastAsia="Times New Roman" w:hAnsi="Times New Roman" w:cs="Times New Roman"/>
      <w:color w:val="000000"/>
      <w:sz w:val="24"/>
      <w:szCs w:val="24"/>
      <w:lang w:val="uk-UA"/>
    </w:rPr>
  </w:style>
  <w:style w:type="character" w:customStyle="1" w:styleId="newsanons1">
    <w:name w:val="news_anons1"/>
    <w:qFormat/>
    <w:rPr>
      <w:rFonts w:ascii="Georgia" w:hAnsi="Georgia" w:hint="default"/>
      <w:i/>
      <w:iCs/>
      <w:color w:val="000000"/>
      <w:sz w:val="21"/>
      <w:szCs w:val="21"/>
    </w:rPr>
  </w:style>
  <w:style w:type="character" w:customStyle="1" w:styleId="rvts44">
    <w:name w:val="rvts44"/>
    <w:qFormat/>
  </w:style>
  <w:style w:type="character" w:customStyle="1" w:styleId="34">
    <w:name w:val="Знак Знак3"/>
    <w:qFormat/>
    <w:rPr>
      <w:lang w:val="ru-RU" w:eastAsia="ru-RU" w:bidi="ar-SA"/>
    </w:rPr>
  </w:style>
  <w:style w:type="paragraph" w:customStyle="1" w:styleId="19">
    <w:name w:val="Обычный1"/>
    <w:uiPriority w:val="99"/>
    <w:qFormat/>
    <w:pPr>
      <w:spacing w:after="0" w:line="240" w:lineRule="auto"/>
    </w:pPr>
    <w:rPr>
      <w:rFonts w:ascii="Times New Roman" w:eastAsia="Times New Roman" w:hAnsi="Times New Roman" w:cs="Times New Roman"/>
      <w:sz w:val="20"/>
      <w:szCs w:val="20"/>
      <w:lang w:val="uk-UA"/>
    </w:rPr>
  </w:style>
  <w:style w:type="paragraph" w:customStyle="1" w:styleId="35">
    <w:name w:val="Абзац списка3"/>
    <w:basedOn w:val="a"/>
    <w:qFormat/>
    <w:pPr>
      <w:ind w:left="720"/>
      <w:contextualSpacing/>
    </w:pPr>
    <w:rPr>
      <w:rFonts w:ascii="Microsoft YaHei" w:eastAsia="Times New Roman" w:hAnsi="Microsoft YaHei" w:cs="Microsoft YaHei"/>
    </w:rPr>
  </w:style>
  <w:style w:type="character" w:customStyle="1" w:styleId="hpsatn">
    <w:name w:val="hps atn"/>
    <w:basedOn w:val="a0"/>
    <w:qFormat/>
  </w:style>
  <w:style w:type="paragraph" w:customStyle="1" w:styleId="210">
    <w:name w:val="Основной текст 21"/>
    <w:basedOn w:val="a"/>
    <w:qFormat/>
    <w:pPr>
      <w:spacing w:line="300" w:lineRule="auto"/>
      <w:jc w:val="both"/>
    </w:pPr>
    <w:rPr>
      <w:rFonts w:ascii="Times New Roman" w:eastAsia="Times New Roman" w:hAnsi="Times New Roman" w:cs="Microsoft YaHei"/>
      <w:color w:val="auto"/>
      <w:sz w:val="32"/>
      <w:szCs w:val="20"/>
      <w:lang w:eastAsia="ru-RU" w:bidi="ar-SA"/>
    </w:rPr>
  </w:style>
  <w:style w:type="character" w:customStyle="1" w:styleId="normaltextrun">
    <w:name w:val="normaltextrun"/>
    <w:basedOn w:val="a0"/>
    <w:qFormat/>
  </w:style>
  <w:style w:type="paragraph" w:styleId="aff9">
    <w:name w:val="Body Text Indent"/>
    <w:basedOn w:val="a"/>
    <w:link w:val="affa"/>
    <w:qFormat/>
    <w:pPr>
      <w:spacing w:after="120"/>
      <w:ind w:left="283"/>
    </w:pPr>
    <w:rPr>
      <w:rFonts w:ascii="Microsoft YaHei" w:eastAsia="Microsoft YaHei" w:hAnsi="Microsoft YaHei" w:cs="Microsoft YaHei"/>
    </w:rPr>
  </w:style>
  <w:style w:type="character" w:customStyle="1" w:styleId="affa">
    <w:name w:val="Основний текст з відступом Знак"/>
    <w:basedOn w:val="a0"/>
    <w:link w:val="aff9"/>
    <w:rPr>
      <w:rFonts w:ascii="Microsoft YaHei" w:eastAsia="Microsoft YaHei" w:hAnsi="Microsoft YaHei" w:cs="Microsoft YaHei"/>
      <w:color w:val="000000"/>
      <w:sz w:val="24"/>
      <w:szCs w:val="24"/>
      <w:lang w:val="uk-UA" w:eastAsia="uk-UA" w:bidi="uk-UA"/>
    </w:rPr>
  </w:style>
  <w:style w:type="paragraph" w:styleId="36">
    <w:name w:val="Body Text 3"/>
    <w:basedOn w:val="a"/>
    <w:link w:val="37"/>
    <w:qFormat/>
    <w:pPr>
      <w:widowControl/>
      <w:spacing w:after="120"/>
    </w:pPr>
    <w:rPr>
      <w:rFonts w:ascii="Times New Roman" w:eastAsia="Times New Roman" w:hAnsi="Times New Roman" w:cs="Times New Roman"/>
      <w:color w:val="auto"/>
      <w:sz w:val="16"/>
      <w:szCs w:val="16"/>
      <w:lang w:eastAsia="en-US" w:bidi="ar-SA"/>
    </w:rPr>
  </w:style>
  <w:style w:type="character" w:customStyle="1" w:styleId="37">
    <w:name w:val="Основний текст 3 Знак"/>
    <w:basedOn w:val="a0"/>
    <w:link w:val="36"/>
    <w:qFormat/>
    <w:rPr>
      <w:rFonts w:ascii="Times New Roman" w:eastAsia="Times New Roman" w:hAnsi="Times New Roman" w:cs="Times New Roman"/>
      <w:sz w:val="16"/>
      <w:szCs w:val="16"/>
      <w:lang w:val="uk-UA"/>
    </w:rPr>
  </w:style>
  <w:style w:type="paragraph" w:styleId="38">
    <w:name w:val="Body Text Indent 3"/>
    <w:basedOn w:val="a"/>
    <w:link w:val="39"/>
    <w:qFormat/>
    <w:pPr>
      <w:widowControl/>
      <w:spacing w:after="120"/>
      <w:ind w:left="283"/>
    </w:pPr>
    <w:rPr>
      <w:rFonts w:ascii="Times New Roman" w:eastAsia="Times New Roman" w:hAnsi="Times New Roman" w:cs="Times New Roman"/>
      <w:color w:val="auto"/>
      <w:sz w:val="16"/>
      <w:szCs w:val="16"/>
      <w:lang w:eastAsia="en-US" w:bidi="ar-SA"/>
    </w:rPr>
  </w:style>
  <w:style w:type="character" w:customStyle="1" w:styleId="39">
    <w:name w:val="Основний текст з відступом 3 Знак"/>
    <w:basedOn w:val="a0"/>
    <w:link w:val="38"/>
    <w:qFormat/>
    <w:rPr>
      <w:rFonts w:ascii="Times New Roman" w:eastAsia="Times New Roman" w:hAnsi="Times New Roman" w:cs="Times New Roman"/>
      <w:sz w:val="16"/>
      <w:szCs w:val="16"/>
      <w:lang w:val="uk-UA"/>
    </w:rPr>
  </w:style>
  <w:style w:type="character" w:styleId="HTML">
    <w:name w:val="HTML Cite"/>
    <w:qFormat/>
    <w:rPr>
      <w:rFonts w:cs="Times New Roman"/>
      <w:color w:val="0E774A"/>
    </w:rPr>
  </w:style>
  <w:style w:type="table" w:customStyle="1" w:styleId="26">
    <w:name w:val="Сітка таблиці2"/>
    <w:basedOn w:val="a1"/>
    <w:next w:val="afc"/>
    <w:uiPriority w:val="39"/>
    <w:pPr>
      <w:spacing w:after="0" w:line="240" w:lineRule="auto"/>
    </w:pPr>
    <w:rPr>
      <w:rFonts w:ascii="Times New Roman" w:hAnsi="Times New Roman" w:cs="Times New Roman"/>
      <w:sz w:val="20"/>
      <w:szCs w:val="20"/>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a">
    <w:name w:val="Сітка таблиці3"/>
    <w:basedOn w:val="a1"/>
    <w:next w:val="afc"/>
    <w:uiPriority w:val="39"/>
    <w:pPr>
      <w:spacing w:after="0" w:line="240" w:lineRule="auto"/>
    </w:pPr>
    <w:rPr>
      <w:rFonts w:ascii="Times New Roman" w:hAnsi="Times New Roman" w:cs="Times New Roman"/>
      <w:sz w:val="20"/>
      <w:szCs w:val="20"/>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
    <w:name w:val="Сітка таблиці11"/>
    <w:basedOn w:val="a1"/>
    <w:next w:val="afc"/>
    <w:uiPriority w:val="39"/>
    <w:pPr>
      <w:spacing w:after="0" w:line="240" w:lineRule="auto"/>
      <w:jc w:val="both"/>
    </w:pPr>
    <w:rPr>
      <w:rFonts w:ascii="Times New Roman" w:eastAsia="Times New Roman" w:hAnsi="Times New Roman"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Сітка таблиці4"/>
    <w:basedOn w:val="a1"/>
    <w:next w:val="afc"/>
    <w:uiPriority w:val="39"/>
    <w:pPr>
      <w:spacing w:after="0" w:line="240" w:lineRule="auto"/>
    </w:pPr>
    <w:rPr>
      <w:rFonts w:ascii="Times New Roman" w:hAnsi="Times New Roman" w:cs="Times New Roman"/>
      <w:sz w:val="20"/>
      <w:szCs w:val="20"/>
      <w:lang w:val="uk-U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b">
    <w:name w:val="Balloon Text"/>
    <w:basedOn w:val="a"/>
    <w:link w:val="affc"/>
    <w:uiPriority w:val="99"/>
    <w:semiHidden/>
    <w:unhideWhenUsed/>
    <w:rsid w:val="00F75CB1"/>
    <w:rPr>
      <w:rFonts w:ascii="Segoe UI" w:hAnsi="Segoe UI" w:cs="Segoe UI"/>
      <w:sz w:val="18"/>
      <w:szCs w:val="18"/>
    </w:rPr>
  </w:style>
  <w:style w:type="character" w:customStyle="1" w:styleId="affc">
    <w:name w:val="Текст у виносці Знак"/>
    <w:basedOn w:val="a0"/>
    <w:link w:val="affb"/>
    <w:uiPriority w:val="99"/>
    <w:semiHidden/>
    <w:rsid w:val="00F75CB1"/>
    <w:rPr>
      <w:rFonts w:ascii="Segoe UI" w:eastAsia="Arial Unicode MS" w:hAnsi="Segoe UI" w:cs="Segoe UI"/>
      <w:color w:val="000000"/>
      <w:sz w:val="18"/>
      <w:szCs w:val="18"/>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30.png"/><Relationship Id="rId42" Type="http://schemas.openxmlformats.org/officeDocument/2006/relationships/hyperlink" Target="https://zakon.rada.gov.ua/laws/show/995_015" TargetMode="External"/><Relationship Id="rId47" Type="http://schemas.openxmlformats.org/officeDocument/2006/relationships/hyperlink" Target="https://zakon.rada.gov.ua/laws/show/254%D0%BA/96-%D0%B2%D1%80" TargetMode="External"/><Relationship Id="rId63" Type="http://schemas.openxmlformats.org/officeDocument/2006/relationships/hyperlink" Target="https://pubadm.vernadskyjournals.in.ua/journals/2022/6_2022/28.pdf" TargetMode="External"/><Relationship Id="rId68" Type="http://schemas.openxmlformats.org/officeDocument/2006/relationships/hyperlink" Target="http://dspace.wunu.edu.ua/bitstream/316497/33759/1/&#1064;&#1091;&#1096;&#1087;&#1072;&#1085;&#1086;&#1074;.pdf" TargetMode="External"/><Relationship Id="rId84" Type="http://schemas.openxmlformats.org/officeDocument/2006/relationships/theme" Target="theme/theme1.xml"/><Relationship Id="rId16" Type="http://schemas.microsoft.com/office/2007/relationships/diagramDrawing" Target="diagrams/drawing1.xml"/><Relationship Id="rId11" Type="http://schemas.openxmlformats.org/officeDocument/2006/relationships/hyperlink" Target="https://repo.odmu.edu.ua/xmlui/handle/123456789/18227" TargetMode="External"/><Relationship Id="rId24" Type="http://schemas.openxmlformats.org/officeDocument/2006/relationships/image" Target="media/image20.png"/><Relationship Id="rId32" Type="http://schemas.openxmlformats.org/officeDocument/2006/relationships/image" Target="media/image4.png"/><Relationship Id="rId37" Type="http://schemas.openxmlformats.org/officeDocument/2006/relationships/hyperlink" Target="https://odmkl11.od.ua/pro-nas/" TargetMode="External"/><Relationship Id="rId40" Type="http://schemas.openxmlformats.org/officeDocument/2006/relationships/chart" Target="charts/chart2.xml"/><Relationship Id="rId45" Type="http://schemas.openxmlformats.org/officeDocument/2006/relationships/hyperlink" Target="https://zakononline.ua/documents/show/159441___159441" TargetMode="External"/><Relationship Id="rId53" Type="http://schemas.openxmlformats.org/officeDocument/2006/relationships/hyperlink" Target="https://m.tntu.edu.ua/storage/pages/00000651/dstu9000-2015_osnovni_pol.slovnyk.pdf" TargetMode="External"/><Relationship Id="rId58" Type="http://schemas.openxmlformats.org/officeDocument/2006/relationships/hyperlink" Target="https://science.lpnu.ua/sites/-default/files/journalpaper/2017/jun/3684/vtm75st10.pdf" TargetMode="External"/><Relationship Id="rId66" Type="http://schemas.openxmlformats.org/officeDocument/2006/relationships/hyperlink" Target="https://www.eoss-conf.com/wp-content/uploads/2024/12/Odesa_Ukraine_30_12_24.pdf" TargetMode="External"/><Relationship Id="rId74" Type="http://schemas.openxmlformats.org/officeDocument/2006/relationships/hyperlink" Target="https://www.hsa.org.ua/blog/kontrol-iakosti-nadannia-medicnoyi-dopomogi-quo-vadis" TargetMode="External"/><Relationship Id="rId79" Type="http://schemas.openxmlformats.org/officeDocument/2006/relationships/hyperlink" Target="https://repo.odmu.edu.ua:443/xmlui/handle/123456789/18192" TargetMode="External"/><Relationship Id="rId5" Type="http://schemas.openxmlformats.org/officeDocument/2006/relationships/numbering" Target="numbering.xml"/><Relationship Id="rId61" Type="http://schemas.openxmlformats.org/officeDocument/2006/relationships/hyperlink" Target="http://www.economy.nayka.com.ua/pdf/1_2018/13.pdf" TargetMode="External"/><Relationship Id="rId82" Type="http://schemas.openxmlformats.org/officeDocument/2006/relationships/footer" Target="footer2.xml"/><Relationship Id="rId14" Type="http://schemas.openxmlformats.org/officeDocument/2006/relationships/diagramQuickStyle" Target="diagrams/quickStyle1.xml"/><Relationship Id="rId22" Type="http://schemas.openxmlformats.org/officeDocument/2006/relationships/image" Target="media/image10.png"/><Relationship Id="rId27" Type="http://schemas.openxmlformats.org/officeDocument/2006/relationships/diagramData" Target="diagrams/data2.xml"/><Relationship Id="rId30" Type="http://schemas.openxmlformats.org/officeDocument/2006/relationships/diagramColors" Target="diagrams/colors2.xml"/><Relationship Id="rId35" Type="http://schemas.openxmlformats.org/officeDocument/2006/relationships/image" Target="media/image50.png"/><Relationship Id="rId43" Type="http://schemas.openxmlformats.org/officeDocument/2006/relationships/hyperlink" Target="https://zakon.rada.gov.ua/laws/show/994_062" TargetMode="External"/><Relationship Id="rId48" Type="http://schemas.openxmlformats.org/officeDocument/2006/relationships/hyperlink" Target="https://zakon.rada.gov.ua/laws/show/2801-12" TargetMode="External"/><Relationship Id="rId56" Type="http://schemas.openxmlformats.org/officeDocument/2006/relationships/hyperlink" Target="https://zakon.rada.gov.ua/laws/show/34-2025-%D1%80" TargetMode="External"/><Relationship Id="rId64" Type="http://schemas.openxmlformats.org/officeDocument/2006/relationships/hyperlink" Target="https://repo.odmu.edu.ua:443/xmlui/handle/123456789/18192" TargetMode="External"/><Relationship Id="rId69" Type="http://schemas.openxmlformats.org/officeDocument/2006/relationships/hyperlink" Target="https://doi.org/10.1109/ACIT54803.2022.9913132" TargetMode="External"/><Relationship Id="rId77" Type="http://schemas.openxmlformats.org/officeDocument/2006/relationships/hyperlink" Target="https://doi.org/10.31732/2663-2209-2025-78-256-264" TargetMode="External"/><Relationship Id="rId8" Type="http://schemas.openxmlformats.org/officeDocument/2006/relationships/webSettings" Target="webSettings.xml"/><Relationship Id="rId51" Type="http://schemas.openxmlformats.org/officeDocument/2006/relationships/hyperlink" Target="https://zakon.rada.gov.ua/laws/show/765-97-%D0%BF" TargetMode="External"/><Relationship Id="rId72" Type="http://schemas.openxmlformats.org/officeDocument/2006/relationships/hyperlink" Target="https://opendatabot.ua/c/02774415" TargetMode="External"/><Relationship Id="rId80"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diagramData" Target="diagrams/data1.xml"/><Relationship Id="rId17" Type="http://schemas.openxmlformats.org/officeDocument/2006/relationships/image" Target="media/image1.png"/><Relationship Id="rId25" Type="http://schemas.openxmlformats.org/officeDocument/2006/relationships/image" Target="media/image3.png"/><Relationship Id="rId33" Type="http://schemas.openxmlformats.org/officeDocument/2006/relationships/image" Target="media/image40.png"/><Relationship Id="rId38" Type="http://schemas.openxmlformats.org/officeDocument/2006/relationships/hyperlink" Target="https://opendatabot.ua/c/02774415" TargetMode="External"/><Relationship Id="rId46" Type="http://schemas.openxmlformats.org/officeDocument/2006/relationships/hyperlink" Target="https://stomat-mayak.kiev.ua/ua/mirovym-soobshhestvom-v-1998-g-prinjata-programma-dostizhenija" TargetMode="External"/><Relationship Id="rId59" Type="http://schemas.openxmlformats.org/officeDocument/2006/relationships/hyperlink" Target="https://core.ac.uk/" TargetMode="External"/><Relationship Id="rId67" Type="http://schemas.openxmlformats.org/officeDocument/2006/relationships/hyperlink" Target="https://www.dec.gov.ua/wpcontent/uploads/2019/11/oky_zoz.pdf" TargetMode="External"/><Relationship Id="rId41" Type="http://schemas.openxmlformats.org/officeDocument/2006/relationships/chart" Target="charts/chart3.xml"/><Relationship Id="rId54" Type="http://schemas.openxmlformats.org/officeDocument/2006/relationships/hyperlink" Target="https://www.ksv.biz.ua/GOST/DSTY/dstu_ISO_9000-2007.pdf" TargetMode="External"/><Relationship Id="rId62" Type="http://schemas.openxmlformats.org/officeDocument/2006/relationships/hyperlink" Target="https://eurodev.duan.edu.ua/images/PDF/2016/1/6.pdf" TargetMode="External"/><Relationship Id="rId70" Type="http://schemas.openxmlformats.org/officeDocument/2006/relationships/hyperlink" Target="https://doi.org/10.1109/ACIT58437.2023.10275435" TargetMode="External"/><Relationship Id="rId75" Type="http://schemas.openxmlformats.org/officeDocument/2006/relationships/hyperlink" Target="https://www.eoss-conf.com/wp-content/uploads/2024/12/Odesa_Ukraine_30_12_24.pdf" TargetMode="External"/><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diagramColors" Target="diagrams/colors1.xml"/><Relationship Id="rId23" Type="http://schemas.openxmlformats.org/officeDocument/2006/relationships/image" Target="media/image2.png"/><Relationship Id="rId28" Type="http://schemas.openxmlformats.org/officeDocument/2006/relationships/diagramLayout" Target="diagrams/layout2.xml"/><Relationship Id="rId36" Type="http://schemas.openxmlformats.org/officeDocument/2006/relationships/chart" Target="charts/chart1.xml"/><Relationship Id="rId49" Type="http://schemas.openxmlformats.org/officeDocument/2006/relationships/hyperlink" Target="https://zakon.rada.gov.ua/laws/show/1645-14" TargetMode="External"/><Relationship Id="rId57" Type="http://schemas.openxmlformats.org/officeDocument/2006/relationships/hyperlink" Target="https://moz.gov.ua/uk/efektivnij-kontrol-jakosti-medichnoi-dopomogi-e-prioritetom-moz" TargetMode="External"/><Relationship Id="rId10" Type="http://schemas.openxmlformats.org/officeDocument/2006/relationships/endnotes" Target="endnotes.xml"/><Relationship Id="rId31" Type="http://schemas.microsoft.com/office/2007/relationships/diagramDrawing" Target="diagrams/drawing2.xml"/><Relationship Id="rId44" Type="http://schemas.openxmlformats.org/officeDocument/2006/relationships/hyperlink" Target="https://med.sumdu.edu.ua/images/content/doctors/Deontology/InternKodex%20Ethics.pdf" TargetMode="External"/><Relationship Id="rId52" Type="http://schemas.openxmlformats.org/officeDocument/2006/relationships/hyperlink" Target="https://zakon.rada.gov.ua/laws/show/z1996-12" TargetMode="External"/><Relationship Id="rId60" Type="http://schemas.openxmlformats.org/officeDocument/2006/relationships/hyperlink" Target="http://www.mif-ua.com/archive/article/14835" TargetMode="External"/><Relationship Id="rId65" Type="http://schemas.openxmlformats.org/officeDocument/2006/relationships/hyperlink" Target="https://doi.org/10.35774/econa2024.02.094" TargetMode="External"/><Relationship Id="rId73" Type="http://schemas.openxmlformats.org/officeDocument/2006/relationships/hyperlink" Target="https://online.budstandart.com/ua/catalog/doc-page.html?id_doc=64013" TargetMode="External"/><Relationship Id="rId78" Type="http://schemas.openxmlformats.org/officeDocument/2006/relationships/hyperlink" Target="https://www.economy-confer.com.ua/full-article/6478/" TargetMode="External"/><Relationship Id="rId8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diagramLayout" Target="diagrams/layout1.xml"/><Relationship Id="rId39" Type="http://schemas.openxmlformats.org/officeDocument/2006/relationships/hyperlink" Target="https://opendatabot.ua/c/02774415" TargetMode="External"/><Relationship Id="rId34" Type="http://schemas.openxmlformats.org/officeDocument/2006/relationships/image" Target="media/image5.png"/><Relationship Id="rId50" Type="http://schemas.openxmlformats.org/officeDocument/2006/relationships/hyperlink" Target="https://zakon.rada.gov.ua/laws/show/285-2016-%D0%BF" TargetMode="External"/><Relationship Id="rId55" Type="http://schemas.openxmlformats.org/officeDocument/2006/relationships/hyperlink" Target="https://dspace.wunu.edu.ua/bitstream/316497/38546/1/Mon_uzoz_t.pdf" TargetMode="External"/><Relationship Id="rId76" Type="http://schemas.openxmlformats.org/officeDocument/2006/relationships/hyperlink" Target="file:///D:/home/e200466kvy/Downloads/Analiz_funkcionuvanna_sistemi_upravlinna_akistu_me.pdf" TargetMode="External"/><Relationship Id="rId7" Type="http://schemas.openxmlformats.org/officeDocument/2006/relationships/settings" Target="settings.xml"/><Relationship Id="rId71" Type="http://schemas.openxmlformats.org/officeDocument/2006/relationships/hyperlink" Target="https://odmkl11.od.ua/pro-nas/" TargetMode="External"/><Relationship Id="rId2" Type="http://schemas.openxmlformats.org/officeDocument/2006/relationships/customXml" Target="../customXml/item2.xml"/><Relationship Id="rId29" Type="http://schemas.openxmlformats.org/officeDocument/2006/relationships/diagramQuickStyle" Target="diagrams/quickStyle2.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https:\odmueduua-my.sharepoint.com\personal\valentyna_kniazkova_onmedu_edu_ua\Documents\&#1056;&#1086;&#1073;&#1086;&#1095;&#1080;&#1081;%20&#1089;&#1090;&#1110;&#1083;\&#1053;&#1086;&#1074;&#1080;&#1081;%20&#1040;&#1088;&#1082;&#1091;&#1096;%20Microsoft%20Excel.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prstGeom prst="rect">
              <a:avLst/>
            </a:prstGeom>
            <a:gradFill>
              <a:gsLst>
                <a:gs pos="0">
                  <a:srgbClr val="00B050"/>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layout/>
                <c15:showLeaderLines val="0"/>
              </c:ext>
            </c:extLst>
          </c:dLbls>
          <c:cat>
            <c:strRef>
              <c:f>Аркуш1!$C$401:$C$416</c:f>
              <c:strCache>
                <c:ptCount val="16"/>
                <c:pt idx="0">
                  <c:v>хірургічне </c:v>
                </c:pt>
                <c:pt idx="1">
                  <c:v>травматологічне                                                                1</c:v>
                </c:pt>
                <c:pt idx="2">
                  <c:v>клінічна та біохімічна лабораторія </c:v>
                </c:pt>
                <c:pt idx="3">
                  <c:v>травматологічне 2 </c:v>
                </c:pt>
                <c:pt idx="4">
                  <c:v>травматологічне 3 </c:v>
                </c:pt>
                <c:pt idx="5">
                  <c:v>травматологічне 4 </c:v>
                </c:pt>
                <c:pt idx="6">
                  <c:v>гнійно-септичне </c:v>
                </c:pt>
                <c:pt idx="7">
                  <c:v>щелепно-лицьове </c:v>
                </c:pt>
                <c:pt idx="8">
                  <c:v>ЛОР </c:v>
                </c:pt>
                <c:pt idx="9">
                  <c:v>трансфузіології </c:v>
                </c:pt>
                <c:pt idx="10">
                  <c:v>операційний блок </c:v>
                </c:pt>
                <c:pt idx="11">
                  <c:v>нейрохірургічне </c:v>
                </c:pt>
                <c:pt idx="12">
                  <c:v>відділення екстреної медичної допомоги.</c:v>
                </c:pt>
                <c:pt idx="13">
                  <c:v>гінекологічне </c:v>
                </c:pt>
                <c:pt idx="14">
                  <c:v>відділення інтенсивної терапії </c:v>
                </c:pt>
                <c:pt idx="15">
                  <c:v>терапевтичне </c:v>
                </c:pt>
              </c:strCache>
            </c:strRef>
          </c:cat>
          <c:val>
            <c:numRef>
              <c:f>Аркуш1!$D$401:$D$416</c:f>
              <c:numCache>
                <c:formatCode>General</c:formatCode>
                <c:ptCount val="16"/>
                <c:pt idx="0">
                  <c:v>12</c:v>
                </c:pt>
                <c:pt idx="1">
                  <c:v>16</c:v>
                </c:pt>
                <c:pt idx="2">
                  <c:v>16</c:v>
                </c:pt>
                <c:pt idx="3">
                  <c:v>20</c:v>
                </c:pt>
                <c:pt idx="4">
                  <c:v>30</c:v>
                </c:pt>
                <c:pt idx="5">
                  <c:v>30</c:v>
                </c:pt>
                <c:pt idx="6">
                  <c:v>30</c:v>
                </c:pt>
                <c:pt idx="7">
                  <c:v>30</c:v>
                </c:pt>
                <c:pt idx="8">
                  <c:v>30</c:v>
                </c:pt>
                <c:pt idx="9">
                  <c:v>30</c:v>
                </c:pt>
                <c:pt idx="10">
                  <c:v>30</c:v>
                </c:pt>
                <c:pt idx="11">
                  <c:v>40</c:v>
                </c:pt>
                <c:pt idx="12">
                  <c:v>40</c:v>
                </c:pt>
                <c:pt idx="13">
                  <c:v>50</c:v>
                </c:pt>
                <c:pt idx="14">
                  <c:v>55</c:v>
                </c:pt>
                <c:pt idx="15">
                  <c:v>55</c:v>
                </c:pt>
              </c:numCache>
            </c:numRef>
          </c:val>
          <c:extLst>
            <c:ext xmlns:c16="http://schemas.microsoft.com/office/drawing/2014/chart" uri="{C3380CC4-5D6E-409C-BE32-E72D297353CC}">
              <c16:uniqueId val="{00000000-0E73-4A22-96C9-613C0ACEA4B0}"/>
            </c:ext>
          </c:extLst>
        </c:ser>
        <c:dLbls>
          <c:showLegendKey val="0"/>
          <c:showVal val="0"/>
          <c:showCatName val="0"/>
          <c:showSerName val="0"/>
          <c:showPercent val="0"/>
          <c:showBubbleSize val="0"/>
        </c:dLbls>
        <c:gapWidth val="150"/>
        <c:axId val="676921967"/>
        <c:axId val="676931119"/>
      </c:barChart>
      <c:catAx>
        <c:axId val="676921967"/>
        <c:scaling>
          <c:orientation val="minMax"/>
        </c:scaling>
        <c:delete val="0"/>
        <c:axPos val="l"/>
        <c:numFmt formatCode="General" sourceLinked="1"/>
        <c:majorTickMark val="none"/>
        <c:minorTickMark val="none"/>
        <c:tickLblPos val="nextTo"/>
        <c:spPr>
          <a:prstGeom prst="rect">
            <a:avLst/>
          </a:prstGeom>
          <a:noFill/>
          <a:ln>
            <a:noFill/>
          </a:ln>
          <a:effectLst/>
        </c:spPr>
        <c:txPr>
          <a:bodyPr rot="-6000000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endParaRPr lang="uk-UA"/>
          </a:p>
        </c:txPr>
        <c:crossAx val="676931119"/>
        <c:crosses val="autoZero"/>
        <c:auto val="1"/>
        <c:lblAlgn val="ctr"/>
        <c:lblOffset val="100"/>
        <c:noMultiLvlLbl val="0"/>
      </c:catAx>
      <c:valAx>
        <c:axId val="676931119"/>
        <c:scaling>
          <c:orientation val="minMax"/>
        </c:scaling>
        <c:delete val="0"/>
        <c:axPos val="b"/>
        <c:majorGridlines>
          <c:spPr>
            <a:prstGeom prst="rect">
              <a:avLst/>
            </a:prstGeom>
            <a:ln w="9525" cap="flat" cmpd="sng" algn="ctr">
              <a:solidFill>
                <a:schemeClr val="tx1">
                  <a:lumMod val="15000"/>
                  <a:lumOff val="85000"/>
                </a:schemeClr>
              </a:solidFill>
              <a:round/>
            </a:ln>
            <a:effectLst/>
          </c:spPr>
        </c:majorGridlines>
        <c:numFmt formatCode="General" sourceLinked="1"/>
        <c:majorTickMark val="none"/>
        <c:minorTickMark val="none"/>
        <c:tickLblPos val="nextTo"/>
        <c:spPr>
          <a:prstGeom prst="rect">
            <a:avLst/>
          </a:prstGeom>
          <a:noFill/>
          <a:ln>
            <a:noFill/>
          </a:ln>
          <a:effectLst/>
        </c:spPr>
        <c:txPr>
          <a:bodyPr rot="-60000000" spcFirstLastPara="1" vertOverflow="ellipsis" vert="horz" wrap="square" anchor="ctr" anchorCtr="1"/>
          <a:lstStyle/>
          <a:p>
            <a:pPr>
              <a:defRPr sz="900" b="0" i="0" u="none" strike="noStrike" baseline="0">
                <a:solidFill>
                  <a:schemeClr val="tx1">
                    <a:lumMod val="65000"/>
                    <a:lumOff val="35000"/>
                  </a:schemeClr>
                </a:solidFill>
                <a:latin typeface="+mn-lt"/>
                <a:ea typeface="+mn-ea"/>
                <a:cs typeface="+mn-cs"/>
              </a:defRPr>
            </a:pPr>
            <a:endParaRPr lang="uk-UA"/>
          </a:p>
        </c:txPr>
        <c:crossAx val="676921967"/>
        <c:crosses val="autoZero"/>
        <c:crossBetween val="between"/>
      </c:valAx>
      <c:spPr>
        <a:prstGeom prst="rect">
          <a:avLst/>
        </a:prstGeom>
        <a:noFill/>
        <a:ln>
          <a:noFill/>
        </a:ln>
        <a:effectLst/>
      </c:spPr>
    </c:plotArea>
    <c:plotVisOnly val="1"/>
    <c:dispBlanksAs val="gap"/>
    <c:showDLblsOverMax val="0"/>
  </c:chart>
  <c:spPr>
    <a:prstGeom prst="rect">
      <a:avLst/>
    </a:prstGeom>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prstGeom prst="rect">
          <a:avLst/>
        </a:prstGeom>
        <a:noFill/>
        <a:ln>
          <a:noFill/>
        </a:ln>
        <a:effectLst/>
      </c:spPr>
    </c:floor>
    <c:sideWall>
      <c:thickness val="0"/>
      <c:spPr>
        <a:prstGeom prst="rect">
          <a:avLst/>
        </a:prstGeom>
        <a:noFill/>
        <a:ln>
          <a:noFill/>
        </a:ln>
        <a:effectLst/>
      </c:spPr>
    </c:sideWall>
    <c:backWall>
      <c:thickness val="0"/>
      <c:spPr>
        <a:prstGeom prst="rect">
          <a:avLst/>
        </a:prstGeom>
        <a:noFill/>
        <a:ln>
          <a:noFill/>
        </a:ln>
        <a:effectLst/>
      </c:spPr>
    </c:backWall>
    <c:plotArea>
      <c:layout>
        <c:manualLayout>
          <c:layoutTarget val="inner"/>
          <c:xMode val="edge"/>
          <c:yMode val="edge"/>
          <c:x val="7.6787999999999995E-2"/>
          <c:y val="0.14583299999999999"/>
          <c:w val="0.55280899999999999"/>
          <c:h val="0.83796300000000001"/>
        </c:manualLayout>
      </c:layout>
      <c:pie3DChart>
        <c:varyColors val="1"/>
        <c:ser>
          <c:idx val="0"/>
          <c:order val="0"/>
          <c:spPr>
            <a:prstGeom prst="rect">
              <a:avLst/>
            </a:prstGeom>
            <a:gradFill>
              <a:gsLst>
                <a:gs pos="0">
                  <a:srgbClr val="00B050"/>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tx1"/>
              </a:solidFill>
            </a:ln>
          </c:spPr>
          <c:explosion val="6"/>
          <c:dPt>
            <c:idx val="0"/>
            <c:bubble3D val="0"/>
            <c:spPr>
              <a:prstGeom prst="rect">
                <a:avLst/>
              </a:prstGeom>
              <a:gradFill>
                <a:gsLst>
                  <a:gs pos="0">
                    <a:srgbClr val="00B050"/>
                  </a:gs>
                  <a:gs pos="100000">
                    <a:schemeClr val="accent1">
                      <a:lumMod val="45000"/>
                      <a:lumOff val="55000"/>
                    </a:schemeClr>
                  </a:gs>
                  <a:gs pos="100000">
                    <a:schemeClr val="accent1">
                      <a:lumMod val="45000"/>
                      <a:lumOff val="55000"/>
                    </a:schemeClr>
                  </a:gs>
                  <a:gs pos="100000">
                    <a:schemeClr val="accent1">
                      <a:lumMod val="30000"/>
                      <a:lumOff val="70000"/>
                    </a:schemeClr>
                  </a:gs>
                </a:gsLst>
                <a:lin ang="5400000" scaled="1"/>
              </a:gradFill>
              <a:ln w="25400">
                <a:solidFill>
                  <a:schemeClr val="tx1"/>
                </a:solidFill>
              </a:ln>
              <a:effectLst/>
            </c:spPr>
            <c:extLst>
              <c:ext xmlns:c16="http://schemas.microsoft.com/office/drawing/2014/chart" uri="{C3380CC4-5D6E-409C-BE32-E72D297353CC}">
                <c16:uniqueId val="{00000001-6361-4265-B89F-BD4CEF1F5E43}"/>
              </c:ext>
            </c:extLst>
          </c:dPt>
          <c:dPt>
            <c:idx val="1"/>
            <c:bubble3D val="0"/>
            <c:spPr>
              <a:prstGeom prst="rect">
                <a:avLst/>
              </a:prstGeom>
              <a:gradFill>
                <a:gsLst>
                  <a:gs pos="0">
                    <a:srgbClr val="FFFF00"/>
                  </a:gs>
                  <a:gs pos="100000">
                    <a:schemeClr val="accent1">
                      <a:lumMod val="45000"/>
                      <a:lumOff val="55000"/>
                    </a:schemeClr>
                  </a:gs>
                  <a:gs pos="100000">
                    <a:schemeClr val="accent1">
                      <a:lumMod val="45000"/>
                      <a:lumOff val="55000"/>
                    </a:schemeClr>
                  </a:gs>
                  <a:gs pos="100000">
                    <a:schemeClr val="accent1">
                      <a:lumMod val="30000"/>
                      <a:lumOff val="70000"/>
                    </a:schemeClr>
                  </a:gs>
                </a:gsLst>
                <a:lin ang="5400000" scaled="1"/>
              </a:gradFill>
              <a:ln w="25400">
                <a:solidFill>
                  <a:schemeClr val="tx1"/>
                </a:solidFill>
              </a:ln>
              <a:effectLst/>
            </c:spPr>
            <c:extLst>
              <c:ext xmlns:c16="http://schemas.microsoft.com/office/drawing/2014/chart" uri="{C3380CC4-5D6E-409C-BE32-E72D297353CC}">
                <c16:uniqueId val="{00000003-6361-4265-B89F-BD4CEF1F5E43}"/>
              </c:ext>
            </c:extLst>
          </c:dPt>
          <c:dPt>
            <c:idx val="2"/>
            <c:bubble3D val="0"/>
            <c:spPr>
              <a:prstGeom prst="rect">
                <a:avLst/>
              </a:prstGeom>
              <a:gradFill>
                <a:gsLst>
                  <a:gs pos="0">
                    <a:srgbClr val="00B050"/>
                  </a:gs>
                  <a:gs pos="0">
                    <a:srgbClr val="FF0000"/>
                  </a:gs>
                  <a:gs pos="74000">
                    <a:schemeClr val="accent1">
                      <a:lumMod val="45000"/>
                      <a:lumOff val="55000"/>
                    </a:schemeClr>
                  </a:gs>
                  <a:gs pos="100000">
                    <a:schemeClr val="accent1">
                      <a:lumMod val="30000"/>
                      <a:lumOff val="70000"/>
                    </a:schemeClr>
                  </a:gs>
                </a:gsLst>
                <a:lin ang="5400000" scaled="1"/>
              </a:gradFill>
              <a:ln w="25400">
                <a:solidFill>
                  <a:schemeClr val="tx1"/>
                </a:solidFill>
              </a:ln>
              <a:effectLst/>
            </c:spPr>
            <c:extLst>
              <c:ext xmlns:c16="http://schemas.microsoft.com/office/drawing/2014/chart" uri="{C3380CC4-5D6E-409C-BE32-E72D297353CC}">
                <c16:uniqueId val="{00000005-6361-4265-B89F-BD4CEF1F5E43}"/>
              </c:ext>
            </c:extLst>
          </c:dPt>
          <c:dLbls>
            <c:dLbl>
              <c:idx val="0"/>
              <c:layout>
                <c:manualLayout>
                  <c:x val="-1.6774000000000001E-2"/>
                  <c:y val="2.342100000000000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6361-4265-B89F-BD4CEF1F5E43}"/>
                </c:ext>
              </c:extLst>
            </c:dLbl>
            <c:dLbl>
              <c:idx val="1"/>
              <c:layout>
                <c:manualLayout>
                  <c:x val="2.5808999999999999E-2"/>
                  <c:y val="-2.3965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6361-4265-B89F-BD4CEF1F5E43}"/>
                </c:ext>
              </c:extLst>
            </c:dLbl>
            <c:dLbl>
              <c:idx val="2"/>
              <c:layout>
                <c:manualLayout>
                  <c:x val="4.1695000000000003E-2"/>
                  <c:y val="5.7600000000000004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6361-4265-B89F-BD4CEF1F5E4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prstGeom prst="rect">
                  <a:avLst/>
                </a:prstGeom>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rect">
                    <a:avLst/>
                  </a:prstGeom>
                </c15:spPr>
              </c:ext>
            </c:extLst>
          </c:dLbls>
          <c:cat>
            <c:strRef>
              <c:f>Аркуш1!$D$441:$D$443</c:f>
              <c:strCache>
                <c:ptCount val="3"/>
                <c:pt idx="0">
                  <c:v>Капітальні трансферти</c:v>
                </c:pt>
                <c:pt idx="1">
                  <c:v>Поточні трансферти</c:v>
                </c:pt>
                <c:pt idx="2">
                  <c:v>Комунальні та інші платежі</c:v>
                </c:pt>
              </c:strCache>
            </c:strRef>
          </c:cat>
          <c:val>
            <c:numRef>
              <c:f>Аркуш1!$E$441:$E$443</c:f>
              <c:numCache>
                <c:formatCode>0.00%</c:formatCode>
                <c:ptCount val="3"/>
                <c:pt idx="0">
                  <c:v>0.68100000000000005</c:v>
                </c:pt>
                <c:pt idx="1">
                  <c:v>0.24399999999999999</c:v>
                </c:pt>
                <c:pt idx="2">
                  <c:v>7.4999999999999997E-2</c:v>
                </c:pt>
              </c:numCache>
            </c:numRef>
          </c:val>
          <c:extLst>
            <c:ext xmlns:c16="http://schemas.microsoft.com/office/drawing/2014/chart" uri="{C3380CC4-5D6E-409C-BE32-E72D297353CC}">
              <c16:uniqueId val="{00000006-6361-4265-B89F-BD4CEF1F5E43}"/>
            </c:ext>
          </c:extLst>
        </c:ser>
        <c:dLbls>
          <c:showLegendKey val="0"/>
          <c:showVal val="0"/>
          <c:showCatName val="0"/>
          <c:showSerName val="0"/>
          <c:showPercent val="0"/>
          <c:showBubbleSize val="0"/>
          <c:showLeaderLines val="1"/>
        </c:dLbls>
      </c:pie3DChart>
      <c:spPr>
        <a:prstGeom prst="rect">
          <a:avLst/>
        </a:prstGeom>
        <a:noFill/>
        <a:ln>
          <a:noFill/>
        </a:ln>
        <a:effectLst/>
      </c:spPr>
    </c:plotArea>
    <c:legend>
      <c:legendPos val="r"/>
      <c:layout>
        <c:manualLayout>
          <c:xMode val="edge"/>
          <c:yMode val="edge"/>
          <c:x val="0.62582899999999997"/>
          <c:y val="0.11429300000000001"/>
          <c:w val="0.33250400000000002"/>
          <c:h val="0.234377"/>
        </c:manualLayout>
      </c:layout>
      <c:overlay val="0"/>
      <c:spPr>
        <a:prstGeom prst="rect">
          <a:avLst/>
        </a:prstGeom>
        <a:noFill/>
        <a:ln>
          <a:noFill/>
        </a:ln>
        <a:effectLst/>
      </c:spPr>
      <c:txPr>
        <a:bodyPr rot="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legend>
    <c:plotVisOnly val="1"/>
    <c:dispBlanksAs val="gap"/>
    <c:showDLblsOverMax val="0"/>
  </c:chart>
  <c:spPr>
    <a:prstGeom prst="rect">
      <a:avLst/>
    </a:prstGeom>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prstGeom prst="rect">
          <a:avLst/>
        </a:prstGeom>
        <a:noFill/>
        <a:ln>
          <a:noFill/>
        </a:ln>
        <a:effectLst/>
      </c:spPr>
    </c:floor>
    <c:sideWall>
      <c:thickness val="0"/>
      <c:spPr>
        <a:prstGeom prst="rect">
          <a:avLst/>
        </a:prstGeom>
        <a:noFill/>
        <a:ln>
          <a:noFill/>
        </a:ln>
        <a:effectLst/>
      </c:spPr>
    </c:sideWall>
    <c:backWall>
      <c:thickness val="0"/>
      <c:spPr>
        <a:prstGeom prst="rect">
          <a:avLst/>
        </a:prstGeom>
        <a:noFill/>
        <a:ln>
          <a:noFill/>
        </a:ln>
        <a:effectLst/>
      </c:spPr>
    </c:backWall>
    <c:plotArea>
      <c:layout/>
      <c:bar3DChart>
        <c:barDir val="col"/>
        <c:grouping val="clustered"/>
        <c:varyColors val="0"/>
        <c:ser>
          <c:idx val="0"/>
          <c:order val="0"/>
          <c:tx>
            <c:strRef>
              <c:f>Аркуш1!$C$459</c:f>
              <c:strCache>
                <c:ptCount val="1"/>
                <c:pt idx="0">
                  <c:v>Продажі</c:v>
                </c:pt>
              </c:strCache>
            </c:strRef>
          </c:tx>
          <c:spPr>
            <a:prstGeom prst="rect">
              <a:avLst/>
            </a:prstGeom>
            <a:solidFill>
              <a:schemeClr val="accent1"/>
            </a:solid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A580-4101-961A-41DFDD6EF38C}"/>
                </c:ext>
              </c:extLst>
            </c:dLbl>
            <c:dLbl>
              <c:idx val="1"/>
              <c:layout>
                <c:manualLayout>
                  <c:x val="-3.3333000000000002E-2"/>
                  <c:y val="-1.388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A580-4101-961A-41DFDD6EF38C}"/>
                </c:ext>
              </c:extLst>
            </c:dLbl>
            <c:dLbl>
              <c:idx val="2"/>
              <c:layout>
                <c:manualLayout>
                  <c:x val="-2.7778000000000001E-2"/>
                  <c:y val="-1.851900000000000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A580-4101-961A-41DFDD6EF38C}"/>
                </c:ext>
              </c:extLst>
            </c:dLbl>
            <c:dLbl>
              <c:idx val="3"/>
              <c:layout>
                <c:manualLayout>
                  <c:x val="-3.0556E-2"/>
                  <c:y val="-1.388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A580-4101-961A-41DFDD6EF38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0"/>
              </c:ext>
            </c:extLst>
          </c:dLbls>
          <c:cat>
            <c:numRef>
              <c:f>Аркуш1!$D$458:$G$458</c:f>
              <c:numCache>
                <c:formatCode>General</c:formatCode>
                <c:ptCount val="4"/>
                <c:pt idx="0">
                  <c:v>2022</c:v>
                </c:pt>
                <c:pt idx="1">
                  <c:v>2023</c:v>
                </c:pt>
                <c:pt idx="2">
                  <c:v>2024</c:v>
                </c:pt>
                <c:pt idx="3">
                  <c:v>2025</c:v>
                </c:pt>
              </c:numCache>
            </c:numRef>
          </c:cat>
          <c:val>
            <c:numRef>
              <c:f>Аркуш1!$D$459:$G$459</c:f>
              <c:numCache>
                <c:formatCode>#,##0</c:formatCode>
                <c:ptCount val="4"/>
                <c:pt idx="0" formatCode="General">
                  <c:v>0</c:v>
                </c:pt>
                <c:pt idx="1">
                  <c:v>95623</c:v>
                </c:pt>
                <c:pt idx="2">
                  <c:v>1240</c:v>
                </c:pt>
                <c:pt idx="3">
                  <c:v>1391520</c:v>
                </c:pt>
              </c:numCache>
            </c:numRef>
          </c:val>
          <c:extLst>
            <c:ext xmlns:c16="http://schemas.microsoft.com/office/drawing/2014/chart" uri="{C3380CC4-5D6E-409C-BE32-E72D297353CC}">
              <c16:uniqueId val="{00000004-A580-4101-961A-41DFDD6EF38C}"/>
            </c:ext>
          </c:extLst>
        </c:ser>
        <c:ser>
          <c:idx val="1"/>
          <c:order val="1"/>
          <c:tx>
            <c:strRef>
              <c:f>Аркуш1!$C$460</c:f>
              <c:strCache>
                <c:ptCount val="1"/>
                <c:pt idx="0">
                  <c:v>Покупки</c:v>
                </c:pt>
              </c:strCache>
            </c:strRef>
          </c:tx>
          <c:spPr>
            <a:prstGeom prst="rect">
              <a:avLst/>
            </a:prstGeom>
            <a:solidFill>
              <a:schemeClr val="accent2"/>
            </a:solidFill>
            <a:ln>
              <a:solidFill>
                <a:schemeClr val="tx1"/>
              </a:solidFill>
            </a:ln>
            <a:effectLst/>
          </c:spPr>
          <c:invertIfNegative val="0"/>
          <c:dLbls>
            <c:dLbl>
              <c:idx val="0"/>
              <c:layout>
                <c:manualLayout>
                  <c:x val="8.3330000000000001E-3"/>
                  <c:y val="-1.388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A580-4101-961A-41DFDD6EF38C}"/>
                </c:ext>
              </c:extLst>
            </c:dLbl>
            <c:dLbl>
              <c:idx val="1"/>
              <c:layout>
                <c:manualLayout>
                  <c:x val="8.3330000000000001E-3"/>
                  <c:y val="-2.3147999999999998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A580-4101-961A-41DFDD6EF38C}"/>
                </c:ext>
              </c:extLst>
            </c:dLbl>
            <c:dLbl>
              <c:idx val="2"/>
              <c:layout>
                <c:manualLayout>
                  <c:x val="8.3330000000000001E-3"/>
                  <c:y val="-1.851900000000000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A580-4101-961A-41DFDD6EF38C}"/>
                </c:ext>
              </c:extLst>
            </c:dLbl>
            <c:dLbl>
              <c:idx val="3"/>
              <c:layout>
                <c:manualLayout>
                  <c:x val="5.5560000000000002E-3"/>
                  <c:y val="-1.8519000000000001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A580-4101-961A-41DFDD6EF38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0"/>
              </c:ext>
            </c:extLst>
          </c:dLbls>
          <c:cat>
            <c:numRef>
              <c:f>Аркуш1!$D$458:$G$458</c:f>
              <c:numCache>
                <c:formatCode>General</c:formatCode>
                <c:ptCount val="4"/>
                <c:pt idx="0">
                  <c:v>2022</c:v>
                </c:pt>
                <c:pt idx="1">
                  <c:v>2023</c:v>
                </c:pt>
                <c:pt idx="2">
                  <c:v>2024</c:v>
                </c:pt>
                <c:pt idx="3">
                  <c:v>2025</c:v>
                </c:pt>
              </c:numCache>
            </c:numRef>
          </c:cat>
          <c:val>
            <c:numRef>
              <c:f>Аркуш1!$D$460:$G$460</c:f>
              <c:numCache>
                <c:formatCode>#,##0</c:formatCode>
                <c:ptCount val="4"/>
                <c:pt idx="0">
                  <c:v>262375085</c:v>
                </c:pt>
                <c:pt idx="1">
                  <c:v>117807027</c:v>
                </c:pt>
                <c:pt idx="2">
                  <c:v>594557230</c:v>
                </c:pt>
                <c:pt idx="3">
                  <c:v>321310633</c:v>
                </c:pt>
              </c:numCache>
            </c:numRef>
          </c:val>
          <c:extLst>
            <c:ext xmlns:c16="http://schemas.microsoft.com/office/drawing/2014/chart" uri="{C3380CC4-5D6E-409C-BE32-E72D297353CC}">
              <c16:uniqueId val="{00000009-A580-4101-961A-41DFDD6EF38C}"/>
            </c:ext>
          </c:extLst>
        </c:ser>
        <c:dLbls>
          <c:showLegendKey val="0"/>
          <c:showVal val="0"/>
          <c:showCatName val="0"/>
          <c:showSerName val="0"/>
          <c:showPercent val="0"/>
          <c:showBubbleSize val="0"/>
        </c:dLbls>
        <c:gapWidth val="150"/>
        <c:shape val="box"/>
        <c:axId val="768400335"/>
        <c:axId val="768402415"/>
        <c:axId val="0"/>
      </c:bar3DChart>
      <c:catAx>
        <c:axId val="768400335"/>
        <c:scaling>
          <c:orientation val="minMax"/>
        </c:scaling>
        <c:delete val="0"/>
        <c:axPos val="b"/>
        <c:numFmt formatCode="General" sourceLinked="1"/>
        <c:majorTickMark val="none"/>
        <c:minorTickMark val="none"/>
        <c:tickLblPos val="nextTo"/>
        <c:spPr>
          <a:prstGeom prst="rect">
            <a:avLst/>
          </a:prstGeom>
          <a:noFill/>
          <a:ln>
            <a:noFill/>
          </a:ln>
          <a:effectLst/>
        </c:spPr>
        <c:txPr>
          <a:bodyPr rot="-6000000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crossAx val="768402415"/>
        <c:crosses val="autoZero"/>
        <c:auto val="1"/>
        <c:lblAlgn val="ctr"/>
        <c:lblOffset val="100"/>
        <c:noMultiLvlLbl val="0"/>
      </c:catAx>
      <c:valAx>
        <c:axId val="768402415"/>
        <c:scaling>
          <c:orientation val="minMax"/>
        </c:scaling>
        <c:delete val="0"/>
        <c:axPos val="l"/>
        <c:majorGridlines>
          <c:spPr>
            <a:prstGeom prst="rect">
              <a:avLst/>
            </a:prstGeom>
            <a:ln w="9525" cap="flat" cmpd="sng" algn="ctr">
              <a:solidFill>
                <a:schemeClr val="tx1">
                  <a:lumMod val="15000"/>
                  <a:lumOff val="85000"/>
                </a:schemeClr>
              </a:solidFill>
              <a:round/>
            </a:ln>
            <a:effectLst/>
          </c:spPr>
        </c:majorGridlines>
        <c:numFmt formatCode="General" sourceLinked="1"/>
        <c:majorTickMark val="none"/>
        <c:minorTickMark val="none"/>
        <c:tickLblPos val="nextTo"/>
        <c:spPr>
          <a:prstGeom prst="rect">
            <a:avLst/>
          </a:prstGeom>
          <a:noFill/>
          <a:ln>
            <a:noFill/>
          </a:ln>
          <a:effectLst/>
        </c:spPr>
        <c:txPr>
          <a:bodyPr rot="-6000000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crossAx val="768400335"/>
        <c:crosses val="autoZero"/>
        <c:crossBetween val="between"/>
      </c:valAx>
      <c:spPr>
        <a:prstGeom prst="rect">
          <a:avLst/>
        </a:prstGeom>
        <a:noFill/>
        <a:ln>
          <a:noFill/>
        </a:ln>
        <a:effectLst/>
      </c:spPr>
    </c:plotArea>
    <c:legend>
      <c:legendPos val="r"/>
      <c:layout/>
      <c:overlay val="0"/>
      <c:spPr>
        <a:prstGeom prst="rect">
          <a:avLst/>
        </a:prstGeom>
        <a:noFill/>
        <a:ln>
          <a:noFill/>
        </a:ln>
        <a:effectLst/>
      </c:spPr>
      <c:txPr>
        <a:bodyPr rot="0" spcFirstLastPara="1" vertOverflow="ellipsis" vert="horz" wrap="square" anchor="ctr" anchorCtr="1"/>
        <a:lstStyle/>
        <a:p>
          <a:pPr>
            <a:defRPr sz="900" b="0" i="0" u="none" strike="noStrike">
              <a:solidFill>
                <a:schemeClr val="tx1">
                  <a:lumMod val="65000"/>
                  <a:lumOff val="35000"/>
                </a:schemeClr>
              </a:solidFill>
              <a:latin typeface="+mn-lt"/>
              <a:ea typeface="+mn-ea"/>
              <a:cs typeface="+mn-cs"/>
            </a:defRPr>
          </a:pPr>
          <a:endParaRPr lang="uk-UA"/>
        </a:p>
      </c:txPr>
    </c:legend>
    <c:plotVisOnly val="1"/>
    <c:dispBlanksAs val="gap"/>
    <c:showDLblsOverMax val="0"/>
  </c:chart>
  <c:spPr>
    <a:prstGeom prst="rect">
      <a:avLst/>
    </a:prstGeom>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1"/>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F70B2C7-DDD8-49B5-A687-C9DDE043BD64}" type="doc">
      <dgm:prSet loTypeId="urn:microsoft.com/office/officeart/2005/8/layout/hList7#1" loCatId="list" qsTypeId="urn:microsoft.com/office/officeart/2005/8/quickstyle/simple1" qsCatId="simple" csTypeId="urn:microsoft.com/office/officeart/2005/8/colors/accent1_2" csCatId="accent1" phldr="1"/>
      <dgm:spPr bwMode="auto"/>
    </dgm:pt>
    <dgm:pt modelId="{F75102AF-8506-49C9-9E9D-A1207423539D}">
      <dgm:prSet/>
      <dgm:spPr bwMode="auto">
        <a:xfrm>
          <a:off x="1151" y="0"/>
          <a:ext cx="1792188" cy="204216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mn-cs"/>
            </a:rPr>
            <a:t>відомчий контроль</a:t>
          </a:r>
          <a:endParaRPr/>
        </a:p>
      </dgm:t>
    </dgm:pt>
    <dgm:pt modelId="{F731F05F-FC48-45B5-8A04-20428D993432}" type="parTrans" cxnId="{4AD4071A-804A-4451-9DB9-4BD60496025B}">
      <dgm:prSet/>
      <dgm:spPr bwMode="auto"/>
      <dgm:t>
        <a:bodyPr/>
        <a:lstStyle/>
        <a:p>
          <a:pPr>
            <a:defRPr/>
          </a:pPr>
          <a:endParaRPr lang="uk-UA"/>
        </a:p>
      </dgm:t>
    </dgm:pt>
    <dgm:pt modelId="{7A4183F3-58DA-4A35-83BF-89FDB19C9B3B}" type="sibTrans" cxnId="{4AD4071A-804A-4451-9DB9-4BD60496025B}">
      <dgm:prSet/>
      <dgm:spPr bwMode="auto"/>
      <dgm:t>
        <a:bodyPr/>
        <a:lstStyle/>
        <a:p>
          <a:pPr>
            <a:defRPr/>
          </a:pPr>
          <a:endParaRPr lang="uk-UA"/>
        </a:p>
      </dgm:t>
    </dgm:pt>
    <dgm:pt modelId="{B8D7E5E8-82BD-4027-B7B4-9CEB500B83D8}">
      <dgm:prSet/>
      <dgm:spPr bwMode="auto">
        <a:xfrm>
          <a:off x="1847105" y="0"/>
          <a:ext cx="1792188" cy="204216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mn-cs"/>
            </a:rPr>
            <a:t>позавідомчий контроль</a:t>
          </a:r>
          <a:endParaRPr/>
        </a:p>
      </dgm:t>
    </dgm:pt>
    <dgm:pt modelId="{8DEE4BE7-A028-4F42-AEA4-346727596076}" type="parTrans" cxnId="{65604F11-8429-4733-9323-3661CDF112B2}">
      <dgm:prSet/>
      <dgm:spPr bwMode="auto"/>
      <dgm:t>
        <a:bodyPr/>
        <a:lstStyle/>
        <a:p>
          <a:pPr>
            <a:defRPr/>
          </a:pPr>
          <a:endParaRPr lang="uk-UA"/>
        </a:p>
      </dgm:t>
    </dgm:pt>
    <dgm:pt modelId="{C844A6F0-1BE0-4C39-9B2A-4C09E88D04A7}" type="sibTrans" cxnId="{65604F11-8429-4733-9323-3661CDF112B2}">
      <dgm:prSet/>
      <dgm:spPr bwMode="auto"/>
      <dgm:t>
        <a:bodyPr/>
        <a:lstStyle/>
        <a:p>
          <a:pPr>
            <a:defRPr/>
          </a:pPr>
          <a:endParaRPr lang="uk-UA"/>
        </a:p>
      </dgm:t>
    </dgm:pt>
    <dgm:pt modelId="{6237B925-CCB9-46BC-8DDE-5E7FE6387554}">
      <dgm:prSet/>
      <dgm:spPr bwMode="auto">
        <a:xfrm>
          <a:off x="3693059" y="0"/>
          <a:ext cx="1792188" cy="204216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mn-cs"/>
            </a:rPr>
            <a:t>громадський контроль</a:t>
          </a:r>
          <a:endParaRPr/>
        </a:p>
      </dgm:t>
    </dgm:pt>
    <dgm:pt modelId="{34EB2F41-5A76-4CE3-90DF-ABD167882EC0}" type="parTrans" cxnId="{0562C25C-F70C-45FA-903A-936F590509C4}">
      <dgm:prSet/>
      <dgm:spPr bwMode="auto"/>
      <dgm:t>
        <a:bodyPr/>
        <a:lstStyle/>
        <a:p>
          <a:pPr>
            <a:defRPr/>
          </a:pPr>
          <a:endParaRPr lang="uk-UA"/>
        </a:p>
      </dgm:t>
    </dgm:pt>
    <dgm:pt modelId="{BB09101D-2DBA-4A58-9F7E-7872B5B6AB38}" type="sibTrans" cxnId="{0562C25C-F70C-45FA-903A-936F590509C4}">
      <dgm:prSet/>
      <dgm:spPr bwMode="auto"/>
      <dgm:t>
        <a:bodyPr/>
        <a:lstStyle/>
        <a:p>
          <a:pPr>
            <a:defRPr/>
          </a:pPr>
          <a:endParaRPr lang="uk-UA"/>
        </a:p>
      </dgm:t>
    </dgm:pt>
    <dgm:pt modelId="{B66E7761-62C6-4A52-A65E-C906BD17A37E}" type="pres">
      <dgm:prSet presAssocID="{0F70B2C7-DDD8-49B5-A687-C9DDE043BD64}" presName="Name0" presStyleCnt="0">
        <dgm:presLayoutVars>
          <dgm:dir/>
          <dgm:resizeHandles val="exact"/>
        </dgm:presLayoutVars>
      </dgm:prSet>
      <dgm:spPr bwMode="auto"/>
    </dgm:pt>
    <dgm:pt modelId="{DAE45F6F-75B2-457D-ABB0-517EDC1EE999}" type="pres">
      <dgm:prSet presAssocID="{0F70B2C7-DDD8-49B5-A687-C9DDE043BD64}" presName="fgShape" presStyleLbl="fgShp" presStyleIdx="0" presStyleCnt="1" custScaleY="166667"/>
      <dgm:spPr bwMode="auto">
        <a:xfrm>
          <a:off x="219456" y="1531619"/>
          <a:ext cx="5047488" cy="510541"/>
        </a:xfrm>
        <a:prstGeom prst="leftRightArrow">
          <a:avLst>
            <a:gd name="adj1" fmla="val 50000"/>
            <a:gd name="adj2" fmla="val 50000"/>
          </a:avLst>
        </a:prstGeom>
        <a:solidFill>
          <a:srgbClr val="5B9BD5">
            <a:tint val="6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C219BD51-0F7C-4EB5-8006-AE517A65D106}" type="pres">
      <dgm:prSet presAssocID="{0F70B2C7-DDD8-49B5-A687-C9DDE043BD64}" presName="linComp" presStyleCnt="0"/>
      <dgm:spPr bwMode="auto"/>
    </dgm:pt>
    <dgm:pt modelId="{E72A703D-0338-48B3-A866-183BA87897B2}" type="pres">
      <dgm:prSet presAssocID="{F75102AF-8506-49C9-9E9D-A1207423539D}" presName="compNode" presStyleCnt="0"/>
      <dgm:spPr bwMode="auto"/>
    </dgm:pt>
    <dgm:pt modelId="{23764ADD-9907-4D0F-BA47-76818DEC003C}" type="pres">
      <dgm:prSet presAssocID="{F75102AF-8506-49C9-9E9D-A1207423539D}" presName="bkgdShape" presStyleLbl="node1" presStyleIdx="0" presStyleCnt="3"/>
      <dgm:spPr bwMode="auto"/>
      <dgm:t>
        <a:bodyPr/>
        <a:lstStyle/>
        <a:p>
          <a:pPr>
            <a:defRPr/>
          </a:pPr>
          <a:endParaRPr lang="uk-UA"/>
        </a:p>
      </dgm:t>
    </dgm:pt>
    <dgm:pt modelId="{15EDB87D-5166-49C1-B7E9-B84B7E3E8ABF}" type="pres">
      <dgm:prSet presAssocID="{F75102AF-8506-49C9-9E9D-A1207423539D}" presName="nodeTx" presStyleLbl="node1" presStyleIdx="0" presStyleCnt="3">
        <dgm:presLayoutVars>
          <dgm:bulletEnabled val="1"/>
        </dgm:presLayoutVars>
      </dgm:prSet>
      <dgm:spPr bwMode="auto"/>
      <dgm:t>
        <a:bodyPr/>
        <a:lstStyle/>
        <a:p>
          <a:pPr>
            <a:defRPr/>
          </a:pPr>
          <a:endParaRPr lang="uk-UA"/>
        </a:p>
      </dgm:t>
    </dgm:pt>
    <dgm:pt modelId="{9DCFD956-8323-4DBD-BCDA-C4402130F042}" type="pres">
      <dgm:prSet presAssocID="{F75102AF-8506-49C9-9E9D-A1207423539D}" presName="invisiNode" presStyleLbl="node1" presStyleIdx="0" presStyleCnt="3"/>
      <dgm:spPr bwMode="auto"/>
    </dgm:pt>
    <dgm:pt modelId="{0A0D62D0-193F-440E-A2FC-A3A7DA8F2347}" type="pres">
      <dgm:prSet presAssocID="{F75102AF-8506-49C9-9E9D-A1207423539D}" presName="imagNode" presStyleLbl="fgImgPlace1" presStyleIdx="0" presStyleCnt="3"/>
      <dgm:spPr bwMode="auto">
        <a:xfrm>
          <a:off x="557226" y="122529"/>
          <a:ext cx="680039" cy="680039"/>
        </a:xfrm>
        <a:prstGeom prst="ellipse">
          <a:avLst/>
        </a:prstGeom>
        <a:solidFill>
          <a:srgbClr val="5B9BD5">
            <a:tint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4FA171A4-0DCB-4DA6-9613-19BF1D68C9FC}" type="pres">
      <dgm:prSet presAssocID="{7A4183F3-58DA-4A35-83BF-89FDB19C9B3B}" presName="sibTrans" presStyleLbl="sibTrans2D1" presStyleIdx="0" presStyleCnt="0"/>
      <dgm:spPr bwMode="auto"/>
      <dgm:t>
        <a:bodyPr/>
        <a:lstStyle/>
        <a:p>
          <a:pPr>
            <a:defRPr/>
          </a:pPr>
          <a:endParaRPr lang="uk-UA"/>
        </a:p>
      </dgm:t>
    </dgm:pt>
    <dgm:pt modelId="{C58A4DE1-4157-4C21-8275-0A42F1E712A2}" type="pres">
      <dgm:prSet presAssocID="{B8D7E5E8-82BD-4027-B7B4-9CEB500B83D8}" presName="compNode" presStyleCnt="0"/>
      <dgm:spPr bwMode="auto"/>
    </dgm:pt>
    <dgm:pt modelId="{BACE3BC7-03BD-482E-AF07-DB9CFDE02A25}" type="pres">
      <dgm:prSet presAssocID="{B8D7E5E8-82BD-4027-B7B4-9CEB500B83D8}" presName="bkgdShape" presStyleLbl="node1" presStyleIdx="1" presStyleCnt="3"/>
      <dgm:spPr bwMode="auto"/>
      <dgm:t>
        <a:bodyPr/>
        <a:lstStyle/>
        <a:p>
          <a:pPr>
            <a:defRPr/>
          </a:pPr>
          <a:endParaRPr lang="uk-UA"/>
        </a:p>
      </dgm:t>
    </dgm:pt>
    <dgm:pt modelId="{9F3AF4C9-9FCB-453A-BB7B-F3E5B02528B2}" type="pres">
      <dgm:prSet presAssocID="{B8D7E5E8-82BD-4027-B7B4-9CEB500B83D8}" presName="nodeTx" presStyleLbl="node1" presStyleIdx="1" presStyleCnt="3">
        <dgm:presLayoutVars>
          <dgm:bulletEnabled val="1"/>
        </dgm:presLayoutVars>
      </dgm:prSet>
      <dgm:spPr bwMode="auto"/>
      <dgm:t>
        <a:bodyPr/>
        <a:lstStyle/>
        <a:p>
          <a:pPr>
            <a:defRPr/>
          </a:pPr>
          <a:endParaRPr lang="uk-UA"/>
        </a:p>
      </dgm:t>
    </dgm:pt>
    <dgm:pt modelId="{6C92EF3A-66CA-475B-A2B4-DE7F72DF9E4B}" type="pres">
      <dgm:prSet presAssocID="{B8D7E5E8-82BD-4027-B7B4-9CEB500B83D8}" presName="invisiNode" presStyleLbl="node1" presStyleIdx="1" presStyleCnt="3"/>
      <dgm:spPr bwMode="auto"/>
    </dgm:pt>
    <dgm:pt modelId="{E57E5262-E164-4BF7-A5B0-21C963634EEA}" type="pres">
      <dgm:prSet presAssocID="{B8D7E5E8-82BD-4027-B7B4-9CEB500B83D8}" presName="imagNode" presStyleLbl="fgImgPlace1" presStyleIdx="1" presStyleCnt="3"/>
      <dgm:spPr bwMode="auto">
        <a:xfrm>
          <a:off x="2403180" y="122529"/>
          <a:ext cx="680039" cy="680039"/>
        </a:xfrm>
        <a:prstGeom prst="ellipse">
          <a:avLst/>
        </a:prstGeom>
        <a:solidFill>
          <a:srgbClr val="5B9BD5">
            <a:tint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6EF0B038-DABE-4B8D-9DAC-02FD8E8B939A}" type="pres">
      <dgm:prSet presAssocID="{C844A6F0-1BE0-4C39-9B2A-4C09E88D04A7}" presName="sibTrans" presStyleLbl="sibTrans2D1" presStyleIdx="0" presStyleCnt="0"/>
      <dgm:spPr bwMode="auto"/>
      <dgm:t>
        <a:bodyPr/>
        <a:lstStyle/>
        <a:p>
          <a:pPr>
            <a:defRPr/>
          </a:pPr>
          <a:endParaRPr lang="uk-UA"/>
        </a:p>
      </dgm:t>
    </dgm:pt>
    <dgm:pt modelId="{66E4C61C-DF85-4119-9722-4915FFE729C5}" type="pres">
      <dgm:prSet presAssocID="{6237B925-CCB9-46BC-8DDE-5E7FE6387554}" presName="compNode" presStyleCnt="0"/>
      <dgm:spPr bwMode="auto"/>
    </dgm:pt>
    <dgm:pt modelId="{E054003D-C434-4275-B281-323779B1C2D9}" type="pres">
      <dgm:prSet presAssocID="{6237B925-CCB9-46BC-8DDE-5E7FE6387554}" presName="bkgdShape" presStyleLbl="node1" presStyleIdx="2" presStyleCnt="3"/>
      <dgm:spPr bwMode="auto"/>
      <dgm:t>
        <a:bodyPr/>
        <a:lstStyle/>
        <a:p>
          <a:pPr>
            <a:defRPr/>
          </a:pPr>
          <a:endParaRPr lang="uk-UA"/>
        </a:p>
      </dgm:t>
    </dgm:pt>
    <dgm:pt modelId="{000BB785-3900-4307-9D2A-DC98DACF6A98}" type="pres">
      <dgm:prSet presAssocID="{6237B925-CCB9-46BC-8DDE-5E7FE6387554}" presName="nodeTx" presStyleLbl="node1" presStyleIdx="2" presStyleCnt="3">
        <dgm:presLayoutVars>
          <dgm:bulletEnabled val="1"/>
        </dgm:presLayoutVars>
      </dgm:prSet>
      <dgm:spPr bwMode="auto"/>
      <dgm:t>
        <a:bodyPr/>
        <a:lstStyle/>
        <a:p>
          <a:pPr>
            <a:defRPr/>
          </a:pPr>
          <a:endParaRPr lang="uk-UA"/>
        </a:p>
      </dgm:t>
    </dgm:pt>
    <dgm:pt modelId="{2702EFFF-BD1C-4B20-BB1B-46ECEBE90927}" type="pres">
      <dgm:prSet presAssocID="{6237B925-CCB9-46BC-8DDE-5E7FE6387554}" presName="invisiNode" presStyleLbl="node1" presStyleIdx="2" presStyleCnt="3"/>
      <dgm:spPr bwMode="auto"/>
    </dgm:pt>
    <dgm:pt modelId="{8416F617-B53C-4263-873D-988512198E5D}" type="pres">
      <dgm:prSet presAssocID="{6237B925-CCB9-46BC-8DDE-5E7FE6387554}" presName="imagNode" presStyleLbl="fgImgPlace1" presStyleIdx="2" presStyleCnt="3"/>
      <dgm:spPr bwMode="auto">
        <a:xfrm>
          <a:off x="4249134" y="122529"/>
          <a:ext cx="680039" cy="680039"/>
        </a:xfrm>
        <a:prstGeom prst="ellipse">
          <a:avLst/>
        </a:prstGeom>
        <a:solidFill>
          <a:srgbClr val="5B9BD5">
            <a:tint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Lst>
  <dgm:cxnLst>
    <dgm:cxn modelId="{3D9FCDDB-7C3C-4122-91B5-6E540D518B7C}" type="presOf" srcId="{6237B925-CCB9-46BC-8DDE-5E7FE6387554}" destId="{E054003D-C434-4275-B281-323779B1C2D9}" srcOrd="0" destOrd="0" presId="urn:microsoft.com/office/officeart/2005/8/layout/hList7#1"/>
    <dgm:cxn modelId="{5D60DC75-B2C0-4EB9-B34F-F1774B31A045}" type="presOf" srcId="{F75102AF-8506-49C9-9E9D-A1207423539D}" destId="{15EDB87D-5166-49C1-B7E9-B84B7E3E8ABF}" srcOrd="1" destOrd="0" presId="urn:microsoft.com/office/officeart/2005/8/layout/hList7#1"/>
    <dgm:cxn modelId="{B1813847-E99C-4BF5-B929-20AF22212809}" type="presOf" srcId="{7A4183F3-58DA-4A35-83BF-89FDB19C9B3B}" destId="{4FA171A4-0DCB-4DA6-9613-19BF1D68C9FC}" srcOrd="0" destOrd="0" presId="urn:microsoft.com/office/officeart/2005/8/layout/hList7#1"/>
    <dgm:cxn modelId="{4AD4071A-804A-4451-9DB9-4BD60496025B}" srcId="{0F70B2C7-DDD8-49B5-A687-C9DDE043BD64}" destId="{F75102AF-8506-49C9-9E9D-A1207423539D}" srcOrd="0" destOrd="0" parTransId="{F731F05F-FC48-45B5-8A04-20428D993432}" sibTransId="{7A4183F3-58DA-4A35-83BF-89FDB19C9B3B}"/>
    <dgm:cxn modelId="{1BA64659-3D34-44A2-84AB-21540C006BCB}" type="presOf" srcId="{F75102AF-8506-49C9-9E9D-A1207423539D}" destId="{23764ADD-9907-4D0F-BA47-76818DEC003C}" srcOrd="0" destOrd="0" presId="urn:microsoft.com/office/officeart/2005/8/layout/hList7#1"/>
    <dgm:cxn modelId="{D7B91E94-27A0-474F-95B6-0DC4A5F846AD}" type="presOf" srcId="{B8D7E5E8-82BD-4027-B7B4-9CEB500B83D8}" destId="{9F3AF4C9-9FCB-453A-BB7B-F3E5B02528B2}" srcOrd="1" destOrd="0" presId="urn:microsoft.com/office/officeart/2005/8/layout/hList7#1"/>
    <dgm:cxn modelId="{0562C25C-F70C-45FA-903A-936F590509C4}" srcId="{0F70B2C7-DDD8-49B5-A687-C9DDE043BD64}" destId="{6237B925-CCB9-46BC-8DDE-5E7FE6387554}" srcOrd="2" destOrd="0" parTransId="{34EB2F41-5A76-4CE3-90DF-ABD167882EC0}" sibTransId="{BB09101D-2DBA-4A58-9F7E-7872B5B6AB38}"/>
    <dgm:cxn modelId="{9374F897-E19F-4AF6-B060-EA5E09AE89F9}" type="presOf" srcId="{6237B925-CCB9-46BC-8DDE-5E7FE6387554}" destId="{000BB785-3900-4307-9D2A-DC98DACF6A98}" srcOrd="1" destOrd="0" presId="urn:microsoft.com/office/officeart/2005/8/layout/hList7#1"/>
    <dgm:cxn modelId="{5876D0FA-D1E8-4770-BEEC-BDA11B28F429}" type="presOf" srcId="{0F70B2C7-DDD8-49B5-A687-C9DDE043BD64}" destId="{B66E7761-62C6-4A52-A65E-C906BD17A37E}" srcOrd="0" destOrd="0" presId="urn:microsoft.com/office/officeart/2005/8/layout/hList7#1"/>
    <dgm:cxn modelId="{32153FB0-7628-4744-91D9-4E3C77D413DB}" type="presOf" srcId="{C844A6F0-1BE0-4C39-9B2A-4C09E88D04A7}" destId="{6EF0B038-DABE-4B8D-9DAC-02FD8E8B939A}" srcOrd="0" destOrd="0" presId="urn:microsoft.com/office/officeart/2005/8/layout/hList7#1"/>
    <dgm:cxn modelId="{65604F11-8429-4733-9323-3661CDF112B2}" srcId="{0F70B2C7-DDD8-49B5-A687-C9DDE043BD64}" destId="{B8D7E5E8-82BD-4027-B7B4-9CEB500B83D8}" srcOrd="1" destOrd="0" parTransId="{8DEE4BE7-A028-4F42-AEA4-346727596076}" sibTransId="{C844A6F0-1BE0-4C39-9B2A-4C09E88D04A7}"/>
    <dgm:cxn modelId="{2E7B4C44-C321-47A2-ABDC-70A2228A3C0A}" type="presOf" srcId="{B8D7E5E8-82BD-4027-B7B4-9CEB500B83D8}" destId="{BACE3BC7-03BD-482E-AF07-DB9CFDE02A25}" srcOrd="0" destOrd="0" presId="urn:microsoft.com/office/officeart/2005/8/layout/hList7#1"/>
    <dgm:cxn modelId="{0817791E-235E-43C1-ACC0-ED2A37C5CFB6}" type="presParOf" srcId="{B66E7761-62C6-4A52-A65E-C906BD17A37E}" destId="{DAE45F6F-75B2-457D-ABB0-517EDC1EE999}" srcOrd="0" destOrd="0" presId="urn:microsoft.com/office/officeart/2005/8/layout/hList7#1"/>
    <dgm:cxn modelId="{918B5DF0-1654-4C92-A4EC-2AC161746DDC}" type="presParOf" srcId="{B66E7761-62C6-4A52-A65E-C906BD17A37E}" destId="{C219BD51-0F7C-4EB5-8006-AE517A65D106}" srcOrd="1" destOrd="0" presId="urn:microsoft.com/office/officeart/2005/8/layout/hList7#1"/>
    <dgm:cxn modelId="{B7384339-1479-462C-A639-A13CB161E238}" type="presParOf" srcId="{C219BD51-0F7C-4EB5-8006-AE517A65D106}" destId="{E72A703D-0338-48B3-A866-183BA87897B2}" srcOrd="0" destOrd="0" presId="urn:microsoft.com/office/officeart/2005/8/layout/hList7#1"/>
    <dgm:cxn modelId="{C4E7492A-87EE-430A-A504-1DF5B8A1B00E}" type="presParOf" srcId="{E72A703D-0338-48B3-A866-183BA87897B2}" destId="{23764ADD-9907-4D0F-BA47-76818DEC003C}" srcOrd="0" destOrd="0" presId="urn:microsoft.com/office/officeart/2005/8/layout/hList7#1"/>
    <dgm:cxn modelId="{CAC9856C-61EE-4A77-8EE3-1171B22D1227}" type="presParOf" srcId="{E72A703D-0338-48B3-A866-183BA87897B2}" destId="{15EDB87D-5166-49C1-B7E9-B84B7E3E8ABF}" srcOrd="1" destOrd="0" presId="urn:microsoft.com/office/officeart/2005/8/layout/hList7#1"/>
    <dgm:cxn modelId="{CF4F7CBF-CA75-4B91-A554-8474F650C418}" type="presParOf" srcId="{E72A703D-0338-48B3-A866-183BA87897B2}" destId="{9DCFD956-8323-4DBD-BCDA-C4402130F042}" srcOrd="2" destOrd="0" presId="urn:microsoft.com/office/officeart/2005/8/layout/hList7#1"/>
    <dgm:cxn modelId="{C2C3355C-9859-4FA9-9C63-D07B12F2C410}" type="presParOf" srcId="{E72A703D-0338-48B3-A866-183BA87897B2}" destId="{0A0D62D0-193F-440E-A2FC-A3A7DA8F2347}" srcOrd="3" destOrd="0" presId="urn:microsoft.com/office/officeart/2005/8/layout/hList7#1"/>
    <dgm:cxn modelId="{2A0DF3A4-8E22-4307-B4C9-07FE370798BF}" type="presParOf" srcId="{C219BD51-0F7C-4EB5-8006-AE517A65D106}" destId="{4FA171A4-0DCB-4DA6-9613-19BF1D68C9FC}" srcOrd="1" destOrd="0" presId="urn:microsoft.com/office/officeart/2005/8/layout/hList7#1"/>
    <dgm:cxn modelId="{6ACBA6BA-D321-4305-B74A-B054CDAB235D}" type="presParOf" srcId="{C219BD51-0F7C-4EB5-8006-AE517A65D106}" destId="{C58A4DE1-4157-4C21-8275-0A42F1E712A2}" srcOrd="2" destOrd="0" presId="urn:microsoft.com/office/officeart/2005/8/layout/hList7#1"/>
    <dgm:cxn modelId="{C7ACE3B4-DCC7-40F4-B330-B75D07CC0F26}" type="presParOf" srcId="{C58A4DE1-4157-4C21-8275-0A42F1E712A2}" destId="{BACE3BC7-03BD-482E-AF07-DB9CFDE02A25}" srcOrd="0" destOrd="0" presId="urn:microsoft.com/office/officeart/2005/8/layout/hList7#1"/>
    <dgm:cxn modelId="{34A4177A-DA5D-4B44-90AA-0D25F1986964}" type="presParOf" srcId="{C58A4DE1-4157-4C21-8275-0A42F1E712A2}" destId="{9F3AF4C9-9FCB-453A-BB7B-F3E5B02528B2}" srcOrd="1" destOrd="0" presId="urn:microsoft.com/office/officeart/2005/8/layout/hList7#1"/>
    <dgm:cxn modelId="{16EF9539-7502-4BBD-B161-B89B9C1399D0}" type="presParOf" srcId="{C58A4DE1-4157-4C21-8275-0A42F1E712A2}" destId="{6C92EF3A-66CA-475B-A2B4-DE7F72DF9E4B}" srcOrd="2" destOrd="0" presId="urn:microsoft.com/office/officeart/2005/8/layout/hList7#1"/>
    <dgm:cxn modelId="{E12E3BA5-C485-4A5D-87F8-785D7E621489}" type="presParOf" srcId="{C58A4DE1-4157-4C21-8275-0A42F1E712A2}" destId="{E57E5262-E164-4BF7-A5B0-21C963634EEA}" srcOrd="3" destOrd="0" presId="urn:microsoft.com/office/officeart/2005/8/layout/hList7#1"/>
    <dgm:cxn modelId="{40E99BFE-E5CA-41DF-AEAB-2EA781BC8E48}" type="presParOf" srcId="{C219BD51-0F7C-4EB5-8006-AE517A65D106}" destId="{6EF0B038-DABE-4B8D-9DAC-02FD8E8B939A}" srcOrd="3" destOrd="0" presId="urn:microsoft.com/office/officeart/2005/8/layout/hList7#1"/>
    <dgm:cxn modelId="{B41AE696-B002-4DB8-8408-3A22AC78E3FD}" type="presParOf" srcId="{C219BD51-0F7C-4EB5-8006-AE517A65D106}" destId="{66E4C61C-DF85-4119-9722-4915FFE729C5}" srcOrd="4" destOrd="0" presId="urn:microsoft.com/office/officeart/2005/8/layout/hList7#1"/>
    <dgm:cxn modelId="{761502BB-E160-471F-B510-A4A8A10EF34F}" type="presParOf" srcId="{66E4C61C-DF85-4119-9722-4915FFE729C5}" destId="{E054003D-C434-4275-B281-323779B1C2D9}" srcOrd="0" destOrd="0" presId="urn:microsoft.com/office/officeart/2005/8/layout/hList7#1"/>
    <dgm:cxn modelId="{6745205C-1E9B-4336-B982-7E39A524B6AE}" type="presParOf" srcId="{66E4C61C-DF85-4119-9722-4915FFE729C5}" destId="{000BB785-3900-4307-9D2A-DC98DACF6A98}" srcOrd="1" destOrd="0" presId="urn:microsoft.com/office/officeart/2005/8/layout/hList7#1"/>
    <dgm:cxn modelId="{6E7B72BC-B96F-4C82-94AA-AC891A0759BC}" type="presParOf" srcId="{66E4C61C-DF85-4119-9722-4915FFE729C5}" destId="{2702EFFF-BD1C-4B20-BB1B-46ECEBE90927}" srcOrd="2" destOrd="0" presId="urn:microsoft.com/office/officeart/2005/8/layout/hList7#1"/>
    <dgm:cxn modelId="{5D32175D-E397-4E47-A17F-EE56EDA83DF9}" type="presParOf" srcId="{66E4C61C-DF85-4119-9722-4915FFE729C5}" destId="{8416F617-B53C-4263-873D-988512198E5D}" srcOrd="3" destOrd="0" presId="urn:microsoft.com/office/officeart/2005/8/layout/hList7#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330EC28-A5F6-4107-AFF1-CB57CCB593B0}" type="doc">
      <dgm:prSet loTypeId="urn:microsoft.com/office/officeart/2008/layout/HorizontalMultiLevelHierarchy#1" loCatId="hierarchy" qsTypeId="urn:microsoft.com/office/officeart/2005/8/quickstyle/simple1" qsCatId="simple" csTypeId="urn:microsoft.com/office/officeart/2005/8/colors/colorful5" csCatId="colorful" phldr="1"/>
      <dgm:spPr bwMode="auto"/>
      <dgm:t>
        <a:bodyPr/>
        <a:lstStyle/>
        <a:p>
          <a:pPr>
            <a:defRPr/>
          </a:pPr>
          <a:endParaRPr lang="uk-UA"/>
        </a:p>
      </dgm:t>
    </dgm:pt>
    <dgm:pt modelId="{998F620B-7B81-4E20-BF94-3B682ECB47F4}">
      <dgm:prSet phldrT="[Текст]"/>
      <dgm:spPr bwMode="auto">
        <a:xfrm rot="16199999">
          <a:off x="-25903" y="954232"/>
          <a:ext cx="2668204" cy="994754"/>
        </a:xfrm>
        <a:prstGeom prst="rect">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Text" lastClr="000000"/>
              </a:solidFill>
              <a:latin typeface="Calibri"/>
              <a:ea typeface="+mn-ea"/>
              <a:cs typeface="+mn-cs"/>
            </a:rPr>
            <a:t>Моделі управління </a:t>
          </a:r>
          <a:endParaRPr/>
        </a:p>
        <a:p>
          <a:pPr>
            <a:defRPr/>
          </a:pPr>
          <a:r>
            <a:rPr lang="uk-UA">
              <a:solidFill>
                <a:sysClr val="windowText" lastClr="000000"/>
              </a:solidFill>
              <a:latin typeface="Calibri"/>
              <a:ea typeface="+mn-ea"/>
              <a:cs typeface="+mn-cs"/>
            </a:rPr>
            <a:t>ЯМД</a:t>
          </a:r>
          <a:endParaRPr/>
        </a:p>
      </dgm:t>
    </dgm:pt>
    <dgm:pt modelId="{50555826-8A0E-4E77-9837-FE86CB277D69}" type="parTrans" cxnId="{8823D9B4-D4A7-4C71-83BF-8F4803F6C0BB}">
      <dgm:prSet/>
      <dgm:spPr bwMode="auto"/>
      <dgm:t>
        <a:bodyPr/>
        <a:lstStyle/>
        <a:p>
          <a:pPr>
            <a:defRPr/>
          </a:pPr>
          <a:endParaRPr lang="uk-UA"/>
        </a:p>
      </dgm:t>
    </dgm:pt>
    <dgm:pt modelId="{962E7ED3-3064-4013-BE04-968AAAA1D098}" type="sibTrans" cxnId="{8823D9B4-D4A7-4C71-83BF-8F4803F6C0BB}">
      <dgm:prSet/>
      <dgm:spPr bwMode="auto"/>
      <dgm:t>
        <a:bodyPr/>
        <a:lstStyle/>
        <a:p>
          <a:pPr>
            <a:defRPr/>
          </a:pPr>
          <a:endParaRPr lang="uk-UA"/>
        </a:p>
      </dgm:t>
    </dgm:pt>
    <dgm:pt modelId="{B1F53C73-F0FB-4B70-A3CA-9703969534EE}">
      <dgm:prSet phldrT="[Текст]"/>
      <dgm:spPr bwMode="auto">
        <a:xfrm>
          <a:off x="2167433" y="272004"/>
          <a:ext cx="2472878" cy="551611"/>
        </a:xfrm>
        <a:prstGeom prst="rect">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mn-cs"/>
            </a:rPr>
            <a:t>професійна</a:t>
          </a:r>
          <a:endParaRPr/>
        </a:p>
      </dgm:t>
    </dgm:pt>
    <dgm:pt modelId="{08B1A6DB-1A86-463F-BC37-C839319778DF}" type="parTrans" cxnId="{F94BCA75-AD7C-47EE-9C19-0600BEDE0406}">
      <dgm:prSet/>
      <dgm:spPr bwMode="auto">
        <a:xfrm>
          <a:off x="1805576" y="547810"/>
          <a:ext cx="361857" cy="903799"/>
        </a:xfrm>
        <a:custGeom>
          <a:avLst/>
          <a:gdLst/>
          <a:ahLst/>
          <a:cxnLst/>
          <a:rect l="0" t="0" r="0" b="0"/>
          <a:pathLst>
            <a:path extrusionOk="0">
              <a:moveTo>
                <a:pt x="0" y="825517"/>
              </a:moveTo>
              <a:lnTo>
                <a:pt x="165257" y="825517"/>
              </a:lnTo>
              <a:lnTo>
                <a:pt x="165257" y="0"/>
              </a:lnTo>
              <a:lnTo>
                <a:pt x="330515" y="0"/>
              </a:lnTo>
            </a:path>
          </a:pathLst>
        </a:custGeom>
        <a:noFill/>
        <a:ln w="12700" cap="flat" cmpd="sng" algn="ctr">
          <a:solidFill>
            <a:srgbClr val="70AD47">
              <a:hueOff val="0"/>
              <a:satOff val="0"/>
              <a:lumOff val="0"/>
              <a:alphaOff val="0"/>
            </a:srgbClr>
          </a:solidFill>
          <a:prstDash val="solid"/>
          <a:miter lim="800000"/>
        </a:ln>
        <a:effectLst/>
      </dgm:spPr>
      <dgm:t>
        <a:bodyPr/>
        <a:lstStyle/>
        <a:p>
          <a:pPr>
            <a:defRPr/>
          </a:pPr>
          <a:endParaRPr lang="uk-UA">
            <a:solidFill>
              <a:sysClr val="windowText" lastClr="000000">
                <a:hueOff val="0"/>
                <a:satOff val="0"/>
                <a:lumOff val="0"/>
                <a:alphaOff val="0"/>
              </a:sysClr>
            </a:solidFill>
            <a:latin typeface="Calibri"/>
            <a:ea typeface="+mn-ea"/>
            <a:cs typeface="+mn-cs"/>
          </a:endParaRPr>
        </a:p>
      </dgm:t>
    </dgm:pt>
    <dgm:pt modelId="{4FF66DDA-3FE6-4215-8B30-3572EADB3A12}" type="sibTrans" cxnId="{F94BCA75-AD7C-47EE-9C19-0600BEDE0406}">
      <dgm:prSet/>
      <dgm:spPr bwMode="auto"/>
      <dgm:t>
        <a:bodyPr/>
        <a:lstStyle/>
        <a:p>
          <a:pPr>
            <a:defRPr/>
          </a:pPr>
          <a:endParaRPr lang="uk-UA"/>
        </a:p>
      </dgm:t>
    </dgm:pt>
    <dgm:pt modelId="{89C573D7-8CE8-4AE6-ABD2-05F5A38B8770}">
      <dgm:prSet phldrT="[Текст]"/>
      <dgm:spPr bwMode="auto">
        <a:xfrm>
          <a:off x="2167433" y="1175804"/>
          <a:ext cx="2500524" cy="551611"/>
        </a:xfrm>
        <a:prstGeom prst="rect">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mn-cs"/>
            </a:rPr>
            <a:t>бюрократична</a:t>
          </a:r>
          <a:endParaRPr/>
        </a:p>
      </dgm:t>
    </dgm:pt>
    <dgm:pt modelId="{81B681C7-201C-4DA3-A33F-678567D0D4B6}" type="parTrans" cxnId="{65891EE7-DB8E-4C23-88E0-7E048A1CA7EE}">
      <dgm:prSet/>
      <dgm:spPr bwMode="auto">
        <a:xfrm>
          <a:off x="1805576" y="1405889"/>
          <a:ext cx="361857" cy="91440"/>
        </a:xfrm>
        <a:custGeom>
          <a:avLst/>
          <a:gdLst/>
          <a:ahLst/>
          <a:cxnLst/>
          <a:rect l="0" t="0" r="0" b="0"/>
          <a:pathLst>
            <a:path extrusionOk="0">
              <a:moveTo>
                <a:pt x="0" y="45720"/>
              </a:moveTo>
              <a:lnTo>
                <a:pt x="330515" y="45720"/>
              </a:lnTo>
            </a:path>
          </a:pathLst>
        </a:custGeom>
        <a:noFill/>
        <a:ln w="12700" cap="flat" cmpd="sng" algn="ctr">
          <a:solidFill>
            <a:srgbClr val="70AD47">
              <a:hueOff val="0"/>
              <a:satOff val="0"/>
              <a:lumOff val="0"/>
              <a:alphaOff val="0"/>
            </a:srgbClr>
          </a:solidFill>
          <a:prstDash val="solid"/>
          <a:miter lim="800000"/>
        </a:ln>
        <a:effectLst/>
      </dgm:spPr>
      <dgm:t>
        <a:bodyPr/>
        <a:lstStyle/>
        <a:p>
          <a:pPr>
            <a:defRPr/>
          </a:pPr>
          <a:endParaRPr lang="uk-UA">
            <a:solidFill>
              <a:sysClr val="windowText" lastClr="000000">
                <a:hueOff val="0"/>
                <a:satOff val="0"/>
                <a:lumOff val="0"/>
                <a:alphaOff val="0"/>
              </a:sysClr>
            </a:solidFill>
            <a:latin typeface="Calibri"/>
            <a:ea typeface="+mn-ea"/>
            <a:cs typeface="+mn-cs"/>
          </a:endParaRPr>
        </a:p>
      </dgm:t>
    </dgm:pt>
    <dgm:pt modelId="{BD39EA37-1A5C-4471-AEDC-AF8F31013088}" type="sibTrans" cxnId="{65891EE7-DB8E-4C23-88E0-7E048A1CA7EE}">
      <dgm:prSet/>
      <dgm:spPr bwMode="auto"/>
      <dgm:t>
        <a:bodyPr/>
        <a:lstStyle/>
        <a:p>
          <a:pPr>
            <a:defRPr/>
          </a:pPr>
          <a:endParaRPr lang="uk-UA"/>
        </a:p>
      </dgm:t>
    </dgm:pt>
    <dgm:pt modelId="{A02F9C53-7764-4871-B3BC-53669A336FEC}">
      <dgm:prSet phldrT="[Текст]"/>
      <dgm:spPr bwMode="auto">
        <a:xfrm>
          <a:off x="2167433" y="2107250"/>
          <a:ext cx="2472878" cy="551611"/>
        </a:xfrm>
        <a:prstGeom prst="rect">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defRPr/>
          </a:pPr>
          <a:r>
            <a:rPr lang="uk-UA">
              <a:solidFill>
                <a:sysClr val="window" lastClr="FFFFFF"/>
              </a:solidFill>
              <a:latin typeface="Calibri"/>
              <a:ea typeface="+mn-ea"/>
              <a:cs typeface="+mn-cs"/>
            </a:rPr>
            <a:t>індустріальна</a:t>
          </a:r>
          <a:endParaRPr/>
        </a:p>
      </dgm:t>
    </dgm:pt>
    <dgm:pt modelId="{99B4F38C-803F-45A3-9CC1-39900C6EB3B1}" type="parTrans" cxnId="{0704A5FB-63EA-4B06-AF49-85EBDF7E16F4}">
      <dgm:prSet/>
      <dgm:spPr bwMode="auto">
        <a:xfrm>
          <a:off x="1805576" y="1451610"/>
          <a:ext cx="361857" cy="931446"/>
        </a:xfrm>
        <a:custGeom>
          <a:avLst/>
          <a:gdLst/>
          <a:ahLst/>
          <a:cxnLst/>
          <a:rect l="0" t="0" r="0" b="0"/>
          <a:pathLst>
            <a:path extrusionOk="0">
              <a:moveTo>
                <a:pt x="0" y="0"/>
              </a:moveTo>
              <a:lnTo>
                <a:pt x="165257" y="0"/>
              </a:lnTo>
              <a:lnTo>
                <a:pt x="165257" y="850769"/>
              </a:lnTo>
              <a:lnTo>
                <a:pt x="330515" y="850769"/>
              </a:lnTo>
            </a:path>
          </a:pathLst>
        </a:custGeom>
        <a:noFill/>
        <a:ln w="12700" cap="flat" cmpd="sng" algn="ctr">
          <a:solidFill>
            <a:srgbClr val="70AD47">
              <a:hueOff val="0"/>
              <a:satOff val="0"/>
              <a:lumOff val="0"/>
              <a:alphaOff val="0"/>
            </a:srgbClr>
          </a:solidFill>
          <a:prstDash val="solid"/>
          <a:miter lim="800000"/>
        </a:ln>
        <a:effectLst/>
      </dgm:spPr>
      <dgm:t>
        <a:bodyPr/>
        <a:lstStyle/>
        <a:p>
          <a:pPr>
            <a:defRPr/>
          </a:pPr>
          <a:endParaRPr lang="uk-UA">
            <a:solidFill>
              <a:sysClr val="windowText" lastClr="000000">
                <a:hueOff val="0"/>
                <a:satOff val="0"/>
                <a:lumOff val="0"/>
                <a:alphaOff val="0"/>
              </a:sysClr>
            </a:solidFill>
            <a:latin typeface="Calibri"/>
            <a:ea typeface="+mn-ea"/>
            <a:cs typeface="+mn-cs"/>
          </a:endParaRPr>
        </a:p>
      </dgm:t>
    </dgm:pt>
    <dgm:pt modelId="{B804E2C4-67A0-450B-A5FF-D8109B257D6D}" type="sibTrans" cxnId="{0704A5FB-63EA-4B06-AF49-85EBDF7E16F4}">
      <dgm:prSet/>
      <dgm:spPr bwMode="auto"/>
      <dgm:t>
        <a:bodyPr/>
        <a:lstStyle/>
        <a:p>
          <a:pPr>
            <a:defRPr/>
          </a:pPr>
          <a:endParaRPr lang="uk-UA"/>
        </a:p>
      </dgm:t>
    </dgm:pt>
    <dgm:pt modelId="{8D60B35A-884F-49F4-B14C-8E54DBF2CB6A}" type="pres">
      <dgm:prSet presAssocID="{0330EC28-A5F6-4107-AFF1-CB57CCB593B0}" presName="Name0" presStyleCnt="0">
        <dgm:presLayoutVars>
          <dgm:chPref val="1"/>
          <dgm:dir/>
          <dgm:animOne val="branch"/>
          <dgm:animLvl val="lvl"/>
          <dgm:resizeHandles val="exact"/>
        </dgm:presLayoutVars>
      </dgm:prSet>
      <dgm:spPr bwMode="auto"/>
      <dgm:t>
        <a:bodyPr/>
        <a:lstStyle/>
        <a:p>
          <a:pPr>
            <a:defRPr/>
          </a:pPr>
          <a:endParaRPr lang="uk-UA"/>
        </a:p>
      </dgm:t>
    </dgm:pt>
    <dgm:pt modelId="{78583631-ABA0-4FF1-8E24-D4456A4B0B59}" type="pres">
      <dgm:prSet presAssocID="{998F620B-7B81-4E20-BF94-3B682ECB47F4}" presName="root1" presStyleCnt="0"/>
      <dgm:spPr bwMode="auto"/>
    </dgm:pt>
    <dgm:pt modelId="{6919777E-562D-40D5-B10B-0CECF53CC961}" type="pres">
      <dgm:prSet presAssocID="{998F620B-7B81-4E20-BF94-3B682ECB47F4}" presName="LevelOneTextNode" presStyleLbl="node0" presStyleIdx="0" presStyleCnt="1" custScaleX="180336" custScaleY="91905">
        <dgm:presLayoutVars>
          <dgm:chPref val="3"/>
        </dgm:presLayoutVars>
      </dgm:prSet>
      <dgm:spPr bwMode="auto"/>
      <dgm:t>
        <a:bodyPr/>
        <a:lstStyle/>
        <a:p>
          <a:pPr>
            <a:defRPr/>
          </a:pPr>
          <a:endParaRPr lang="uk-UA"/>
        </a:p>
      </dgm:t>
    </dgm:pt>
    <dgm:pt modelId="{FA4E3C1D-6C85-4F06-8A91-38BA1679D2EF}" type="pres">
      <dgm:prSet presAssocID="{998F620B-7B81-4E20-BF94-3B682ECB47F4}" presName="level2hierChild" presStyleCnt="0"/>
      <dgm:spPr bwMode="auto"/>
    </dgm:pt>
    <dgm:pt modelId="{EC4C466B-5909-4F7C-AF8B-129B5E62764A}" type="pres">
      <dgm:prSet presAssocID="{08B1A6DB-1A86-463F-BC37-C839319778DF}" presName="conn2-1" presStyleLbl="parChTrans1D2" presStyleIdx="0" presStyleCnt="3"/>
      <dgm:spPr bwMode="auto"/>
      <dgm:t>
        <a:bodyPr/>
        <a:lstStyle/>
        <a:p>
          <a:pPr>
            <a:defRPr/>
          </a:pPr>
          <a:endParaRPr lang="uk-UA"/>
        </a:p>
      </dgm:t>
    </dgm:pt>
    <dgm:pt modelId="{8C5732D8-DB6B-4B0E-9E5E-591BFA843023}" type="pres">
      <dgm:prSet presAssocID="{08B1A6DB-1A86-463F-BC37-C839319778DF}" presName="connTx" presStyleLbl="parChTrans1D2" presStyleIdx="0" presStyleCnt="3"/>
      <dgm:spPr bwMode="auto"/>
      <dgm:t>
        <a:bodyPr/>
        <a:lstStyle/>
        <a:p>
          <a:pPr>
            <a:defRPr/>
          </a:pPr>
          <a:endParaRPr lang="uk-UA"/>
        </a:p>
      </dgm:t>
    </dgm:pt>
    <dgm:pt modelId="{2B7D04DF-FD72-4EFF-BCD5-2EBEF36DA246}" type="pres">
      <dgm:prSet presAssocID="{B1F53C73-F0FB-4B70-A3CA-9703969534EE}" presName="root2" presStyleCnt="0"/>
      <dgm:spPr bwMode="auto"/>
    </dgm:pt>
    <dgm:pt modelId="{5A6D5B9D-4A82-4A1D-AC6F-66ACBB26C29C}" type="pres">
      <dgm:prSet presAssocID="{B1F53C73-F0FB-4B70-A3CA-9703969534EE}" presName="LevelTwoTextNode" presStyleLbl="node2" presStyleIdx="0" presStyleCnt="3" custScaleX="136677" custLinFactNeighborY="-38847">
        <dgm:presLayoutVars>
          <dgm:chPref val="3"/>
        </dgm:presLayoutVars>
      </dgm:prSet>
      <dgm:spPr bwMode="auto"/>
      <dgm:t>
        <a:bodyPr/>
        <a:lstStyle/>
        <a:p>
          <a:pPr>
            <a:defRPr/>
          </a:pPr>
          <a:endParaRPr lang="uk-UA"/>
        </a:p>
      </dgm:t>
    </dgm:pt>
    <dgm:pt modelId="{24BCD8B0-3EEA-4F7D-B966-97CD0C594838}" type="pres">
      <dgm:prSet presAssocID="{B1F53C73-F0FB-4B70-A3CA-9703969534EE}" presName="level3hierChild" presStyleCnt="0"/>
      <dgm:spPr bwMode="auto"/>
    </dgm:pt>
    <dgm:pt modelId="{72767991-5FD8-4E76-993A-A8AA7B2E5F6D}" type="pres">
      <dgm:prSet presAssocID="{81B681C7-201C-4DA3-A33F-678567D0D4B6}" presName="conn2-1" presStyleLbl="parChTrans1D2" presStyleIdx="1" presStyleCnt="3"/>
      <dgm:spPr bwMode="auto"/>
      <dgm:t>
        <a:bodyPr/>
        <a:lstStyle/>
        <a:p>
          <a:pPr>
            <a:defRPr/>
          </a:pPr>
          <a:endParaRPr lang="uk-UA"/>
        </a:p>
      </dgm:t>
    </dgm:pt>
    <dgm:pt modelId="{3654B7F7-61D3-44A0-916B-99B3CB5DA185}" type="pres">
      <dgm:prSet presAssocID="{81B681C7-201C-4DA3-A33F-678567D0D4B6}" presName="connTx" presStyleLbl="parChTrans1D2" presStyleIdx="1" presStyleCnt="3"/>
      <dgm:spPr bwMode="auto"/>
      <dgm:t>
        <a:bodyPr/>
        <a:lstStyle/>
        <a:p>
          <a:pPr>
            <a:defRPr/>
          </a:pPr>
          <a:endParaRPr lang="uk-UA"/>
        </a:p>
      </dgm:t>
    </dgm:pt>
    <dgm:pt modelId="{597B2BEB-5A53-4EA7-BFEF-3A58B4CB1FB0}" type="pres">
      <dgm:prSet presAssocID="{89C573D7-8CE8-4AE6-ABD2-05F5A38B8770}" presName="root2" presStyleCnt="0"/>
      <dgm:spPr bwMode="auto"/>
    </dgm:pt>
    <dgm:pt modelId="{2AF4F001-DB7B-4FBF-9C97-4505D7C30C5A}" type="pres">
      <dgm:prSet presAssocID="{89C573D7-8CE8-4AE6-ABD2-05F5A38B8770}" presName="LevelTwoTextNode" presStyleLbl="node2" presStyleIdx="1" presStyleCnt="3" custScaleX="138205">
        <dgm:presLayoutVars>
          <dgm:chPref val="3"/>
        </dgm:presLayoutVars>
      </dgm:prSet>
      <dgm:spPr bwMode="auto"/>
      <dgm:t>
        <a:bodyPr/>
        <a:lstStyle/>
        <a:p>
          <a:pPr>
            <a:defRPr/>
          </a:pPr>
          <a:endParaRPr lang="uk-UA"/>
        </a:p>
      </dgm:t>
    </dgm:pt>
    <dgm:pt modelId="{62AC9923-837B-4F47-86CF-9B943B3700D5}" type="pres">
      <dgm:prSet presAssocID="{89C573D7-8CE8-4AE6-ABD2-05F5A38B8770}" presName="level3hierChild" presStyleCnt="0"/>
      <dgm:spPr bwMode="auto"/>
    </dgm:pt>
    <dgm:pt modelId="{CC223602-CC04-43CD-949A-7C48D2CB3C29}" type="pres">
      <dgm:prSet presAssocID="{99B4F38C-803F-45A3-9CC1-39900C6EB3B1}" presName="conn2-1" presStyleLbl="parChTrans1D2" presStyleIdx="2" presStyleCnt="3"/>
      <dgm:spPr bwMode="auto"/>
      <dgm:t>
        <a:bodyPr/>
        <a:lstStyle/>
        <a:p>
          <a:pPr>
            <a:defRPr/>
          </a:pPr>
          <a:endParaRPr lang="uk-UA"/>
        </a:p>
      </dgm:t>
    </dgm:pt>
    <dgm:pt modelId="{D2280D71-1B73-4833-97B3-9473ECA2707C}" type="pres">
      <dgm:prSet presAssocID="{99B4F38C-803F-45A3-9CC1-39900C6EB3B1}" presName="connTx" presStyleLbl="parChTrans1D2" presStyleIdx="2" presStyleCnt="3"/>
      <dgm:spPr bwMode="auto"/>
      <dgm:t>
        <a:bodyPr/>
        <a:lstStyle/>
        <a:p>
          <a:pPr>
            <a:defRPr/>
          </a:pPr>
          <a:endParaRPr lang="uk-UA"/>
        </a:p>
      </dgm:t>
    </dgm:pt>
    <dgm:pt modelId="{891F303E-0083-471B-9AD6-BFFCD29B6CBE}" type="pres">
      <dgm:prSet presAssocID="{A02F9C53-7764-4871-B3BC-53669A336FEC}" presName="root2" presStyleCnt="0"/>
      <dgm:spPr bwMode="auto"/>
    </dgm:pt>
    <dgm:pt modelId="{B22D3778-725B-47D7-8BCD-9B68D8A018D5}" type="pres">
      <dgm:prSet presAssocID="{A02F9C53-7764-4871-B3BC-53669A336FEC}" presName="LevelTwoTextNode" presStyleLbl="node2" presStyleIdx="2" presStyleCnt="3" custScaleX="136677" custLinFactNeighborY="43859">
        <dgm:presLayoutVars>
          <dgm:chPref val="3"/>
        </dgm:presLayoutVars>
      </dgm:prSet>
      <dgm:spPr bwMode="auto"/>
      <dgm:t>
        <a:bodyPr/>
        <a:lstStyle/>
        <a:p>
          <a:pPr>
            <a:defRPr/>
          </a:pPr>
          <a:endParaRPr lang="uk-UA"/>
        </a:p>
      </dgm:t>
    </dgm:pt>
    <dgm:pt modelId="{9AC926A9-B75E-404E-97D9-F5E92D54AA25}" type="pres">
      <dgm:prSet presAssocID="{A02F9C53-7764-4871-B3BC-53669A336FEC}" presName="level3hierChild" presStyleCnt="0"/>
      <dgm:spPr bwMode="auto"/>
    </dgm:pt>
  </dgm:ptLst>
  <dgm:cxnLst>
    <dgm:cxn modelId="{8823D9B4-D4A7-4C71-83BF-8F4803F6C0BB}" srcId="{0330EC28-A5F6-4107-AFF1-CB57CCB593B0}" destId="{998F620B-7B81-4E20-BF94-3B682ECB47F4}" srcOrd="0" destOrd="0" parTransId="{50555826-8A0E-4E77-9837-FE86CB277D69}" sibTransId="{962E7ED3-3064-4013-BE04-968AAAA1D098}"/>
    <dgm:cxn modelId="{5E3C318B-B426-4EFD-90EA-6B5AD1AADA56}" type="presOf" srcId="{B1F53C73-F0FB-4B70-A3CA-9703969534EE}" destId="{5A6D5B9D-4A82-4A1D-AC6F-66ACBB26C29C}" srcOrd="0" destOrd="0" presId="urn:microsoft.com/office/officeart/2008/layout/HorizontalMultiLevelHierarchy#1"/>
    <dgm:cxn modelId="{EB1AEAE5-1E46-4768-B460-B60C13B69B61}" type="presOf" srcId="{A02F9C53-7764-4871-B3BC-53669A336FEC}" destId="{B22D3778-725B-47D7-8BCD-9B68D8A018D5}" srcOrd="0" destOrd="0" presId="urn:microsoft.com/office/officeart/2008/layout/HorizontalMultiLevelHierarchy#1"/>
    <dgm:cxn modelId="{BB69D404-3C39-470B-BC68-67118443AC25}" type="presOf" srcId="{89C573D7-8CE8-4AE6-ABD2-05F5A38B8770}" destId="{2AF4F001-DB7B-4FBF-9C97-4505D7C30C5A}" srcOrd="0" destOrd="0" presId="urn:microsoft.com/office/officeart/2008/layout/HorizontalMultiLevelHierarchy#1"/>
    <dgm:cxn modelId="{0704A5FB-63EA-4B06-AF49-85EBDF7E16F4}" srcId="{998F620B-7B81-4E20-BF94-3B682ECB47F4}" destId="{A02F9C53-7764-4871-B3BC-53669A336FEC}" srcOrd="2" destOrd="0" parTransId="{99B4F38C-803F-45A3-9CC1-39900C6EB3B1}" sibTransId="{B804E2C4-67A0-450B-A5FF-D8109B257D6D}"/>
    <dgm:cxn modelId="{8CE857CF-202D-406F-858C-513932B426A5}" type="presOf" srcId="{08B1A6DB-1A86-463F-BC37-C839319778DF}" destId="{8C5732D8-DB6B-4B0E-9E5E-591BFA843023}" srcOrd="1" destOrd="0" presId="urn:microsoft.com/office/officeart/2008/layout/HorizontalMultiLevelHierarchy#1"/>
    <dgm:cxn modelId="{F389FCC6-420D-4FB7-98AA-3585373BE782}" type="presOf" srcId="{81B681C7-201C-4DA3-A33F-678567D0D4B6}" destId="{72767991-5FD8-4E76-993A-A8AA7B2E5F6D}" srcOrd="0" destOrd="0" presId="urn:microsoft.com/office/officeart/2008/layout/HorizontalMultiLevelHierarchy#1"/>
    <dgm:cxn modelId="{D9DB50E4-152C-4467-B7AB-8E972C60EDBD}" type="presOf" srcId="{81B681C7-201C-4DA3-A33F-678567D0D4B6}" destId="{3654B7F7-61D3-44A0-916B-99B3CB5DA185}" srcOrd="1" destOrd="0" presId="urn:microsoft.com/office/officeart/2008/layout/HorizontalMultiLevelHierarchy#1"/>
    <dgm:cxn modelId="{6A876E26-3E4C-45C5-A236-5FDE5945E483}" type="presOf" srcId="{998F620B-7B81-4E20-BF94-3B682ECB47F4}" destId="{6919777E-562D-40D5-B10B-0CECF53CC961}" srcOrd="0" destOrd="0" presId="urn:microsoft.com/office/officeart/2008/layout/HorizontalMultiLevelHierarchy#1"/>
    <dgm:cxn modelId="{3A4AFCBB-3F31-465B-A4BC-5AD3B46E12C3}" type="presOf" srcId="{08B1A6DB-1A86-463F-BC37-C839319778DF}" destId="{EC4C466B-5909-4F7C-AF8B-129B5E62764A}" srcOrd="0" destOrd="0" presId="urn:microsoft.com/office/officeart/2008/layout/HorizontalMultiLevelHierarchy#1"/>
    <dgm:cxn modelId="{13663F21-730B-4919-92E9-A6809F7A2393}" type="presOf" srcId="{99B4F38C-803F-45A3-9CC1-39900C6EB3B1}" destId="{CC223602-CC04-43CD-949A-7C48D2CB3C29}" srcOrd="0" destOrd="0" presId="urn:microsoft.com/office/officeart/2008/layout/HorizontalMultiLevelHierarchy#1"/>
    <dgm:cxn modelId="{E942D17A-3C24-4D4E-A95D-8446A42709F8}" type="presOf" srcId="{0330EC28-A5F6-4107-AFF1-CB57CCB593B0}" destId="{8D60B35A-884F-49F4-B14C-8E54DBF2CB6A}" srcOrd="0" destOrd="0" presId="urn:microsoft.com/office/officeart/2008/layout/HorizontalMultiLevelHierarchy#1"/>
    <dgm:cxn modelId="{65891EE7-DB8E-4C23-88E0-7E048A1CA7EE}" srcId="{998F620B-7B81-4E20-BF94-3B682ECB47F4}" destId="{89C573D7-8CE8-4AE6-ABD2-05F5A38B8770}" srcOrd="1" destOrd="0" parTransId="{81B681C7-201C-4DA3-A33F-678567D0D4B6}" sibTransId="{BD39EA37-1A5C-4471-AEDC-AF8F31013088}"/>
    <dgm:cxn modelId="{365453AE-2A26-4A37-BABF-38F9006BCBA0}" type="presOf" srcId="{99B4F38C-803F-45A3-9CC1-39900C6EB3B1}" destId="{D2280D71-1B73-4833-97B3-9473ECA2707C}" srcOrd="1" destOrd="0" presId="urn:microsoft.com/office/officeart/2008/layout/HorizontalMultiLevelHierarchy#1"/>
    <dgm:cxn modelId="{F94BCA75-AD7C-47EE-9C19-0600BEDE0406}" srcId="{998F620B-7B81-4E20-BF94-3B682ECB47F4}" destId="{B1F53C73-F0FB-4B70-A3CA-9703969534EE}" srcOrd="0" destOrd="0" parTransId="{08B1A6DB-1A86-463F-BC37-C839319778DF}" sibTransId="{4FF66DDA-3FE6-4215-8B30-3572EADB3A12}"/>
    <dgm:cxn modelId="{2FBA70DB-FBBC-4222-8031-59DC7F40507A}" type="presParOf" srcId="{8D60B35A-884F-49F4-B14C-8E54DBF2CB6A}" destId="{78583631-ABA0-4FF1-8E24-D4456A4B0B59}" srcOrd="0" destOrd="0" presId="urn:microsoft.com/office/officeart/2008/layout/HorizontalMultiLevelHierarchy#1"/>
    <dgm:cxn modelId="{788FAAF7-A8F9-43F8-A92B-C424670A5184}" type="presParOf" srcId="{78583631-ABA0-4FF1-8E24-D4456A4B0B59}" destId="{6919777E-562D-40D5-B10B-0CECF53CC961}" srcOrd="0" destOrd="0" presId="urn:microsoft.com/office/officeart/2008/layout/HorizontalMultiLevelHierarchy#1"/>
    <dgm:cxn modelId="{A77F2169-FBF6-404E-B360-E557FECF29C0}" type="presParOf" srcId="{78583631-ABA0-4FF1-8E24-D4456A4B0B59}" destId="{FA4E3C1D-6C85-4F06-8A91-38BA1679D2EF}" srcOrd="1" destOrd="0" presId="urn:microsoft.com/office/officeart/2008/layout/HorizontalMultiLevelHierarchy#1"/>
    <dgm:cxn modelId="{1CF69265-94C4-4D5E-8A20-D30C6104C4FA}" type="presParOf" srcId="{FA4E3C1D-6C85-4F06-8A91-38BA1679D2EF}" destId="{EC4C466B-5909-4F7C-AF8B-129B5E62764A}" srcOrd="0" destOrd="0" presId="urn:microsoft.com/office/officeart/2008/layout/HorizontalMultiLevelHierarchy#1"/>
    <dgm:cxn modelId="{C19CFADC-194C-4BA0-93E2-9C233F9B4D07}" type="presParOf" srcId="{EC4C466B-5909-4F7C-AF8B-129B5E62764A}" destId="{8C5732D8-DB6B-4B0E-9E5E-591BFA843023}" srcOrd="0" destOrd="0" presId="urn:microsoft.com/office/officeart/2008/layout/HorizontalMultiLevelHierarchy#1"/>
    <dgm:cxn modelId="{830566FB-56F1-4BEC-852A-5EABDA4CE44D}" type="presParOf" srcId="{FA4E3C1D-6C85-4F06-8A91-38BA1679D2EF}" destId="{2B7D04DF-FD72-4EFF-BCD5-2EBEF36DA246}" srcOrd="1" destOrd="0" presId="urn:microsoft.com/office/officeart/2008/layout/HorizontalMultiLevelHierarchy#1"/>
    <dgm:cxn modelId="{A1A5C46B-FEAE-412E-B7C7-0A9B0C798547}" type="presParOf" srcId="{2B7D04DF-FD72-4EFF-BCD5-2EBEF36DA246}" destId="{5A6D5B9D-4A82-4A1D-AC6F-66ACBB26C29C}" srcOrd="0" destOrd="0" presId="urn:microsoft.com/office/officeart/2008/layout/HorizontalMultiLevelHierarchy#1"/>
    <dgm:cxn modelId="{E8C11575-10D9-4809-843A-9DF5AC45AF7E}" type="presParOf" srcId="{2B7D04DF-FD72-4EFF-BCD5-2EBEF36DA246}" destId="{24BCD8B0-3EEA-4F7D-B966-97CD0C594838}" srcOrd="1" destOrd="0" presId="urn:microsoft.com/office/officeart/2008/layout/HorizontalMultiLevelHierarchy#1"/>
    <dgm:cxn modelId="{181E363C-7571-4334-896B-5F939596982C}" type="presParOf" srcId="{FA4E3C1D-6C85-4F06-8A91-38BA1679D2EF}" destId="{72767991-5FD8-4E76-993A-A8AA7B2E5F6D}" srcOrd="2" destOrd="0" presId="urn:microsoft.com/office/officeart/2008/layout/HorizontalMultiLevelHierarchy#1"/>
    <dgm:cxn modelId="{7AEE33E7-9F16-41FC-B250-084DD2C70D9B}" type="presParOf" srcId="{72767991-5FD8-4E76-993A-A8AA7B2E5F6D}" destId="{3654B7F7-61D3-44A0-916B-99B3CB5DA185}" srcOrd="0" destOrd="0" presId="urn:microsoft.com/office/officeart/2008/layout/HorizontalMultiLevelHierarchy#1"/>
    <dgm:cxn modelId="{1B0ACBF2-D24F-4DE1-9080-1BA4F873B746}" type="presParOf" srcId="{FA4E3C1D-6C85-4F06-8A91-38BA1679D2EF}" destId="{597B2BEB-5A53-4EA7-BFEF-3A58B4CB1FB0}" srcOrd="3" destOrd="0" presId="urn:microsoft.com/office/officeart/2008/layout/HorizontalMultiLevelHierarchy#1"/>
    <dgm:cxn modelId="{793A8D19-5B61-46AB-B37E-7D8522B49AF6}" type="presParOf" srcId="{597B2BEB-5A53-4EA7-BFEF-3A58B4CB1FB0}" destId="{2AF4F001-DB7B-4FBF-9C97-4505D7C30C5A}" srcOrd="0" destOrd="0" presId="urn:microsoft.com/office/officeart/2008/layout/HorizontalMultiLevelHierarchy#1"/>
    <dgm:cxn modelId="{CF49F4D2-36C9-4880-B6E1-BD69E83FE446}" type="presParOf" srcId="{597B2BEB-5A53-4EA7-BFEF-3A58B4CB1FB0}" destId="{62AC9923-837B-4F47-86CF-9B943B3700D5}" srcOrd="1" destOrd="0" presId="urn:microsoft.com/office/officeart/2008/layout/HorizontalMultiLevelHierarchy#1"/>
    <dgm:cxn modelId="{372B0B64-3A2C-406C-9000-8503FDBB75D3}" type="presParOf" srcId="{FA4E3C1D-6C85-4F06-8A91-38BA1679D2EF}" destId="{CC223602-CC04-43CD-949A-7C48D2CB3C29}" srcOrd="4" destOrd="0" presId="urn:microsoft.com/office/officeart/2008/layout/HorizontalMultiLevelHierarchy#1"/>
    <dgm:cxn modelId="{2E25CEAC-055C-4054-BC8B-B9C04A487898}" type="presParOf" srcId="{CC223602-CC04-43CD-949A-7C48D2CB3C29}" destId="{D2280D71-1B73-4833-97B3-9473ECA2707C}" srcOrd="0" destOrd="0" presId="urn:microsoft.com/office/officeart/2008/layout/HorizontalMultiLevelHierarchy#1"/>
    <dgm:cxn modelId="{AEF6DD20-B327-4C0F-8AF9-A9F98623BE3E}" type="presParOf" srcId="{FA4E3C1D-6C85-4F06-8A91-38BA1679D2EF}" destId="{891F303E-0083-471B-9AD6-BFFCD29B6CBE}" srcOrd="5" destOrd="0" presId="urn:microsoft.com/office/officeart/2008/layout/HorizontalMultiLevelHierarchy#1"/>
    <dgm:cxn modelId="{3508E0C6-64E5-4106-A7C0-EF13F91DEDA1}" type="presParOf" srcId="{891F303E-0083-471B-9AD6-BFFCD29B6CBE}" destId="{B22D3778-725B-47D7-8BCD-9B68D8A018D5}" srcOrd="0" destOrd="0" presId="urn:microsoft.com/office/officeart/2008/layout/HorizontalMultiLevelHierarchy#1"/>
    <dgm:cxn modelId="{FA1D1101-79D4-4140-8100-679815C26D26}" type="presParOf" srcId="{891F303E-0083-471B-9AD6-BFFCD29B6CBE}" destId="{9AC926A9-B75E-404E-97D9-F5E92D54AA25}" srcOrd="1" destOrd="0" presId="urn:microsoft.com/office/officeart/2008/layout/HorizontalMultiLevelHierarchy#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764ADD-9907-4D0F-BA47-76818DEC003C}">
      <dsp:nvSpPr>
        <dsp:cNvPr id="0" name=""/>
        <dsp:cNvSpPr/>
      </dsp:nvSpPr>
      <dsp:spPr bwMode="auto">
        <a:xfrm>
          <a:off x="1019" y="0"/>
          <a:ext cx="1585588" cy="161544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defRPr/>
          </a:pPr>
          <a:r>
            <a:rPr lang="uk-UA" sz="1400" kern="1200">
              <a:solidFill>
                <a:sysClr val="window" lastClr="FFFFFF"/>
              </a:solidFill>
              <a:latin typeface="Calibri"/>
              <a:ea typeface="+mn-ea"/>
              <a:cs typeface="+mn-cs"/>
            </a:rPr>
            <a:t>відомчий контроль</a:t>
          </a:r>
          <a:endParaRPr sz="1400" kern="1200"/>
        </a:p>
      </dsp:txBody>
      <dsp:txXfrm>
        <a:off x="19945" y="665101"/>
        <a:ext cx="1547736" cy="608324"/>
      </dsp:txXfrm>
    </dsp:sp>
    <dsp:sp modelId="{0A0D62D0-193F-440E-A2FC-A3A7DA8F2347}">
      <dsp:nvSpPr>
        <dsp:cNvPr id="0" name=""/>
        <dsp:cNvSpPr/>
      </dsp:nvSpPr>
      <dsp:spPr bwMode="auto">
        <a:xfrm>
          <a:off x="524842" y="96926"/>
          <a:ext cx="537941" cy="537941"/>
        </a:xfrm>
        <a:prstGeom prst="ellipse">
          <a:avLst/>
        </a:prstGeom>
        <a:solidFill>
          <a:srgbClr val="5B9BD5">
            <a:tint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BACE3BC7-03BD-482E-AF07-DB9CFDE02A25}">
      <dsp:nvSpPr>
        <dsp:cNvPr id="0" name=""/>
        <dsp:cNvSpPr/>
      </dsp:nvSpPr>
      <dsp:spPr bwMode="auto">
        <a:xfrm>
          <a:off x="1634175" y="0"/>
          <a:ext cx="1585588" cy="161544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defRPr/>
          </a:pPr>
          <a:r>
            <a:rPr lang="uk-UA" sz="1400" kern="1200">
              <a:solidFill>
                <a:sysClr val="window" lastClr="FFFFFF"/>
              </a:solidFill>
              <a:latin typeface="Calibri"/>
              <a:ea typeface="+mn-ea"/>
              <a:cs typeface="+mn-cs"/>
            </a:rPr>
            <a:t>позавідомчий контроль</a:t>
          </a:r>
          <a:endParaRPr sz="1400" kern="1200"/>
        </a:p>
      </dsp:txBody>
      <dsp:txXfrm>
        <a:off x="1653101" y="665101"/>
        <a:ext cx="1547736" cy="608324"/>
      </dsp:txXfrm>
    </dsp:sp>
    <dsp:sp modelId="{E57E5262-E164-4BF7-A5B0-21C963634EEA}">
      <dsp:nvSpPr>
        <dsp:cNvPr id="0" name=""/>
        <dsp:cNvSpPr/>
      </dsp:nvSpPr>
      <dsp:spPr bwMode="auto">
        <a:xfrm>
          <a:off x="2157999" y="96926"/>
          <a:ext cx="537941" cy="537941"/>
        </a:xfrm>
        <a:prstGeom prst="ellipse">
          <a:avLst/>
        </a:prstGeom>
        <a:solidFill>
          <a:srgbClr val="5B9BD5">
            <a:tint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E054003D-C434-4275-B281-323779B1C2D9}">
      <dsp:nvSpPr>
        <dsp:cNvPr id="0" name=""/>
        <dsp:cNvSpPr/>
      </dsp:nvSpPr>
      <dsp:spPr bwMode="auto">
        <a:xfrm>
          <a:off x="3267332" y="0"/>
          <a:ext cx="1585588" cy="1615440"/>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defRPr/>
          </a:pPr>
          <a:r>
            <a:rPr lang="uk-UA" sz="1400" kern="1200">
              <a:solidFill>
                <a:sysClr val="window" lastClr="FFFFFF"/>
              </a:solidFill>
              <a:latin typeface="Calibri"/>
              <a:ea typeface="+mn-ea"/>
              <a:cs typeface="+mn-cs"/>
            </a:rPr>
            <a:t>громадський контроль</a:t>
          </a:r>
          <a:endParaRPr sz="1400" kern="1200"/>
        </a:p>
      </dsp:txBody>
      <dsp:txXfrm>
        <a:off x="3286258" y="665101"/>
        <a:ext cx="1547736" cy="608324"/>
      </dsp:txXfrm>
    </dsp:sp>
    <dsp:sp modelId="{8416F617-B53C-4263-873D-988512198E5D}">
      <dsp:nvSpPr>
        <dsp:cNvPr id="0" name=""/>
        <dsp:cNvSpPr/>
      </dsp:nvSpPr>
      <dsp:spPr bwMode="auto">
        <a:xfrm>
          <a:off x="3791155" y="96926"/>
          <a:ext cx="537941" cy="537941"/>
        </a:xfrm>
        <a:prstGeom prst="ellipse">
          <a:avLst/>
        </a:prstGeom>
        <a:solidFill>
          <a:srgbClr val="5B9BD5">
            <a:tint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DAE45F6F-75B2-457D-ABB0-517EDC1EE999}">
      <dsp:nvSpPr>
        <dsp:cNvPr id="0" name=""/>
        <dsp:cNvSpPr/>
      </dsp:nvSpPr>
      <dsp:spPr bwMode="auto">
        <a:xfrm>
          <a:off x="194157" y="1211579"/>
          <a:ext cx="4465624" cy="403860"/>
        </a:xfrm>
        <a:prstGeom prst="leftRightArrow">
          <a:avLst>
            <a:gd name="adj1" fmla="val 50000"/>
            <a:gd name="adj2" fmla="val 50000"/>
          </a:avLst>
        </a:prstGeom>
        <a:solidFill>
          <a:srgbClr val="5B9BD5">
            <a:tint val="6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C223602-CC04-43CD-949A-7C48D2CB3C29}">
      <dsp:nvSpPr>
        <dsp:cNvPr id="0" name=""/>
        <dsp:cNvSpPr/>
      </dsp:nvSpPr>
      <dsp:spPr bwMode="auto">
        <a:xfrm>
          <a:off x="1805576" y="1451610"/>
          <a:ext cx="361857" cy="931446"/>
        </a:xfrm>
        <a:custGeom>
          <a:avLst/>
          <a:gdLst/>
          <a:ahLst/>
          <a:cxnLst/>
          <a:rect l="0" t="0" r="0" b="0"/>
          <a:pathLst>
            <a:path extrusionOk="0">
              <a:moveTo>
                <a:pt x="0" y="0"/>
              </a:moveTo>
              <a:lnTo>
                <a:pt x="165257" y="0"/>
              </a:lnTo>
              <a:lnTo>
                <a:pt x="165257" y="850769"/>
              </a:lnTo>
              <a:lnTo>
                <a:pt x="330515" y="850769"/>
              </a:lnTo>
            </a:path>
          </a:pathLst>
        </a:custGeom>
        <a:noFill/>
        <a:ln w="12700" cap="flat" cmpd="sng" algn="ctr">
          <a:solidFill>
            <a:srgbClr val="70AD47">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defRPr/>
          </a:pPr>
          <a:endParaRPr lang="uk-UA" sz="500" kern="1200">
            <a:solidFill>
              <a:sysClr val="windowText" lastClr="000000">
                <a:hueOff val="0"/>
                <a:satOff val="0"/>
                <a:lumOff val="0"/>
                <a:alphaOff val="0"/>
              </a:sysClr>
            </a:solidFill>
            <a:latin typeface="Calibri"/>
            <a:ea typeface="+mn-ea"/>
            <a:cs typeface="+mn-cs"/>
          </a:endParaRPr>
        </a:p>
      </dsp:txBody>
      <dsp:txXfrm>
        <a:off x="1961523" y="1892351"/>
        <a:ext cx="0" cy="0"/>
      </dsp:txXfrm>
    </dsp:sp>
    <dsp:sp modelId="{72767991-5FD8-4E76-993A-A8AA7B2E5F6D}">
      <dsp:nvSpPr>
        <dsp:cNvPr id="0" name=""/>
        <dsp:cNvSpPr/>
      </dsp:nvSpPr>
      <dsp:spPr bwMode="auto">
        <a:xfrm>
          <a:off x="1805576" y="1405889"/>
          <a:ext cx="361857" cy="91440"/>
        </a:xfrm>
        <a:custGeom>
          <a:avLst/>
          <a:gdLst/>
          <a:ahLst/>
          <a:cxnLst/>
          <a:rect l="0" t="0" r="0" b="0"/>
          <a:pathLst>
            <a:path extrusionOk="0">
              <a:moveTo>
                <a:pt x="0" y="45720"/>
              </a:moveTo>
              <a:lnTo>
                <a:pt x="330515" y="45720"/>
              </a:lnTo>
            </a:path>
          </a:pathLst>
        </a:custGeom>
        <a:noFill/>
        <a:ln w="12700" cap="flat" cmpd="sng" algn="ctr">
          <a:solidFill>
            <a:srgbClr val="70AD47">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defRPr/>
          </a:pPr>
          <a:endParaRPr lang="uk-UA" sz="500" kern="1200">
            <a:solidFill>
              <a:sysClr val="windowText" lastClr="000000">
                <a:hueOff val="0"/>
                <a:satOff val="0"/>
                <a:lumOff val="0"/>
                <a:alphaOff val="0"/>
              </a:sysClr>
            </a:solidFill>
            <a:latin typeface="Calibri"/>
            <a:ea typeface="+mn-ea"/>
            <a:cs typeface="+mn-cs"/>
          </a:endParaRPr>
        </a:p>
      </dsp:txBody>
      <dsp:txXfrm>
        <a:off x="1977458" y="1442563"/>
        <a:ext cx="0" cy="0"/>
      </dsp:txXfrm>
    </dsp:sp>
    <dsp:sp modelId="{EC4C466B-5909-4F7C-AF8B-129B5E62764A}">
      <dsp:nvSpPr>
        <dsp:cNvPr id="0" name=""/>
        <dsp:cNvSpPr/>
      </dsp:nvSpPr>
      <dsp:spPr bwMode="auto">
        <a:xfrm>
          <a:off x="1805576" y="547810"/>
          <a:ext cx="361857" cy="903799"/>
        </a:xfrm>
        <a:custGeom>
          <a:avLst/>
          <a:gdLst/>
          <a:ahLst/>
          <a:cxnLst/>
          <a:rect l="0" t="0" r="0" b="0"/>
          <a:pathLst>
            <a:path extrusionOk="0">
              <a:moveTo>
                <a:pt x="0" y="825517"/>
              </a:moveTo>
              <a:lnTo>
                <a:pt x="165257" y="825517"/>
              </a:lnTo>
              <a:lnTo>
                <a:pt x="165257" y="0"/>
              </a:lnTo>
              <a:lnTo>
                <a:pt x="330515" y="0"/>
              </a:lnTo>
            </a:path>
          </a:pathLst>
        </a:custGeom>
        <a:noFill/>
        <a:ln w="12700" cap="flat" cmpd="sng" algn="ctr">
          <a:solidFill>
            <a:srgbClr val="70AD47">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defRPr/>
          </a:pPr>
          <a:endParaRPr lang="uk-UA" sz="500" kern="1200">
            <a:solidFill>
              <a:sysClr val="windowText" lastClr="000000">
                <a:hueOff val="0"/>
                <a:satOff val="0"/>
                <a:lumOff val="0"/>
                <a:alphaOff val="0"/>
              </a:sysClr>
            </a:solidFill>
            <a:latin typeface="Calibri"/>
            <a:ea typeface="+mn-ea"/>
            <a:cs typeface="+mn-cs"/>
          </a:endParaRPr>
        </a:p>
      </dsp:txBody>
      <dsp:txXfrm>
        <a:off x="1962166" y="975371"/>
        <a:ext cx="0" cy="0"/>
      </dsp:txXfrm>
    </dsp:sp>
    <dsp:sp modelId="{6919777E-562D-40D5-B10B-0CECF53CC961}">
      <dsp:nvSpPr>
        <dsp:cNvPr id="0" name=""/>
        <dsp:cNvSpPr/>
      </dsp:nvSpPr>
      <dsp:spPr bwMode="auto">
        <a:xfrm rot="16200000">
          <a:off x="-25903" y="954232"/>
          <a:ext cx="2668204" cy="994754"/>
        </a:xfrm>
        <a:prstGeom prst="rect">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defRPr/>
          </a:pPr>
          <a:r>
            <a:rPr lang="uk-UA" sz="2400" kern="1200">
              <a:solidFill>
                <a:sysClr val="windowText" lastClr="000000"/>
              </a:solidFill>
              <a:latin typeface="Calibri"/>
              <a:ea typeface="+mn-ea"/>
              <a:cs typeface="+mn-cs"/>
            </a:rPr>
            <a:t>Моделі управління </a:t>
          </a:r>
          <a:endParaRPr sz="2400" kern="1200"/>
        </a:p>
        <a:p>
          <a:pPr lvl="0" algn="ctr" defTabSz="1066800">
            <a:lnSpc>
              <a:spcPct val="90000"/>
            </a:lnSpc>
            <a:spcBef>
              <a:spcPct val="0"/>
            </a:spcBef>
            <a:spcAft>
              <a:spcPct val="35000"/>
            </a:spcAft>
            <a:defRPr/>
          </a:pPr>
          <a:r>
            <a:rPr lang="uk-UA" sz="2400" kern="1200">
              <a:solidFill>
                <a:sysClr val="windowText" lastClr="000000"/>
              </a:solidFill>
              <a:latin typeface="Calibri"/>
              <a:ea typeface="+mn-ea"/>
              <a:cs typeface="+mn-cs"/>
            </a:rPr>
            <a:t>ЯМД</a:t>
          </a:r>
          <a:endParaRPr sz="2400" kern="1200"/>
        </a:p>
      </dsp:txBody>
      <dsp:txXfrm>
        <a:off x="-25903" y="954232"/>
        <a:ext cx="2668204" cy="994754"/>
      </dsp:txXfrm>
    </dsp:sp>
    <dsp:sp modelId="{5A6D5B9D-4A82-4A1D-AC6F-66ACBB26C29C}">
      <dsp:nvSpPr>
        <dsp:cNvPr id="0" name=""/>
        <dsp:cNvSpPr/>
      </dsp:nvSpPr>
      <dsp:spPr bwMode="auto">
        <a:xfrm>
          <a:off x="2167433" y="272004"/>
          <a:ext cx="2472878" cy="551611"/>
        </a:xfrm>
        <a:prstGeom prst="rect">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605" tIns="14605" rIns="14605" bIns="14605" numCol="1" spcCol="1270" anchor="ctr" anchorCtr="0">
          <a:noAutofit/>
        </a:bodyPr>
        <a:lstStyle/>
        <a:p>
          <a:pPr lvl="0" algn="ctr" defTabSz="1022350">
            <a:lnSpc>
              <a:spcPct val="90000"/>
            </a:lnSpc>
            <a:spcBef>
              <a:spcPct val="0"/>
            </a:spcBef>
            <a:spcAft>
              <a:spcPct val="35000"/>
            </a:spcAft>
            <a:defRPr/>
          </a:pPr>
          <a:r>
            <a:rPr lang="uk-UA" sz="2300" kern="1200">
              <a:solidFill>
                <a:sysClr val="window" lastClr="FFFFFF"/>
              </a:solidFill>
              <a:latin typeface="Calibri"/>
              <a:ea typeface="+mn-ea"/>
              <a:cs typeface="+mn-cs"/>
            </a:rPr>
            <a:t>професійна</a:t>
          </a:r>
          <a:endParaRPr sz="2300" kern="1200"/>
        </a:p>
      </dsp:txBody>
      <dsp:txXfrm>
        <a:off x="2167433" y="272004"/>
        <a:ext cx="2472878" cy="551611"/>
      </dsp:txXfrm>
    </dsp:sp>
    <dsp:sp modelId="{2AF4F001-DB7B-4FBF-9C97-4505D7C30C5A}">
      <dsp:nvSpPr>
        <dsp:cNvPr id="0" name=""/>
        <dsp:cNvSpPr/>
      </dsp:nvSpPr>
      <dsp:spPr bwMode="auto">
        <a:xfrm>
          <a:off x="2167433" y="1175804"/>
          <a:ext cx="2500524" cy="551611"/>
        </a:xfrm>
        <a:prstGeom prst="rect">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605" tIns="14605" rIns="14605" bIns="14605" numCol="1" spcCol="1270" anchor="ctr" anchorCtr="0">
          <a:noAutofit/>
        </a:bodyPr>
        <a:lstStyle/>
        <a:p>
          <a:pPr lvl="0" algn="ctr" defTabSz="1022350">
            <a:lnSpc>
              <a:spcPct val="90000"/>
            </a:lnSpc>
            <a:spcBef>
              <a:spcPct val="0"/>
            </a:spcBef>
            <a:spcAft>
              <a:spcPct val="35000"/>
            </a:spcAft>
            <a:defRPr/>
          </a:pPr>
          <a:r>
            <a:rPr lang="uk-UA" sz="2300" kern="1200">
              <a:solidFill>
                <a:sysClr val="window" lastClr="FFFFFF"/>
              </a:solidFill>
              <a:latin typeface="Calibri"/>
              <a:ea typeface="+mn-ea"/>
              <a:cs typeface="+mn-cs"/>
            </a:rPr>
            <a:t>бюрократична</a:t>
          </a:r>
          <a:endParaRPr sz="2300" kern="1200"/>
        </a:p>
      </dsp:txBody>
      <dsp:txXfrm>
        <a:off x="2167433" y="1175804"/>
        <a:ext cx="2500524" cy="551611"/>
      </dsp:txXfrm>
    </dsp:sp>
    <dsp:sp modelId="{B22D3778-725B-47D7-8BCD-9B68D8A018D5}">
      <dsp:nvSpPr>
        <dsp:cNvPr id="0" name=""/>
        <dsp:cNvSpPr/>
      </dsp:nvSpPr>
      <dsp:spPr bwMode="auto">
        <a:xfrm>
          <a:off x="2167433" y="2107250"/>
          <a:ext cx="2472878" cy="551611"/>
        </a:xfrm>
        <a:prstGeom prst="rect">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605" tIns="14605" rIns="14605" bIns="14605" numCol="1" spcCol="1270" anchor="ctr" anchorCtr="0">
          <a:noAutofit/>
        </a:bodyPr>
        <a:lstStyle/>
        <a:p>
          <a:pPr lvl="0" algn="ctr" defTabSz="1022350">
            <a:lnSpc>
              <a:spcPct val="90000"/>
            </a:lnSpc>
            <a:spcBef>
              <a:spcPct val="0"/>
            </a:spcBef>
            <a:spcAft>
              <a:spcPct val="35000"/>
            </a:spcAft>
            <a:defRPr/>
          </a:pPr>
          <a:r>
            <a:rPr lang="uk-UA" sz="2300" kern="1200">
              <a:solidFill>
                <a:sysClr val="window" lastClr="FFFFFF"/>
              </a:solidFill>
              <a:latin typeface="Calibri"/>
              <a:ea typeface="+mn-ea"/>
              <a:cs typeface="+mn-cs"/>
            </a:rPr>
            <a:t>індустріальна</a:t>
          </a:r>
          <a:endParaRPr sz="2300" kern="1200"/>
        </a:p>
      </dsp:txBody>
      <dsp:txXfrm>
        <a:off x="2167433" y="2107250"/>
        <a:ext cx="2472878" cy="551611"/>
      </dsp:txXfrm>
    </dsp:sp>
  </dsp:spTree>
</dsp:drawing>
</file>

<file path=word/diagrams/layout1.xml><?xml version="1.0" encoding="utf-8"?>
<dgm:layoutDef xmlns:dgm="http://schemas.openxmlformats.org/drawingml/2006/diagram" xmlns:a="http://schemas.openxmlformats.org/drawingml/2006/main" uniqueId="urn:microsoft.com/office/officeart/2005/8/layout/hList7#1">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varLst>
      <dgm:dir/>
      <dgm:resizeHandles val="exact"/>
    </dgm:varLst>
    <dgm:layoutNode name="fgShape" styleLbl="fgShp">
      <dgm:alg type="sp"/>
      <dgm:shape xmlns:r="http://schemas.openxmlformats.org/officeDocument/2006/relationships" type="leftRightArrow" r:blip="" zOrderOff="99999">
        <dgm:adjLst/>
      </dgm:shape>
      <dgm:presOf/>
      <dgm:constrLst/>
      <dgm:ruleLst/>
    </dgm:layoutNode>
    <dgm:layoutNode name="linComp">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choose name="Name1">
        <dgm:if name="Name2" func="var" arg="dir" op="equ" val="norm">
          <dgm:alg type="lin"/>
        </dgm:if>
        <dgm:else name="Name3">
          <dgm:alg type="lin">
            <dgm:param type="linDir" val="fromR"/>
          </dgm:alg>
        </dgm:else>
      </dgm:choose>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varLst>
              <dgm:bulletEnabled val="1"/>
            </dgm:var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1">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forEach name="Name4" axis="ch">
      <dgm:forEach name="Name5" axis="self" ptType="node">
        <dgm:layoutNode name="root1">
          <dgm:shape xmlns:r="http://schemas.openxmlformats.org/officeDocument/2006/relationships" r:blip="">
            <dgm:adjLst/>
          </dgm:shape>
          <dgm:presOf/>
          <dgm:choose name="Name6">
            <dgm:if name="Name7" func="var" arg="dir" op="equ" val="norm">
              <dgm:alg type="hierRoot">
                <dgm:param type="hierAlign" val="lCtrCh"/>
              </dgm:alg>
            </dgm:if>
            <dgm:else name="Name8">
              <dgm:alg type="hierRoot">
                <dgm:param type="hierAlign" val="rCtrCh"/>
              </dgm:alg>
            </dgm:else>
          </dgm:choose>
          <dgm:layoutNode name="LevelOneTextNode" styleLbl="node0">
            <dgm:alg type="tx">
              <dgm:param type="autoTxRot" val="grav"/>
            </dgm:alg>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varLst>
              <dgm:chPref val="3"/>
            </dgm:varLst>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layoutNode>
          <dgm:layoutNode name="level2hierChild">
            <dgm:shape xmlns:r="http://schemas.openxmlformats.org/officeDocument/2006/relationships" r:blip="">
              <dgm:adjLst/>
            </dgm:shape>
            <dgm:presOf/>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forEach name="repeat" axis="ch">
              <dgm:forEach name="Name15" axis="self" ptType="parTrans" cnt="1">
                <dgm:layoutNode name="conn2-1">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shape xmlns:r="http://schemas.openxmlformats.org/officeDocument/2006/relationships" r:blip="">
                    <dgm:adjLst/>
                  </dgm:shape>
                  <dgm:presOf/>
                  <dgm:choose name="Name20">
                    <dgm:if name="Name21" func="var" arg="dir" op="equ" val="norm">
                      <dgm:alg type="hierRoot">
                        <dgm:param type="hierAlign" val="lCtrCh"/>
                      </dgm:alg>
                    </dgm:if>
                    <dgm:else name="Name22">
                      <dgm:alg type="hierRoot">
                        <dgm:param type="hierAlign" val="rCtrCh"/>
                      </dgm:alg>
                    </dgm:else>
                  </dgm:choose>
                  <dgm:layoutNode name="LevelTwoTextNode">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varLst>
                      <dgm:chPref val="3"/>
                    </dgm:varLst>
                  </dgm:layoutNode>
                  <dgm:layoutNode name="level3hierChild">
                    <dgm:shape xmlns:r="http://schemas.openxmlformats.org/officeDocument/2006/relationships" r:blip="">
                      <dgm:adjLst/>
                    </dgm:shape>
                    <dgm:presOf/>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word/theme/themeOverride1.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Arial"/>
      <a:cs typeface="Arial"/>
    </a:majorFont>
    <a:minorFont>
      <a:latin typeface="Calibri"/>
      <a:ea typeface="Arial"/>
      <a:cs typeface="Arial"/>
    </a:minorFont>
  </a:fontScheme>
  <a:fmtScheme name="Офіс">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Документ" ma:contentTypeID="0x01010067EDF1E5197B5E41BF7D5F14A7663C21" ma:contentTypeVersion="16" ma:contentTypeDescription="Создание документа." ma:contentTypeScope="" ma:versionID="ab1fa7de93412395dd3ff95e7101e9f5">
  <xsd:schema xmlns:xsd="http://www.w3.org/2001/XMLSchema" xmlns:xs="http://www.w3.org/2001/XMLSchema" xmlns:p="http://schemas.microsoft.com/office/2006/metadata/properties" xmlns:ns3="75a0c8a7-fc69-4d5c-a47a-78898665c738" xmlns:ns4="e4fab1dd-03fa-4b8b-a663-4f24aa6e222b" targetNamespace="http://schemas.microsoft.com/office/2006/metadata/properties" ma:root="true" ma:fieldsID="1f5adde95e4f895f2ede8969b50002a7" ns3:_="" ns4:_="">
    <xsd:import namespace="75a0c8a7-fc69-4d5c-a47a-78898665c738"/>
    <xsd:import namespace="e4fab1dd-03fa-4b8b-a663-4f24aa6e222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Location" minOccurs="0"/>
                <xsd:element ref="ns3:_activity" minOccurs="0"/>
                <xsd:element ref="ns3:MediaServiceObjectDetectorVersions" minOccurs="0"/>
                <xsd:element ref="ns3:MediaServiceSystemTags"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5a0c8a7-fc69-4d5c-a47a-78898665c73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ternalName="MediaServiceLocation"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description="" ma:hidden="true" ma:indexed="true" ma:internalName="MediaServiceObjectDetectorVersions" ma:readOnly="true">
      <xsd:simpleType>
        <xsd:restriction base="dms:Text"/>
      </xsd:simpleType>
    </xsd:element>
    <xsd:element name="MediaServiceSystemTags" ma:index="19"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4fab1dd-03fa-4b8b-a663-4f24aa6e222b" elementFormDefault="qualified">
    <xsd:import namespace="http://schemas.microsoft.com/office/2006/documentManagement/types"/>
    <xsd:import namespace="http://schemas.microsoft.com/office/infopath/2007/PartnerControls"/>
    <xsd:element name="SharedWithUsers" ma:index="20" nillable="true" ma:displayName="Общий доступ с использованием"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Совместно с подробностями" ma:internalName="SharedWithDetails" ma:readOnly="true">
      <xsd:simpleType>
        <xsd:restriction base="dms:Note">
          <xsd:maxLength value="255"/>
        </xsd:restriction>
      </xsd:simpleType>
    </xsd:element>
    <xsd:element name="SharingHintHash" ma:index="22" nillable="true" ma:displayName="Хэш подсказки о совместном доступе"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This value indicates the number of saves or revisions. The application is responsible for updating this value after each revision.</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75a0c8a7-fc69-4d5c-a47a-78898665c7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527467-FB55-4A08-8CA6-168F35704C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5a0c8a7-fc69-4d5c-a47a-78898665c738"/>
    <ds:schemaRef ds:uri="e4fab1dd-03fa-4b8b-a663-4f24aa6e222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 ds:uri="http://www.w3.org/2001/XMLSchema-instance"/>
  </ds:schemaRefs>
</ds:datastoreItem>
</file>

<file path=customXml/itemProps2.xml><?xml version="1.0" encoding="utf-8"?>
<ds:datastoreItem xmlns:ds="http://schemas.openxmlformats.org/officeDocument/2006/customXml" ds:itemID="{6AB8CB70-A3B9-4059-9739-AD5FA0E968CA}">
  <ds:schemaRefs>
    <ds:schemaRef ds:uri="http://purl.org/dc/terms/"/>
    <ds:schemaRef ds:uri="http://schemas.microsoft.com/office/2006/metadata/properties"/>
    <ds:schemaRef ds:uri="e4fab1dd-03fa-4b8b-a663-4f24aa6e222b"/>
    <ds:schemaRef ds:uri="http://purl.org/dc/dcmitype/"/>
    <ds:schemaRef ds:uri="http://www.w3.org/XML/1998/namespace"/>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75a0c8a7-fc69-4d5c-a47a-78898665c738"/>
  </ds:schemaRefs>
</ds:datastoreItem>
</file>

<file path=customXml/itemProps3.xml><?xml version="1.0" encoding="utf-8"?>
<ds:datastoreItem xmlns:ds="http://schemas.openxmlformats.org/officeDocument/2006/customXml" ds:itemID="{5A643407-E944-4FB8-835B-06C4562FABEF}">
  <ds:schemaRefs>
    <ds:schemaRef ds:uri="http://schemas.microsoft.com/sharepoint/v3/contenttype/forms"/>
  </ds:schemaRefs>
</ds:datastoreItem>
</file>

<file path=customXml/itemProps4.xml><?xml version="1.0" encoding="utf-8"?>
<ds:datastoreItem xmlns:ds="http://schemas.openxmlformats.org/officeDocument/2006/customXml" ds:itemID="{8495D54D-1CBB-4383-9928-E6E6212F4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90</Pages>
  <Words>94504</Words>
  <Characters>53868</Characters>
  <Application>Microsoft Office Word</Application>
  <DocSecurity>0</DocSecurity>
  <Lines>448</Lines>
  <Paragraphs>296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148076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Князькова Валентина Яківна</cp:lastModifiedBy>
  <cp:revision>12</cp:revision>
  <cp:lastPrinted>2025-12-12T09:16:00Z</cp:lastPrinted>
  <dcterms:created xsi:type="dcterms:W3CDTF">2025-10-27T16:10:00Z</dcterms:created>
  <dcterms:modified xsi:type="dcterms:W3CDTF">2025-12-12T09:16:00Z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0x01010067EDF1E5197B5E41BF7D5F14A7663C21</vt:lpwstr>
  </property>
</Properties>
</file>