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EFE17" w14:textId="77777777" w:rsidR="006B79F7" w:rsidRDefault="0017149C">
      <w:pPr>
        <w:widowControl w:val="0"/>
        <w:snapToGrid w:val="0"/>
        <w:spacing w:after="0"/>
        <w:jc w:val="center"/>
        <w:rPr>
          <w:rFonts w:ascii="Times New Roman" w:hAnsi="Times New Roman" w:cs="Times New Roman"/>
          <w:b/>
          <w:caps/>
          <w:sz w:val="28"/>
          <w:szCs w:val="28"/>
        </w:rPr>
      </w:pPr>
      <w:r>
        <w:rPr>
          <w:rFonts w:ascii="Times New Roman" w:hAnsi="Times New Roman" w:cs="Times New Roman"/>
          <w:b/>
          <w:caps/>
          <w:sz w:val="28"/>
          <w:szCs w:val="28"/>
        </w:rPr>
        <w:t>Міністерство ОХОРОНИ ЗДОРОВ’Я України</w:t>
      </w:r>
    </w:p>
    <w:p w14:paraId="4E86A3CD" w14:textId="77777777" w:rsidR="006B79F7" w:rsidRDefault="0017149C">
      <w:pPr>
        <w:widowControl w:val="0"/>
        <w:snapToGrid w:val="0"/>
        <w:spacing w:after="0"/>
        <w:jc w:val="center"/>
        <w:rPr>
          <w:rFonts w:ascii="Times New Roman" w:hAnsi="Times New Roman" w:cs="Times New Roman"/>
          <w:b/>
          <w:caps/>
          <w:sz w:val="28"/>
          <w:szCs w:val="28"/>
        </w:rPr>
      </w:pPr>
      <w:r>
        <w:rPr>
          <w:rFonts w:ascii="Times New Roman" w:hAnsi="Times New Roman" w:cs="Times New Roman"/>
          <w:b/>
          <w:sz w:val="28"/>
          <w:szCs w:val="28"/>
        </w:rPr>
        <w:t xml:space="preserve">ОДЕСЬКИЙ НАЦІОНАЛЬНИЙ МЕДИЧНИЙ </w:t>
      </w:r>
      <w:r>
        <w:rPr>
          <w:rFonts w:ascii="Times New Roman" w:hAnsi="Times New Roman" w:cs="Times New Roman"/>
          <w:b/>
          <w:caps/>
          <w:sz w:val="28"/>
          <w:szCs w:val="28"/>
        </w:rPr>
        <w:t>УНІВЕРСИТЕТ</w:t>
      </w:r>
    </w:p>
    <w:p w14:paraId="1E46DB72" w14:textId="77777777" w:rsidR="006B79F7" w:rsidRDefault="006B79F7">
      <w:pPr>
        <w:widowControl w:val="0"/>
        <w:snapToGrid w:val="0"/>
        <w:spacing w:after="0"/>
        <w:jc w:val="center"/>
        <w:rPr>
          <w:rFonts w:ascii="Times New Roman" w:hAnsi="Times New Roman" w:cs="Times New Roman"/>
          <w:b/>
          <w:sz w:val="28"/>
          <w:szCs w:val="28"/>
        </w:rPr>
      </w:pPr>
    </w:p>
    <w:p w14:paraId="1F5D7471" w14:textId="77777777" w:rsidR="006B79F7" w:rsidRDefault="0017149C">
      <w:pPr>
        <w:widowControl w:val="0"/>
        <w:snapToGrid w:val="0"/>
        <w:spacing w:after="0"/>
        <w:jc w:val="center"/>
        <w:rPr>
          <w:rFonts w:ascii="Times New Roman" w:hAnsi="Times New Roman" w:cs="Times New Roman"/>
          <w:b/>
          <w:sz w:val="28"/>
          <w:szCs w:val="28"/>
        </w:rPr>
      </w:pPr>
      <w:r>
        <w:rPr>
          <w:rFonts w:ascii="Times New Roman" w:hAnsi="Times New Roman" w:cs="Times New Roman"/>
          <w:b/>
          <w:sz w:val="28"/>
          <w:szCs w:val="28"/>
        </w:rPr>
        <w:t>Медико-фармацевтичний факультет</w:t>
      </w:r>
    </w:p>
    <w:p w14:paraId="5F48C63A" w14:textId="77777777" w:rsidR="006B79F7" w:rsidRDefault="006B79F7">
      <w:pPr>
        <w:widowControl w:val="0"/>
        <w:snapToGrid w:val="0"/>
        <w:spacing w:after="0"/>
        <w:jc w:val="center"/>
        <w:rPr>
          <w:rFonts w:ascii="Times New Roman" w:hAnsi="Times New Roman" w:cs="Times New Roman"/>
          <w:sz w:val="28"/>
          <w:szCs w:val="28"/>
        </w:rPr>
      </w:pPr>
    </w:p>
    <w:p w14:paraId="05E97B3C" w14:textId="77777777" w:rsidR="006B79F7" w:rsidRDefault="006B79F7">
      <w:pPr>
        <w:widowControl w:val="0"/>
        <w:snapToGrid w:val="0"/>
        <w:spacing w:after="0"/>
        <w:jc w:val="center"/>
        <w:rPr>
          <w:rFonts w:ascii="Times New Roman" w:hAnsi="Times New Roman" w:cs="Times New Roman"/>
          <w:sz w:val="28"/>
          <w:szCs w:val="28"/>
        </w:rPr>
      </w:pPr>
    </w:p>
    <w:p w14:paraId="6929704E" w14:textId="77777777" w:rsidR="006B79F7" w:rsidRDefault="006B79F7">
      <w:pPr>
        <w:widowControl w:val="0"/>
        <w:snapToGrid w:val="0"/>
        <w:spacing w:after="0"/>
        <w:jc w:val="center"/>
        <w:rPr>
          <w:rFonts w:ascii="Times New Roman" w:hAnsi="Times New Roman" w:cs="Times New Roman"/>
          <w:sz w:val="28"/>
          <w:szCs w:val="28"/>
        </w:rPr>
      </w:pPr>
    </w:p>
    <w:p w14:paraId="75C6536C" w14:textId="77777777" w:rsidR="006B79F7" w:rsidRDefault="006B79F7">
      <w:pPr>
        <w:widowControl w:val="0"/>
        <w:snapToGrid w:val="0"/>
        <w:spacing w:after="0"/>
        <w:jc w:val="center"/>
        <w:rPr>
          <w:rFonts w:ascii="Times New Roman" w:hAnsi="Times New Roman" w:cs="Times New Roman"/>
          <w:sz w:val="28"/>
          <w:szCs w:val="28"/>
        </w:rPr>
      </w:pPr>
    </w:p>
    <w:p w14:paraId="547B5670" w14:textId="77777777" w:rsidR="006B79F7" w:rsidRDefault="006B79F7">
      <w:pPr>
        <w:widowControl w:val="0"/>
        <w:snapToGrid w:val="0"/>
        <w:spacing w:after="0"/>
        <w:jc w:val="center"/>
        <w:rPr>
          <w:rFonts w:ascii="Times New Roman" w:hAnsi="Times New Roman" w:cs="Times New Roman"/>
          <w:sz w:val="28"/>
          <w:szCs w:val="28"/>
        </w:rPr>
      </w:pPr>
    </w:p>
    <w:p w14:paraId="1AAFD870" w14:textId="77777777" w:rsidR="006B79F7" w:rsidRDefault="0017149C">
      <w:pPr>
        <w:widowControl w:val="0"/>
        <w:spacing w:after="0"/>
        <w:jc w:val="center"/>
        <w:rPr>
          <w:rFonts w:ascii="Times New Roman" w:hAnsi="Times New Roman" w:cs="Times New Roman"/>
          <w:b/>
          <w:caps/>
          <w:sz w:val="28"/>
          <w:szCs w:val="28"/>
        </w:rPr>
      </w:pPr>
      <w:r>
        <w:rPr>
          <w:rFonts w:ascii="Times New Roman" w:hAnsi="Times New Roman" w:cs="Times New Roman"/>
          <w:b/>
          <w:caps/>
          <w:sz w:val="28"/>
          <w:szCs w:val="28"/>
        </w:rPr>
        <w:t>картакай марія андріївна</w:t>
      </w:r>
    </w:p>
    <w:p w14:paraId="670EFAAE" w14:textId="77777777" w:rsidR="006B79F7" w:rsidRDefault="006B79F7">
      <w:pPr>
        <w:widowControl w:val="0"/>
        <w:spacing w:after="0"/>
        <w:jc w:val="center"/>
        <w:rPr>
          <w:rFonts w:ascii="Times New Roman" w:hAnsi="Times New Roman" w:cs="Times New Roman"/>
          <w:b/>
          <w:sz w:val="28"/>
          <w:szCs w:val="28"/>
        </w:rPr>
      </w:pPr>
    </w:p>
    <w:p w14:paraId="44B3D5AE" w14:textId="77777777" w:rsidR="006B79F7" w:rsidRDefault="0017149C">
      <w:pPr>
        <w:widowControl w:val="0"/>
        <w:spacing w:after="0"/>
        <w:jc w:val="center"/>
        <w:rPr>
          <w:rFonts w:ascii="Times New Roman" w:hAnsi="Times New Roman" w:cs="Times New Roman"/>
          <w:b/>
          <w:caps/>
          <w:sz w:val="28"/>
          <w:szCs w:val="28"/>
        </w:rPr>
      </w:pPr>
      <w:r>
        <w:rPr>
          <w:rFonts w:ascii="Times New Roman" w:hAnsi="Times New Roman" w:cs="Times New Roman"/>
          <w:b/>
          <w:caps/>
          <w:sz w:val="28"/>
          <w:szCs w:val="28"/>
        </w:rPr>
        <w:t xml:space="preserve">Особливості управління приватним підприємством </w:t>
      </w:r>
    </w:p>
    <w:p w14:paraId="42194057" w14:textId="77777777" w:rsidR="006B79F7" w:rsidRDefault="0017149C">
      <w:pPr>
        <w:widowControl w:val="0"/>
        <w:spacing w:after="0"/>
        <w:jc w:val="center"/>
        <w:rPr>
          <w:rFonts w:ascii="Times New Roman" w:hAnsi="Times New Roman" w:cs="Times New Roman"/>
          <w:b/>
          <w:caps/>
          <w:sz w:val="28"/>
          <w:szCs w:val="28"/>
        </w:rPr>
      </w:pPr>
      <w:r>
        <w:rPr>
          <w:rFonts w:ascii="Times New Roman" w:hAnsi="Times New Roman" w:cs="Times New Roman"/>
          <w:b/>
          <w:caps/>
          <w:sz w:val="28"/>
          <w:szCs w:val="28"/>
        </w:rPr>
        <w:t>у галузі охорони здоров’я</w:t>
      </w:r>
    </w:p>
    <w:p w14:paraId="5DC6120F" w14:textId="77777777" w:rsidR="006B79F7" w:rsidRDefault="0017149C">
      <w:pPr>
        <w:widowControl w:val="0"/>
        <w:spacing w:after="0"/>
        <w:jc w:val="center"/>
        <w:rPr>
          <w:rFonts w:ascii="Times New Roman" w:hAnsi="Times New Roman" w:cs="Times New Roman"/>
          <w:b/>
          <w:sz w:val="28"/>
          <w:szCs w:val="28"/>
          <w:highlight w:val="yellow"/>
        </w:rPr>
      </w:pPr>
      <w:r>
        <w:rPr>
          <w:rFonts w:ascii="Times New Roman" w:hAnsi="Times New Roman" w:cs="Times New Roman"/>
          <w:b/>
          <w:sz w:val="28"/>
          <w:szCs w:val="28"/>
        </w:rPr>
        <w:t>Specific features of managing a private enterprise in the healthcare sector</w:t>
      </w:r>
    </w:p>
    <w:p w14:paraId="12AFBC18" w14:textId="77777777" w:rsidR="006B79F7" w:rsidRDefault="006B79F7">
      <w:pPr>
        <w:widowControl w:val="0"/>
        <w:snapToGrid w:val="0"/>
        <w:spacing w:after="0"/>
        <w:jc w:val="center"/>
        <w:rPr>
          <w:rFonts w:ascii="Times New Roman" w:eastAsia="Times New Roman" w:hAnsi="Times New Roman" w:cs="Times New Roman"/>
          <w:sz w:val="28"/>
          <w:szCs w:val="28"/>
        </w:rPr>
      </w:pPr>
    </w:p>
    <w:p w14:paraId="7ACF94BF" w14:textId="77777777" w:rsidR="006B79F7" w:rsidRDefault="0017149C">
      <w:pPr>
        <w:widowControl w:val="0"/>
        <w:snapToGrid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073 «Менеджмент»</w:t>
      </w:r>
    </w:p>
    <w:p w14:paraId="088A4DCA" w14:textId="77777777" w:rsidR="006B79F7" w:rsidRDefault="0017149C">
      <w:pPr>
        <w:widowControl w:val="0"/>
        <w:snapToGrid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07 «Управління та адміністрування»</w:t>
      </w:r>
    </w:p>
    <w:p w14:paraId="3CD6EF29" w14:textId="77777777" w:rsidR="006B79F7" w:rsidRDefault="006B79F7">
      <w:pPr>
        <w:widowControl w:val="0"/>
        <w:snapToGrid w:val="0"/>
        <w:spacing w:after="0"/>
        <w:jc w:val="center"/>
        <w:rPr>
          <w:rFonts w:ascii="Times New Roman" w:eastAsia="Times New Roman" w:hAnsi="Times New Roman" w:cs="Times New Roman"/>
          <w:sz w:val="28"/>
          <w:szCs w:val="28"/>
        </w:rPr>
      </w:pPr>
    </w:p>
    <w:p w14:paraId="1CA1DB40" w14:textId="77777777" w:rsidR="006B79F7" w:rsidRDefault="006B79F7">
      <w:pPr>
        <w:widowControl w:val="0"/>
        <w:snapToGrid w:val="0"/>
        <w:spacing w:after="0"/>
        <w:jc w:val="center"/>
        <w:rPr>
          <w:rFonts w:ascii="Times New Roman" w:eastAsia="Times New Roman" w:hAnsi="Times New Roman" w:cs="Times New Roman"/>
          <w:sz w:val="28"/>
          <w:szCs w:val="28"/>
        </w:rPr>
      </w:pPr>
    </w:p>
    <w:p w14:paraId="0864FA8C" w14:textId="77777777" w:rsidR="006B79F7" w:rsidRDefault="0017149C">
      <w:pPr>
        <w:widowControl w:val="0"/>
        <w:snapToGrid w:val="0"/>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Кваліфікаційна робота</w:t>
      </w:r>
    </w:p>
    <w:p w14:paraId="24EC8D99" w14:textId="77777777" w:rsidR="006B79F7" w:rsidRDefault="0017149C">
      <w:pPr>
        <w:widowControl w:val="0"/>
        <w:snapToGrid w:val="0"/>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14:paraId="2200FE07" w14:textId="77777777" w:rsidR="006B79F7" w:rsidRDefault="006B79F7">
      <w:pPr>
        <w:widowControl w:val="0"/>
        <w:spacing w:after="0"/>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539"/>
        <w:gridCol w:w="4815"/>
      </w:tblGrid>
      <w:tr w:rsidR="006B79F7" w14:paraId="56F66ED1" w14:textId="77777777">
        <w:trPr>
          <w:trHeight w:val="1216"/>
        </w:trPr>
        <w:tc>
          <w:tcPr>
            <w:tcW w:w="2426" w:type="pct"/>
            <w:shd w:val="clear" w:color="auto" w:fill="auto"/>
            <w:tcMar>
              <w:top w:w="0" w:type="dxa"/>
              <w:left w:w="108" w:type="dxa"/>
              <w:bottom w:w="0" w:type="dxa"/>
              <w:right w:w="108" w:type="dxa"/>
            </w:tcMar>
          </w:tcPr>
          <w:p w14:paraId="1B1E050C" w14:textId="77777777" w:rsidR="006B79F7" w:rsidRDefault="006B79F7">
            <w:pPr>
              <w:widowControl w:val="0"/>
              <w:snapToGrid w:val="0"/>
              <w:spacing w:after="0"/>
              <w:jc w:val="center"/>
              <w:rPr>
                <w:rFonts w:ascii="Times New Roman" w:hAnsi="Times New Roman" w:cs="Times New Roman"/>
                <w:sz w:val="28"/>
                <w:szCs w:val="28"/>
              </w:rPr>
            </w:pPr>
          </w:p>
          <w:p w14:paraId="69B4612B" w14:textId="77777777" w:rsidR="006B79F7" w:rsidRDefault="006B79F7">
            <w:pPr>
              <w:widowControl w:val="0"/>
              <w:snapToGrid w:val="0"/>
              <w:spacing w:after="0"/>
              <w:jc w:val="center"/>
              <w:rPr>
                <w:rFonts w:ascii="Times New Roman" w:hAnsi="Times New Roman" w:cs="Times New Roman"/>
                <w:sz w:val="28"/>
                <w:szCs w:val="28"/>
              </w:rPr>
            </w:pPr>
          </w:p>
        </w:tc>
        <w:tc>
          <w:tcPr>
            <w:tcW w:w="2574" w:type="pct"/>
            <w:shd w:val="clear" w:color="auto" w:fill="auto"/>
            <w:tcMar>
              <w:top w:w="0" w:type="dxa"/>
              <w:left w:w="108" w:type="dxa"/>
              <w:bottom w:w="0" w:type="dxa"/>
              <w:right w:w="108" w:type="dxa"/>
            </w:tcMar>
          </w:tcPr>
          <w:p w14:paraId="48009739" w14:textId="77777777" w:rsidR="006B79F7" w:rsidRDefault="0017149C">
            <w:pPr>
              <w:widowControl w:val="0"/>
              <w:snapToGrid w:val="0"/>
              <w:spacing w:after="0"/>
              <w:rPr>
                <w:rFonts w:ascii="Times New Roman" w:hAnsi="Times New Roman" w:cs="Times New Roman"/>
                <w:b/>
                <w:sz w:val="28"/>
                <w:szCs w:val="28"/>
              </w:rPr>
            </w:pPr>
            <w:r>
              <w:rPr>
                <w:rFonts w:ascii="Times New Roman" w:hAnsi="Times New Roman" w:cs="Times New Roman"/>
                <w:b/>
                <w:sz w:val="28"/>
                <w:szCs w:val="28"/>
              </w:rPr>
              <w:t xml:space="preserve">Науковий керівник: </w:t>
            </w:r>
          </w:p>
          <w:p w14:paraId="59B62F10" w14:textId="77777777" w:rsidR="006B79F7" w:rsidRDefault="0017149C">
            <w:pPr>
              <w:widowControl w:val="0"/>
              <w:snapToGrid w:val="0"/>
              <w:spacing w:after="0"/>
              <w:rPr>
                <w:rFonts w:ascii="Times New Roman" w:hAnsi="Times New Roman" w:cs="Times New Roman"/>
                <w:sz w:val="28"/>
                <w:szCs w:val="28"/>
              </w:rPr>
            </w:pPr>
            <w:r>
              <w:rPr>
                <w:rFonts w:ascii="Times New Roman" w:hAnsi="Times New Roman" w:cs="Times New Roman"/>
                <w:sz w:val="28"/>
                <w:szCs w:val="28"/>
              </w:rPr>
              <w:t>к.екон.н., доцент Рудінська О.В.</w:t>
            </w:r>
          </w:p>
          <w:p w14:paraId="3D384BFC" w14:textId="77777777" w:rsidR="006B79F7" w:rsidRDefault="006B79F7">
            <w:pPr>
              <w:widowControl w:val="0"/>
              <w:snapToGrid w:val="0"/>
              <w:spacing w:after="0"/>
              <w:rPr>
                <w:rFonts w:ascii="Times New Roman" w:hAnsi="Times New Roman" w:cs="Times New Roman"/>
                <w:sz w:val="28"/>
                <w:szCs w:val="28"/>
              </w:rPr>
            </w:pPr>
          </w:p>
          <w:p w14:paraId="33C7CDDA" w14:textId="77777777" w:rsidR="006B79F7" w:rsidRDefault="0017149C">
            <w:pPr>
              <w:widowControl w:val="0"/>
              <w:snapToGrid w:val="0"/>
              <w:spacing w:after="0"/>
              <w:rPr>
                <w:rFonts w:ascii="Times New Roman" w:hAnsi="Times New Roman" w:cs="Times New Roman"/>
                <w:b/>
                <w:sz w:val="28"/>
                <w:szCs w:val="28"/>
              </w:rPr>
            </w:pPr>
            <w:r>
              <w:rPr>
                <w:rFonts w:ascii="Times New Roman" w:hAnsi="Times New Roman" w:cs="Times New Roman"/>
                <w:b/>
                <w:sz w:val="28"/>
                <w:szCs w:val="28"/>
              </w:rPr>
              <w:t>Рецензент:</w:t>
            </w:r>
          </w:p>
          <w:p w14:paraId="1330ECBB" w14:textId="77777777" w:rsidR="006B79F7" w:rsidRDefault="0017149C">
            <w:pPr>
              <w:widowControl w:val="0"/>
              <w:snapToGrid w:val="0"/>
              <w:spacing w:after="0"/>
              <w:rPr>
                <w:rFonts w:ascii="Times New Roman" w:hAnsi="Times New Roman" w:cs="Times New Roman"/>
                <w:sz w:val="28"/>
                <w:szCs w:val="28"/>
              </w:rPr>
            </w:pPr>
            <w:r>
              <w:rPr>
                <w:rFonts w:ascii="Times New Roman" w:hAnsi="Times New Roman" w:cs="Times New Roman"/>
                <w:sz w:val="28"/>
                <w:szCs w:val="28"/>
              </w:rPr>
              <w:t>д.екон.н., професор Садченко О.В.</w:t>
            </w:r>
          </w:p>
        </w:tc>
      </w:tr>
    </w:tbl>
    <w:p w14:paraId="47061A32" w14:textId="77777777" w:rsidR="006B79F7" w:rsidRDefault="006B79F7">
      <w:pPr>
        <w:widowControl w:val="0"/>
        <w:tabs>
          <w:tab w:val="left" w:pos="0"/>
        </w:tabs>
        <w:snapToGrid w:val="0"/>
        <w:spacing w:after="0"/>
        <w:rPr>
          <w:rFonts w:ascii="Times New Roman" w:hAnsi="Times New Roman" w:cs="Times New Roman"/>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42"/>
        <w:gridCol w:w="4812"/>
      </w:tblGrid>
      <w:tr w:rsidR="006B79F7" w14:paraId="4F1F0F3C" w14:textId="77777777">
        <w:tc>
          <w:tcPr>
            <w:tcW w:w="4644" w:type="dxa"/>
          </w:tcPr>
          <w:p w14:paraId="5027DAF0"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Рекомендовано до захисту: </w:t>
            </w:r>
          </w:p>
          <w:p w14:paraId="2406FCCF"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3B1D5FF3"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 менеджменту охорони здоров’я та психології</w:t>
            </w:r>
          </w:p>
          <w:p w14:paraId="70F6C371" w14:textId="77777777" w:rsidR="006B79F7" w:rsidRDefault="0017149C">
            <w:pPr>
              <w:widowControl w:val="0"/>
              <w:tabs>
                <w:tab w:val="left" w:pos="0"/>
              </w:tabs>
              <w:snapToGrid w:val="0"/>
              <w:spacing w:after="0" w:line="240" w:lineRule="auto"/>
              <w:rPr>
                <w:rFonts w:ascii="Times New Roman" w:hAnsi="Times New Roman" w:cs="Times New Roman"/>
                <w:sz w:val="28"/>
                <w:szCs w:val="28"/>
              </w:rPr>
            </w:pPr>
            <w:r>
              <w:rPr>
                <w:rFonts w:ascii="Times New Roman" w:hAnsi="Times New Roman" w:cs="Times New Roman"/>
                <w:sz w:val="28"/>
                <w:szCs w:val="28"/>
              </w:rPr>
              <w:t>№ ____ від «___» _______ 2025 р.</w:t>
            </w:r>
          </w:p>
          <w:p w14:paraId="45B4C1E8" w14:textId="77777777" w:rsidR="006B79F7" w:rsidRDefault="006B79F7">
            <w:pPr>
              <w:widowControl w:val="0"/>
              <w:tabs>
                <w:tab w:val="left" w:pos="0"/>
              </w:tabs>
              <w:snapToGrid w:val="0"/>
              <w:spacing w:after="0" w:line="240" w:lineRule="auto"/>
              <w:rPr>
                <w:rFonts w:ascii="Times New Roman" w:hAnsi="Times New Roman" w:cs="Times New Roman"/>
                <w:sz w:val="28"/>
                <w:szCs w:val="28"/>
              </w:rPr>
            </w:pPr>
          </w:p>
          <w:p w14:paraId="427FC4DC" w14:textId="77777777" w:rsidR="006B79F7" w:rsidRDefault="0017149C">
            <w:pPr>
              <w:widowControl w:val="0"/>
              <w:tabs>
                <w:tab w:val="left" w:pos="0"/>
              </w:tabs>
              <w:snapToGri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Гарант ОПП </w:t>
            </w:r>
          </w:p>
          <w:p w14:paraId="3AB0151F"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10272101"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eastAsia="TimesNewRomanPSMT" w:hAnsi="Times New Roman" w:cs="Times New Roman"/>
                <w:sz w:val="28"/>
                <w:szCs w:val="28"/>
              </w:rPr>
              <w:t>_______________ Вікторія БОРЩ</w:t>
            </w:r>
          </w:p>
          <w:p w14:paraId="4829D591"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tc>
        <w:tc>
          <w:tcPr>
            <w:tcW w:w="4926" w:type="dxa"/>
          </w:tcPr>
          <w:p w14:paraId="07F2E9FB"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______</w:t>
            </w:r>
          </w:p>
          <w:p w14:paraId="0D06EE8B"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5DFA125A"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Протокол № __ від «__» ____</w:t>
            </w:r>
            <w:r>
              <w:rPr>
                <w:rFonts w:ascii="Times New Roman" w:eastAsia="TimesNewRomanPSMT" w:hAnsi="Times New Roman" w:cs="Times New Roman"/>
                <w:sz w:val="28"/>
                <w:szCs w:val="28"/>
              </w:rPr>
              <w:t xml:space="preserve">_ 2025 </w:t>
            </w:r>
            <w:r>
              <w:rPr>
                <w:rFonts w:ascii="Times New Roman" w:hAnsi="Times New Roman" w:cs="Times New Roman"/>
                <w:sz w:val="28"/>
                <w:szCs w:val="28"/>
              </w:rPr>
              <w:t>р.</w:t>
            </w:r>
          </w:p>
          <w:p w14:paraId="5D9EE7F3" w14:textId="77777777" w:rsidR="006B79F7" w:rsidRDefault="006B79F7">
            <w:pPr>
              <w:widowControl w:val="0"/>
              <w:tabs>
                <w:tab w:val="left" w:pos="0"/>
              </w:tabs>
              <w:snapToGrid w:val="0"/>
              <w:spacing w:after="0" w:line="240" w:lineRule="auto"/>
              <w:rPr>
                <w:rFonts w:ascii="Times New Roman" w:hAnsi="Times New Roman" w:cs="Times New Roman"/>
                <w:sz w:val="28"/>
                <w:szCs w:val="28"/>
              </w:rPr>
            </w:pPr>
          </w:p>
          <w:p w14:paraId="34354CA4" w14:textId="77777777" w:rsidR="006B79F7" w:rsidRDefault="006B79F7">
            <w:pPr>
              <w:widowControl w:val="0"/>
              <w:tabs>
                <w:tab w:val="left" w:pos="0"/>
              </w:tabs>
              <w:snapToGrid w:val="0"/>
              <w:spacing w:after="0" w:line="240" w:lineRule="auto"/>
              <w:rPr>
                <w:rFonts w:ascii="Times New Roman" w:hAnsi="Times New Roman" w:cs="Times New Roman"/>
                <w:sz w:val="28"/>
                <w:szCs w:val="28"/>
              </w:rPr>
            </w:pPr>
          </w:p>
          <w:p w14:paraId="7BC9F09D" w14:textId="77777777" w:rsidR="006B79F7" w:rsidRDefault="0017149C">
            <w:pPr>
              <w:widowControl w:val="0"/>
              <w:tabs>
                <w:tab w:val="left" w:pos="0"/>
              </w:tabs>
              <w:snapToGrid w:val="0"/>
              <w:spacing w:after="0" w:line="240" w:lineRule="auto"/>
              <w:rPr>
                <w:rFonts w:ascii="Times New Roman" w:hAnsi="Times New Roman" w:cs="Times New Roman"/>
                <w:sz w:val="28"/>
                <w:szCs w:val="28"/>
              </w:rPr>
            </w:pPr>
            <w:r>
              <w:rPr>
                <w:rFonts w:ascii="Times New Roman" w:hAnsi="Times New Roman" w:cs="Times New Roman"/>
                <w:sz w:val="28"/>
                <w:szCs w:val="28"/>
              </w:rPr>
              <w:t>Оцінка _______ / ________ / _______</w:t>
            </w:r>
          </w:p>
          <w:p w14:paraId="0D20AA5A"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39340727" w14:textId="77777777" w:rsidR="006B79F7" w:rsidRDefault="0017149C">
            <w:pPr>
              <w:widowControl w:val="0"/>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Голова ЕК</w:t>
            </w:r>
          </w:p>
          <w:p w14:paraId="1C032F73"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413FFECE" w14:textId="77777777" w:rsidR="006B79F7" w:rsidRDefault="0017149C">
            <w:pPr>
              <w:widowControl w:val="0"/>
              <w:tabs>
                <w:tab w:val="left" w:pos="0"/>
              </w:tabs>
              <w:snapToGrid w:val="0"/>
              <w:spacing w:after="0" w:line="240" w:lineRule="auto"/>
              <w:rPr>
                <w:rFonts w:ascii="Times New Roman" w:hAnsi="Times New Roman" w:cs="Times New Roman"/>
                <w:sz w:val="28"/>
                <w:szCs w:val="28"/>
              </w:rPr>
            </w:pPr>
            <w:r>
              <w:rPr>
                <w:rFonts w:ascii="Times New Roman" w:eastAsia="TimesNewRomanPSMT" w:hAnsi="Times New Roman" w:cs="Times New Roman"/>
                <w:sz w:val="28"/>
                <w:szCs w:val="28"/>
              </w:rPr>
              <w:t>_______________ Олена САДЧЕНКО</w:t>
            </w:r>
          </w:p>
        </w:tc>
      </w:tr>
    </w:tbl>
    <w:p w14:paraId="759847EF" w14:textId="77777777" w:rsidR="006B79F7" w:rsidRDefault="006B79F7">
      <w:pPr>
        <w:widowControl w:val="0"/>
        <w:tabs>
          <w:tab w:val="left" w:pos="0"/>
        </w:tabs>
        <w:snapToGrid w:val="0"/>
        <w:spacing w:after="0"/>
        <w:jc w:val="center"/>
        <w:rPr>
          <w:rFonts w:ascii="Times New Roman" w:hAnsi="Times New Roman" w:cs="Times New Roman"/>
          <w:b/>
          <w:sz w:val="28"/>
          <w:szCs w:val="28"/>
        </w:rPr>
      </w:pPr>
    </w:p>
    <w:p w14:paraId="6E0CA58A" w14:textId="77777777" w:rsidR="006B79F7" w:rsidRDefault="006B79F7">
      <w:pPr>
        <w:widowControl w:val="0"/>
        <w:tabs>
          <w:tab w:val="left" w:pos="0"/>
        </w:tabs>
        <w:snapToGrid w:val="0"/>
        <w:spacing w:after="0"/>
        <w:jc w:val="center"/>
        <w:rPr>
          <w:rFonts w:ascii="Times New Roman" w:hAnsi="Times New Roman" w:cs="Times New Roman"/>
          <w:b/>
          <w:sz w:val="28"/>
          <w:szCs w:val="28"/>
        </w:rPr>
      </w:pPr>
    </w:p>
    <w:p w14:paraId="763799F0" w14:textId="77777777" w:rsidR="006B79F7" w:rsidRDefault="0017149C">
      <w:pPr>
        <w:widowControl w:val="0"/>
        <w:tabs>
          <w:tab w:val="left" w:pos="0"/>
        </w:tabs>
        <w:snapToGrid w:val="0"/>
        <w:spacing w:after="0"/>
        <w:jc w:val="center"/>
        <w:rPr>
          <w:rFonts w:ascii="Times New Roman" w:hAnsi="Times New Roman" w:cs="Times New Roman"/>
          <w:b/>
          <w:bCs/>
          <w:caps/>
          <w:sz w:val="28"/>
          <w:szCs w:val="28"/>
        </w:rPr>
      </w:pPr>
      <w:r>
        <w:rPr>
          <w:rFonts w:ascii="Times New Roman" w:hAnsi="Times New Roman" w:cs="Times New Roman"/>
          <w:b/>
          <w:sz w:val="28"/>
          <w:szCs w:val="28"/>
        </w:rPr>
        <w:t>Одеса, 2025</w:t>
      </w:r>
      <w:r>
        <w:rPr>
          <w:rFonts w:ascii="Times New Roman" w:hAnsi="Times New Roman" w:cs="Times New Roman"/>
          <w:b/>
          <w:bCs/>
          <w:caps/>
          <w:sz w:val="28"/>
          <w:szCs w:val="28"/>
        </w:rPr>
        <w:br w:type="page"/>
      </w:r>
    </w:p>
    <w:p w14:paraId="4E19814D" w14:textId="77777777" w:rsidR="006B79F7" w:rsidRDefault="0017149C">
      <w:pPr>
        <w:widowControl w:val="0"/>
        <w:autoSpaceDE w:val="0"/>
        <w:autoSpaceDN w:val="0"/>
        <w:adjustRightInd w:val="0"/>
        <w:spacing w:after="0" w:line="240" w:lineRule="auto"/>
        <w:jc w:val="center"/>
        <w:rPr>
          <w:rFonts w:ascii="Times New Roman" w:hAnsi="Times New Roman" w:cs="Times New Roman"/>
          <w:b/>
          <w:bCs/>
          <w:caps/>
          <w:sz w:val="28"/>
          <w:szCs w:val="28"/>
        </w:rPr>
      </w:pPr>
      <w:r>
        <w:rPr>
          <w:rFonts w:ascii="Times New Roman" w:hAnsi="Times New Roman" w:cs="Times New Roman"/>
          <w:b/>
          <w:bCs/>
          <w:caps/>
          <w:sz w:val="28"/>
          <w:szCs w:val="28"/>
        </w:rPr>
        <w:lastRenderedPageBreak/>
        <w:t>Анотація</w:t>
      </w:r>
    </w:p>
    <w:p w14:paraId="43823D37" w14:textId="77777777" w:rsidR="006B79F7" w:rsidRDefault="006B79F7">
      <w:pPr>
        <w:widowControl w:val="0"/>
        <w:autoSpaceDE w:val="0"/>
        <w:autoSpaceDN w:val="0"/>
        <w:adjustRightInd w:val="0"/>
        <w:spacing w:after="0" w:line="240" w:lineRule="auto"/>
        <w:rPr>
          <w:rFonts w:ascii="Times New Roman" w:hAnsi="Times New Roman" w:cs="Times New Roman"/>
          <w:sz w:val="28"/>
          <w:szCs w:val="28"/>
        </w:rPr>
      </w:pPr>
    </w:p>
    <w:p w14:paraId="76734370" w14:textId="77777777" w:rsidR="006B79F7" w:rsidRDefault="0017149C">
      <w:pPr>
        <w:widowControl w:val="0"/>
        <w:spacing w:after="0" w:line="240" w:lineRule="auto"/>
        <w:ind w:firstLine="708"/>
        <w:jc w:val="both"/>
        <w:rPr>
          <w:rFonts w:ascii="Times New Roman" w:eastAsia="Calibri" w:hAnsi="Times New Roman" w:cs="Times New Roman"/>
          <w:sz w:val="28"/>
          <w:szCs w:val="28"/>
        </w:rPr>
      </w:pPr>
      <w:r>
        <w:rPr>
          <w:rFonts w:ascii="Times New Roman" w:hAnsi="Times New Roman" w:cs="Times New Roman"/>
          <w:b/>
          <w:sz w:val="28"/>
          <w:szCs w:val="28"/>
        </w:rPr>
        <w:t xml:space="preserve">Картакай М. А. </w:t>
      </w:r>
      <w:r>
        <w:rPr>
          <w:rFonts w:ascii="Times New Roman" w:hAnsi="Times New Roman" w:cs="Times New Roman"/>
          <w:bCs/>
          <w:sz w:val="28"/>
          <w:szCs w:val="28"/>
        </w:rPr>
        <w:t>Особливості управління приватним підприємством у галузі охорони здоров’я</w:t>
      </w:r>
      <w:r>
        <w:rPr>
          <w:rFonts w:ascii="Times New Roman" w:hAnsi="Times New Roman" w:cs="Times New Roman"/>
          <w:sz w:val="28"/>
          <w:szCs w:val="28"/>
        </w:rPr>
        <w:t xml:space="preserve">. </w:t>
      </w:r>
      <w:r>
        <w:rPr>
          <w:rFonts w:ascii="Times New Roman" w:eastAsia="Calibri" w:hAnsi="Times New Roman" w:cs="Times New Roman"/>
          <w:sz w:val="28"/>
          <w:szCs w:val="28"/>
        </w:rPr>
        <w:t xml:space="preserve">– Кваліфікаційна робота на правах рукопису. </w:t>
      </w:r>
    </w:p>
    <w:p w14:paraId="3EEF256F" w14:textId="77777777" w:rsidR="006B79F7" w:rsidRDefault="0017149C">
      <w:pPr>
        <w:widowControl w:val="0"/>
        <w:spacing w:after="0" w:line="240" w:lineRule="auto"/>
        <w:ind w:firstLine="708"/>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«Управління охороною здоров’я та фармацевтичним бізнесом» спеціальності 073 «Менеджмент». </w:t>
      </w:r>
      <w:r>
        <w:rPr>
          <w:rFonts w:ascii="Times New Roman" w:eastAsia="Times New Roman" w:hAnsi="Times New Roman" w:cs="Times New Roman"/>
          <w:sz w:val="28"/>
          <w:szCs w:val="28"/>
          <w:lang w:eastAsia="ru-RU"/>
        </w:rPr>
        <w:t xml:space="preserve">– Одеський </w:t>
      </w:r>
      <w:r w:rsidRPr="009947C7">
        <w:rPr>
          <w:rFonts w:ascii="Times New Roman" w:eastAsia="Times New Roman" w:hAnsi="Times New Roman" w:cs="Times New Roman"/>
          <w:sz w:val="28"/>
          <w:szCs w:val="28"/>
          <w:lang w:eastAsia="ru-RU"/>
        </w:rPr>
        <w:t xml:space="preserve">національний медичний університет. Одеса, 2025. </w:t>
      </w:r>
      <w:r w:rsidR="009947C7" w:rsidRPr="009947C7">
        <w:rPr>
          <w:rFonts w:ascii="Times New Roman" w:eastAsia="Times New Roman" w:hAnsi="Times New Roman" w:cs="Times New Roman"/>
          <w:sz w:val="28"/>
          <w:szCs w:val="28"/>
          <w:lang w:eastAsia="ru-RU"/>
        </w:rPr>
        <w:t xml:space="preserve">103 </w:t>
      </w:r>
      <w:r w:rsidRPr="009947C7">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 </w:t>
      </w:r>
    </w:p>
    <w:p w14:paraId="777BF600" w14:textId="77777777" w:rsidR="006B79F7" w:rsidRDefault="006B79F7">
      <w:pPr>
        <w:widowControl w:val="0"/>
        <w:spacing w:after="0" w:line="240" w:lineRule="auto"/>
        <w:ind w:firstLine="708"/>
        <w:jc w:val="both"/>
        <w:rPr>
          <w:rFonts w:ascii="Times New Roman" w:eastAsia="Times New Roman" w:hAnsi="Times New Roman" w:cs="Times New Roman"/>
          <w:sz w:val="28"/>
          <w:szCs w:val="28"/>
          <w:lang w:eastAsia="ru-RU"/>
        </w:rPr>
      </w:pPr>
    </w:p>
    <w:p w14:paraId="699966AB" w14:textId="77777777" w:rsidR="006B79F7" w:rsidRDefault="0017149C">
      <w:pPr>
        <w:widowControl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Кваліфікаційну роботу присвячено питанням </w:t>
      </w:r>
      <w:r>
        <w:rPr>
          <w:rStyle w:val="a5"/>
          <w:rFonts w:ascii="Times New Roman" w:hAnsi="Times New Roman" w:cs="Times New Roman"/>
          <w:b w:val="0"/>
          <w:sz w:val="28"/>
          <w:szCs w:val="28"/>
        </w:rPr>
        <w:t>обґрунтування та розроблення моделі удосконалення управління приватною підприємницькою діяльністю в галузі охорони здоров’я</w:t>
      </w:r>
      <w:r>
        <w:rPr>
          <w:rFonts w:ascii="Times New Roman" w:hAnsi="Times New Roman" w:cs="Times New Roman"/>
          <w:sz w:val="28"/>
          <w:szCs w:val="28"/>
        </w:rPr>
        <w:t>, спрямованої на підвищення ефективності функціонування медичних закладів, оптимізацію внутрішніх управлінських процесів, розширення підприємницьких напрямів та зміцнення фінансової стійкості з урахуванням сучасних викликів системи охорони здоров’я України. Об’єкт дослідження – управління приватною підприємницькою діяльністю у галузі охорони здоров’я в умовах сучасних трансформацій медичної системи України. Предмет дослідження – організаційно-економічні, управлінські та інституційні механізми удосконалення управління приватною підприємницькою діяльністю у галузі охорони здоров’я на прикладі Центру реконструктивної та відновної медицини (Університетської клініки) ОНМедУ.</w:t>
      </w:r>
    </w:p>
    <w:p w14:paraId="3D0493F3" w14:textId="77777777" w:rsidR="006B79F7" w:rsidRDefault="0017149C">
      <w:pPr>
        <w:widowControl w:val="0"/>
        <w:spacing w:after="0" w:line="24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В кваліфікаційній роботі </w:t>
      </w:r>
      <w:r w:rsidR="008F56B3">
        <w:rPr>
          <w:rFonts w:ascii="Times New Roman" w:eastAsia="Times New Roman" w:hAnsi="Times New Roman" w:cs="Times New Roman"/>
          <w:bCs/>
          <w:sz w:val="28"/>
          <w:szCs w:val="28"/>
          <w:lang w:eastAsia="ru-RU"/>
        </w:rPr>
        <w:t>проаналізовано</w:t>
      </w:r>
      <w:r>
        <w:rPr>
          <w:rFonts w:ascii="Times New Roman" w:eastAsia="Times New Roman" w:hAnsi="Times New Roman" w:cs="Times New Roman"/>
          <w:bCs/>
          <w:sz w:val="28"/>
          <w:szCs w:val="28"/>
          <w:lang w:eastAsia="ru-RU"/>
        </w:rPr>
        <w:t xml:space="preserve"> теоретичні засади підприємницької діяльності у сфері охорони здоров’я</w:t>
      </w:r>
      <w:r>
        <w:rPr>
          <w:rFonts w:ascii="Times New Roman" w:eastAsia="Times New Roman" w:hAnsi="Times New Roman" w:cs="Times New Roman"/>
          <w:sz w:val="28"/>
          <w:szCs w:val="28"/>
          <w:lang w:eastAsia="ru-RU"/>
        </w:rPr>
        <w:t xml:space="preserve">, визначено її сутність, особливості функціонування та роль у модернізації державних медичних закладів; </w:t>
      </w:r>
      <w:r>
        <w:rPr>
          <w:rFonts w:ascii="Times New Roman" w:eastAsia="Times New Roman" w:hAnsi="Times New Roman" w:cs="Times New Roman"/>
          <w:bCs/>
          <w:sz w:val="28"/>
          <w:szCs w:val="28"/>
          <w:lang w:eastAsia="ru-RU"/>
        </w:rPr>
        <w:t>досліджено нормативно-правове забезпечення підприємництва у медичній сфері</w:t>
      </w:r>
      <w:r>
        <w:rPr>
          <w:rFonts w:ascii="Times New Roman" w:eastAsia="Times New Roman" w:hAnsi="Times New Roman" w:cs="Times New Roman"/>
          <w:sz w:val="28"/>
          <w:szCs w:val="28"/>
          <w:lang w:eastAsia="ru-RU"/>
        </w:rPr>
        <w:t xml:space="preserve">, зокрема діяльність університетських клінік та можливості використання механізмів державно-приватного партнерства; </w:t>
      </w:r>
      <w:r>
        <w:rPr>
          <w:rFonts w:ascii="Times New Roman" w:eastAsia="Times New Roman" w:hAnsi="Times New Roman" w:cs="Times New Roman"/>
          <w:bCs/>
          <w:sz w:val="28"/>
          <w:szCs w:val="28"/>
          <w:lang w:eastAsia="ru-RU"/>
        </w:rPr>
        <w:t>оцінено сучасний стан та результати підприємницької діяльності Центру реконструктивної та відновної медицини (Університетської клініки) ОНМедУ</w:t>
      </w:r>
      <w:r>
        <w:rPr>
          <w:rFonts w:ascii="Times New Roman" w:eastAsia="Times New Roman" w:hAnsi="Times New Roman" w:cs="Times New Roman"/>
          <w:sz w:val="28"/>
          <w:szCs w:val="28"/>
          <w:lang w:eastAsia="ru-RU"/>
        </w:rPr>
        <w:t xml:space="preserve">, визначено ключові проблеми, обмеження та потенціал розвитку; </w:t>
      </w:r>
      <w:r>
        <w:rPr>
          <w:rFonts w:ascii="Times New Roman" w:eastAsia="Times New Roman" w:hAnsi="Times New Roman" w:cs="Times New Roman"/>
          <w:bCs/>
          <w:sz w:val="28"/>
          <w:szCs w:val="28"/>
          <w:lang w:eastAsia="ru-RU"/>
        </w:rPr>
        <w:t>визначено пріоритетні напрями підвищення ефективності управління підприємницькою діяльністю Центру</w:t>
      </w:r>
      <w:r>
        <w:rPr>
          <w:rFonts w:ascii="Times New Roman" w:eastAsia="Times New Roman" w:hAnsi="Times New Roman" w:cs="Times New Roman"/>
          <w:sz w:val="28"/>
          <w:szCs w:val="28"/>
          <w:lang w:eastAsia="ru-RU"/>
        </w:rPr>
        <w:t xml:space="preserve">, враховуючи організаційні, економічні, кадрові, технологічні та маркетингові аспекти; </w:t>
      </w:r>
      <w:r>
        <w:rPr>
          <w:rFonts w:ascii="Times New Roman" w:eastAsia="Times New Roman" w:hAnsi="Times New Roman" w:cs="Times New Roman"/>
          <w:bCs/>
          <w:sz w:val="28"/>
          <w:szCs w:val="28"/>
          <w:lang w:eastAsia="ru-RU"/>
        </w:rPr>
        <w:t>сформовано комплексну модель удосконалення управління Центром</w:t>
      </w:r>
      <w:r>
        <w:rPr>
          <w:rFonts w:ascii="Times New Roman" w:eastAsia="Times New Roman" w:hAnsi="Times New Roman" w:cs="Times New Roman"/>
          <w:sz w:val="28"/>
          <w:szCs w:val="28"/>
          <w:lang w:eastAsia="ru-RU"/>
        </w:rPr>
        <w:t>, що охоплює оптимізацію організаційної структури, розвиток внутрішніх процесів, цифровізацію, покращення якості медичних послуг, підвищення пацієнто</w:t>
      </w:r>
      <w:r w:rsidR="008F56B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орієнтованості та зміцнення кадрового потенціалу; </w:t>
      </w:r>
      <w:r w:rsidR="008F56B3">
        <w:rPr>
          <w:rFonts w:ascii="Times New Roman" w:eastAsia="Times New Roman" w:hAnsi="Times New Roman" w:cs="Times New Roman"/>
          <w:bCs/>
          <w:sz w:val="28"/>
          <w:szCs w:val="28"/>
          <w:lang w:eastAsia="ru-RU"/>
        </w:rPr>
        <w:t>обґрунтовано</w:t>
      </w:r>
      <w:r>
        <w:rPr>
          <w:rFonts w:ascii="Times New Roman" w:eastAsia="Times New Roman" w:hAnsi="Times New Roman" w:cs="Times New Roman"/>
          <w:bCs/>
          <w:sz w:val="28"/>
          <w:szCs w:val="28"/>
          <w:lang w:eastAsia="ru-RU"/>
        </w:rPr>
        <w:t xml:space="preserve"> можливості застосування державно-приватного партнерства в діяльності Центру</w:t>
      </w:r>
      <w:r>
        <w:rPr>
          <w:rFonts w:ascii="Times New Roman" w:eastAsia="Times New Roman" w:hAnsi="Times New Roman" w:cs="Times New Roman"/>
          <w:sz w:val="28"/>
          <w:szCs w:val="28"/>
          <w:lang w:eastAsia="ru-RU"/>
        </w:rPr>
        <w:t xml:space="preserve"> та визначити ефективні моделі ДПП, їх ризики, переваги та очікувані результати; </w:t>
      </w:r>
      <w:r>
        <w:rPr>
          <w:rFonts w:ascii="Times New Roman" w:eastAsia="Times New Roman" w:hAnsi="Times New Roman" w:cs="Times New Roman"/>
          <w:bCs/>
          <w:sz w:val="28"/>
          <w:szCs w:val="28"/>
          <w:lang w:eastAsia="ru-RU"/>
        </w:rPr>
        <w:t>розроблено практичні рекомендації щодо впровадження запропонованої моделі управління</w:t>
      </w:r>
      <w:r>
        <w:rPr>
          <w:rFonts w:ascii="Times New Roman" w:eastAsia="Times New Roman" w:hAnsi="Times New Roman" w:cs="Times New Roman"/>
          <w:sz w:val="28"/>
          <w:szCs w:val="28"/>
          <w:lang w:eastAsia="ru-RU"/>
        </w:rPr>
        <w:t>, спрямовані на підвищення конкурентоспроможності, інноваційності та фінансової стабільності Центру.</w:t>
      </w:r>
    </w:p>
    <w:p w14:paraId="73ACA558" w14:textId="77777777" w:rsidR="006B79F7" w:rsidRDefault="0017149C">
      <w:pPr>
        <w:widowControl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Практичне значення результатів дослідження визначається можливістю їх використання у діяльності Центру реконструктивної та відновної </w:t>
      </w:r>
      <w:r>
        <w:rPr>
          <w:rFonts w:ascii="Times New Roman" w:hAnsi="Times New Roman" w:cs="Times New Roman"/>
          <w:sz w:val="28"/>
          <w:szCs w:val="28"/>
        </w:rPr>
        <w:lastRenderedPageBreak/>
        <w:t>медицини (Університетської клініки) ОНМедУ, а також інших державних медичних закладів, що поєднують лікувальну, наукову й освітню функції. У роботі: проведено ґрунтовний аналіз сучасного стану підприємницької діяльності Центру, що дозволяє керівництву отримати об’єктивну картину проблем, ресурсних обмежень та потенційних резервів розвитку; визначено конкретні пріоритетні напрями підвищення ефективності управління, що можуть бути безпосередньо впроваджені у практику роботи Центру (цифровізація, телемедицина, модернізація послуг, розвиток маркетингової політики, оптимізація організаційної структури, зміцнення кадрового потенціалу); розроблено модель удосконалення управління підприємницькою діяльністю Центру, яка може бути використана як покроковий алгоритм для реформування його роботи та підвищення конкурентоспроможності; запропоновано перелік можливих моделей державно-приватного партнерства, їх переваги, ризики та очікувані ефекти, що створює основу для залучення інвестицій та підвищення економічної автономії; сформовано набір практичних рекомендацій щодо модернізації матеріально-технічної бази, удосконалення управлінських процесів та забезпечення стійкого розвитку в умовах обмежених бюджетних ресурсів; окреслено інструментарій для підвищення якості медичних послуг та посилення пацієнто</w:t>
      </w:r>
      <w:r w:rsidR="008F56B3">
        <w:rPr>
          <w:rFonts w:ascii="Times New Roman" w:hAnsi="Times New Roman" w:cs="Times New Roman"/>
          <w:sz w:val="28"/>
          <w:szCs w:val="28"/>
        </w:rPr>
        <w:t>-</w:t>
      </w:r>
      <w:r>
        <w:rPr>
          <w:rFonts w:ascii="Times New Roman" w:hAnsi="Times New Roman" w:cs="Times New Roman"/>
          <w:sz w:val="28"/>
          <w:szCs w:val="28"/>
        </w:rPr>
        <w:t>орієнтованості, що сприятиме росту довіри до Центру та збільшенню кількості пацієнтів; визначено механізми комерціалізації наукових розробок і розширення освітніх програм, що підсилює роль Центру як університетської клініки.</w:t>
      </w:r>
    </w:p>
    <w:p w14:paraId="41501987" w14:textId="77777777" w:rsidR="006B79F7" w:rsidRDefault="006B79F7">
      <w:pPr>
        <w:widowControl w:val="0"/>
        <w:spacing w:after="0" w:line="240" w:lineRule="auto"/>
        <w:ind w:firstLine="708"/>
        <w:jc w:val="both"/>
        <w:rPr>
          <w:rFonts w:ascii="Times New Roman" w:hAnsi="Times New Roman" w:cs="Times New Roman"/>
          <w:b/>
          <w:sz w:val="28"/>
          <w:szCs w:val="28"/>
          <w:highlight w:val="yellow"/>
        </w:rPr>
      </w:pPr>
    </w:p>
    <w:p w14:paraId="38F033EC" w14:textId="77777777" w:rsidR="006B79F7" w:rsidRDefault="0017149C">
      <w:pPr>
        <w:widowControl w:val="0"/>
        <w:spacing w:after="0" w:line="240" w:lineRule="auto"/>
        <w:ind w:firstLine="708"/>
        <w:jc w:val="both"/>
        <w:rPr>
          <w:rFonts w:ascii="Times New Roman" w:eastAsia="Times New Roman" w:hAnsi="Times New Roman" w:cs="Times New Roman"/>
          <w:sz w:val="28"/>
          <w:szCs w:val="28"/>
          <w:lang w:eastAsia="ru-RU"/>
        </w:rPr>
      </w:pPr>
      <w:r w:rsidRPr="00156FC1">
        <w:rPr>
          <w:rFonts w:ascii="Times New Roman" w:hAnsi="Times New Roman" w:cs="Times New Roman"/>
          <w:b/>
          <w:sz w:val="28"/>
          <w:szCs w:val="28"/>
        </w:rPr>
        <w:t>Ключові слова:</w:t>
      </w:r>
      <w:r w:rsidRPr="00156FC1">
        <w:rPr>
          <w:rFonts w:ascii="Times New Roman" w:hAnsi="Times New Roman" w:cs="Times New Roman"/>
          <w:sz w:val="28"/>
          <w:szCs w:val="28"/>
        </w:rPr>
        <w:t xml:space="preserve"> </w:t>
      </w:r>
      <w:r w:rsidR="00156FC1" w:rsidRPr="00156FC1">
        <w:rPr>
          <w:rFonts w:ascii="Times New Roman" w:hAnsi="Times New Roman" w:cs="Times New Roman"/>
          <w:sz w:val="28"/>
          <w:szCs w:val="28"/>
        </w:rPr>
        <w:t>приватний сектор охорони здоров’я, приватне</w:t>
      </w:r>
      <w:r w:rsidR="00156FC1">
        <w:rPr>
          <w:rFonts w:ascii="Times New Roman" w:hAnsi="Times New Roman" w:cs="Times New Roman"/>
          <w:sz w:val="28"/>
          <w:szCs w:val="28"/>
        </w:rPr>
        <w:t xml:space="preserve"> підприємництво, публічно-приватне партнерство, пріоритетні напрямки, світовий досвід, управління підприємницькою діяльністю, удосконалення управління підприємництвом, Центр реконструктивної та відновної медицини (Університетська клініка) ОНМедУ.</w:t>
      </w:r>
    </w:p>
    <w:p w14:paraId="7204C371" w14:textId="77777777" w:rsidR="006B79F7" w:rsidRDefault="006B79F7">
      <w:pPr>
        <w:widowControl w:val="0"/>
        <w:spacing w:after="0" w:line="240" w:lineRule="auto"/>
        <w:rPr>
          <w:rFonts w:ascii="Times New Roman" w:hAnsi="Times New Roman" w:cs="Times New Roman"/>
          <w:b/>
          <w:sz w:val="28"/>
          <w:szCs w:val="28"/>
        </w:rPr>
      </w:pPr>
    </w:p>
    <w:p w14:paraId="3BCAB6AB"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14:paraId="6ACE9842" w14:textId="77777777" w:rsidR="006B79F7" w:rsidRPr="00144B74" w:rsidRDefault="0017149C">
      <w:pPr>
        <w:widowControl w:val="0"/>
        <w:autoSpaceDE w:val="0"/>
        <w:autoSpaceDN w:val="0"/>
        <w:adjustRightInd w:val="0"/>
        <w:spacing w:after="0" w:line="240" w:lineRule="auto"/>
        <w:jc w:val="center"/>
        <w:rPr>
          <w:rFonts w:ascii="Times New Roman" w:hAnsi="Times New Roman" w:cs="Times New Roman"/>
          <w:b/>
          <w:sz w:val="28"/>
          <w:szCs w:val="28"/>
          <w:lang w:val="en-US"/>
        </w:rPr>
      </w:pPr>
      <w:r w:rsidRPr="00144B74">
        <w:rPr>
          <w:rFonts w:ascii="Times New Roman" w:eastAsia="Calibri" w:hAnsi="Times New Roman" w:cs="Times New Roman"/>
          <w:b/>
          <w:sz w:val="28"/>
          <w:szCs w:val="28"/>
          <w:lang w:val="en-US"/>
        </w:rPr>
        <w:lastRenderedPageBreak/>
        <w:t>ABSTRACT</w:t>
      </w:r>
    </w:p>
    <w:p w14:paraId="12B40986" w14:textId="77777777" w:rsidR="006B79F7" w:rsidRPr="00144B74" w:rsidRDefault="006B79F7">
      <w:pPr>
        <w:widowControl w:val="0"/>
        <w:spacing w:after="0" w:line="240" w:lineRule="auto"/>
        <w:rPr>
          <w:rFonts w:ascii="Times New Roman" w:hAnsi="Times New Roman" w:cs="Times New Roman"/>
          <w:b/>
          <w:sz w:val="28"/>
          <w:szCs w:val="28"/>
          <w:lang w:val="en-US"/>
        </w:rPr>
      </w:pPr>
    </w:p>
    <w:p w14:paraId="1FDE22BD"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r w:rsidRPr="00144B74">
        <w:rPr>
          <w:rFonts w:ascii="Times New Roman" w:hAnsi="Times New Roman" w:cs="Times New Roman"/>
          <w:b/>
          <w:sz w:val="28"/>
          <w:szCs w:val="28"/>
          <w:lang w:val="en-US"/>
        </w:rPr>
        <w:t xml:space="preserve">Kartakay M. A. </w:t>
      </w:r>
      <w:r w:rsidRPr="00144B74">
        <w:rPr>
          <w:rFonts w:ascii="Times New Roman" w:hAnsi="Times New Roman" w:cs="Times New Roman"/>
          <w:sz w:val="28"/>
          <w:szCs w:val="28"/>
          <w:lang w:val="en-US"/>
        </w:rPr>
        <w:t xml:space="preserve">Peculiarities of private enterprise management in the </w:t>
      </w:r>
      <w:r w:rsidRPr="00144B74">
        <w:rPr>
          <w:rFonts w:ascii="Times New Roman" w:eastAsia="Times New Roman" w:hAnsi="Times New Roman" w:cs="Times New Roman"/>
          <w:sz w:val="28"/>
          <w:szCs w:val="28"/>
          <w:lang w:val="en-US" w:eastAsia="ru-RU"/>
        </w:rPr>
        <w:t xml:space="preserve">field of </w:t>
      </w:r>
      <w:r w:rsidRPr="00144B74">
        <w:rPr>
          <w:rFonts w:ascii="Times New Roman" w:hAnsi="Times New Roman" w:cs="Times New Roman"/>
          <w:sz w:val="28"/>
          <w:szCs w:val="28"/>
          <w:lang w:val="en-US"/>
        </w:rPr>
        <w:t>healthcare. – Qualification thesis in the form of a manuscript.</w:t>
      </w:r>
    </w:p>
    <w:p w14:paraId="27E763F6"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r w:rsidRPr="00144B74">
        <w:rPr>
          <w:rFonts w:ascii="Times New Roman" w:hAnsi="Times New Roman" w:cs="Times New Roman"/>
          <w:sz w:val="28"/>
          <w:szCs w:val="28"/>
          <w:lang w:val="en-US"/>
        </w:rPr>
        <w:t xml:space="preserve">Qualification thesis for obtaining a Master's degree in the educational and professional program "Healthcare and Pharmaceutical Business Management" specialty 073 "Management". - Odesa National Medical University. Odesa, 2025. </w:t>
      </w:r>
      <w:r>
        <w:rPr>
          <w:rFonts w:ascii="Times New Roman" w:hAnsi="Times New Roman" w:cs="Times New Roman"/>
          <w:sz w:val="28"/>
          <w:szCs w:val="28"/>
          <w:lang w:val="ru-RU"/>
        </w:rPr>
        <w:t>103 р.</w:t>
      </w:r>
    </w:p>
    <w:p w14:paraId="72F289CA" w14:textId="77777777" w:rsidR="00144B74" w:rsidRPr="00144B74" w:rsidRDefault="00144B74" w:rsidP="00144B74">
      <w:pPr>
        <w:widowControl w:val="0"/>
        <w:spacing w:after="0" w:line="240" w:lineRule="auto"/>
        <w:ind w:firstLine="708"/>
        <w:jc w:val="both"/>
        <w:rPr>
          <w:rFonts w:ascii="Times New Roman" w:eastAsia="Times New Roman" w:hAnsi="Times New Roman" w:cs="Times New Roman"/>
          <w:sz w:val="28"/>
          <w:szCs w:val="28"/>
          <w:lang w:val="en-US" w:eastAsia="ru-RU"/>
        </w:rPr>
      </w:pPr>
    </w:p>
    <w:p w14:paraId="5D9CF7C7" w14:textId="77777777" w:rsidR="00144B74" w:rsidRPr="00144B74" w:rsidRDefault="00144B74" w:rsidP="00144B74">
      <w:pPr>
        <w:widowControl w:val="0"/>
        <w:spacing w:after="0" w:line="240" w:lineRule="auto"/>
        <w:ind w:firstLine="708"/>
        <w:jc w:val="both"/>
        <w:rPr>
          <w:rFonts w:ascii="Times New Roman" w:eastAsia="Times New Roman" w:hAnsi="Times New Roman" w:cs="Times New Roman"/>
          <w:sz w:val="28"/>
          <w:szCs w:val="28"/>
          <w:lang w:val="en-US" w:eastAsia="ru-RU"/>
        </w:rPr>
      </w:pPr>
      <w:r w:rsidRPr="00144B74">
        <w:rPr>
          <w:rFonts w:ascii="Times New Roman" w:eastAsia="Times New Roman" w:hAnsi="Times New Roman" w:cs="Times New Roman"/>
          <w:sz w:val="28"/>
          <w:szCs w:val="28"/>
          <w:lang w:val="en-US" w:eastAsia="ru-RU"/>
        </w:rPr>
        <w:t xml:space="preserve">The qualification </w:t>
      </w:r>
      <w:r w:rsidRPr="00144B74">
        <w:rPr>
          <w:rFonts w:ascii="Times New Roman" w:hAnsi="Times New Roman" w:cs="Times New Roman"/>
          <w:sz w:val="28"/>
          <w:szCs w:val="28"/>
          <w:lang w:val="en-US"/>
        </w:rPr>
        <w:t>thesis</w:t>
      </w:r>
      <w:r w:rsidRPr="00144B74">
        <w:rPr>
          <w:rFonts w:ascii="Times New Roman" w:eastAsia="Times New Roman" w:hAnsi="Times New Roman" w:cs="Times New Roman"/>
          <w:sz w:val="28"/>
          <w:szCs w:val="28"/>
          <w:lang w:val="en-US" w:eastAsia="ru-RU"/>
        </w:rPr>
        <w:t xml:space="preserve"> is devoted to the issues of substantiating and developing a model for improving the management of private entrepreneurial activity in the field of healthcare, aimed at increasing the efficiency of the functioning of medical institutions, optimizing internal management processes, expanding business areas, and strengthening financial sustainability, taking into account the modern challenges of the healthcare system of Ukraine. The object of the study is the management of private entrepreneurial activity in the field of healthcare in the context of modern transformations of the medical system of Ukraine.</w:t>
      </w:r>
      <w:r>
        <w:rPr>
          <w:rFonts w:ascii="Times New Roman" w:eastAsia="Times New Roman" w:hAnsi="Times New Roman" w:cs="Times New Roman"/>
          <w:sz w:val="28"/>
          <w:szCs w:val="28"/>
          <w:lang w:val="ru-RU" w:eastAsia="ru-RU"/>
        </w:rPr>
        <w:t xml:space="preserve"> </w:t>
      </w:r>
      <w:r w:rsidRPr="00144B74">
        <w:rPr>
          <w:rFonts w:ascii="Times New Roman" w:eastAsia="Times New Roman" w:hAnsi="Times New Roman" w:cs="Times New Roman"/>
          <w:sz w:val="28"/>
          <w:szCs w:val="28"/>
          <w:lang w:val="en-US" w:eastAsia="ru-RU"/>
        </w:rPr>
        <w:t xml:space="preserve">The subject of the study is organizational, economic, managerial and institutional mechanisms for improving the management of private entrepreneurial activity in the field of healthcare using the example of the Center for Reconstructive and Restorative Medicine (University Clinic) of the </w:t>
      </w:r>
      <w:r w:rsidRPr="00144B74">
        <w:rPr>
          <w:rFonts w:ascii="Times New Roman" w:hAnsi="Times New Roman" w:cs="Times New Roman"/>
          <w:sz w:val="28"/>
          <w:szCs w:val="28"/>
          <w:lang w:val="en-US"/>
        </w:rPr>
        <w:t>Odesa National Medical University</w:t>
      </w:r>
      <w:r w:rsidRPr="00144B74">
        <w:rPr>
          <w:rFonts w:ascii="Times New Roman" w:eastAsia="Times New Roman" w:hAnsi="Times New Roman" w:cs="Times New Roman"/>
          <w:sz w:val="28"/>
          <w:szCs w:val="28"/>
          <w:lang w:val="en-US" w:eastAsia="ru-RU"/>
        </w:rPr>
        <w:t xml:space="preserve"> (ONMedU).</w:t>
      </w:r>
    </w:p>
    <w:p w14:paraId="69DA6E9F"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r w:rsidRPr="00144B74">
        <w:rPr>
          <w:rFonts w:ascii="Times New Roman" w:hAnsi="Times New Roman" w:cs="Times New Roman"/>
          <w:sz w:val="28"/>
          <w:szCs w:val="28"/>
          <w:lang w:val="en-US"/>
        </w:rPr>
        <w:t xml:space="preserve">The qualification work analyzed the theoretical foundations of entrepreneurial activity in the </w:t>
      </w:r>
      <w:r w:rsidRPr="00144B74">
        <w:rPr>
          <w:rFonts w:ascii="Times New Roman" w:eastAsia="Times New Roman" w:hAnsi="Times New Roman" w:cs="Times New Roman"/>
          <w:sz w:val="28"/>
          <w:szCs w:val="28"/>
          <w:lang w:val="en-US" w:eastAsia="ru-RU"/>
        </w:rPr>
        <w:t>field of</w:t>
      </w:r>
      <w:r w:rsidRPr="00144B74">
        <w:rPr>
          <w:rFonts w:ascii="Times New Roman" w:hAnsi="Times New Roman" w:cs="Times New Roman"/>
          <w:sz w:val="28"/>
          <w:szCs w:val="28"/>
          <w:lang w:val="en-US"/>
        </w:rPr>
        <w:t xml:space="preserve"> healthcare, determined its essence, features of functioning, and role in the modernization of state medical institutions; the regulatory and legal support for entrepreneurship in the medical field was investigated, in particular the activities of university clinics and the possibilities of using public-private partnership mechanisms; the current state and results of the entrepreneurial activity of the Center for Reconstructive and Restorative Medicine (University Clinic) of ONMedU were assessed, key problems, limitations and development potential were identified; priority areas for increasing the efficiency of the Center's business management have been identified, taking into account organizational, economic, personnel, technological and marketing aspects; the comprehensive model for improving the management of the Center has been formed, which includes optimizing the organizational structure, developing internal processes, digitalization, improving the quality of medical services, increasing patient-centeredness, and strengthening human resources; the possibilities of using public-private partnership in the activities of the Center are substantiated and effective models of public-private partnership, their risks, benefits and expected results are identified; practical recommendations have been developed for the implementation of the proposed management model, aimed at increasing the competitiveness, innovation, and financial stability of the Center.</w:t>
      </w:r>
    </w:p>
    <w:p w14:paraId="7BD2C816"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r w:rsidRPr="00144B74">
        <w:rPr>
          <w:rFonts w:ascii="Times New Roman" w:hAnsi="Times New Roman" w:cs="Times New Roman"/>
          <w:sz w:val="28"/>
          <w:szCs w:val="28"/>
          <w:lang w:val="en-US"/>
        </w:rPr>
        <w:t xml:space="preserve">The practical significance of the research results is determined by the possibility of their use in the activities of the Center for Reconstructive and Restorative Medicine (University Clinic) of ONMedU, as well as other state </w:t>
      </w:r>
      <w:r w:rsidRPr="00144B74">
        <w:rPr>
          <w:rFonts w:ascii="Times New Roman" w:hAnsi="Times New Roman" w:cs="Times New Roman"/>
          <w:sz w:val="28"/>
          <w:szCs w:val="28"/>
          <w:lang w:val="en-US"/>
        </w:rPr>
        <w:lastRenderedPageBreak/>
        <w:t>medical institutions that combine medical, scientific and educational functions.</w:t>
      </w:r>
      <w:r w:rsidRPr="00144B74">
        <w:rPr>
          <w:lang w:val="en-US"/>
        </w:rPr>
        <w:t xml:space="preserve"> </w:t>
      </w:r>
      <w:r w:rsidRPr="00144B74">
        <w:rPr>
          <w:rFonts w:ascii="Times New Roman" w:hAnsi="Times New Roman" w:cs="Times New Roman"/>
          <w:sz w:val="28"/>
          <w:szCs w:val="28"/>
          <w:lang w:val="en-US"/>
        </w:rPr>
        <w:t>In the qualification thesis: the thorough analysis of the current state of the Center's business activities was conducted, which allows the management to obtain an objective picture of problems, resource limitations, and potential development reserves; specific priority areas for improving management efficiency have been identified that can be directly implemented into the Center's work practice (digitalization, telemedicine, modernization of services, development of marketing policy, optimization of organizational structure, strengthening of human resources);</w:t>
      </w:r>
      <w:r w:rsidRPr="00144B74">
        <w:rPr>
          <w:lang w:val="en-US"/>
        </w:rPr>
        <w:t xml:space="preserve"> </w:t>
      </w:r>
      <w:r w:rsidRPr="00144B74">
        <w:rPr>
          <w:rFonts w:ascii="Times New Roman" w:hAnsi="Times New Roman" w:cs="Times New Roman"/>
          <w:sz w:val="28"/>
          <w:szCs w:val="28"/>
          <w:lang w:val="en-US"/>
        </w:rPr>
        <w:t>the model for improving the management of the Center's entrepreneurial activities has been developed, which can be used as a step-by-step algorithm for reforming its work and increasing competitiveness;</w:t>
      </w:r>
      <w:r w:rsidRPr="00144B74">
        <w:rPr>
          <w:lang w:val="en-US"/>
        </w:rPr>
        <w:t xml:space="preserve"> </w:t>
      </w:r>
      <w:r w:rsidRPr="00144B74">
        <w:rPr>
          <w:rFonts w:ascii="Times New Roman" w:hAnsi="Times New Roman" w:cs="Times New Roman"/>
          <w:sz w:val="28"/>
          <w:szCs w:val="28"/>
          <w:lang w:val="en-US"/>
        </w:rPr>
        <w:t>the list of possible models of public-private partnership, their advantages, risks and expected effects is proposed, which creates the basis for attracting investment and increasing economic autonomy; the</w:t>
      </w:r>
      <w:r w:rsidRPr="00144B74">
        <w:rPr>
          <w:lang w:val="en-US"/>
        </w:rPr>
        <w:t xml:space="preserve"> </w:t>
      </w:r>
      <w:r w:rsidRPr="00144B74">
        <w:rPr>
          <w:rFonts w:ascii="Times New Roman" w:hAnsi="Times New Roman" w:cs="Times New Roman"/>
          <w:sz w:val="28"/>
          <w:szCs w:val="28"/>
          <w:lang w:val="en-US"/>
        </w:rPr>
        <w:t>set of practical recommendations has been formed on the modernization of the material and technical base, improvement of management processes and ensuring sustainable development in conditions of limited budgetary resources; tools have been outlined to improve the quality of medical services and strengthen patient-centeredness, which will contribute to increasing trust in the Center and increasing the number of patients; mechanisms for commercialization of scientific developments and expansion of educational programs have been identified, which strengthens the role of the Center as the University Clinic.</w:t>
      </w:r>
    </w:p>
    <w:p w14:paraId="6052FDA2"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p>
    <w:p w14:paraId="6AD9239D" w14:textId="77777777" w:rsidR="00144B74" w:rsidRPr="00144B74" w:rsidRDefault="00144B74" w:rsidP="00144B74">
      <w:pPr>
        <w:widowControl w:val="0"/>
        <w:spacing w:after="0" w:line="240" w:lineRule="auto"/>
        <w:ind w:firstLine="708"/>
        <w:jc w:val="both"/>
        <w:rPr>
          <w:rFonts w:ascii="Times New Roman" w:hAnsi="Times New Roman" w:cs="Times New Roman"/>
          <w:sz w:val="28"/>
          <w:szCs w:val="28"/>
          <w:lang w:val="en-US"/>
        </w:rPr>
      </w:pPr>
      <w:r w:rsidRPr="00144B74">
        <w:rPr>
          <w:rFonts w:ascii="Times New Roman" w:hAnsi="Times New Roman" w:cs="Times New Roman"/>
          <w:b/>
          <w:sz w:val="28"/>
          <w:szCs w:val="28"/>
          <w:lang w:val="en-US"/>
        </w:rPr>
        <w:t>Keywords</w:t>
      </w:r>
      <w:r w:rsidRPr="00144B74">
        <w:rPr>
          <w:rFonts w:ascii="Times New Roman" w:hAnsi="Times New Roman" w:cs="Times New Roman"/>
          <w:sz w:val="28"/>
          <w:szCs w:val="28"/>
          <w:lang w:val="en-US"/>
        </w:rPr>
        <w:t xml:space="preserve">: private </w:t>
      </w:r>
      <w:r w:rsidRPr="00144B74">
        <w:rPr>
          <w:rFonts w:ascii="Times New Roman" w:eastAsia="Times New Roman" w:hAnsi="Times New Roman" w:cs="Times New Roman"/>
          <w:sz w:val="28"/>
          <w:szCs w:val="28"/>
          <w:lang w:val="en-US" w:eastAsia="ru-RU"/>
        </w:rPr>
        <w:t>field of</w:t>
      </w:r>
      <w:r w:rsidRPr="00144B74">
        <w:rPr>
          <w:rFonts w:ascii="Times New Roman" w:hAnsi="Times New Roman" w:cs="Times New Roman"/>
          <w:sz w:val="28"/>
          <w:szCs w:val="28"/>
          <w:lang w:val="en-US"/>
        </w:rPr>
        <w:t xml:space="preserve"> healthcare, private entrepreneurship, public-private partnership, priority areas, world experience, business management, improvement of business management, Center for Reconstructive and Restorative Medicine (University Clinic) ONMedU.</w:t>
      </w:r>
    </w:p>
    <w:p w14:paraId="2738303A" w14:textId="77777777" w:rsidR="00144B74" w:rsidRPr="00144B74" w:rsidRDefault="00144B74" w:rsidP="00144B74">
      <w:pPr>
        <w:widowControl w:val="0"/>
        <w:spacing w:after="0" w:line="240" w:lineRule="auto"/>
        <w:ind w:firstLine="708"/>
        <w:jc w:val="both"/>
        <w:rPr>
          <w:rFonts w:ascii="Times New Roman" w:hAnsi="Times New Roman" w:cs="Times New Roman"/>
          <w:b/>
          <w:sz w:val="28"/>
          <w:szCs w:val="28"/>
          <w:highlight w:val="yellow"/>
          <w:lang w:val="en-US"/>
        </w:rPr>
      </w:pPr>
    </w:p>
    <w:p w14:paraId="319EF404" w14:textId="77777777" w:rsidR="000531E9" w:rsidRPr="00144B74" w:rsidRDefault="000531E9" w:rsidP="000531E9">
      <w:pPr>
        <w:widowControl w:val="0"/>
        <w:spacing w:after="0" w:line="240" w:lineRule="auto"/>
        <w:rPr>
          <w:rFonts w:ascii="Times New Roman" w:hAnsi="Times New Roman" w:cs="Times New Roman"/>
          <w:b/>
          <w:sz w:val="28"/>
          <w:szCs w:val="28"/>
          <w:lang w:val="en-US"/>
        </w:rPr>
      </w:pPr>
    </w:p>
    <w:p w14:paraId="3A041A37" w14:textId="77777777" w:rsidR="006B79F7" w:rsidRDefault="0017149C">
      <w:pPr>
        <w:widowControl w:val="0"/>
        <w:spacing w:after="13" w:line="248" w:lineRule="auto"/>
        <w:ind w:left="60" w:right="107" w:hanging="10"/>
        <w:rPr>
          <w:rFonts w:ascii="Times New Roman" w:eastAsia="Times New Roman" w:hAnsi="Times New Roman" w:cs="Times New Roman"/>
          <w:color w:val="181717"/>
          <w:sz w:val="28"/>
          <w:szCs w:val="28"/>
          <w:lang w:eastAsia="uk-UA"/>
        </w:rPr>
      </w:pPr>
      <w:r>
        <w:rPr>
          <w:rFonts w:ascii="Times New Roman" w:hAnsi="Times New Roman" w:cs="Times New Roman"/>
          <w:sz w:val="28"/>
          <w:szCs w:val="28"/>
        </w:rPr>
        <w:br w:type="page"/>
      </w:r>
    </w:p>
    <w:p w14:paraId="4A6E84E0"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14:paraId="0CEC5780" w14:textId="77777777" w:rsidR="006B79F7" w:rsidRDefault="006B79F7">
      <w:pPr>
        <w:widowControl w:val="0"/>
        <w:spacing w:after="0" w:line="360" w:lineRule="auto"/>
        <w:jc w:val="center"/>
        <w:rPr>
          <w:rFonts w:ascii="Times New Roman" w:hAnsi="Times New Roman" w:cs="Times New Roman"/>
          <w:sz w:val="28"/>
          <w:szCs w:val="28"/>
        </w:rPr>
      </w:pPr>
    </w:p>
    <w:tbl>
      <w:tblPr>
        <w:tblStyle w:val="ad"/>
        <w:tblW w:w="499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4"/>
        <w:gridCol w:w="630"/>
      </w:tblGrid>
      <w:tr w:rsidR="006B79F7" w14:paraId="7BCECAC9" w14:textId="77777777">
        <w:tc>
          <w:tcPr>
            <w:tcW w:w="4624" w:type="pct"/>
          </w:tcPr>
          <w:p w14:paraId="61E57FF9"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ВСТУП……………………………………………………………………….</w:t>
            </w:r>
          </w:p>
        </w:tc>
        <w:tc>
          <w:tcPr>
            <w:tcW w:w="375" w:type="pct"/>
            <w:vAlign w:val="center"/>
          </w:tcPr>
          <w:p w14:paraId="3C6B4F52" w14:textId="77777777" w:rsidR="006B79F7" w:rsidRPr="00316180" w:rsidRDefault="0017149C">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7</w:t>
            </w:r>
          </w:p>
        </w:tc>
      </w:tr>
      <w:tr w:rsidR="006B79F7" w14:paraId="11E762FE" w14:textId="77777777">
        <w:tc>
          <w:tcPr>
            <w:tcW w:w="4624" w:type="pct"/>
          </w:tcPr>
          <w:p w14:paraId="47468498" w14:textId="77777777" w:rsidR="006B79F7" w:rsidRDefault="006B79F7">
            <w:pPr>
              <w:widowControl w:val="0"/>
              <w:spacing w:after="0" w:line="240" w:lineRule="auto"/>
              <w:jc w:val="both"/>
              <w:rPr>
                <w:rFonts w:ascii="Times New Roman" w:hAnsi="Times New Roman" w:cs="Times New Roman"/>
                <w:b/>
                <w:bCs/>
                <w:sz w:val="28"/>
                <w:szCs w:val="28"/>
              </w:rPr>
            </w:pPr>
          </w:p>
          <w:p w14:paraId="7759938E"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РОЗДІЛ 1. Т</w:t>
            </w:r>
            <w:r>
              <w:rPr>
                <w:rFonts w:ascii="Times New Roman" w:hAnsi="Times New Roman" w:cs="Times New Roman"/>
                <w:b/>
                <w:sz w:val="28"/>
                <w:szCs w:val="28"/>
              </w:rPr>
              <w:t>ЕОРЕТИЧНІ ЗАСАДИ УПРАВЛІННЯ ПРИВАТНИМ ПІДПРИЄМСТВОМ У ГАЛУЗІ ОХОРОНИ ЗДОРОВ’Я</w:t>
            </w:r>
            <w:r>
              <w:rPr>
                <w:rFonts w:ascii="Times New Roman" w:hAnsi="Times New Roman" w:cs="Times New Roman"/>
                <w:b/>
                <w:bCs/>
                <w:sz w:val="28"/>
                <w:szCs w:val="28"/>
              </w:rPr>
              <w:t xml:space="preserve"> …………..</w:t>
            </w:r>
          </w:p>
        </w:tc>
        <w:tc>
          <w:tcPr>
            <w:tcW w:w="375" w:type="pct"/>
            <w:vAlign w:val="bottom"/>
          </w:tcPr>
          <w:p w14:paraId="427EB4B5" w14:textId="77777777" w:rsidR="006B79F7" w:rsidRPr="00316180" w:rsidRDefault="0017149C" w:rsidP="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1</w:t>
            </w:r>
            <w:r w:rsidR="00316180" w:rsidRPr="00316180">
              <w:rPr>
                <w:rFonts w:ascii="Times New Roman" w:hAnsi="Times New Roman" w:cs="Times New Roman"/>
                <w:bCs/>
                <w:sz w:val="28"/>
                <w:szCs w:val="28"/>
              </w:rPr>
              <w:t>4</w:t>
            </w:r>
          </w:p>
        </w:tc>
      </w:tr>
      <w:tr w:rsidR="006B79F7" w14:paraId="228F5E3F" w14:textId="77777777">
        <w:tc>
          <w:tcPr>
            <w:tcW w:w="4624" w:type="pct"/>
          </w:tcPr>
          <w:p w14:paraId="74CD5894" w14:textId="77777777" w:rsidR="006B79F7" w:rsidRDefault="0017149C">
            <w:pPr>
              <w:pStyle w:val="ae"/>
              <w:widowControl w:val="0"/>
              <w:numPr>
                <w:ilvl w:val="1"/>
                <w:numId w:val="1"/>
              </w:numPr>
              <w:spacing w:after="0" w:line="240" w:lineRule="auto"/>
              <w:jc w:val="both"/>
              <w:rPr>
                <w:rFonts w:ascii="Times New Roman" w:hAnsi="Times New Roman" w:cs="Times New Roman"/>
                <w:b/>
                <w:bCs/>
                <w:sz w:val="28"/>
                <w:szCs w:val="28"/>
              </w:rPr>
            </w:pPr>
            <w:r>
              <w:rPr>
                <w:rFonts w:ascii="Times New Roman" w:hAnsi="Times New Roman" w:cs="Times New Roman"/>
                <w:sz w:val="28"/>
                <w:szCs w:val="28"/>
              </w:rPr>
              <w:t>Характеристика приватного сектора охорони здоров’я України …</w:t>
            </w:r>
          </w:p>
        </w:tc>
        <w:tc>
          <w:tcPr>
            <w:tcW w:w="375" w:type="pct"/>
            <w:vAlign w:val="bottom"/>
          </w:tcPr>
          <w:p w14:paraId="04CC0959" w14:textId="77777777" w:rsidR="006B79F7" w:rsidRPr="00316180" w:rsidRDefault="0017149C" w:rsidP="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1</w:t>
            </w:r>
            <w:r w:rsidR="00316180" w:rsidRPr="00316180">
              <w:rPr>
                <w:rFonts w:ascii="Times New Roman" w:hAnsi="Times New Roman" w:cs="Times New Roman"/>
                <w:bCs/>
                <w:sz w:val="28"/>
                <w:szCs w:val="28"/>
              </w:rPr>
              <w:t>4</w:t>
            </w:r>
          </w:p>
        </w:tc>
      </w:tr>
      <w:tr w:rsidR="006B79F7" w14:paraId="4891077D" w14:textId="77777777">
        <w:tc>
          <w:tcPr>
            <w:tcW w:w="4624" w:type="pct"/>
          </w:tcPr>
          <w:p w14:paraId="711F523A" w14:textId="77777777" w:rsidR="006B79F7" w:rsidRDefault="0017149C">
            <w:pPr>
              <w:pStyle w:val="ae"/>
              <w:widowControl w:val="0"/>
              <w:numPr>
                <w:ilvl w:val="1"/>
                <w:numId w:val="1"/>
              </w:numPr>
              <w:spacing w:after="0" w:line="240" w:lineRule="auto"/>
              <w:jc w:val="both"/>
              <w:rPr>
                <w:rFonts w:ascii="Times New Roman" w:hAnsi="Times New Roman" w:cs="Times New Roman"/>
                <w:b/>
                <w:bCs/>
                <w:sz w:val="28"/>
                <w:szCs w:val="28"/>
              </w:rPr>
            </w:pPr>
            <w:r>
              <w:rPr>
                <w:rFonts w:ascii="Times New Roman" w:hAnsi="Times New Roman" w:cs="Times New Roman"/>
                <w:sz w:val="28"/>
                <w:szCs w:val="28"/>
              </w:rPr>
              <w:t>Інноваційна та інвестиційна діяльність в приватній медицині …..</w:t>
            </w:r>
          </w:p>
        </w:tc>
        <w:tc>
          <w:tcPr>
            <w:tcW w:w="375" w:type="pct"/>
            <w:vAlign w:val="bottom"/>
          </w:tcPr>
          <w:p w14:paraId="59A275E0" w14:textId="77777777" w:rsidR="006B79F7" w:rsidRPr="00316180" w:rsidRDefault="0017149C">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1</w:t>
            </w:r>
            <w:r w:rsidR="00316180" w:rsidRPr="00316180">
              <w:rPr>
                <w:rFonts w:ascii="Times New Roman" w:hAnsi="Times New Roman" w:cs="Times New Roman"/>
                <w:bCs/>
                <w:sz w:val="28"/>
                <w:szCs w:val="28"/>
              </w:rPr>
              <w:t>8</w:t>
            </w:r>
          </w:p>
        </w:tc>
      </w:tr>
      <w:tr w:rsidR="006B79F7" w14:paraId="6F63DA8E" w14:textId="77777777">
        <w:tc>
          <w:tcPr>
            <w:tcW w:w="4624" w:type="pct"/>
          </w:tcPr>
          <w:p w14:paraId="7ED91C93" w14:textId="77777777" w:rsidR="006B79F7" w:rsidRDefault="0017149C">
            <w:pPr>
              <w:pStyle w:val="ae"/>
              <w:widowControl w:val="0"/>
              <w:numPr>
                <w:ilvl w:val="1"/>
                <w:numId w:val="1"/>
              </w:numPr>
              <w:spacing w:after="0" w:line="240" w:lineRule="auto"/>
              <w:jc w:val="both"/>
              <w:rPr>
                <w:rFonts w:ascii="Times New Roman" w:hAnsi="Times New Roman" w:cs="Times New Roman"/>
                <w:b/>
                <w:bCs/>
                <w:sz w:val="28"/>
                <w:szCs w:val="28"/>
              </w:rPr>
            </w:pPr>
            <w:r>
              <w:rPr>
                <w:rFonts w:ascii="Times New Roman" w:hAnsi="Times New Roman" w:cs="Times New Roman"/>
                <w:sz w:val="28"/>
                <w:szCs w:val="28"/>
              </w:rPr>
              <w:t>Основні переваги й недоліки приватного підприємництва у галузі охорони здоров’я …………………………………………………….</w:t>
            </w:r>
          </w:p>
        </w:tc>
        <w:tc>
          <w:tcPr>
            <w:tcW w:w="375" w:type="pct"/>
            <w:vAlign w:val="bottom"/>
          </w:tcPr>
          <w:p w14:paraId="6A2A2F42"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25</w:t>
            </w:r>
          </w:p>
        </w:tc>
      </w:tr>
      <w:tr w:rsidR="006B79F7" w14:paraId="1347520B" w14:textId="77777777">
        <w:tc>
          <w:tcPr>
            <w:tcW w:w="4624" w:type="pct"/>
          </w:tcPr>
          <w:p w14:paraId="64C462C9" w14:textId="77777777" w:rsidR="006B79F7" w:rsidRDefault="0017149C">
            <w:pPr>
              <w:widowControl w:val="0"/>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t>Висновок до розділу 1 ……………………………………………………...</w:t>
            </w:r>
          </w:p>
        </w:tc>
        <w:tc>
          <w:tcPr>
            <w:tcW w:w="375" w:type="pct"/>
            <w:vAlign w:val="bottom"/>
          </w:tcPr>
          <w:p w14:paraId="5D0E93C2"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33</w:t>
            </w:r>
          </w:p>
        </w:tc>
      </w:tr>
      <w:tr w:rsidR="006B79F7" w14:paraId="4A069D8E" w14:textId="77777777">
        <w:tc>
          <w:tcPr>
            <w:tcW w:w="4624" w:type="pct"/>
          </w:tcPr>
          <w:p w14:paraId="32233E4C" w14:textId="77777777" w:rsidR="006B79F7" w:rsidRDefault="006B79F7">
            <w:pPr>
              <w:widowControl w:val="0"/>
              <w:spacing w:after="0" w:line="240" w:lineRule="auto"/>
              <w:jc w:val="both"/>
              <w:rPr>
                <w:rFonts w:ascii="Times New Roman" w:hAnsi="Times New Roman" w:cs="Times New Roman"/>
                <w:b/>
                <w:bCs/>
                <w:sz w:val="28"/>
                <w:szCs w:val="28"/>
              </w:rPr>
            </w:pPr>
          </w:p>
          <w:p w14:paraId="0D19BC55"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РОЗДІЛ 2. </w:t>
            </w:r>
            <w:r>
              <w:rPr>
                <w:rFonts w:ascii="Times New Roman" w:hAnsi="Times New Roman" w:cs="Times New Roman"/>
                <w:b/>
                <w:sz w:val="28"/>
                <w:szCs w:val="28"/>
              </w:rPr>
              <w:t xml:space="preserve">АНАЛІЗ МЕХАНІЗМІВ УПРАВЛІННЯ ДІЯЛЬНІСТЮ МЕДИЧНИХ УСТАНОВ В СУЧАСНИХ УМОВАХ  </w:t>
            </w:r>
            <w:r>
              <w:rPr>
                <w:rFonts w:ascii="Times New Roman" w:hAnsi="Times New Roman" w:cs="Times New Roman"/>
                <w:b/>
                <w:bCs/>
                <w:sz w:val="28"/>
                <w:szCs w:val="28"/>
              </w:rPr>
              <w:t>………………..</w:t>
            </w:r>
          </w:p>
        </w:tc>
        <w:tc>
          <w:tcPr>
            <w:tcW w:w="375" w:type="pct"/>
            <w:vAlign w:val="bottom"/>
          </w:tcPr>
          <w:p w14:paraId="2F5AD0BD"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37</w:t>
            </w:r>
          </w:p>
        </w:tc>
      </w:tr>
      <w:tr w:rsidR="006B79F7" w14:paraId="16F5865C" w14:textId="77777777">
        <w:tc>
          <w:tcPr>
            <w:tcW w:w="4624" w:type="pct"/>
          </w:tcPr>
          <w:p w14:paraId="7AD72195" w14:textId="77777777" w:rsidR="006B79F7" w:rsidRDefault="0017149C">
            <w:pPr>
              <w:pStyle w:val="ae"/>
              <w:widowControl w:val="0"/>
              <w:numPr>
                <w:ilvl w:val="1"/>
                <w:numId w:val="2"/>
              </w:numPr>
              <w:spacing w:after="0" w:line="240" w:lineRule="auto"/>
              <w:jc w:val="both"/>
              <w:rPr>
                <w:rFonts w:ascii="Times New Roman" w:hAnsi="Times New Roman" w:cs="Times New Roman"/>
                <w:bCs/>
                <w:sz w:val="28"/>
                <w:szCs w:val="28"/>
              </w:rPr>
            </w:pPr>
            <w:r>
              <w:rPr>
                <w:rFonts w:ascii="Times New Roman" w:hAnsi="Times New Roman" w:cs="Times New Roman"/>
                <w:sz w:val="28"/>
                <w:szCs w:val="28"/>
              </w:rPr>
              <w:t>Законодавчі трансформації управління діяльністю підприємств у галузі охорони здоров’я в умовах воєнного стану</w:t>
            </w:r>
            <w:r>
              <w:rPr>
                <w:rFonts w:ascii="Times New Roman" w:hAnsi="Times New Roman" w:cs="Times New Roman"/>
                <w:bCs/>
                <w:sz w:val="28"/>
                <w:szCs w:val="28"/>
              </w:rPr>
              <w:t xml:space="preserve"> ………….……..</w:t>
            </w:r>
          </w:p>
        </w:tc>
        <w:tc>
          <w:tcPr>
            <w:tcW w:w="375" w:type="pct"/>
            <w:vAlign w:val="bottom"/>
          </w:tcPr>
          <w:p w14:paraId="2A303888"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37</w:t>
            </w:r>
          </w:p>
        </w:tc>
      </w:tr>
      <w:tr w:rsidR="006B79F7" w14:paraId="3DA970F5" w14:textId="77777777">
        <w:tc>
          <w:tcPr>
            <w:tcW w:w="4624" w:type="pct"/>
          </w:tcPr>
          <w:p w14:paraId="64303FCD" w14:textId="77777777" w:rsidR="006B79F7" w:rsidRDefault="0017149C">
            <w:pPr>
              <w:pStyle w:val="ae"/>
              <w:widowControl w:val="0"/>
              <w:numPr>
                <w:ilvl w:val="1"/>
                <w:numId w:val="2"/>
              </w:numPr>
              <w:spacing w:after="0" w:line="240" w:lineRule="auto"/>
              <w:jc w:val="both"/>
              <w:rPr>
                <w:rFonts w:ascii="Times New Roman" w:hAnsi="Times New Roman" w:cs="Times New Roman"/>
                <w:bCs/>
                <w:sz w:val="28"/>
                <w:szCs w:val="28"/>
              </w:rPr>
            </w:pPr>
            <w:r>
              <w:rPr>
                <w:rFonts w:ascii="Times New Roman" w:hAnsi="Times New Roman" w:cs="Times New Roman"/>
                <w:sz w:val="28"/>
                <w:szCs w:val="28"/>
              </w:rPr>
              <w:t>Механізми управління підприємницькою діяльністю у галузі охорони здоров’я та впровадження публічно-приватного партнерства ..</w:t>
            </w:r>
            <w:r>
              <w:rPr>
                <w:rFonts w:ascii="Times New Roman" w:hAnsi="Times New Roman" w:cs="Times New Roman"/>
                <w:bCs/>
                <w:sz w:val="28"/>
                <w:szCs w:val="28"/>
              </w:rPr>
              <w:t>…………………………………………………............</w:t>
            </w:r>
          </w:p>
        </w:tc>
        <w:tc>
          <w:tcPr>
            <w:tcW w:w="375" w:type="pct"/>
            <w:vAlign w:val="bottom"/>
          </w:tcPr>
          <w:p w14:paraId="2A0C8725"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42</w:t>
            </w:r>
          </w:p>
        </w:tc>
      </w:tr>
      <w:tr w:rsidR="006B79F7" w14:paraId="733B7ED4" w14:textId="77777777">
        <w:tc>
          <w:tcPr>
            <w:tcW w:w="4624" w:type="pct"/>
          </w:tcPr>
          <w:p w14:paraId="285F2AAA" w14:textId="77777777" w:rsidR="006B79F7" w:rsidRDefault="0017149C">
            <w:pPr>
              <w:pStyle w:val="ae"/>
              <w:widowControl w:val="0"/>
              <w:numPr>
                <w:ilvl w:val="1"/>
                <w:numId w:val="2"/>
              </w:numPr>
              <w:spacing w:after="0" w:line="240" w:lineRule="auto"/>
              <w:jc w:val="both"/>
              <w:rPr>
                <w:rFonts w:ascii="Times New Roman" w:hAnsi="Times New Roman" w:cs="Times New Roman"/>
                <w:bCs/>
                <w:sz w:val="28"/>
                <w:szCs w:val="28"/>
              </w:rPr>
            </w:pPr>
            <w:r>
              <w:rPr>
                <w:rFonts w:ascii="Times New Roman" w:hAnsi="Times New Roman" w:cs="Times New Roman"/>
                <w:sz w:val="28"/>
                <w:szCs w:val="28"/>
              </w:rPr>
              <w:t xml:space="preserve">Запровадження світового досвіду в сфері управління приватним підприємством у галузі охорони здоров’я в Україні </w:t>
            </w:r>
            <w:r>
              <w:rPr>
                <w:rFonts w:ascii="Times New Roman" w:hAnsi="Times New Roman" w:cs="Times New Roman"/>
                <w:bCs/>
                <w:sz w:val="28"/>
                <w:szCs w:val="28"/>
              </w:rPr>
              <w:t>……………..</w:t>
            </w:r>
          </w:p>
        </w:tc>
        <w:tc>
          <w:tcPr>
            <w:tcW w:w="375" w:type="pct"/>
            <w:vAlign w:val="bottom"/>
          </w:tcPr>
          <w:p w14:paraId="65F4966B"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52</w:t>
            </w:r>
          </w:p>
        </w:tc>
      </w:tr>
      <w:tr w:rsidR="006B79F7" w14:paraId="65BC40AA" w14:textId="77777777">
        <w:tc>
          <w:tcPr>
            <w:tcW w:w="4624" w:type="pct"/>
          </w:tcPr>
          <w:p w14:paraId="4C7D83CD"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Висновок до розділу 2 ……………………………………………………...</w:t>
            </w:r>
          </w:p>
        </w:tc>
        <w:tc>
          <w:tcPr>
            <w:tcW w:w="375" w:type="pct"/>
            <w:vAlign w:val="bottom"/>
          </w:tcPr>
          <w:p w14:paraId="063621D3" w14:textId="77777777" w:rsidR="006B79F7" w:rsidRPr="00316180" w:rsidRDefault="00316180">
            <w:pPr>
              <w:widowControl w:val="0"/>
              <w:spacing w:after="0" w:line="240" w:lineRule="auto"/>
              <w:jc w:val="center"/>
              <w:rPr>
                <w:rFonts w:ascii="Times New Roman" w:hAnsi="Times New Roman" w:cs="Times New Roman"/>
                <w:sz w:val="28"/>
                <w:szCs w:val="28"/>
              </w:rPr>
            </w:pPr>
            <w:r w:rsidRPr="00316180">
              <w:rPr>
                <w:rFonts w:ascii="Times New Roman" w:hAnsi="Times New Roman" w:cs="Times New Roman"/>
                <w:sz w:val="28"/>
                <w:szCs w:val="28"/>
              </w:rPr>
              <w:t>62</w:t>
            </w:r>
          </w:p>
        </w:tc>
      </w:tr>
      <w:tr w:rsidR="006B79F7" w14:paraId="0044E86E" w14:textId="77777777">
        <w:tc>
          <w:tcPr>
            <w:tcW w:w="4624" w:type="pct"/>
          </w:tcPr>
          <w:p w14:paraId="0209AFA0" w14:textId="77777777" w:rsidR="006B79F7" w:rsidRDefault="006B79F7">
            <w:pPr>
              <w:widowControl w:val="0"/>
              <w:spacing w:after="0" w:line="240" w:lineRule="auto"/>
              <w:jc w:val="both"/>
              <w:rPr>
                <w:rFonts w:ascii="Times New Roman" w:hAnsi="Times New Roman" w:cs="Times New Roman"/>
                <w:b/>
                <w:bCs/>
                <w:sz w:val="28"/>
                <w:szCs w:val="28"/>
              </w:rPr>
            </w:pPr>
          </w:p>
          <w:p w14:paraId="48A335E3"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РОЗДІЛ 3. В</w:t>
            </w:r>
            <w:r>
              <w:rPr>
                <w:rFonts w:ascii="Times New Roman" w:hAnsi="Times New Roman" w:cs="Times New Roman"/>
                <w:b/>
                <w:sz w:val="28"/>
                <w:szCs w:val="28"/>
              </w:rPr>
              <w:t>ДОСКОНАЛЕННЯ УПРАВЛІННЯ ПРИВАТНИМ ПІДПРИЄМНИЦТВОМ У ГАЛУЗІ ОХОРОНИ ЗДОРОВ’Я</w:t>
            </w:r>
            <w:r>
              <w:rPr>
                <w:rFonts w:ascii="Times New Roman" w:eastAsia="Times New Roman" w:hAnsi="Times New Roman" w:cs="Times New Roman"/>
                <w:b/>
                <w:bCs/>
                <w:kern w:val="36"/>
                <w:sz w:val="28"/>
                <w:szCs w:val="28"/>
                <w:lang w:eastAsia="ru-RU"/>
              </w:rPr>
              <w:t xml:space="preserve"> </w:t>
            </w:r>
            <w:r>
              <w:rPr>
                <w:rFonts w:ascii="Times New Roman" w:hAnsi="Times New Roman" w:cs="Times New Roman"/>
                <w:b/>
                <w:bCs/>
                <w:sz w:val="28"/>
                <w:szCs w:val="28"/>
              </w:rPr>
              <w:t>………</w:t>
            </w:r>
          </w:p>
        </w:tc>
        <w:tc>
          <w:tcPr>
            <w:tcW w:w="375" w:type="pct"/>
            <w:vAlign w:val="bottom"/>
          </w:tcPr>
          <w:p w14:paraId="3857181D"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67</w:t>
            </w:r>
          </w:p>
        </w:tc>
      </w:tr>
      <w:tr w:rsidR="006B79F7" w14:paraId="0600B8AB" w14:textId="77777777">
        <w:tc>
          <w:tcPr>
            <w:tcW w:w="4624" w:type="pct"/>
          </w:tcPr>
          <w:p w14:paraId="6E9579E8" w14:textId="77777777" w:rsidR="006B79F7" w:rsidRDefault="0017149C">
            <w:pPr>
              <w:pStyle w:val="ae"/>
              <w:widowControl w:val="0"/>
              <w:numPr>
                <w:ilvl w:val="1"/>
                <w:numId w:val="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Особливості підприємницької діяльності у галузі охорони здоров’я на прикладі Центру реконструктивної та відновної медицини (Університетської клініки) ОНМедУ …………………...</w:t>
            </w:r>
          </w:p>
        </w:tc>
        <w:tc>
          <w:tcPr>
            <w:tcW w:w="375" w:type="pct"/>
            <w:vAlign w:val="bottom"/>
          </w:tcPr>
          <w:p w14:paraId="7772B117"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67</w:t>
            </w:r>
          </w:p>
        </w:tc>
      </w:tr>
      <w:tr w:rsidR="006B79F7" w14:paraId="5F8F48A1" w14:textId="77777777">
        <w:tc>
          <w:tcPr>
            <w:tcW w:w="4624" w:type="pct"/>
          </w:tcPr>
          <w:p w14:paraId="64B92E98" w14:textId="77777777" w:rsidR="006B79F7" w:rsidRDefault="0017149C">
            <w:pPr>
              <w:pStyle w:val="ae"/>
              <w:widowControl w:val="0"/>
              <w:numPr>
                <w:ilvl w:val="1"/>
                <w:numId w:val="3"/>
              </w:numPr>
              <w:spacing w:after="0" w:line="240" w:lineRule="auto"/>
              <w:jc w:val="both"/>
              <w:outlineLvl w:val="2"/>
              <w:rPr>
                <w:rFonts w:ascii="Times New Roman" w:hAnsi="Times New Roman" w:cs="Times New Roman"/>
                <w:bCs/>
                <w:sz w:val="28"/>
                <w:szCs w:val="28"/>
              </w:rPr>
            </w:pPr>
            <w:r>
              <w:rPr>
                <w:rFonts w:ascii="Times New Roman" w:hAnsi="Times New Roman" w:cs="Times New Roman"/>
                <w:sz w:val="28"/>
                <w:szCs w:val="28"/>
              </w:rPr>
              <w:t>Пріоритетні напрямки подальшого розвитку підприємництва у галузі охорони здоров’я на прикладі Центру реконструктивної та відновної медицини (Університетської клініки) ОНМедУ</w:t>
            </w:r>
            <w:r>
              <w:rPr>
                <w:rStyle w:val="a5"/>
                <w:rFonts w:ascii="Times New Roman" w:hAnsi="Times New Roman" w:cs="Times New Roman"/>
                <w:b w:val="0"/>
                <w:sz w:val="28"/>
                <w:szCs w:val="28"/>
              </w:rPr>
              <w:t xml:space="preserve"> ………</w:t>
            </w:r>
          </w:p>
        </w:tc>
        <w:tc>
          <w:tcPr>
            <w:tcW w:w="375" w:type="pct"/>
            <w:vAlign w:val="bottom"/>
          </w:tcPr>
          <w:p w14:paraId="2F3D5915"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72</w:t>
            </w:r>
          </w:p>
        </w:tc>
      </w:tr>
      <w:tr w:rsidR="006B79F7" w14:paraId="63C621E8" w14:textId="77777777">
        <w:tc>
          <w:tcPr>
            <w:tcW w:w="4624" w:type="pct"/>
          </w:tcPr>
          <w:p w14:paraId="16E225B4" w14:textId="77777777" w:rsidR="006B79F7" w:rsidRDefault="0017149C">
            <w:pPr>
              <w:pStyle w:val="ae"/>
              <w:widowControl w:val="0"/>
              <w:numPr>
                <w:ilvl w:val="1"/>
                <w:numId w:val="3"/>
              </w:numPr>
              <w:spacing w:after="0" w:line="240" w:lineRule="auto"/>
              <w:jc w:val="both"/>
              <w:outlineLvl w:val="2"/>
              <w:rPr>
                <w:rFonts w:ascii="Times New Roman" w:hAnsi="Times New Roman" w:cs="Times New Roman"/>
                <w:bCs/>
                <w:sz w:val="28"/>
                <w:szCs w:val="28"/>
              </w:rPr>
            </w:pPr>
            <w:r>
              <w:rPr>
                <w:rFonts w:ascii="Times New Roman" w:hAnsi="Times New Roman" w:cs="Times New Roman"/>
                <w:sz w:val="28"/>
                <w:szCs w:val="28"/>
              </w:rPr>
              <w:t>Пропозиції щодо удосконалення управління підприємництвом у галузі охорони здоров’я на прикладі Центру реконструктивної та відновної медицини (Університетської клініки) ОНМедУ</w:t>
            </w:r>
            <w:r>
              <w:rPr>
                <w:rStyle w:val="a5"/>
                <w:rFonts w:ascii="Times New Roman" w:hAnsi="Times New Roman" w:cs="Times New Roman"/>
                <w:b w:val="0"/>
                <w:sz w:val="28"/>
                <w:szCs w:val="28"/>
              </w:rPr>
              <w:t xml:space="preserve"> ……….</w:t>
            </w:r>
          </w:p>
        </w:tc>
        <w:tc>
          <w:tcPr>
            <w:tcW w:w="375" w:type="pct"/>
            <w:vAlign w:val="bottom"/>
          </w:tcPr>
          <w:p w14:paraId="7CCD1C5D" w14:textId="77777777" w:rsidR="006B79F7" w:rsidRPr="00316180" w:rsidRDefault="0017149C" w:rsidP="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7</w:t>
            </w:r>
            <w:r w:rsidR="00316180" w:rsidRPr="00316180">
              <w:rPr>
                <w:rFonts w:ascii="Times New Roman" w:hAnsi="Times New Roman" w:cs="Times New Roman"/>
                <w:bCs/>
                <w:sz w:val="28"/>
                <w:szCs w:val="28"/>
              </w:rPr>
              <w:t>7</w:t>
            </w:r>
          </w:p>
        </w:tc>
      </w:tr>
      <w:tr w:rsidR="006B79F7" w14:paraId="5D8A0357" w14:textId="77777777">
        <w:tc>
          <w:tcPr>
            <w:tcW w:w="4624" w:type="pct"/>
          </w:tcPr>
          <w:p w14:paraId="430FA084" w14:textId="77777777" w:rsidR="006B79F7" w:rsidRDefault="0017149C">
            <w:pPr>
              <w:widowControl w:val="0"/>
              <w:spacing w:after="0" w:line="240" w:lineRule="auto"/>
              <w:jc w:val="both"/>
              <w:rPr>
                <w:rFonts w:ascii="Times New Roman" w:hAnsi="Times New Roman" w:cs="Times New Roman"/>
                <w:bCs/>
                <w:sz w:val="28"/>
                <w:szCs w:val="28"/>
              </w:rPr>
            </w:pPr>
            <w:r>
              <w:rPr>
                <w:rFonts w:ascii="Times New Roman" w:hAnsi="Times New Roman" w:cs="Times New Roman"/>
                <w:bCs/>
                <w:sz w:val="28"/>
                <w:szCs w:val="28"/>
              </w:rPr>
              <w:t>Висновок до розділу 3 .……………………………………………………..</w:t>
            </w:r>
          </w:p>
        </w:tc>
        <w:tc>
          <w:tcPr>
            <w:tcW w:w="375" w:type="pct"/>
            <w:vAlign w:val="bottom"/>
          </w:tcPr>
          <w:p w14:paraId="498DBC9F"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87</w:t>
            </w:r>
          </w:p>
        </w:tc>
      </w:tr>
      <w:tr w:rsidR="006B79F7" w14:paraId="4F536965" w14:textId="77777777">
        <w:tc>
          <w:tcPr>
            <w:tcW w:w="4624" w:type="pct"/>
          </w:tcPr>
          <w:p w14:paraId="12AF09CF" w14:textId="77777777" w:rsidR="006B79F7" w:rsidRDefault="006B79F7">
            <w:pPr>
              <w:widowControl w:val="0"/>
              <w:spacing w:after="0" w:line="240" w:lineRule="auto"/>
              <w:jc w:val="both"/>
              <w:rPr>
                <w:rFonts w:ascii="Times New Roman" w:hAnsi="Times New Roman" w:cs="Times New Roman"/>
                <w:b/>
                <w:bCs/>
                <w:sz w:val="28"/>
                <w:szCs w:val="28"/>
              </w:rPr>
            </w:pPr>
          </w:p>
          <w:p w14:paraId="6017FE93"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ВИСНОВКИ ..………………………………………………………………</w:t>
            </w:r>
          </w:p>
        </w:tc>
        <w:tc>
          <w:tcPr>
            <w:tcW w:w="375" w:type="pct"/>
            <w:vAlign w:val="bottom"/>
          </w:tcPr>
          <w:p w14:paraId="138E25F8" w14:textId="77777777" w:rsidR="006B79F7" w:rsidRPr="00316180" w:rsidRDefault="0017149C" w:rsidP="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9</w:t>
            </w:r>
            <w:r w:rsidR="00316180" w:rsidRPr="00316180">
              <w:rPr>
                <w:rFonts w:ascii="Times New Roman" w:hAnsi="Times New Roman" w:cs="Times New Roman"/>
                <w:bCs/>
                <w:sz w:val="28"/>
                <w:szCs w:val="28"/>
              </w:rPr>
              <w:t>0</w:t>
            </w:r>
          </w:p>
        </w:tc>
      </w:tr>
      <w:tr w:rsidR="006B79F7" w14:paraId="78215FFE" w14:textId="77777777">
        <w:tc>
          <w:tcPr>
            <w:tcW w:w="4624" w:type="pct"/>
          </w:tcPr>
          <w:p w14:paraId="4DFF1A69" w14:textId="77777777" w:rsidR="006B79F7" w:rsidRDefault="006B79F7">
            <w:pPr>
              <w:widowControl w:val="0"/>
              <w:spacing w:after="0" w:line="240" w:lineRule="auto"/>
              <w:jc w:val="both"/>
              <w:rPr>
                <w:rFonts w:ascii="Times New Roman" w:hAnsi="Times New Roman" w:cs="Times New Roman"/>
                <w:b/>
                <w:sz w:val="28"/>
                <w:szCs w:val="28"/>
              </w:rPr>
            </w:pPr>
          </w:p>
          <w:p w14:paraId="4EA51C5D"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sz w:val="28"/>
                <w:szCs w:val="28"/>
              </w:rPr>
              <w:t>СПИСОК ЛІТЕРАТУРИ</w:t>
            </w:r>
            <w:r>
              <w:rPr>
                <w:rFonts w:ascii="Times New Roman" w:hAnsi="Times New Roman" w:cs="Times New Roman"/>
                <w:b/>
                <w:bCs/>
                <w:sz w:val="28"/>
                <w:szCs w:val="28"/>
              </w:rPr>
              <w:t xml:space="preserve"> …………………………………………………</w:t>
            </w:r>
          </w:p>
        </w:tc>
        <w:tc>
          <w:tcPr>
            <w:tcW w:w="375" w:type="pct"/>
            <w:vAlign w:val="bottom"/>
          </w:tcPr>
          <w:p w14:paraId="2F3DFD0B"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9</w:t>
            </w:r>
            <w:r w:rsidR="0017149C" w:rsidRPr="00316180">
              <w:rPr>
                <w:rFonts w:ascii="Times New Roman" w:hAnsi="Times New Roman" w:cs="Times New Roman"/>
                <w:bCs/>
                <w:sz w:val="28"/>
                <w:szCs w:val="28"/>
              </w:rPr>
              <w:t>7</w:t>
            </w:r>
          </w:p>
        </w:tc>
      </w:tr>
      <w:tr w:rsidR="006B79F7" w14:paraId="2C65B9DE" w14:textId="77777777">
        <w:tc>
          <w:tcPr>
            <w:tcW w:w="4624" w:type="pct"/>
          </w:tcPr>
          <w:p w14:paraId="336C7AAD" w14:textId="77777777" w:rsidR="006B79F7" w:rsidRDefault="006B79F7">
            <w:pPr>
              <w:widowControl w:val="0"/>
              <w:spacing w:after="0" w:line="240" w:lineRule="auto"/>
              <w:jc w:val="both"/>
              <w:rPr>
                <w:rFonts w:ascii="Times New Roman" w:hAnsi="Times New Roman" w:cs="Times New Roman"/>
                <w:b/>
                <w:bCs/>
                <w:sz w:val="28"/>
                <w:szCs w:val="28"/>
              </w:rPr>
            </w:pPr>
          </w:p>
          <w:p w14:paraId="63AB0BCC" w14:textId="77777777" w:rsidR="006B79F7" w:rsidRDefault="0017149C">
            <w:pPr>
              <w:widowControl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t>ДОДАТКИ ..…………………………………………………………………</w:t>
            </w:r>
          </w:p>
        </w:tc>
        <w:tc>
          <w:tcPr>
            <w:tcW w:w="375" w:type="pct"/>
            <w:vAlign w:val="bottom"/>
          </w:tcPr>
          <w:p w14:paraId="33F07FDB" w14:textId="77777777" w:rsidR="006B79F7" w:rsidRPr="00316180" w:rsidRDefault="00316180">
            <w:pPr>
              <w:widowControl w:val="0"/>
              <w:spacing w:after="0" w:line="240" w:lineRule="auto"/>
              <w:jc w:val="center"/>
              <w:rPr>
                <w:rFonts w:ascii="Times New Roman" w:hAnsi="Times New Roman" w:cs="Times New Roman"/>
                <w:bCs/>
                <w:sz w:val="28"/>
                <w:szCs w:val="28"/>
              </w:rPr>
            </w:pPr>
            <w:r w:rsidRPr="00316180">
              <w:rPr>
                <w:rFonts w:ascii="Times New Roman" w:hAnsi="Times New Roman" w:cs="Times New Roman"/>
                <w:bCs/>
                <w:sz w:val="28"/>
                <w:szCs w:val="28"/>
              </w:rPr>
              <w:t>104</w:t>
            </w:r>
          </w:p>
        </w:tc>
      </w:tr>
    </w:tbl>
    <w:p w14:paraId="55985429" w14:textId="77777777" w:rsidR="006B79F7" w:rsidRDefault="0017149C">
      <w:pPr>
        <w:widowControl w:val="0"/>
        <w:rPr>
          <w:rFonts w:ascii="Times New Roman" w:hAnsi="Times New Roman" w:cs="Times New Roman"/>
          <w:sz w:val="28"/>
          <w:szCs w:val="28"/>
        </w:rPr>
      </w:pPr>
      <w:r>
        <w:rPr>
          <w:rFonts w:ascii="Times New Roman" w:hAnsi="Times New Roman" w:cs="Times New Roman"/>
          <w:sz w:val="28"/>
          <w:szCs w:val="28"/>
        </w:rPr>
        <w:br w:type="page"/>
      </w:r>
    </w:p>
    <w:p w14:paraId="4FE192EB"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14:paraId="1BCE1C09" w14:textId="77777777" w:rsidR="006B79F7" w:rsidRDefault="006B79F7">
      <w:pPr>
        <w:widowControl w:val="0"/>
        <w:spacing w:after="0" w:line="360" w:lineRule="auto"/>
        <w:ind w:firstLine="709"/>
        <w:jc w:val="center"/>
        <w:rPr>
          <w:rFonts w:ascii="Times New Roman" w:hAnsi="Times New Roman" w:cs="Times New Roman"/>
          <w:sz w:val="28"/>
          <w:szCs w:val="28"/>
        </w:rPr>
      </w:pPr>
    </w:p>
    <w:p w14:paraId="4D1656DE"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Актуальність теми.</w:t>
      </w:r>
      <w:r>
        <w:rPr>
          <w:rFonts w:ascii="Times New Roman" w:hAnsi="Times New Roman" w:cs="Times New Roman"/>
          <w:sz w:val="28"/>
          <w:szCs w:val="28"/>
        </w:rPr>
        <w:t xml:space="preserve"> </w:t>
      </w:r>
    </w:p>
    <w:p w14:paraId="6D0F5511"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Сучасні трансформації у системі охорони здоров’я України зумовлюють підвищення ролі ефективного управління закладами медичної сфери, особливо тими, що поєднують державні та підприємницькі функції. Умови ринкової конкуренції, запровадження медичної реформи, розширення програм НСЗУ та зростання вимог пацієнтів до якості медичних послуг вимагають від державних медичних установ активного впровадження інноваційних управлінських підходів, диверсифікації джерел фінансування та підвищення рівня економічної автономії. Підприємницька діяльність стає одним із ключових інструментів забезпечення фінансової стійкості, технологічного оновлення та розвитку медичних послуг, особливо в умовах обмеженості бюджетних ресурсів.</w:t>
      </w:r>
    </w:p>
    <w:p w14:paraId="003F65E4"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Особливої актуальності набуває проблема удосконалення управління підприємництвом у закладах охорони здоров’я, що функціонують як університетські клініки. Такі заклади виконують не лише лікувальну, а й освітню та наукову функції, що висуває підвищені вимоги до стратегічного планування, ефективного використання ресурсів, організації внутрішніх процесів та розвитку партнерських відносин. Водночас університетські клініки мають значний нереалізований потенціал у сфері підприємництва — від розвитку платних послуг до участі в інноваційних проєктах, грантових програмах та державно-приватному партнерстві.</w:t>
      </w:r>
    </w:p>
    <w:p w14:paraId="1B3480EC"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Центр реконструктивної та відновної медицини (Університетська клініка) ОНМедУ є показовим прикладом закладу, який поєднує державний статус із необхідністю працювати в умовах ринкової конкуренції. Наявність широкого спектра медичних напрямів, значна кількість структурних підрозділів, розгалужена система надання стаціонарної, амбулаторної, реабілітаційної та стоматологічної допомоги створюють високий потенціал для формування сучасної ефективної моделі підприємництва. Водночас </w:t>
      </w:r>
      <w:r>
        <w:rPr>
          <w:rFonts w:ascii="Times New Roman" w:eastAsia="Times New Roman" w:hAnsi="Times New Roman" w:cs="Times New Roman"/>
          <w:sz w:val="28"/>
          <w:szCs w:val="28"/>
          <w:lang w:eastAsia="ru-RU"/>
        </w:rPr>
        <w:lastRenderedPageBreak/>
        <w:t>аналіз діяльності Центру засвідчує наявність низки організаційних, фінансових та управлінських проблем: недостатня цифровізація, обмеженість інвестицій, зношеність обладнання, слабкий маркетинг, неконкурентні умови надання деяких послуг, фрагментарне стратегічне планування. Це актуалізує потребу у впровадженні нових управлінських підходів та побудові сучасної моделі розвитку.</w:t>
      </w:r>
    </w:p>
    <w:p w14:paraId="48428DD7"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У цих умовах особливо важливим є дослідження можливостей підвищення ефективності управління підприємницькою діяльністю Центру із застосуванням сучасних стратегічних інструментів, включаючи цифрову трансформацію, оптимізацію внутрішніх процесів, розвиток кадрового потенціалу, впровадження інноваційних медичних технологій, а також використання механізмів державно-приватного партнерства. ДПП, як один із найбільш прогресивних інструментів модернізації державних закладів, відкриває можливість залучення додаткових інвестицій, впровадження сучасного обладнання, підвищення якості послуг і розширення спектра діяльності Центру без збільшення навантаження на державний бюджет.</w:t>
      </w:r>
    </w:p>
    <w:p w14:paraId="3C484A7F"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Таким чином, актуальність теми дослідження зумовлена необхідністю формування ефективної моделі управління підприємництвом у державному закладі охорони здоров’я, що функціонує у конкурентному середовищі, має значний потенціал інноваційного розвитку та потребує стратегічної модернізації. Удосконалення управління підприємницькою діяльністю Центру реконструктивної та відновної медицини ОНМедУ є важливою умовою забезпечення його фінансової стійкості, підвищення якості медичних послуг, посилення конкурентоспроможності та підготовки до роботи в умовах сучасних викликів системи охорони здоров’я України.</w:t>
      </w:r>
    </w:p>
    <w:p w14:paraId="3C5EB85D" w14:textId="77777777" w:rsidR="006B79F7" w:rsidRDefault="0017149C">
      <w:pPr>
        <w:widowControl w:val="0"/>
        <w:spacing w:after="0" w:line="360" w:lineRule="auto"/>
        <w:ind w:firstLine="708"/>
        <w:jc w:val="both"/>
        <w:rPr>
          <w:rFonts w:ascii="Times New Roman" w:hAnsi="Times New Roman" w:cs="Times New Roman"/>
          <w:iCs/>
          <w:sz w:val="28"/>
          <w:szCs w:val="28"/>
        </w:rPr>
      </w:pPr>
      <w:r>
        <w:rPr>
          <w:rFonts w:ascii="Times New Roman" w:hAnsi="Times New Roman" w:cs="Times New Roman"/>
          <w:i/>
          <w:iCs/>
          <w:sz w:val="28"/>
          <w:szCs w:val="28"/>
        </w:rPr>
        <w:t>Мета і завдання дослідження</w:t>
      </w:r>
      <w:r>
        <w:rPr>
          <w:rFonts w:ascii="Times New Roman" w:hAnsi="Times New Roman" w:cs="Times New Roman"/>
          <w:iCs/>
          <w:sz w:val="28"/>
          <w:szCs w:val="28"/>
        </w:rPr>
        <w:t xml:space="preserve">. </w:t>
      </w:r>
    </w:p>
    <w:p w14:paraId="18D3938A" w14:textId="77777777" w:rsidR="006B79F7" w:rsidRDefault="0017149C">
      <w:pPr>
        <w:widowControl w:val="0"/>
        <w:spacing w:after="0" w:line="360" w:lineRule="auto"/>
        <w:ind w:firstLine="708"/>
        <w:jc w:val="both"/>
        <w:rPr>
          <w:rFonts w:ascii="Times New Roman" w:hAnsi="Times New Roman" w:cs="Times New Roman"/>
          <w:sz w:val="28"/>
          <w:szCs w:val="28"/>
          <w:highlight w:val="yellow"/>
        </w:rPr>
      </w:pPr>
      <w:r>
        <w:rPr>
          <w:rFonts w:ascii="Times New Roman" w:hAnsi="Times New Roman" w:cs="Times New Roman"/>
          <w:i/>
          <w:sz w:val="28"/>
          <w:szCs w:val="28"/>
        </w:rPr>
        <w:t xml:space="preserve">Метою дослідження </w:t>
      </w:r>
      <w:r>
        <w:rPr>
          <w:rFonts w:ascii="Times New Roman" w:hAnsi="Times New Roman" w:cs="Times New Roman"/>
          <w:sz w:val="28"/>
          <w:szCs w:val="28"/>
        </w:rPr>
        <w:t xml:space="preserve">є </w:t>
      </w:r>
      <w:r>
        <w:rPr>
          <w:rStyle w:val="a5"/>
          <w:rFonts w:ascii="Times New Roman" w:hAnsi="Times New Roman" w:cs="Times New Roman"/>
          <w:b w:val="0"/>
          <w:sz w:val="28"/>
          <w:szCs w:val="28"/>
        </w:rPr>
        <w:t>обґрунтування та розроблення моделі удосконалення управління приватною підприємницькою діяльністю в галузі охорони здоров’я</w:t>
      </w:r>
      <w:r>
        <w:rPr>
          <w:rFonts w:ascii="Times New Roman" w:hAnsi="Times New Roman" w:cs="Times New Roman"/>
          <w:sz w:val="28"/>
          <w:szCs w:val="28"/>
        </w:rPr>
        <w:t xml:space="preserve">, спрямованої на підвищення ефективності функціонування медичних закладів, оптимізацію внутрішніх управлінських процесів, </w:t>
      </w:r>
      <w:r>
        <w:rPr>
          <w:rFonts w:ascii="Times New Roman" w:hAnsi="Times New Roman" w:cs="Times New Roman"/>
          <w:sz w:val="28"/>
          <w:szCs w:val="28"/>
        </w:rPr>
        <w:lastRenderedPageBreak/>
        <w:t>розширення підприємницьких напрямів та зміцнення фінансової стійкості з урахуванням сучасних викликів системи охорони здоров’я України.</w:t>
      </w:r>
    </w:p>
    <w:p w14:paraId="07CFE11D" w14:textId="77777777" w:rsidR="006B79F7" w:rsidRDefault="0017149C">
      <w:pPr>
        <w:widowControl w:val="0"/>
        <w:spacing w:after="0" w:line="360" w:lineRule="auto"/>
        <w:ind w:firstLine="708"/>
        <w:jc w:val="both"/>
        <w:rPr>
          <w:rFonts w:ascii="Times New Roman" w:hAnsi="Times New Roman" w:cs="Times New Roman"/>
          <w:iCs/>
          <w:sz w:val="28"/>
          <w:szCs w:val="28"/>
        </w:rPr>
      </w:pPr>
      <w:r>
        <w:rPr>
          <w:rFonts w:ascii="Times New Roman" w:hAnsi="Times New Roman" w:cs="Times New Roman"/>
          <w:iCs/>
          <w:sz w:val="28"/>
          <w:szCs w:val="28"/>
        </w:rPr>
        <w:t xml:space="preserve">Для досягнення поставленої мети визначено такі </w:t>
      </w:r>
      <w:r>
        <w:rPr>
          <w:rFonts w:ascii="Times New Roman" w:hAnsi="Times New Roman" w:cs="Times New Roman"/>
          <w:i/>
          <w:sz w:val="28"/>
          <w:szCs w:val="28"/>
        </w:rPr>
        <w:t>завдання дослідження:</w:t>
      </w:r>
    </w:p>
    <w:p w14:paraId="4CFBD00E"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проаналізувати теоретичні засади підприємницької діяльності у сфері охорони здоров’я</w:t>
      </w:r>
      <w:r>
        <w:rPr>
          <w:rFonts w:ascii="Times New Roman" w:eastAsia="Times New Roman" w:hAnsi="Times New Roman" w:cs="Times New Roman"/>
          <w:sz w:val="28"/>
          <w:szCs w:val="28"/>
          <w:lang w:eastAsia="ru-RU"/>
        </w:rPr>
        <w:t>, визначити її сутність, особливості функціонування та роль у модернізації державних медичних закладів;</w:t>
      </w:r>
    </w:p>
    <w:p w14:paraId="73697D9A"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дослідити нормативно-правове забезпечення підприємництва у медичній сфері</w:t>
      </w:r>
      <w:r>
        <w:rPr>
          <w:rFonts w:ascii="Times New Roman" w:eastAsia="Times New Roman" w:hAnsi="Times New Roman" w:cs="Times New Roman"/>
          <w:sz w:val="28"/>
          <w:szCs w:val="28"/>
          <w:lang w:eastAsia="ru-RU"/>
        </w:rPr>
        <w:t>, зокрема діяльність університетських клінік та можливості використання механізмів державно-приватного партнерства;</w:t>
      </w:r>
    </w:p>
    <w:p w14:paraId="310478F4"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оцінити сучасний стан та результати підприємницької діяльності Центру реконструктивної та відновної медицини (Університетської клініки) ОНМедУ</w:t>
      </w:r>
      <w:r>
        <w:rPr>
          <w:rFonts w:ascii="Times New Roman" w:eastAsia="Times New Roman" w:hAnsi="Times New Roman" w:cs="Times New Roman"/>
          <w:sz w:val="28"/>
          <w:szCs w:val="28"/>
          <w:lang w:eastAsia="ru-RU"/>
        </w:rPr>
        <w:t>, визначити ключові проблеми, обмеження та потенціал розвитку;</w:t>
      </w:r>
    </w:p>
    <w:p w14:paraId="13A0F3CC"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визначити пріоритетні напрями підвищення ефективності управління підприємницькою діяльністю Центру</w:t>
      </w:r>
      <w:r>
        <w:rPr>
          <w:rFonts w:ascii="Times New Roman" w:eastAsia="Times New Roman" w:hAnsi="Times New Roman" w:cs="Times New Roman"/>
          <w:sz w:val="28"/>
          <w:szCs w:val="28"/>
          <w:lang w:eastAsia="ru-RU"/>
        </w:rPr>
        <w:t>, враховуючи організаційні, економічні, кадрові, технологічні та маркетингові аспекти;</w:t>
      </w:r>
    </w:p>
    <w:p w14:paraId="20B593B5"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сформувати комплексну модель удосконалення управління Центром</w:t>
      </w:r>
      <w:r>
        <w:rPr>
          <w:rFonts w:ascii="Times New Roman" w:eastAsia="Times New Roman" w:hAnsi="Times New Roman" w:cs="Times New Roman"/>
          <w:sz w:val="28"/>
          <w:szCs w:val="28"/>
          <w:lang w:eastAsia="ru-RU"/>
        </w:rPr>
        <w:t>, що охоплює оптимізацію організаційної структури, розвиток внутрішніх процесів, цифровізацію, покращення якості медичних послуг, підвищення пацієнтоорієнтованості та зміцнення кадрового потенціалу;</w:t>
      </w:r>
    </w:p>
    <w:p w14:paraId="70F03BE0"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обґрунтувати можливості застосування державно-приватного партнерства в діяльності Центру</w:t>
      </w:r>
      <w:r>
        <w:rPr>
          <w:rFonts w:ascii="Times New Roman" w:eastAsia="Times New Roman" w:hAnsi="Times New Roman" w:cs="Times New Roman"/>
          <w:sz w:val="28"/>
          <w:szCs w:val="28"/>
          <w:lang w:eastAsia="ru-RU"/>
        </w:rPr>
        <w:t xml:space="preserve"> та визначити ефективні моделі ДПП, їх ризики, переваги та очікувані результати;</w:t>
      </w:r>
    </w:p>
    <w:p w14:paraId="4B35F843" w14:textId="77777777" w:rsidR="006B79F7" w:rsidRDefault="0017149C">
      <w:pPr>
        <w:pStyle w:val="ae"/>
        <w:widowControl w:val="0"/>
        <w:numPr>
          <w:ilvl w:val="0"/>
          <w:numId w:val="4"/>
        </w:numPr>
        <w:spacing w:after="0" w:line="360" w:lineRule="auto"/>
        <w:jc w:val="both"/>
        <w:rPr>
          <w:rFonts w:ascii="Times New Roman" w:hAnsi="Times New Roman" w:cs="Times New Roman"/>
          <w:iCs/>
          <w:sz w:val="28"/>
          <w:szCs w:val="28"/>
        </w:rPr>
      </w:pPr>
      <w:r>
        <w:rPr>
          <w:rFonts w:ascii="Times New Roman" w:eastAsia="Times New Roman" w:hAnsi="Times New Roman" w:cs="Times New Roman"/>
          <w:bCs/>
          <w:sz w:val="28"/>
          <w:szCs w:val="28"/>
          <w:lang w:eastAsia="ru-RU"/>
        </w:rPr>
        <w:t>розробити практичні рекомендації щодо впровадження запропонованої моделі управління</w:t>
      </w:r>
      <w:r>
        <w:rPr>
          <w:rFonts w:ascii="Times New Roman" w:eastAsia="Times New Roman" w:hAnsi="Times New Roman" w:cs="Times New Roman"/>
          <w:sz w:val="28"/>
          <w:szCs w:val="28"/>
          <w:lang w:eastAsia="ru-RU"/>
        </w:rPr>
        <w:t>, спрямовані на підвищення конкурентоспроможності, інноваційності та фінансової стабільності Центру.</w:t>
      </w:r>
    </w:p>
    <w:p w14:paraId="7081EDCA" w14:textId="77777777" w:rsidR="006B79F7" w:rsidRDefault="0017149C">
      <w:pPr>
        <w:widowControl w:val="0"/>
        <w:spacing w:after="0" w:line="360" w:lineRule="auto"/>
        <w:ind w:firstLine="708"/>
        <w:jc w:val="both"/>
        <w:rPr>
          <w:rFonts w:ascii="Times New Roman" w:hAnsi="Times New Roman" w:cs="Times New Roman"/>
          <w:i/>
          <w:iCs/>
          <w:sz w:val="28"/>
          <w:szCs w:val="28"/>
        </w:rPr>
      </w:pPr>
      <w:r>
        <w:rPr>
          <w:rFonts w:ascii="Times New Roman" w:hAnsi="Times New Roman" w:cs="Times New Roman"/>
          <w:i/>
          <w:iCs/>
          <w:sz w:val="28"/>
          <w:szCs w:val="28"/>
        </w:rPr>
        <w:t>Об’єкт дослідження</w:t>
      </w:r>
      <w:r>
        <w:rPr>
          <w:rFonts w:ascii="Times New Roman" w:hAnsi="Times New Roman" w:cs="Times New Roman"/>
          <w:sz w:val="28"/>
          <w:szCs w:val="28"/>
        </w:rPr>
        <w:t xml:space="preserve"> – управління приватною підприємницькою діяльністю у галузі охорони здоров’я в умовах сучасних трансформацій медичної системи України.</w:t>
      </w:r>
    </w:p>
    <w:p w14:paraId="438C5B37" w14:textId="77777777" w:rsidR="006B79F7" w:rsidRDefault="0017149C">
      <w:pPr>
        <w:widowControl w:val="0"/>
        <w:spacing w:after="0" w:line="360" w:lineRule="auto"/>
        <w:ind w:firstLine="708"/>
        <w:jc w:val="both"/>
        <w:rPr>
          <w:rFonts w:ascii="Times New Roman" w:hAnsi="Times New Roman" w:cs="Times New Roman"/>
          <w:i/>
          <w:sz w:val="28"/>
          <w:szCs w:val="28"/>
        </w:rPr>
      </w:pPr>
      <w:r>
        <w:rPr>
          <w:rFonts w:ascii="Times New Roman" w:hAnsi="Times New Roman" w:cs="Times New Roman"/>
          <w:i/>
          <w:iCs/>
          <w:sz w:val="28"/>
          <w:szCs w:val="28"/>
        </w:rPr>
        <w:lastRenderedPageBreak/>
        <w:t xml:space="preserve">Предмет дослідження – </w:t>
      </w:r>
      <w:r>
        <w:rPr>
          <w:rFonts w:ascii="Times New Roman" w:hAnsi="Times New Roman" w:cs="Times New Roman"/>
          <w:sz w:val="28"/>
          <w:szCs w:val="28"/>
        </w:rPr>
        <w:t>організаційно-економічні, управлінські та інституційні механізми удосконалення управління приватною підприємницькою діяльністю у галузі охорони здоров’я на прикладі Центру реконструктивної та відновної медицини (Університетської клініки) ОНМедУ.</w:t>
      </w:r>
    </w:p>
    <w:p w14:paraId="7A941821" w14:textId="77777777" w:rsidR="006B79F7" w:rsidRDefault="0017149C">
      <w:pPr>
        <w:widowControl w:val="0"/>
        <w:spacing w:after="0" w:line="360" w:lineRule="auto"/>
        <w:ind w:firstLine="708"/>
        <w:jc w:val="both"/>
        <w:rPr>
          <w:rFonts w:ascii="Times New Roman" w:hAnsi="Times New Roman" w:cs="Times New Roman"/>
          <w:i/>
          <w:sz w:val="28"/>
          <w:szCs w:val="28"/>
        </w:rPr>
      </w:pPr>
      <w:r>
        <w:rPr>
          <w:rFonts w:ascii="Times New Roman" w:hAnsi="Times New Roman" w:cs="Times New Roman"/>
          <w:i/>
          <w:sz w:val="28"/>
          <w:szCs w:val="28"/>
        </w:rPr>
        <w:t xml:space="preserve">Методи дослідження. </w:t>
      </w:r>
    </w:p>
    <w:p w14:paraId="1E6EB150"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роботі використано комплекс взаємодоповнюючих методів наукового пізнання:</w:t>
      </w:r>
    </w:p>
    <w:p w14:paraId="1794FF57" w14:textId="77777777" w:rsidR="006B79F7" w:rsidRDefault="0017149C">
      <w:pPr>
        <w:widowControl w:val="0"/>
        <w:spacing w:after="0" w:line="360" w:lineRule="auto"/>
        <w:ind w:firstLine="708"/>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 Загальнонаукові методи: </w:t>
      </w:r>
      <w:r>
        <w:rPr>
          <w:rStyle w:val="a5"/>
          <w:rFonts w:ascii="Times New Roman" w:hAnsi="Times New Roman" w:cs="Times New Roman"/>
          <w:b w:val="0"/>
          <w:sz w:val="28"/>
          <w:szCs w:val="28"/>
        </w:rPr>
        <w:t>аналіз і синтез</w:t>
      </w:r>
      <w:r>
        <w:rPr>
          <w:rFonts w:ascii="Times New Roman" w:hAnsi="Times New Roman" w:cs="Times New Roman"/>
          <w:sz w:val="28"/>
          <w:szCs w:val="28"/>
        </w:rPr>
        <w:t xml:space="preserve"> — для виявлення сутності підприємницької діяльності медичних закладів та визначення напрямів удосконалення управління; </w:t>
      </w:r>
      <w:r>
        <w:rPr>
          <w:rStyle w:val="a5"/>
          <w:rFonts w:ascii="Times New Roman" w:hAnsi="Times New Roman" w:cs="Times New Roman"/>
          <w:b w:val="0"/>
          <w:sz w:val="28"/>
          <w:szCs w:val="28"/>
        </w:rPr>
        <w:t>індукція та дедукція</w:t>
      </w:r>
      <w:r>
        <w:rPr>
          <w:rFonts w:ascii="Times New Roman" w:hAnsi="Times New Roman" w:cs="Times New Roman"/>
          <w:sz w:val="28"/>
          <w:szCs w:val="28"/>
        </w:rPr>
        <w:t xml:space="preserve"> — для формування логічних висновків щодо розвитку Центру; </w:t>
      </w:r>
      <w:r>
        <w:rPr>
          <w:rStyle w:val="a5"/>
          <w:rFonts w:ascii="Times New Roman" w:hAnsi="Times New Roman" w:cs="Times New Roman"/>
          <w:b w:val="0"/>
          <w:sz w:val="28"/>
          <w:szCs w:val="28"/>
        </w:rPr>
        <w:t>узагальнення</w:t>
      </w:r>
      <w:r>
        <w:rPr>
          <w:rFonts w:ascii="Times New Roman" w:hAnsi="Times New Roman" w:cs="Times New Roman"/>
          <w:sz w:val="28"/>
          <w:szCs w:val="28"/>
        </w:rPr>
        <w:t xml:space="preserve"> — для формування концептуальної моделі удосконалення управління.</w:t>
      </w:r>
    </w:p>
    <w:p w14:paraId="4A1465B3" w14:textId="77777777" w:rsidR="006B79F7" w:rsidRDefault="0017149C">
      <w:pPr>
        <w:widowControl w:val="0"/>
        <w:spacing w:after="0" w:line="360" w:lineRule="auto"/>
        <w:ind w:firstLine="708"/>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 Економічні та управлінські методи: </w:t>
      </w:r>
      <w:r>
        <w:rPr>
          <w:rStyle w:val="a5"/>
          <w:rFonts w:ascii="Times New Roman" w:hAnsi="Times New Roman" w:cs="Times New Roman"/>
          <w:b w:val="0"/>
          <w:sz w:val="28"/>
          <w:szCs w:val="28"/>
        </w:rPr>
        <w:t>економічний аналіз</w:t>
      </w:r>
      <w:r>
        <w:rPr>
          <w:rFonts w:ascii="Times New Roman" w:hAnsi="Times New Roman" w:cs="Times New Roman"/>
          <w:sz w:val="28"/>
          <w:szCs w:val="28"/>
        </w:rPr>
        <w:t xml:space="preserve"> — оцінювання фінансових показників та підприємницької діяльності Центру; </w:t>
      </w:r>
      <w:r>
        <w:rPr>
          <w:rStyle w:val="a5"/>
          <w:rFonts w:ascii="Times New Roman" w:hAnsi="Times New Roman" w:cs="Times New Roman"/>
          <w:b w:val="0"/>
          <w:sz w:val="28"/>
          <w:szCs w:val="28"/>
        </w:rPr>
        <w:t>SWOT-аналіз</w:t>
      </w:r>
      <w:r>
        <w:rPr>
          <w:rFonts w:ascii="Times New Roman" w:hAnsi="Times New Roman" w:cs="Times New Roman"/>
          <w:sz w:val="28"/>
          <w:szCs w:val="28"/>
        </w:rPr>
        <w:t xml:space="preserve"> — визначення сильних і слабких сторін, можливостей і загроз розвитку; </w:t>
      </w:r>
      <w:r>
        <w:rPr>
          <w:rStyle w:val="a5"/>
          <w:rFonts w:ascii="Times New Roman" w:hAnsi="Times New Roman" w:cs="Times New Roman"/>
          <w:b w:val="0"/>
          <w:sz w:val="28"/>
          <w:szCs w:val="28"/>
        </w:rPr>
        <w:t>стратегічний аналіз</w:t>
      </w:r>
      <w:r>
        <w:rPr>
          <w:rFonts w:ascii="Times New Roman" w:hAnsi="Times New Roman" w:cs="Times New Roman"/>
          <w:sz w:val="28"/>
          <w:szCs w:val="28"/>
        </w:rPr>
        <w:t xml:space="preserve"> — формування оптимальних напрямів модернізації управління.</w:t>
      </w:r>
    </w:p>
    <w:p w14:paraId="0B8E6D9B" w14:textId="77777777" w:rsidR="006B79F7" w:rsidRDefault="0017149C">
      <w:pPr>
        <w:widowControl w:val="0"/>
        <w:spacing w:after="0" w:line="360" w:lineRule="auto"/>
        <w:ind w:firstLine="708"/>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 Соціологічні та організаційні методи: </w:t>
      </w:r>
      <w:r>
        <w:rPr>
          <w:rStyle w:val="a5"/>
          <w:rFonts w:ascii="Times New Roman" w:hAnsi="Times New Roman" w:cs="Times New Roman"/>
          <w:b w:val="0"/>
          <w:sz w:val="28"/>
          <w:szCs w:val="28"/>
        </w:rPr>
        <w:t>структурно-функціональний метод</w:t>
      </w:r>
      <w:r>
        <w:rPr>
          <w:rFonts w:ascii="Times New Roman" w:hAnsi="Times New Roman" w:cs="Times New Roman"/>
          <w:sz w:val="28"/>
          <w:szCs w:val="28"/>
        </w:rPr>
        <w:t xml:space="preserve"> — дослідження організаційної структури та процесів управління Центром; </w:t>
      </w:r>
      <w:r>
        <w:rPr>
          <w:rStyle w:val="a5"/>
          <w:rFonts w:ascii="Times New Roman" w:hAnsi="Times New Roman" w:cs="Times New Roman"/>
          <w:b w:val="0"/>
          <w:sz w:val="28"/>
          <w:szCs w:val="28"/>
        </w:rPr>
        <w:t>порівняльний аналіз</w:t>
      </w:r>
      <w:r>
        <w:rPr>
          <w:rFonts w:ascii="Times New Roman" w:hAnsi="Times New Roman" w:cs="Times New Roman"/>
          <w:sz w:val="28"/>
          <w:szCs w:val="28"/>
        </w:rPr>
        <w:t xml:space="preserve"> — зіставлення моделей управління та підприємництва державних і приватних медичних закладів.</w:t>
      </w:r>
    </w:p>
    <w:p w14:paraId="720F8429" w14:textId="77777777" w:rsidR="006B79F7" w:rsidRDefault="0017149C">
      <w:pPr>
        <w:widowControl w:val="0"/>
        <w:spacing w:after="0" w:line="360" w:lineRule="auto"/>
        <w:ind w:firstLine="708"/>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 Методи проєктування та моделювання: </w:t>
      </w:r>
      <w:r>
        <w:rPr>
          <w:rStyle w:val="a5"/>
          <w:rFonts w:ascii="Times New Roman" w:hAnsi="Times New Roman" w:cs="Times New Roman"/>
          <w:b w:val="0"/>
          <w:sz w:val="28"/>
          <w:szCs w:val="28"/>
        </w:rPr>
        <w:t>метод експертних оцінок</w:t>
      </w:r>
      <w:r>
        <w:rPr>
          <w:rFonts w:ascii="Times New Roman" w:hAnsi="Times New Roman" w:cs="Times New Roman"/>
          <w:sz w:val="28"/>
          <w:szCs w:val="28"/>
        </w:rPr>
        <w:t xml:space="preserve"> — визначення перспективних напрямів розвитку та оцінювання потенціалу ДПП; </w:t>
      </w:r>
      <w:r>
        <w:rPr>
          <w:rStyle w:val="a5"/>
          <w:rFonts w:ascii="Times New Roman" w:hAnsi="Times New Roman" w:cs="Times New Roman"/>
          <w:b w:val="0"/>
          <w:sz w:val="28"/>
          <w:szCs w:val="28"/>
        </w:rPr>
        <w:t>моделювання</w:t>
      </w:r>
      <w:r>
        <w:rPr>
          <w:rFonts w:ascii="Times New Roman" w:hAnsi="Times New Roman" w:cs="Times New Roman"/>
          <w:sz w:val="28"/>
          <w:szCs w:val="28"/>
        </w:rPr>
        <w:t xml:space="preserve"> — побудова моделі удосконалення управління підприємницькою діяльністю Центру; </w:t>
      </w:r>
      <w:r>
        <w:rPr>
          <w:rStyle w:val="a5"/>
          <w:rFonts w:ascii="Times New Roman" w:hAnsi="Times New Roman" w:cs="Times New Roman"/>
          <w:b w:val="0"/>
          <w:sz w:val="28"/>
          <w:szCs w:val="28"/>
        </w:rPr>
        <w:t>метод сценарного прогнозування</w:t>
      </w:r>
      <w:r>
        <w:rPr>
          <w:rFonts w:ascii="Times New Roman" w:hAnsi="Times New Roman" w:cs="Times New Roman"/>
          <w:sz w:val="28"/>
          <w:szCs w:val="28"/>
        </w:rPr>
        <w:t xml:space="preserve"> — визначення можливих ефектів і ризиків застосування механізмів ДПП.</w:t>
      </w:r>
    </w:p>
    <w:p w14:paraId="584E0337" w14:textId="77777777" w:rsidR="006B79F7" w:rsidRDefault="0017149C">
      <w:pPr>
        <w:widowControl w:val="0"/>
        <w:spacing w:after="0" w:line="360" w:lineRule="auto"/>
        <w:ind w:firstLine="708"/>
        <w:jc w:val="both"/>
        <w:rPr>
          <w:rFonts w:ascii="Times New Roman" w:hAnsi="Times New Roman" w:cs="Times New Roman"/>
          <w:i/>
          <w:sz w:val="28"/>
          <w:szCs w:val="28"/>
        </w:rPr>
      </w:pPr>
      <w:r>
        <w:rPr>
          <w:rStyle w:val="a5"/>
          <w:rFonts w:ascii="Times New Roman" w:hAnsi="Times New Roman" w:cs="Times New Roman"/>
          <w:b w:val="0"/>
          <w:bCs w:val="0"/>
          <w:sz w:val="28"/>
          <w:szCs w:val="28"/>
        </w:rPr>
        <w:t xml:space="preserve">- Графічні методи: </w:t>
      </w:r>
      <w:r>
        <w:rPr>
          <w:rFonts w:ascii="Times New Roman" w:hAnsi="Times New Roman" w:cs="Times New Roman"/>
          <w:sz w:val="28"/>
          <w:szCs w:val="28"/>
        </w:rPr>
        <w:t xml:space="preserve">побудова </w:t>
      </w:r>
      <w:r>
        <w:rPr>
          <w:rStyle w:val="a5"/>
          <w:rFonts w:ascii="Times New Roman" w:hAnsi="Times New Roman" w:cs="Times New Roman"/>
          <w:b w:val="0"/>
          <w:sz w:val="28"/>
          <w:szCs w:val="28"/>
        </w:rPr>
        <w:t>схем, таблиць, візуальних моделей</w:t>
      </w:r>
      <w:r>
        <w:rPr>
          <w:rFonts w:ascii="Times New Roman" w:hAnsi="Times New Roman" w:cs="Times New Roman"/>
          <w:sz w:val="28"/>
          <w:szCs w:val="28"/>
        </w:rPr>
        <w:t>, які відображають структуру, взаємозв’язки та механізми удосконалення управління.</w:t>
      </w:r>
    </w:p>
    <w:p w14:paraId="43DE4B98" w14:textId="77777777" w:rsidR="006B79F7" w:rsidRDefault="0017149C">
      <w:pPr>
        <w:widowControl w:val="0"/>
        <w:spacing w:after="0" w:line="360" w:lineRule="auto"/>
        <w:ind w:firstLine="709"/>
        <w:jc w:val="both"/>
        <w:rPr>
          <w:rFonts w:ascii="Times New Roman" w:hAnsi="Times New Roman" w:cs="Times New Roman"/>
          <w:i/>
          <w:iCs/>
          <w:sz w:val="28"/>
          <w:szCs w:val="28"/>
        </w:rPr>
      </w:pPr>
      <w:r>
        <w:rPr>
          <w:rFonts w:ascii="Times New Roman" w:hAnsi="Times New Roman" w:cs="Times New Roman"/>
          <w:i/>
          <w:iCs/>
          <w:sz w:val="28"/>
          <w:szCs w:val="28"/>
        </w:rPr>
        <w:lastRenderedPageBreak/>
        <w:t xml:space="preserve">Інформаційна база. </w:t>
      </w:r>
    </w:p>
    <w:p w14:paraId="4206CE4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Інформаційну базу дослідження склали: </w:t>
      </w:r>
      <w:r>
        <w:rPr>
          <w:rStyle w:val="a5"/>
          <w:rFonts w:ascii="Times New Roman" w:hAnsi="Times New Roman" w:cs="Times New Roman"/>
          <w:b w:val="0"/>
          <w:sz w:val="28"/>
          <w:szCs w:val="28"/>
        </w:rPr>
        <w:t>нормативно-правові акти України</w:t>
      </w:r>
      <w:r>
        <w:rPr>
          <w:rFonts w:ascii="Times New Roman" w:hAnsi="Times New Roman" w:cs="Times New Roman"/>
          <w:sz w:val="28"/>
          <w:szCs w:val="28"/>
        </w:rPr>
        <w:t xml:space="preserve"> у сфері охорони здоров’я, підприємництва, фінансування медичних послуг, діяльності університетських клінік, а також закони та підзаконні акти щодо державно-приватного партнерства; </w:t>
      </w:r>
      <w:r>
        <w:rPr>
          <w:rStyle w:val="a5"/>
          <w:rFonts w:ascii="Times New Roman" w:hAnsi="Times New Roman" w:cs="Times New Roman"/>
          <w:b w:val="0"/>
          <w:sz w:val="28"/>
          <w:szCs w:val="28"/>
        </w:rPr>
        <w:t>офіційні дані Міністерства охорони здоров’я України, Національної служби здоров’я, Міністерства економіки</w:t>
      </w:r>
      <w:r>
        <w:rPr>
          <w:rFonts w:ascii="Times New Roman" w:hAnsi="Times New Roman" w:cs="Times New Roman"/>
          <w:sz w:val="28"/>
          <w:szCs w:val="28"/>
        </w:rPr>
        <w:t xml:space="preserve">, статистичні збірники та профільні аналітичні матеріали; </w:t>
      </w:r>
      <w:r>
        <w:rPr>
          <w:rStyle w:val="a5"/>
          <w:rFonts w:ascii="Times New Roman" w:hAnsi="Times New Roman" w:cs="Times New Roman"/>
          <w:b w:val="0"/>
          <w:sz w:val="28"/>
          <w:szCs w:val="28"/>
        </w:rPr>
        <w:t>внутрішня документація Центру реконструктивної та відновної медицини ОНМедУ</w:t>
      </w:r>
      <w:r>
        <w:rPr>
          <w:rFonts w:ascii="Times New Roman" w:hAnsi="Times New Roman" w:cs="Times New Roman"/>
          <w:sz w:val="28"/>
          <w:szCs w:val="28"/>
        </w:rPr>
        <w:t xml:space="preserve">, зокрема: положення про структурні підрозділи, фінансові та статистичні звіти, інформація про надання медичних послуг, кадрове забезпечення, матеріально-технічну базу, результати підприємницької діяльності; </w:t>
      </w:r>
      <w:r>
        <w:rPr>
          <w:rStyle w:val="a5"/>
          <w:rFonts w:ascii="Times New Roman" w:hAnsi="Times New Roman" w:cs="Times New Roman"/>
          <w:b w:val="0"/>
          <w:sz w:val="28"/>
          <w:szCs w:val="28"/>
        </w:rPr>
        <w:t>офіційні сайти та відкриті джерела інформації</w:t>
      </w:r>
      <w:r>
        <w:rPr>
          <w:rFonts w:ascii="Times New Roman" w:hAnsi="Times New Roman" w:cs="Times New Roman"/>
          <w:sz w:val="28"/>
          <w:szCs w:val="28"/>
        </w:rPr>
        <w:t xml:space="preserve">, що містять дані про діяльність університетських клінік в Україні та за кордоном; </w:t>
      </w:r>
      <w:r>
        <w:rPr>
          <w:rStyle w:val="a5"/>
          <w:rFonts w:ascii="Times New Roman" w:hAnsi="Times New Roman" w:cs="Times New Roman"/>
          <w:b w:val="0"/>
          <w:sz w:val="28"/>
          <w:szCs w:val="28"/>
        </w:rPr>
        <w:t>наукові публікації, статті, монографії, матеріали конференцій</w:t>
      </w:r>
      <w:r>
        <w:rPr>
          <w:rFonts w:ascii="Times New Roman" w:hAnsi="Times New Roman" w:cs="Times New Roman"/>
          <w:sz w:val="28"/>
          <w:szCs w:val="28"/>
        </w:rPr>
        <w:t xml:space="preserve">, присвячені проблемам управління медичними закладами, підприємництва у сфері охорони здоров’я, стратегічного менеджменту, інноваційної медицини та державно-приватного партнерства; </w:t>
      </w:r>
      <w:r>
        <w:rPr>
          <w:rStyle w:val="a5"/>
          <w:rFonts w:ascii="Times New Roman" w:hAnsi="Times New Roman" w:cs="Times New Roman"/>
          <w:b w:val="0"/>
          <w:sz w:val="28"/>
          <w:szCs w:val="28"/>
        </w:rPr>
        <w:t>аналітичні звіти міжнародних організацій</w:t>
      </w:r>
      <w:r>
        <w:rPr>
          <w:rFonts w:ascii="Times New Roman" w:hAnsi="Times New Roman" w:cs="Times New Roman"/>
          <w:sz w:val="28"/>
          <w:szCs w:val="28"/>
        </w:rPr>
        <w:t xml:space="preserve"> (WHO, World Bank, USAID, OECD), що висвітлюють тенденції розвитку медичних систем та моделі партнерств у сфері охорони здоров’я.</w:t>
      </w:r>
    </w:p>
    <w:p w14:paraId="1A252FC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Теоретичне та практичне значення отриманих результатів</w:t>
      </w:r>
      <w:r>
        <w:rPr>
          <w:rFonts w:ascii="Times New Roman" w:hAnsi="Times New Roman" w:cs="Times New Roman"/>
          <w:sz w:val="28"/>
          <w:szCs w:val="28"/>
        </w:rPr>
        <w:t xml:space="preserve">. </w:t>
      </w:r>
    </w:p>
    <w:p w14:paraId="1FA6839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Теоретичне значення дослідження полягає у поглибленні та систематизації наукових уявлень про особливості управління підприємницькою діяльністю закладів охорони здоров’я в умовах сучасних трансформацій медичної системи України. У роботі: уточнено зміст поняття </w:t>
      </w:r>
      <w:r>
        <w:rPr>
          <w:rStyle w:val="a3"/>
          <w:rFonts w:ascii="Times New Roman" w:hAnsi="Times New Roman" w:cs="Times New Roman"/>
          <w:i w:val="0"/>
          <w:sz w:val="28"/>
          <w:szCs w:val="28"/>
        </w:rPr>
        <w:t>«підприємницька діяльність закладу охорони здоров’я»</w:t>
      </w:r>
      <w:r>
        <w:rPr>
          <w:rFonts w:ascii="Times New Roman" w:hAnsi="Times New Roman" w:cs="Times New Roman"/>
          <w:i/>
          <w:sz w:val="28"/>
          <w:szCs w:val="28"/>
        </w:rPr>
        <w:t xml:space="preserve"> </w:t>
      </w:r>
      <w:r>
        <w:rPr>
          <w:rFonts w:ascii="Times New Roman" w:hAnsi="Times New Roman" w:cs="Times New Roman"/>
          <w:sz w:val="28"/>
          <w:szCs w:val="28"/>
        </w:rPr>
        <w:t xml:space="preserve">у контексті університетських клінік, що поєднують державні, освітньо-наукові та комерційні функції; обґрунтовано специфіку управління підприємництвом у державних медичних установах, яка включає необхідність одночасного дотримання соціальної місії та ринкових принципів функціонування; удосконалено підходи до стратегічного управління в медичній сфері, зокрема </w:t>
      </w:r>
      <w:r>
        <w:rPr>
          <w:rFonts w:ascii="Times New Roman" w:hAnsi="Times New Roman" w:cs="Times New Roman"/>
          <w:sz w:val="28"/>
          <w:szCs w:val="28"/>
        </w:rPr>
        <w:lastRenderedPageBreak/>
        <w:t>шляхом формування моделі розвитку, що інтегрує організаційні, економічні, інноваційні та цифрові компоненти; систематизовано теоретичні засади застосування механізмів державно-приватного партнерства у сфері охорони здоров’я та визначено можливість їх адаптації до діяльності університетських клінік; розроблено концептуальну модель удосконалення управління підприємницькою діяльністю державного медичного закладу, яка може бути використана як теоретична основа для подальших наукових досліджень, курсів з менеджменту в охороні здоров’я та управлінських рішень на рівні інших закладів.</w:t>
      </w:r>
    </w:p>
    <w:p w14:paraId="521213D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результати розширюють теоретичний інструментарій з питань стратегічного менеджменту, економіки охорони здоров’я, управління інноваціями та підприємництвом у медичних установах.</w:t>
      </w:r>
    </w:p>
    <w:p w14:paraId="1A8FE17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Практичне значення результатів дослідження визначається можливістю їх використання у діяльності Центру реконструктивної та відновної медицини (Університетської клініки) ОНМедУ, а також інших державних медичних закладів, що поєднують лікувальну, наукову й освітню функції. У роботі:</w:t>
      </w:r>
    </w:p>
    <w:p w14:paraId="1CCA7611"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проведено ґрунтовний аналіз сучасного стану підприємницької діяльності Центру, що дозволяє керівництву отримати об’єктивну картину проблем, ресурсних обмежень та потенційних резервів розвитку;</w:t>
      </w:r>
    </w:p>
    <w:p w14:paraId="1E20351B"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визначено конкретні пріоритетні напрями підвищення ефективності управління, що можуть бути безпосередньо впроваджені у практику роботи Центру (цифровізація, телемедицина, модернізація послуг, розвиток маркетингової політики, оптимізація організаційної структури, зміцнення кадрового потенціалу);</w:t>
      </w:r>
    </w:p>
    <w:p w14:paraId="54A218DC"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розроблено модель удосконалення управління підприємницькою діяльністю Центру, яка може бути використана як покроковий алгоритм для реформування його роботи та підвищення конкурентоспроможності;</w:t>
      </w:r>
    </w:p>
    <w:p w14:paraId="69A097C5"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запропоновано перелік можливих моделей державно-приватного партнерства, їх переваги, ризики та очікувані ефекти, що створює основу </w:t>
      </w:r>
      <w:r>
        <w:rPr>
          <w:rFonts w:ascii="Times New Roman" w:hAnsi="Times New Roman" w:cs="Times New Roman"/>
          <w:sz w:val="28"/>
          <w:szCs w:val="28"/>
        </w:rPr>
        <w:lastRenderedPageBreak/>
        <w:t>для залучення інвестицій та підвищення економічної автономії;</w:t>
      </w:r>
    </w:p>
    <w:p w14:paraId="50EB5754"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сформовано набір практичних рекомендацій щодо модернізації матеріально-технічної бази, удосконалення управлінських процесів та забезпечення стійкого розвитку в умовах обмежених бюджетних ресурсів;</w:t>
      </w:r>
    </w:p>
    <w:p w14:paraId="6F820788"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окреслено інструментарій для підвищення якості медичних послуг та посилення пацієнтоорієнтованості, що сприятиме росту довіри до Центру та збільшенню кількості пацієнтів;</w:t>
      </w:r>
    </w:p>
    <w:p w14:paraId="6A67DA53" w14:textId="77777777" w:rsidR="006B79F7" w:rsidRDefault="0017149C">
      <w:pPr>
        <w:pStyle w:val="ae"/>
        <w:widowControl w:val="0"/>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визначено механізми комерціалізації наукових розробок і розширення освітніх програм, що підсилює роль Центру як університетської клініки.</w:t>
      </w:r>
    </w:p>
    <w:p w14:paraId="2D2F8DFA"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результати дослідження мають значну прикладну цінність і можуть бути використані: в управлінській практиці Центру реконструктивної та відновної медицини ОНМедУ; в діяльності інших університетських клінік та медичних закладів державної форми власності; при розробці стратегій розвитку регіональних медичних установ; у навчальному процесі закладів вищої освіти.</w:t>
      </w:r>
    </w:p>
    <w:p w14:paraId="146671E9"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Апробація результатів роботи. </w:t>
      </w:r>
    </w:p>
    <w:p w14:paraId="392CB310" w14:textId="77777777" w:rsidR="006B79F7" w:rsidRDefault="0017149C">
      <w:pPr>
        <w:widowControl w:val="0"/>
        <w:spacing w:after="0" w:line="360" w:lineRule="auto"/>
        <w:ind w:firstLine="708"/>
        <w:jc w:val="both"/>
        <w:rPr>
          <w:rStyle w:val="normaltextrun"/>
          <w:rFonts w:ascii="Times New Roman" w:hAnsi="Times New Roman" w:cs="Times New Roman"/>
          <w:sz w:val="28"/>
          <w:szCs w:val="28"/>
        </w:rPr>
      </w:pPr>
      <w:r>
        <w:rPr>
          <w:rFonts w:ascii="Times New Roman" w:hAnsi="Times New Roman" w:cs="Times New Roman"/>
          <w:sz w:val="28"/>
          <w:szCs w:val="28"/>
        </w:rPr>
        <w:t xml:space="preserve">Рудінська О. В., Картакай М. А. Особливості управління проєктами приватного підприємництва в галузі охорони здоров’я. </w:t>
      </w:r>
      <w:r>
        <w:rPr>
          <w:rFonts w:ascii="Times New Roman" w:hAnsi="Times New Roman" w:cs="Times New Roman"/>
          <w:i/>
          <w:sz w:val="28"/>
          <w:szCs w:val="28"/>
        </w:rPr>
        <w:t>Сучасні напрями змін в управлінні охороною здоров’я: модернізація, якість, психологія та комунікація</w:t>
      </w:r>
      <w:r>
        <w:rPr>
          <w:rFonts w:ascii="Times New Roman" w:hAnsi="Times New Roman" w:cs="Times New Roman"/>
          <w:sz w:val="28"/>
          <w:szCs w:val="28"/>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Pr>
          <w:rStyle w:val="normaltextrun"/>
          <w:rFonts w:ascii="Times New Roman" w:hAnsi="Times New Roman" w:cs="Times New Roman"/>
          <w:sz w:val="28"/>
          <w:szCs w:val="28"/>
        </w:rPr>
        <w:t>С. 146 - 149.</w:t>
      </w:r>
    </w:p>
    <w:p w14:paraId="02DE483B"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i/>
          <w:sz w:val="28"/>
          <w:szCs w:val="28"/>
        </w:rPr>
        <w:t>Структура кваліфікаційної роботи.</w:t>
      </w:r>
      <w:r>
        <w:rPr>
          <w:rFonts w:ascii="Times New Roman" w:hAnsi="Times New Roman" w:cs="Times New Roman"/>
          <w:sz w:val="28"/>
          <w:szCs w:val="28"/>
        </w:rPr>
        <w:t xml:space="preserve"> </w:t>
      </w:r>
    </w:p>
    <w:p w14:paraId="2485A3A0"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14:paraId="35E300B4" w14:textId="77777777" w:rsidR="006B79F7" w:rsidRDefault="0017149C">
      <w:pPr>
        <w:widowControl w:val="0"/>
        <w:spacing w:after="0" w:line="360" w:lineRule="auto"/>
        <w:ind w:firstLine="708"/>
        <w:jc w:val="both"/>
        <w:rPr>
          <w:rFonts w:ascii="Times New Roman" w:hAnsi="Times New Roman" w:cs="Times New Roman"/>
          <w:sz w:val="28"/>
          <w:szCs w:val="28"/>
        </w:rPr>
      </w:pPr>
      <w:r w:rsidRPr="00E729BF">
        <w:rPr>
          <w:rFonts w:ascii="Times New Roman" w:hAnsi="Times New Roman" w:cs="Times New Roman"/>
          <w:sz w:val="28"/>
          <w:szCs w:val="28"/>
        </w:rPr>
        <w:t xml:space="preserve">Загальний обсяг роботи складає </w:t>
      </w:r>
      <w:r w:rsidR="009947C7" w:rsidRPr="00E729BF">
        <w:rPr>
          <w:rFonts w:ascii="Times New Roman" w:hAnsi="Times New Roman" w:cs="Times New Roman"/>
          <w:sz w:val="28"/>
          <w:szCs w:val="28"/>
        </w:rPr>
        <w:t xml:space="preserve">103 </w:t>
      </w:r>
      <w:r w:rsidRPr="00E729BF">
        <w:rPr>
          <w:rFonts w:ascii="Times New Roman" w:hAnsi="Times New Roman" w:cs="Times New Roman"/>
          <w:sz w:val="28"/>
          <w:szCs w:val="28"/>
        </w:rPr>
        <w:t>сторінк</w:t>
      </w:r>
      <w:r w:rsidR="009947C7" w:rsidRPr="00E729BF">
        <w:rPr>
          <w:rFonts w:ascii="Times New Roman" w:hAnsi="Times New Roman" w:cs="Times New Roman"/>
          <w:sz w:val="28"/>
          <w:szCs w:val="28"/>
        </w:rPr>
        <w:t>и</w:t>
      </w:r>
      <w:r w:rsidRPr="00E729BF">
        <w:rPr>
          <w:rFonts w:ascii="Times New Roman" w:hAnsi="Times New Roman" w:cs="Times New Roman"/>
          <w:sz w:val="28"/>
          <w:szCs w:val="28"/>
        </w:rPr>
        <w:t xml:space="preserve">, з яких </w:t>
      </w:r>
      <w:r w:rsidR="009947C7" w:rsidRPr="00E729BF">
        <w:rPr>
          <w:rFonts w:ascii="Times New Roman" w:hAnsi="Times New Roman" w:cs="Times New Roman"/>
          <w:sz w:val="28"/>
          <w:szCs w:val="28"/>
        </w:rPr>
        <w:t xml:space="preserve">96 </w:t>
      </w:r>
      <w:r w:rsidRPr="00E729BF">
        <w:rPr>
          <w:rFonts w:ascii="Times New Roman" w:hAnsi="Times New Roman" w:cs="Times New Roman"/>
          <w:sz w:val="28"/>
          <w:szCs w:val="28"/>
        </w:rPr>
        <w:t xml:space="preserve">сторінок основного тексту, список літератури містить </w:t>
      </w:r>
      <w:r w:rsidR="009947C7" w:rsidRPr="00E729BF">
        <w:rPr>
          <w:rFonts w:ascii="Times New Roman" w:hAnsi="Times New Roman" w:cs="Times New Roman"/>
          <w:sz w:val="28"/>
          <w:szCs w:val="28"/>
        </w:rPr>
        <w:t xml:space="preserve">68 </w:t>
      </w:r>
      <w:r w:rsidRPr="00E729BF">
        <w:rPr>
          <w:rFonts w:ascii="Times New Roman" w:hAnsi="Times New Roman" w:cs="Times New Roman"/>
          <w:sz w:val="28"/>
          <w:szCs w:val="28"/>
        </w:rPr>
        <w:t>найменувань. У роботі вміщено</w:t>
      </w:r>
      <w:r w:rsidR="00E729BF" w:rsidRPr="00E729BF">
        <w:rPr>
          <w:rFonts w:ascii="Times New Roman" w:hAnsi="Times New Roman" w:cs="Times New Roman"/>
          <w:sz w:val="28"/>
          <w:szCs w:val="28"/>
        </w:rPr>
        <w:t xml:space="preserve"> 6 </w:t>
      </w:r>
      <w:r w:rsidRPr="00E729BF">
        <w:rPr>
          <w:rFonts w:ascii="Times New Roman" w:hAnsi="Times New Roman" w:cs="Times New Roman"/>
          <w:sz w:val="28"/>
          <w:szCs w:val="28"/>
        </w:rPr>
        <w:t xml:space="preserve">таблиць, </w:t>
      </w:r>
      <w:r w:rsidR="00E729BF" w:rsidRPr="00E729BF">
        <w:rPr>
          <w:rFonts w:ascii="Times New Roman" w:hAnsi="Times New Roman" w:cs="Times New Roman"/>
          <w:sz w:val="28"/>
          <w:szCs w:val="28"/>
        </w:rPr>
        <w:t>5</w:t>
      </w:r>
      <w:r w:rsidRPr="00E729BF">
        <w:rPr>
          <w:rFonts w:ascii="Times New Roman" w:hAnsi="Times New Roman" w:cs="Times New Roman"/>
          <w:sz w:val="28"/>
          <w:szCs w:val="28"/>
        </w:rPr>
        <w:t xml:space="preserve"> рисунк</w:t>
      </w:r>
      <w:r w:rsidR="00E729BF" w:rsidRPr="00E729BF">
        <w:rPr>
          <w:rFonts w:ascii="Times New Roman" w:hAnsi="Times New Roman" w:cs="Times New Roman"/>
          <w:sz w:val="28"/>
          <w:szCs w:val="28"/>
        </w:rPr>
        <w:t>ів</w:t>
      </w:r>
      <w:r w:rsidRPr="00E729BF">
        <w:rPr>
          <w:rFonts w:ascii="Times New Roman" w:hAnsi="Times New Roman" w:cs="Times New Roman"/>
          <w:sz w:val="28"/>
          <w:szCs w:val="28"/>
        </w:rPr>
        <w:t xml:space="preserve"> та 3 додатки.</w:t>
      </w:r>
    </w:p>
    <w:p w14:paraId="609EC01F"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p w14:paraId="453D5115"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1. </w:t>
      </w:r>
    </w:p>
    <w:p w14:paraId="5C5C7B14"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ТЕОРЕТИЧНІ ЗАСАДИ УПРАВЛІННЯ ПРИВАТНИМ ПІДПРИЄМСТВОМ У ГАЛУЗІ ОХОРОНИ ЗДОРОВ’Я</w:t>
      </w:r>
    </w:p>
    <w:p w14:paraId="62EA900C" w14:textId="77777777" w:rsidR="006B79F7" w:rsidRDefault="006B79F7">
      <w:pPr>
        <w:pStyle w:val="ae"/>
        <w:widowControl w:val="0"/>
        <w:spacing w:after="0" w:line="360" w:lineRule="auto"/>
        <w:ind w:left="360"/>
        <w:rPr>
          <w:rFonts w:ascii="Times New Roman" w:hAnsi="Times New Roman" w:cs="Times New Roman"/>
          <w:sz w:val="28"/>
          <w:szCs w:val="28"/>
        </w:rPr>
      </w:pPr>
    </w:p>
    <w:p w14:paraId="5BA4F7C5" w14:textId="77777777" w:rsidR="006B79F7" w:rsidRDefault="0017149C">
      <w:pPr>
        <w:pStyle w:val="ae"/>
        <w:widowControl w:val="0"/>
        <w:spacing w:after="0" w:line="360" w:lineRule="auto"/>
        <w:ind w:left="709"/>
        <w:rPr>
          <w:rFonts w:ascii="Times New Roman" w:hAnsi="Times New Roman" w:cs="Times New Roman"/>
          <w:b/>
          <w:sz w:val="28"/>
          <w:szCs w:val="28"/>
        </w:rPr>
      </w:pPr>
      <w:r>
        <w:rPr>
          <w:rFonts w:ascii="Times New Roman" w:hAnsi="Times New Roman" w:cs="Times New Roman"/>
          <w:b/>
          <w:sz w:val="28"/>
          <w:szCs w:val="28"/>
        </w:rPr>
        <w:t>1.1. Характеристика приватного сектора охорони здоров’я України</w:t>
      </w:r>
    </w:p>
    <w:p w14:paraId="62C2317B" w14:textId="77777777" w:rsidR="006B79F7" w:rsidRDefault="0017149C">
      <w:pPr>
        <w:widowControl w:val="0"/>
        <w:spacing w:after="0" w:line="360" w:lineRule="auto"/>
        <w:ind w:firstLine="708"/>
        <w:jc w:val="both"/>
        <w:rPr>
          <w:rStyle w:val="a5"/>
          <w:rFonts w:ascii="Times New Roman" w:hAnsi="Times New Roman" w:cs="Times New Roman"/>
          <w:b w:val="0"/>
          <w:sz w:val="28"/>
          <w:szCs w:val="28"/>
        </w:rPr>
      </w:pPr>
      <w:r>
        <w:rPr>
          <w:rStyle w:val="a5"/>
          <w:rFonts w:ascii="Times New Roman" w:hAnsi="Times New Roman" w:cs="Times New Roman"/>
          <w:b w:val="0"/>
          <w:sz w:val="28"/>
          <w:szCs w:val="28"/>
        </w:rPr>
        <w:t>Приватний сектор охорони здоров’я в Україні за останні роки зазнав суттєвих трансформацій. Ці зміни зумовлені низкою факторів, зокрема реформуванням медичної системи, впливом пандемії COVID-19, зростанням попиту на якісні медичні послуги та повномастшабною війною, яка розпочалася в 2022 році. Із впровадженням Програми медичних гарантій та можливістю контрактування приватних закладів із Національною службою здоров’я України (далі - НСЗУ) приватні клініки стали не лише учасниками, а й партнерами державної моделі медичного обслуговування,</w:t>
      </w:r>
      <w:r>
        <w:rPr>
          <w:rFonts w:ascii="Times New Roman" w:hAnsi="Times New Roman" w:cs="Times New Roman"/>
          <w:b/>
          <w:sz w:val="28"/>
          <w:szCs w:val="28"/>
        </w:rPr>
        <w:t xml:space="preserve"> </w:t>
      </w:r>
      <w:r>
        <w:rPr>
          <w:rFonts w:ascii="Times New Roman" w:hAnsi="Times New Roman" w:cs="Times New Roman"/>
          <w:sz w:val="28"/>
          <w:szCs w:val="28"/>
        </w:rPr>
        <w:t>це дозволило частині населення отримувати безоплатні послуги в приватних клініках</w:t>
      </w:r>
      <w:r>
        <w:rPr>
          <w:rStyle w:val="a5"/>
          <w:rFonts w:ascii="Times New Roman" w:hAnsi="Times New Roman" w:cs="Times New Roman"/>
          <w:sz w:val="28"/>
          <w:szCs w:val="28"/>
        </w:rPr>
        <w:t>.</w:t>
      </w:r>
      <w:r>
        <w:rPr>
          <w:rStyle w:val="a5"/>
          <w:rFonts w:ascii="Times New Roman" w:hAnsi="Times New Roman" w:cs="Times New Roman"/>
          <w:b w:val="0"/>
          <w:sz w:val="28"/>
          <w:szCs w:val="28"/>
        </w:rPr>
        <w:t xml:space="preserve"> Аналіз статистики, сегментації та функціонального призначення приватних медичних підприємств дозволяє більш повно зрозуміти їхню роль у сучасному українському суспільстві</w:t>
      </w:r>
      <w:r w:rsidR="006852E2">
        <w:rPr>
          <w:rStyle w:val="a5"/>
          <w:rFonts w:ascii="Times New Roman" w:hAnsi="Times New Roman" w:cs="Times New Roman"/>
          <w:b w:val="0"/>
          <w:sz w:val="28"/>
          <w:szCs w:val="28"/>
        </w:rPr>
        <w:t xml:space="preserve"> </w:t>
      </w:r>
      <w:r w:rsidR="006852E2">
        <w:rPr>
          <w:rFonts w:ascii="Times New Roman" w:hAnsi="Times New Roman" w:cs="Times New Roman"/>
          <w:sz w:val="28"/>
          <w:szCs w:val="28"/>
        </w:rPr>
        <w:t>[4]</w:t>
      </w:r>
      <w:r>
        <w:rPr>
          <w:rStyle w:val="a5"/>
          <w:rFonts w:ascii="Times New Roman" w:hAnsi="Times New Roman" w:cs="Times New Roman"/>
          <w:b w:val="0"/>
          <w:sz w:val="28"/>
          <w:szCs w:val="28"/>
        </w:rPr>
        <w:t>.</w:t>
      </w:r>
    </w:p>
    <w:p w14:paraId="4EF1319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аналітичної компанії Pro-Consulting, протягом 2019–2022 років ринок приватної медицини в Україні показав стрімке зростання. Якщо у 2019 році обсяг цього ринку становив приблизно 40–45 млрд. грн., то в 2022 році він досяг майже 180 млрд. грн., що свідчить про зростання у чотири рази. Частка приватних медичних закладів у загальному обсязі медичних послуг у країні сягнула 43%, тобто майже половину всього медичного ринку. Це вказує на суттєве розширення ролі приватного сектору, особливо в умовах недостатнього фінансування державної медицини [3].</w:t>
      </w:r>
    </w:p>
    <w:p w14:paraId="160976D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Кількість приватних закладів зростала навіть під час пандемії та війни. За офіційними даними Міністерства охорони здоров’я України (далі - МОЗ України) та аналізу аналітичних компаній, на 2024 рік приватні клініки становили близько 60% від усіх зареєстрованих закладів охорони здоров’я. Найбільше їх розташовано у великих містах — Києві, Харкові, Дніпрі, Одесі </w:t>
      </w:r>
      <w:r>
        <w:rPr>
          <w:rFonts w:ascii="Times New Roman" w:hAnsi="Times New Roman" w:cs="Times New Roman"/>
          <w:sz w:val="28"/>
          <w:szCs w:val="28"/>
        </w:rPr>
        <w:lastRenderedPageBreak/>
        <w:t>та Львові, де рівень платоспроможності населення є вищим. Регіональний дисбаланс залишається відчутним: у сільській місцевості та малих містах приватні заклади або відсутні, або їх дуже мало, що зумовлено економічними та логістичними труднощами</w:t>
      </w:r>
      <w:r w:rsidR="006852E2">
        <w:rPr>
          <w:rFonts w:ascii="Times New Roman" w:hAnsi="Times New Roman" w:cs="Times New Roman"/>
          <w:sz w:val="28"/>
          <w:szCs w:val="28"/>
        </w:rPr>
        <w:t xml:space="preserve"> [32]</w:t>
      </w:r>
      <w:r>
        <w:rPr>
          <w:rFonts w:ascii="Times New Roman" w:hAnsi="Times New Roman" w:cs="Times New Roman"/>
          <w:sz w:val="28"/>
          <w:szCs w:val="28"/>
        </w:rPr>
        <w:t>.</w:t>
      </w:r>
    </w:p>
    <w:p w14:paraId="04217E16"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Структура приватного медичного сектору є доволі різноманітною. Вона включає як багатопрофільні клініки, що надають повний спектр медичних послуг — від первинної допомоги до високоспеціалізованої хірургії, — так і спеціалізовані центри, орієнтовані на певні напрями медицини. До найпоширеніших сегментів належать стоматологія, яка історично першою увійшла до приватного простору; репродуктивна медицина (клініки планування сім’ї, ЕКЗ); офтальмологічні клініки; педіатрія; діагностичні лабораторії; кардіологічні, онкологічні та реабілітаційні центри. </w:t>
      </w:r>
    </w:p>
    <w:p w14:paraId="13EED34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Сектор демонструє стале зростання: у 2020–2024 роках кількість закладів, підключених до eHealth, зросла з 40% до понад 60%, а кількість тих, хто уклав контракти з НСЗУ — з 12% до 36%. Це свідчить про зростаючу інтеграцію приватної медицини в національну систему охорони здоров’я (табл. 1.1)</w:t>
      </w:r>
      <w:r w:rsidR="006852E2">
        <w:rPr>
          <w:rFonts w:ascii="Times New Roman" w:hAnsi="Times New Roman" w:cs="Times New Roman"/>
          <w:sz w:val="28"/>
          <w:szCs w:val="28"/>
        </w:rPr>
        <w:t xml:space="preserve"> [2]</w:t>
      </w:r>
      <w:r>
        <w:rPr>
          <w:rFonts w:ascii="Times New Roman" w:hAnsi="Times New Roman" w:cs="Times New Roman"/>
          <w:sz w:val="28"/>
          <w:szCs w:val="28"/>
        </w:rPr>
        <w:t xml:space="preserve">. </w:t>
      </w:r>
    </w:p>
    <w:p w14:paraId="4C2B4678" w14:textId="77777777" w:rsidR="006B79F7" w:rsidRDefault="0017149C">
      <w:pPr>
        <w:widowControl w:val="0"/>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 xml:space="preserve">Таблиця 1.1 </w:t>
      </w:r>
    </w:p>
    <w:p w14:paraId="333B4BFA"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Динаміка розвитку приватного сектора охорони здоров’я України </w:t>
      </w:r>
    </w:p>
    <w:p w14:paraId="04DE7C42"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(2020–2024 рр.)</w:t>
      </w:r>
    </w:p>
    <w:tbl>
      <w:tblPr>
        <w:tblStyle w:val="ad"/>
        <w:tblW w:w="9404" w:type="dxa"/>
        <w:tblLook w:val="04A0" w:firstRow="1" w:lastRow="0" w:firstColumn="1" w:lastColumn="0" w:noHBand="0" w:noVBand="1"/>
      </w:tblPr>
      <w:tblGrid>
        <w:gridCol w:w="5524"/>
        <w:gridCol w:w="776"/>
        <w:gridCol w:w="776"/>
        <w:gridCol w:w="776"/>
        <w:gridCol w:w="776"/>
        <w:gridCol w:w="776"/>
      </w:tblGrid>
      <w:tr w:rsidR="006B79F7" w14:paraId="632B2A2F" w14:textId="77777777">
        <w:trPr>
          <w:trHeight w:val="293"/>
        </w:trPr>
        <w:tc>
          <w:tcPr>
            <w:tcW w:w="0" w:type="auto"/>
          </w:tcPr>
          <w:p w14:paraId="6651998F"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Показник</w:t>
            </w:r>
          </w:p>
        </w:tc>
        <w:tc>
          <w:tcPr>
            <w:tcW w:w="0" w:type="auto"/>
          </w:tcPr>
          <w:p w14:paraId="637CFBE2"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2020</w:t>
            </w:r>
          </w:p>
        </w:tc>
        <w:tc>
          <w:tcPr>
            <w:tcW w:w="0" w:type="auto"/>
          </w:tcPr>
          <w:p w14:paraId="4CD7ED62"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2021</w:t>
            </w:r>
          </w:p>
        </w:tc>
        <w:tc>
          <w:tcPr>
            <w:tcW w:w="0" w:type="auto"/>
          </w:tcPr>
          <w:p w14:paraId="12BAB21B"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2022</w:t>
            </w:r>
          </w:p>
        </w:tc>
        <w:tc>
          <w:tcPr>
            <w:tcW w:w="0" w:type="auto"/>
          </w:tcPr>
          <w:p w14:paraId="1F4F5FB2"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2023</w:t>
            </w:r>
          </w:p>
        </w:tc>
        <w:tc>
          <w:tcPr>
            <w:tcW w:w="0" w:type="auto"/>
          </w:tcPr>
          <w:p w14:paraId="4316F7BF" w14:textId="77777777" w:rsidR="006B79F7" w:rsidRDefault="0017149C">
            <w:pPr>
              <w:widowControl w:val="0"/>
              <w:spacing w:after="0" w:line="24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2024</w:t>
            </w:r>
          </w:p>
        </w:tc>
      </w:tr>
      <w:tr w:rsidR="006B79F7" w14:paraId="74FD78DF" w14:textId="77777777">
        <w:trPr>
          <w:trHeight w:val="305"/>
        </w:trPr>
        <w:tc>
          <w:tcPr>
            <w:tcW w:w="0" w:type="auto"/>
          </w:tcPr>
          <w:p w14:paraId="09FE3813" w14:textId="77777777" w:rsidR="006B79F7" w:rsidRDefault="0017149C">
            <w:pPr>
              <w:widowControl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Кількість приватних медичних закладів</w:t>
            </w:r>
          </w:p>
        </w:tc>
        <w:tc>
          <w:tcPr>
            <w:tcW w:w="0" w:type="auto"/>
          </w:tcPr>
          <w:p w14:paraId="78B9F310"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4800</w:t>
            </w:r>
          </w:p>
        </w:tc>
        <w:tc>
          <w:tcPr>
            <w:tcW w:w="0" w:type="auto"/>
          </w:tcPr>
          <w:p w14:paraId="10AE9591"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5100</w:t>
            </w:r>
          </w:p>
        </w:tc>
        <w:tc>
          <w:tcPr>
            <w:tcW w:w="0" w:type="auto"/>
          </w:tcPr>
          <w:p w14:paraId="14AC8CC2"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5400</w:t>
            </w:r>
          </w:p>
        </w:tc>
        <w:tc>
          <w:tcPr>
            <w:tcW w:w="0" w:type="auto"/>
          </w:tcPr>
          <w:p w14:paraId="3AA0A0FB"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5800</w:t>
            </w:r>
          </w:p>
        </w:tc>
        <w:tc>
          <w:tcPr>
            <w:tcW w:w="0" w:type="auto"/>
          </w:tcPr>
          <w:p w14:paraId="3F4C80FE"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6000</w:t>
            </w:r>
          </w:p>
        </w:tc>
      </w:tr>
      <w:tr w:rsidR="006B79F7" w14:paraId="53B5936F" w14:textId="77777777">
        <w:trPr>
          <w:trHeight w:val="305"/>
        </w:trPr>
        <w:tc>
          <w:tcPr>
            <w:tcW w:w="0" w:type="auto"/>
          </w:tcPr>
          <w:p w14:paraId="3B12F2BB" w14:textId="77777777" w:rsidR="006B79F7" w:rsidRDefault="0017149C">
            <w:pPr>
              <w:widowControl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Частка, що мають контракт з НСЗУ (%)</w:t>
            </w:r>
          </w:p>
        </w:tc>
        <w:tc>
          <w:tcPr>
            <w:tcW w:w="0" w:type="auto"/>
          </w:tcPr>
          <w:p w14:paraId="60F6C32D"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p>
        </w:tc>
        <w:tc>
          <w:tcPr>
            <w:tcW w:w="0" w:type="auto"/>
          </w:tcPr>
          <w:p w14:paraId="75AA8DFB"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w:t>
            </w:r>
          </w:p>
        </w:tc>
        <w:tc>
          <w:tcPr>
            <w:tcW w:w="0" w:type="auto"/>
          </w:tcPr>
          <w:p w14:paraId="2B15C0F5"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25</w:t>
            </w:r>
          </w:p>
        </w:tc>
        <w:tc>
          <w:tcPr>
            <w:tcW w:w="0" w:type="auto"/>
          </w:tcPr>
          <w:p w14:paraId="7C984AB2"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31</w:t>
            </w:r>
          </w:p>
        </w:tc>
        <w:tc>
          <w:tcPr>
            <w:tcW w:w="0" w:type="auto"/>
          </w:tcPr>
          <w:p w14:paraId="79768ABE"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36</w:t>
            </w:r>
          </w:p>
        </w:tc>
      </w:tr>
      <w:tr w:rsidR="006B79F7" w14:paraId="33B4FE0E" w14:textId="77777777">
        <w:trPr>
          <w:trHeight w:val="305"/>
        </w:trPr>
        <w:tc>
          <w:tcPr>
            <w:tcW w:w="0" w:type="auto"/>
          </w:tcPr>
          <w:p w14:paraId="77E5DF44" w14:textId="77777777" w:rsidR="006B79F7" w:rsidRDefault="0017149C">
            <w:pPr>
              <w:widowControl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Підключення до eHealth (%)</w:t>
            </w:r>
          </w:p>
        </w:tc>
        <w:tc>
          <w:tcPr>
            <w:tcW w:w="0" w:type="auto"/>
          </w:tcPr>
          <w:p w14:paraId="48B31AA8"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40</w:t>
            </w:r>
          </w:p>
        </w:tc>
        <w:tc>
          <w:tcPr>
            <w:tcW w:w="0" w:type="auto"/>
          </w:tcPr>
          <w:p w14:paraId="1A1268B0"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48</w:t>
            </w:r>
          </w:p>
        </w:tc>
        <w:tc>
          <w:tcPr>
            <w:tcW w:w="0" w:type="auto"/>
          </w:tcPr>
          <w:p w14:paraId="4F46F09E"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55</w:t>
            </w:r>
          </w:p>
        </w:tc>
        <w:tc>
          <w:tcPr>
            <w:tcW w:w="0" w:type="auto"/>
          </w:tcPr>
          <w:p w14:paraId="6F89BE94"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60</w:t>
            </w:r>
          </w:p>
        </w:tc>
        <w:tc>
          <w:tcPr>
            <w:tcW w:w="0" w:type="auto"/>
          </w:tcPr>
          <w:p w14:paraId="12612429"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64</w:t>
            </w:r>
          </w:p>
        </w:tc>
      </w:tr>
      <w:tr w:rsidR="006B79F7" w14:paraId="091EC45A" w14:textId="77777777">
        <w:trPr>
          <w:trHeight w:val="305"/>
        </w:trPr>
        <w:tc>
          <w:tcPr>
            <w:tcW w:w="0" w:type="auto"/>
          </w:tcPr>
          <w:p w14:paraId="41832BAA" w14:textId="77777777" w:rsidR="006B79F7" w:rsidRDefault="0017149C">
            <w:pPr>
              <w:widowControl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Заклади, що використовують CRM/МІС (%)</w:t>
            </w:r>
          </w:p>
        </w:tc>
        <w:tc>
          <w:tcPr>
            <w:tcW w:w="0" w:type="auto"/>
          </w:tcPr>
          <w:p w14:paraId="602EE4A9"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35</w:t>
            </w:r>
          </w:p>
        </w:tc>
        <w:tc>
          <w:tcPr>
            <w:tcW w:w="0" w:type="auto"/>
          </w:tcPr>
          <w:p w14:paraId="02070150"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42</w:t>
            </w:r>
          </w:p>
        </w:tc>
        <w:tc>
          <w:tcPr>
            <w:tcW w:w="0" w:type="auto"/>
          </w:tcPr>
          <w:p w14:paraId="61CA0C56"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50</w:t>
            </w:r>
          </w:p>
        </w:tc>
        <w:tc>
          <w:tcPr>
            <w:tcW w:w="0" w:type="auto"/>
          </w:tcPr>
          <w:p w14:paraId="1F483AE1"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65</w:t>
            </w:r>
          </w:p>
        </w:tc>
        <w:tc>
          <w:tcPr>
            <w:tcW w:w="0" w:type="auto"/>
          </w:tcPr>
          <w:p w14:paraId="310788FB"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70</w:t>
            </w:r>
          </w:p>
        </w:tc>
      </w:tr>
      <w:tr w:rsidR="006B79F7" w14:paraId="416C01D8" w14:textId="77777777">
        <w:trPr>
          <w:trHeight w:val="305"/>
        </w:trPr>
        <w:tc>
          <w:tcPr>
            <w:tcW w:w="0" w:type="auto"/>
          </w:tcPr>
          <w:p w14:paraId="7C5F68E3" w14:textId="77777777" w:rsidR="006B79F7" w:rsidRDefault="0017149C">
            <w:pPr>
              <w:widowControl w:val="0"/>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Заклади, що надають телемедичні послуги (%)</w:t>
            </w:r>
          </w:p>
        </w:tc>
        <w:tc>
          <w:tcPr>
            <w:tcW w:w="0" w:type="auto"/>
          </w:tcPr>
          <w:p w14:paraId="7347D582"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p>
        </w:tc>
        <w:tc>
          <w:tcPr>
            <w:tcW w:w="0" w:type="auto"/>
          </w:tcPr>
          <w:p w14:paraId="25D6BE9C"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w:t>
            </w:r>
          </w:p>
        </w:tc>
        <w:tc>
          <w:tcPr>
            <w:tcW w:w="0" w:type="auto"/>
          </w:tcPr>
          <w:p w14:paraId="3A5B2D2E"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w:t>
            </w:r>
          </w:p>
        </w:tc>
        <w:tc>
          <w:tcPr>
            <w:tcW w:w="0" w:type="auto"/>
          </w:tcPr>
          <w:p w14:paraId="56E114A0"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45</w:t>
            </w:r>
          </w:p>
        </w:tc>
        <w:tc>
          <w:tcPr>
            <w:tcW w:w="0" w:type="auto"/>
          </w:tcPr>
          <w:p w14:paraId="13E132F1" w14:textId="77777777" w:rsidR="006B79F7" w:rsidRDefault="0017149C">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58</w:t>
            </w:r>
          </w:p>
        </w:tc>
      </w:tr>
    </w:tbl>
    <w:p w14:paraId="678FA172" w14:textId="77777777" w:rsidR="006B79F7" w:rsidRDefault="006B79F7">
      <w:pPr>
        <w:widowControl w:val="0"/>
        <w:spacing w:after="0" w:line="360" w:lineRule="auto"/>
        <w:ind w:firstLine="709"/>
        <w:jc w:val="both"/>
        <w:rPr>
          <w:rFonts w:ascii="Times New Roman" w:hAnsi="Times New Roman" w:cs="Times New Roman"/>
          <w:sz w:val="28"/>
          <w:szCs w:val="28"/>
        </w:rPr>
      </w:pPr>
    </w:p>
    <w:p w14:paraId="0C3174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Приватні заклади першими впроваджують цифрові рішення: CRM-системи, мобільні застосунки, онлайн-запис, електронні рецепти, телемедичні консультації. У часи пандемії та війни вони стали основою для мобільного, дистанційного та гуманітарного медичного обслуговування. Ці </w:t>
      </w:r>
      <w:r>
        <w:rPr>
          <w:rFonts w:ascii="Times New Roman" w:hAnsi="Times New Roman" w:cs="Times New Roman"/>
          <w:sz w:val="28"/>
          <w:szCs w:val="28"/>
        </w:rPr>
        <w:lastRenderedPageBreak/>
        <w:t>новації частіше впроваджуються саме у приватному секторі, що свідчить про його інноваційність [2].</w:t>
      </w:r>
    </w:p>
    <w:p w14:paraId="604C1D3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Функціонально приватні медичні підприємства виконують кілька ключових ролей. </w:t>
      </w:r>
    </w:p>
    <w:p w14:paraId="63089EF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По-перше, вони забезпечують медичне обслуговування населення — іноді вищої якості та з кращим рівнем сервісу, ніж у державних закладах. Завдяки можливості гнучкого управління ресурсами та мотиваційною системою для персоналу, приватні клініки здатні швидко адаптуватися до потреб пацієнтів, впроваджувати нові методики діагностики й лікування, зменшувати черги, а також приділяти більше часу кожному відвідувачу.</w:t>
      </w:r>
    </w:p>
    <w:p w14:paraId="5CC846F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По-друге, приватна медицина є майданчиком для впровадження інновацій. Саме тут найшвидше з’являються нові технології, такі як цифрова діагностика, інтегровані медичні платформи, лабораторна автоматизація, генетичне тестування та штучний інтелект у медичному сортуванні даних. У більшості випадків ці інструменти або недоступні, або запроваджуються значно повільніше в державному секторі.</w:t>
      </w:r>
    </w:p>
    <w:p w14:paraId="0A5789F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По-третє, приватні підприємства в охороні здоров’я виконують економічну функцію. Вони створюють робочі місця для медичного персоналу, адміністративного складу, технічних працівників та фахівців у сфері ІТ та менеджменту. </w:t>
      </w:r>
    </w:p>
    <w:p w14:paraId="5B5565F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приватний сектор є одним з джерел податкових надходжень та інвестицій, включно з іноземними. Наприклад, до війни в Україну активно заходили великі інвестиційні медичні холдинги з Ізраїлю, Польщі та Туреччини, які розглядали відкриття медичних центрів або купівлю діючих приватних клінік. У 2024 році США через Міжнародну фінансову корпорацію розвитку (</w:t>
      </w:r>
      <w:r w:rsidR="006852E2">
        <w:rPr>
          <w:rFonts w:ascii="Times New Roman" w:hAnsi="Times New Roman" w:cs="Times New Roman"/>
          <w:sz w:val="28"/>
          <w:szCs w:val="28"/>
        </w:rPr>
        <w:t>І</w:t>
      </w:r>
      <w:r>
        <w:rPr>
          <w:rFonts w:ascii="Times New Roman" w:hAnsi="Times New Roman" w:cs="Times New Roman"/>
          <w:sz w:val="28"/>
          <w:szCs w:val="28"/>
        </w:rPr>
        <w:t>FC) та компанію Aon ініціювали програму страхування воєнних ризиків обсягом $ 350 млн., з яких $ 300 млн. призначено саме для проєктів у галузі охорони здоров’я та агросекторі</w:t>
      </w:r>
      <w:r w:rsidR="006852E2">
        <w:rPr>
          <w:rFonts w:ascii="Times New Roman" w:hAnsi="Times New Roman" w:cs="Times New Roman"/>
          <w:sz w:val="28"/>
          <w:szCs w:val="28"/>
        </w:rPr>
        <w:t xml:space="preserve"> [29]</w:t>
      </w:r>
      <w:r>
        <w:rPr>
          <w:rFonts w:ascii="Times New Roman" w:hAnsi="Times New Roman" w:cs="Times New Roman"/>
          <w:sz w:val="28"/>
          <w:szCs w:val="28"/>
        </w:rPr>
        <w:t>.</w:t>
      </w:r>
    </w:p>
    <w:p w14:paraId="76363B6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важливою є соціальна функція. Незважаючи на комерційну спрямованість, значна частина приватних клінік бере участь у благодійних </w:t>
      </w:r>
      <w:r>
        <w:rPr>
          <w:rFonts w:ascii="Times New Roman" w:hAnsi="Times New Roman" w:cs="Times New Roman"/>
          <w:sz w:val="28"/>
          <w:szCs w:val="28"/>
        </w:rPr>
        <w:lastRenderedPageBreak/>
        <w:t>програмах, соціальних ініціативах, безкоштовному лікуванні або діагностиці для певних категорій населення. Це особливо актуально в умовах війни: частина приватних закладів надала безкоштовну допомогу внутрішньо переміщеним особам, військовим, ветеранам та їхнім родинам [2].</w:t>
      </w:r>
    </w:p>
    <w:p w14:paraId="1992BE5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враховувати і зовнішні чинники, які впливають на приватну медицину. Пандемія COVID-19 у 2020–2021 роках стала не лише викликом, а й стимулом до розвитку приватного сектору. Медичні заклади оперативно впровадили тестування, дистанційні консультації, нові формати прийому пацієнтів. З початком повномасштабної війни у 2022 році сектор зіштовхнувся з новими труднощами — падінням купівельної спроможності, евакуацією клієнтів за кордон, ризиками фізичного знищення інфраструктури. За даними Pro-Consulting, близько 6 млн. людей покинули Україну з початку вторгнення, більшість з них — жінки з дітьми, що негативно вплинуло на педіатричні, гінекологічні та сімейні напрями в приватній медицині</w:t>
      </w:r>
      <w:r w:rsidR="006852E2">
        <w:rPr>
          <w:rFonts w:ascii="Times New Roman" w:hAnsi="Times New Roman" w:cs="Times New Roman"/>
          <w:sz w:val="28"/>
          <w:szCs w:val="28"/>
        </w:rPr>
        <w:t xml:space="preserve"> [4]</w:t>
      </w:r>
      <w:r>
        <w:rPr>
          <w:rFonts w:ascii="Times New Roman" w:hAnsi="Times New Roman" w:cs="Times New Roman"/>
          <w:sz w:val="28"/>
          <w:szCs w:val="28"/>
        </w:rPr>
        <w:t>.</w:t>
      </w:r>
    </w:p>
    <w:p w14:paraId="2D9D895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Незважаючи на це, приватна медицина демонструє адаптивність та гнучкість. Багато клінік перевели частину послуг он-лайн, відкрили філії у відносно безпечних регіонах або за кордоном, диверсифікували бізнес-моделі. Перспективи розвитку галузі залишаються значними: впровадження обов’язкового медичного страхування, подальше залучення інвестицій, розвиток медичного туризму та державно-приватного партнерства можуть значно посилити роль приватного сектору у національній системі охорони здоров’я [2].</w:t>
      </w:r>
    </w:p>
    <w:p w14:paraId="0FAAB81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Приватні медичні підприємства відіграють дедалі важливішу роль у забезпеченні українців якісними, сучасними та доступними медичними послугами. Вони доповнюють державну систему, знижують навантаження на публічну медицину та стимулюють інновації. Умовою сталого розвитку галузі є збереження сприятливого інвестиційного клімату, підтримка з боку держави та активна інтеграція з іншими гравцями ринку охорони здоров’я. Трансформації, що нині відбуваються, мають шанс закласти підвалини для </w:t>
      </w:r>
      <w:r>
        <w:rPr>
          <w:rFonts w:ascii="Times New Roman" w:hAnsi="Times New Roman" w:cs="Times New Roman"/>
          <w:sz w:val="28"/>
          <w:szCs w:val="28"/>
        </w:rPr>
        <w:lastRenderedPageBreak/>
        <w:t>нової моделі медицини в Україні — гнучкої, людино-центричної та високотехнологічної.</w:t>
      </w:r>
    </w:p>
    <w:p w14:paraId="2365B40F" w14:textId="77777777" w:rsidR="006B79F7" w:rsidRDefault="006B79F7">
      <w:pPr>
        <w:widowControl w:val="0"/>
        <w:spacing w:after="0" w:line="360" w:lineRule="auto"/>
        <w:ind w:firstLine="709"/>
        <w:jc w:val="both"/>
        <w:rPr>
          <w:rFonts w:ascii="Times New Roman" w:hAnsi="Times New Roman" w:cs="Times New Roman"/>
          <w:sz w:val="28"/>
          <w:szCs w:val="28"/>
        </w:rPr>
      </w:pPr>
    </w:p>
    <w:p w14:paraId="0FB96B89"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1.2. Інноваційна та інвестиційна діяльність в приватній медицині </w:t>
      </w:r>
    </w:p>
    <w:p w14:paraId="575F103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Приватна медицина в Україні за останні роки набула стратегічного значення у загальній системі охорони здоров’я, особливо в умовах тривалого реформування, пандемії COVID-19 і війни. Її динамічний розвиток став можливим завдяки гнучкій моделі управління, здатності до адаптації та активному залученню інвестицій, як внутрішніх, так і міжнародних. Водночас важливою рушійною силою виступили інновації — цифрові технології, штучний інтелект, автоматизація, біомедичні розробки, нові моделі управління. Всі ці чинники формують нову архітектуру медичного обслуговування в Україні, де приватний сектор поступово перестає бути виключно сервісною ланкою та перетворюється на повноцінного партнера держави у сфері охорони здоров’я нації [3</w:t>
      </w:r>
      <w:r w:rsidR="006852E2">
        <w:rPr>
          <w:rFonts w:ascii="Times New Roman" w:hAnsi="Times New Roman" w:cs="Times New Roman"/>
          <w:sz w:val="28"/>
          <w:szCs w:val="28"/>
        </w:rPr>
        <w:t>; 4</w:t>
      </w:r>
      <w:r>
        <w:rPr>
          <w:rFonts w:ascii="Times New Roman" w:hAnsi="Times New Roman" w:cs="Times New Roman"/>
          <w:sz w:val="28"/>
          <w:szCs w:val="28"/>
        </w:rPr>
        <w:t>].</w:t>
      </w:r>
    </w:p>
    <w:p w14:paraId="74FD85E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Інвестиційна активність у сфері приватної медицини відображає як загальні тренди економіки, так і особливості попиту на медичні послуги. Так, за даними Pro-Consulting, обсяг приватного медичного ринку в Україні у 2022 році досяг близько 180 мільярдів гривень, що майже вчетверо перевищує показники 2019 року</w:t>
      </w:r>
      <w:r w:rsidR="006852E2">
        <w:rPr>
          <w:rFonts w:ascii="Times New Roman" w:hAnsi="Times New Roman" w:cs="Times New Roman"/>
          <w:sz w:val="28"/>
          <w:szCs w:val="28"/>
        </w:rPr>
        <w:t xml:space="preserve">  [3; 4]</w:t>
      </w:r>
      <w:r>
        <w:rPr>
          <w:rFonts w:ascii="Times New Roman" w:hAnsi="Times New Roman" w:cs="Times New Roman"/>
          <w:sz w:val="28"/>
          <w:szCs w:val="28"/>
        </w:rPr>
        <w:t>. Основними рушіями такого зростання стали підвищення попиту на якість, сервіс, безпеку, а також недовіра частини населення до державної системи в умовах перевантаження. Одним із найбільших гравців ринку залишається медична мережа «Добробут», яка у 2024 році інвестувала понад 400 мільйонів гривень у розвиток медичних потужностей, включаючи Центр психічного здоров’я, лабораторну інфраструктуру, а також заходи з енергоавтономності (встановлення генераторів, ІТ-систем, водозабезпечення)</w:t>
      </w:r>
      <w:r w:rsidR="006852E2">
        <w:rPr>
          <w:rFonts w:ascii="Times New Roman" w:hAnsi="Times New Roman" w:cs="Times New Roman"/>
          <w:sz w:val="28"/>
          <w:szCs w:val="28"/>
        </w:rPr>
        <w:t xml:space="preserve"> [28]</w:t>
      </w:r>
      <w:r>
        <w:rPr>
          <w:rFonts w:ascii="Times New Roman" w:hAnsi="Times New Roman" w:cs="Times New Roman"/>
          <w:sz w:val="28"/>
          <w:szCs w:val="28"/>
        </w:rPr>
        <w:t>. Цей приклад ілюструє нову якість інвестицій — не лише розширення площ чи закупівля обладнання, але й стратегічне забезпечення сталої роботи в умовах війни.</w:t>
      </w:r>
    </w:p>
    <w:p w14:paraId="3D063DF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Інвестиції в медичний бізнес відбуваються за кількома ключовими </w:t>
      </w:r>
      <w:r>
        <w:rPr>
          <w:rFonts w:ascii="Times New Roman" w:hAnsi="Times New Roman" w:cs="Times New Roman"/>
          <w:sz w:val="28"/>
          <w:szCs w:val="28"/>
        </w:rPr>
        <w:lastRenderedPageBreak/>
        <w:t>напрямами. По-перше, це традиційна форма — внутрішні інвестиції власників бізнесу та реінвестований прибуток. По-друге — зовнішні капіталовкладення, які надходять через міжнародні донорські програми, приватні фонди, соціально відповідальні бізнес-ініціативи з Європи та США. Так, унікальним прикладом є Superhumans Center у Львові — приватний центр протезування і реабілітації для військових, створений завдяки підтримці української діаспори, західних донорів, українського бізнесу і медичних експертів. Обсяг інвестицій у цей проєкт перевищив 50 мільйонів доларів</w:t>
      </w:r>
      <w:r w:rsidR="006852E2">
        <w:rPr>
          <w:rFonts w:ascii="Times New Roman" w:hAnsi="Times New Roman" w:cs="Times New Roman"/>
          <w:sz w:val="28"/>
          <w:szCs w:val="28"/>
        </w:rPr>
        <w:t xml:space="preserve"> [68]</w:t>
      </w:r>
      <w:r>
        <w:rPr>
          <w:rFonts w:ascii="Times New Roman" w:hAnsi="Times New Roman" w:cs="Times New Roman"/>
          <w:sz w:val="28"/>
          <w:szCs w:val="28"/>
        </w:rPr>
        <w:t>. Цей кейс демонструє не лише комерційний, а й соціальний потенціал приватної медицини.</w:t>
      </w:r>
    </w:p>
    <w:p w14:paraId="3384FBB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Особливої уваги заслуговує розвиток державно-приватного партнерства (далі - ДПП), який МОЗ України почало системно просувати з 2023 року</w:t>
      </w:r>
      <w:r w:rsidR="00D47454">
        <w:rPr>
          <w:rFonts w:ascii="Times New Roman" w:hAnsi="Times New Roman" w:cs="Times New Roman"/>
          <w:sz w:val="28"/>
          <w:szCs w:val="28"/>
        </w:rPr>
        <w:t xml:space="preserve"> [45; 46]</w:t>
      </w:r>
      <w:r>
        <w:rPr>
          <w:rFonts w:ascii="Times New Roman" w:hAnsi="Times New Roman" w:cs="Times New Roman"/>
          <w:sz w:val="28"/>
          <w:szCs w:val="28"/>
        </w:rPr>
        <w:t>. Були розроблені типові моделі ДПП, методичні рекомендації та визначено пілотні регіони. Такі моделі дозволяють спільно фінансувати будівництво, реконструкцію та оснащення медичних закладів, зберігаючи державне регулювання при зменшенні бюджетного навантаження. На практиці це означає створення нових поліклінік, діагностичних центрів чи реабілітаційних закладів з інвестором, який бере на себе частину витрат і управління, але водночас погоджується на прозорі умови та дотримання стандартів МОЗ України. Ця форма є надзвичайно перспективною для розвитку регіонів, де державне фінансування обмежене, а попит на медичні послуги високий.</w:t>
      </w:r>
    </w:p>
    <w:p w14:paraId="0FBA398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Структура витрат інвесторів у приватну медицину свідчить про зміну пріоритетів. Якщо ще 10 років тому основні кошти йшли на оренду, будівництво та ремонт, то нині до 40% інвестицій спрямовується на інноваційні технології — медичне обладнання, цифрові сервіси, IT-інфраструктуру. Це означає, що сучасна приватна клініка не лише обладнана томографами, рентгенами чи УЗД, а й має інтегровану електронну медичну систему, телемедичні платформи, онлайн-запис, хмарні сервіси зберігання даних, е-рецепти, аналітику даних та навіть використання штучного </w:t>
      </w:r>
      <w:r>
        <w:rPr>
          <w:rFonts w:ascii="Times New Roman" w:hAnsi="Times New Roman" w:cs="Times New Roman"/>
          <w:sz w:val="28"/>
          <w:szCs w:val="28"/>
        </w:rPr>
        <w:lastRenderedPageBreak/>
        <w:t>інтелекту. Така цифрова трансформація значно підвищує ефективність, персоналізацію лікування та доступність послуг. У 2023 році понад 600 тисяч консультацій в Україні вже проводилися онлайн — це свідчить про ефективність інновацій у розширенні доступу до медицини навіть у віддалених регіонах [3].</w:t>
      </w:r>
    </w:p>
    <w:p w14:paraId="763EE9C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Прикладом успішного використання штучного інтелекту (далі – ШІ) є стартап CheckEye з Одеси, який створив програму на базі ШI для діагностики захворювань очного дна</w:t>
      </w:r>
      <w:r w:rsidR="00D47454">
        <w:rPr>
          <w:rFonts w:ascii="Times New Roman" w:hAnsi="Times New Roman" w:cs="Times New Roman"/>
          <w:sz w:val="28"/>
          <w:szCs w:val="28"/>
        </w:rPr>
        <w:t xml:space="preserve"> [61]</w:t>
      </w:r>
      <w:r>
        <w:rPr>
          <w:rFonts w:ascii="Times New Roman" w:hAnsi="Times New Roman" w:cs="Times New Roman"/>
          <w:sz w:val="28"/>
          <w:szCs w:val="28"/>
        </w:rPr>
        <w:t>. Програма здатна ідентифікувати понад 50 патологій на ранніх стадіях, включно з діабетичною ретинопатією, гіпертонією та хворобою Альцгеймера. Подібні рішення дають змогу не лише розвантажити лікарів, а й створити нову модель скринінгу — швидку, масштабовану і дешеву. Інший стартап, Anima, впроваджує цифрові рішення у психіатрії, де пацієнт і лікар взаємодіють через спеціалізований застосунок, що допомагає моніторити динаміку стану, автоматично фіксує тривожні сигнали та пропонує адаптивні терапевтичні моделі</w:t>
      </w:r>
      <w:r w:rsidR="00D47454">
        <w:rPr>
          <w:rFonts w:ascii="Times New Roman" w:hAnsi="Times New Roman" w:cs="Times New Roman"/>
          <w:sz w:val="28"/>
          <w:szCs w:val="28"/>
        </w:rPr>
        <w:t xml:space="preserve"> [1]</w:t>
      </w:r>
      <w:r>
        <w:rPr>
          <w:rFonts w:ascii="Times New Roman" w:hAnsi="Times New Roman" w:cs="Times New Roman"/>
          <w:sz w:val="28"/>
          <w:szCs w:val="28"/>
        </w:rPr>
        <w:t>.</w:t>
      </w:r>
    </w:p>
    <w:p w14:paraId="669A83E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Інновації також активно впроваджуються в освітню та кадрову сферу. Приватні клініки створюють внутрішні школи підвищення кваліфікації, оплачують курси за кордоном для персоналу, організовують обміни з медичними закладами ЄС. Така інвестиція в людський капітал виправдана — на ринку праці медичних кадрів існує жорстка конкуренція, особливо в сегменті сімейної медицини, анестезіології, хірургії, психіатрії. Таким чином, інновації в приватній медицині — це не лише про ШІ та діджиталізацію, а й про нові моделі управління персоналом, корпоративної культури, пацієнто-центричності.</w:t>
      </w:r>
    </w:p>
    <w:p w14:paraId="50C3193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Значна частина приватних клінік України, попри комерційну природу, бере активну участь у гуманітарних ініціативах. Так, у період повномасштабної війни багато закладів надавали послуги безкоштовно внутрішньо переміщеним особам, дітям, ветеранам, а також приймали евакуйованих з прифронтових територій. Медична мережа «Добробут» у співпраці з фондом Razom Health у 2023 році реалізувала проєкти на понад 1 </w:t>
      </w:r>
      <w:r>
        <w:rPr>
          <w:rFonts w:ascii="Times New Roman" w:hAnsi="Times New Roman" w:cs="Times New Roman"/>
          <w:sz w:val="28"/>
          <w:szCs w:val="28"/>
        </w:rPr>
        <w:lastRenderedPageBreak/>
        <w:t>мільйон доларів, надаючи безоплатну допомогу</w:t>
      </w:r>
      <w:r w:rsidR="00D47454">
        <w:rPr>
          <w:rFonts w:ascii="Times New Roman" w:hAnsi="Times New Roman" w:cs="Times New Roman"/>
          <w:sz w:val="28"/>
          <w:szCs w:val="28"/>
        </w:rPr>
        <w:t xml:space="preserve"> [28]</w:t>
      </w:r>
      <w:r>
        <w:rPr>
          <w:rFonts w:ascii="Times New Roman" w:hAnsi="Times New Roman" w:cs="Times New Roman"/>
          <w:sz w:val="28"/>
          <w:szCs w:val="28"/>
        </w:rPr>
        <w:t>. Це свідчить про поєднання бізнес-моделі з етичними зобов’язаннями, що в умовах війни має особливо важливе значення.</w:t>
      </w:r>
    </w:p>
    <w:p w14:paraId="67AC680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Попри позитивні тренди, існує низка викликів, що стримують розвиток інвестицій та інновацій. До них належать нестабільність регуляторного середовища, недостатній рівень правового захисту інвесторів, відсутність податкових стимулів для вкладень у медицину, невизначеність у сфері медичного страхування, низька платоспроможність значної частини населення. Водночас повільне впровадження загальнонаціональної системи електронного здоров’я ускладнює повну інтеграцію приватного сектору до єдиного цифрового медичного простору [3].</w:t>
      </w:r>
    </w:p>
    <w:p w14:paraId="5C2045E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підсумку, можна констатувати, що приватна медицина України вже є не лише альтернативою державній, а й повноцінним драйвером трансформації охорони здоров’я. Інвестиції — як внутрішні, так і міжнародні — відіграють вирішальну роль у її модернізації, забезпечуючи стійкість системи в умовах кризи. Інновації, своєю чергою, перетворюють традиційну модель лікування на гнучку, персоналізовану та технологічну. Подальший розвиток цієї сфери потребує підтримки з боку держави — через прозору політику, пільгове оподаткування, сприяння державно-приватному партнерству та розвиток цифрової інфраструктури. У цьому контексті приватна медицина має потенціал стати ключовою ланкою в побудові нової, сучасної, безпечної та ефективної системи охорони здоров’я в Україні.</w:t>
      </w:r>
    </w:p>
    <w:p w14:paraId="5D25F1C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зазначити, що навіть у складних умовах приватний медичний сектор не тільки не зменшив обсяг послуг, а й почав інвестувати у розширення своїх можливостей. </w:t>
      </w:r>
    </w:p>
    <w:p w14:paraId="13B930B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Основним фактором, що сприяє розвитку приватної медицини, є інвестиції. У 2022 році приватний медичний сектор отримав значні інвестиції, що дозволили покращити інфраструктуру та модернізувати медичні заклади. Так, в 2022 році було витрачено понад 232,8 млрд. грн. на закупівлю нового медичного обладнання, включаючи сучасні апарати для </w:t>
      </w:r>
      <w:r>
        <w:rPr>
          <w:rFonts w:ascii="Times New Roman" w:hAnsi="Times New Roman" w:cs="Times New Roman"/>
          <w:sz w:val="28"/>
          <w:szCs w:val="28"/>
        </w:rPr>
        <w:lastRenderedPageBreak/>
        <w:t>діагностики, хірургії та реабілітації.</w:t>
      </w:r>
    </w:p>
    <w:p w14:paraId="428FAD8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частина інвестицій була спрямована на розвиток цифрових технологій у медицині. Це включає створення мобільних додатків, програмного забезпечення для медичних установ та платформ для телемедицини. Інвестиції в цифровізацію дали можливість зменшити навантаження на лікарів та зменшити черги в лікарнях, що дозволяє клінікам обслуговувати більше пацієнтів з мінімальними витратами часу та ресурсів.</w:t>
      </w:r>
    </w:p>
    <w:p w14:paraId="1D002ED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важливим напрямком інвестицій є розвиток інноваційних технологій у лікуванні різних захворювань. В Україні активно впроваджуються новітні біомедичні технології, такі як 3D-друк органів для протезування, штучний інтелект у діагностиці та лікуванні онкологічних хвороб. Стартапи, що займаються розробкою таких технологій, отримують фінансування від інвесторів, що дозволяє швидко масштабувати інноваційні рішення на національному та міжнародному рівнях [1].</w:t>
      </w:r>
    </w:p>
    <w:p w14:paraId="2B10D28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впровадженням цифрових технологій в приватному секторі медицини відбулося значне покращення доступу до медичних послуг. Одним з основних гравців на ринку цифрових медичних послуг стала платформа HELSI.me, яка надає можливість пацієнтам записуватися на прийом до лікаря, отримувати консультації через відеозв'язок, а також зберігати медичні картки в електронному вигляді</w:t>
      </w:r>
      <w:r w:rsidR="00D47454">
        <w:rPr>
          <w:rFonts w:ascii="Times New Roman" w:hAnsi="Times New Roman" w:cs="Times New Roman"/>
          <w:sz w:val="28"/>
          <w:szCs w:val="28"/>
        </w:rPr>
        <w:t xml:space="preserve"> [47]</w:t>
      </w:r>
      <w:r>
        <w:rPr>
          <w:rFonts w:ascii="Times New Roman" w:hAnsi="Times New Roman" w:cs="Times New Roman"/>
          <w:sz w:val="28"/>
          <w:szCs w:val="28"/>
        </w:rPr>
        <w:t>.</w:t>
      </w:r>
    </w:p>
    <w:p w14:paraId="3F6A6821"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Цифрова трансформація є не лише засобом підвищення якості надання медичних послуг, а й ефективним інструментом менеджменту, що дозволяє оптимізувати управлінські процеси, забезпечити прозорість, знизити витрати та поліпшити комунікацію між усіма учасниками системи охорони здоров’я.</w:t>
      </w:r>
    </w:p>
    <w:p w14:paraId="70298BF5"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2023–2024 роках МОЗ України було реалізовано низку ключових цифрових проєктів, які суттєво вплинули на управлінську модель як державних, так і приватних закладів охорони здоров’я. Серед них варто виокремити такі:</w:t>
      </w:r>
    </w:p>
    <w:p w14:paraId="04EB2B45"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Розвиток телемедицини. У 2024 році впроваджено вісім пілотних проєктів телемедичних платформ на різних рівнях надання медичної допомоги. Це </w:t>
      </w:r>
      <w:r>
        <w:rPr>
          <w:rFonts w:ascii="Times New Roman" w:hAnsi="Times New Roman" w:cs="Times New Roman"/>
          <w:sz w:val="28"/>
          <w:szCs w:val="28"/>
        </w:rPr>
        <w:lastRenderedPageBreak/>
        <w:t>значно розширило можливості для надання дистанційних медичних консультацій, особливо в умовах воєнного часу, та дало змогу приватним медичним закладам обслуговувати пацієнтів у віддалених регіонах.</w:t>
      </w:r>
    </w:p>
    <w:p w14:paraId="4CE7B3E2"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Електронна система e-Stock. Ця система забезпечує централізований моніторинг запасів лікарських засобів та медичних виробів у режимі реального часу, що дозволяє уникати дефіциту необхідних ресурсів та здійснювати ефективне управління матеріально-технічним забезпеченням медичних установ</w:t>
      </w:r>
      <w:r w:rsidR="00D47454">
        <w:rPr>
          <w:rFonts w:ascii="Times New Roman" w:hAnsi="Times New Roman" w:cs="Times New Roman"/>
          <w:sz w:val="28"/>
          <w:szCs w:val="28"/>
        </w:rPr>
        <w:t xml:space="preserve"> [15]</w:t>
      </w:r>
      <w:r>
        <w:rPr>
          <w:rFonts w:ascii="Times New Roman" w:hAnsi="Times New Roman" w:cs="Times New Roman"/>
          <w:sz w:val="28"/>
          <w:szCs w:val="28"/>
        </w:rPr>
        <w:t>.</w:t>
      </w:r>
    </w:p>
    <w:p w14:paraId="6FECB952"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Платформа SAP Ariba. Завдяки впровадженню електронної платформи для закупівель SAP Ariba приватні заклади отримали можливість залучати постачальників з усього світу, що сприяє прозорості закупівельних процесів та конкурентоспроможності підприємств</w:t>
      </w:r>
      <w:r w:rsidR="00D47454">
        <w:rPr>
          <w:rFonts w:ascii="Times New Roman" w:hAnsi="Times New Roman" w:cs="Times New Roman"/>
          <w:sz w:val="28"/>
          <w:szCs w:val="28"/>
        </w:rPr>
        <w:t xml:space="preserve"> [48]</w:t>
      </w:r>
      <w:r>
        <w:rPr>
          <w:rFonts w:ascii="Times New Roman" w:hAnsi="Times New Roman" w:cs="Times New Roman"/>
          <w:sz w:val="28"/>
          <w:szCs w:val="28"/>
        </w:rPr>
        <w:t>.</w:t>
      </w:r>
    </w:p>
    <w:p w14:paraId="678E5EEC"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Інформаційна система епідеміологічного нагляду (ЕСЕН). Вона дає змогу здійснювати моніторинг інфекційних та професійних захворювань у межах єдиного цифрового простору, що підвищує оперативність прийняття управлінських рішень на рівні приватних медичних установ</w:t>
      </w:r>
      <w:r w:rsidR="00D47454">
        <w:rPr>
          <w:rFonts w:ascii="Times New Roman" w:hAnsi="Times New Roman" w:cs="Times New Roman"/>
          <w:sz w:val="28"/>
          <w:szCs w:val="28"/>
        </w:rPr>
        <w:t xml:space="preserve"> [16]</w:t>
      </w:r>
      <w:r>
        <w:rPr>
          <w:rFonts w:ascii="Times New Roman" w:hAnsi="Times New Roman" w:cs="Times New Roman"/>
          <w:sz w:val="28"/>
          <w:szCs w:val="28"/>
        </w:rPr>
        <w:t>.</w:t>
      </w:r>
    </w:p>
    <w:p w14:paraId="5BDC5F5F"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Система «єКров». Це централізована інформаційна система обліку потреб у донорській крові, яка дозволяє ефективно координувати роботу між донорами, закладами охорони здоров’я та службами крові</w:t>
      </w:r>
      <w:r w:rsidR="00D47454">
        <w:rPr>
          <w:rFonts w:ascii="Times New Roman" w:hAnsi="Times New Roman" w:cs="Times New Roman"/>
          <w:sz w:val="28"/>
          <w:szCs w:val="28"/>
        </w:rPr>
        <w:t xml:space="preserve"> [52]</w:t>
      </w:r>
      <w:r>
        <w:rPr>
          <w:rFonts w:ascii="Times New Roman" w:hAnsi="Times New Roman" w:cs="Times New Roman"/>
          <w:sz w:val="28"/>
          <w:szCs w:val="28"/>
        </w:rPr>
        <w:t>.</w:t>
      </w:r>
    </w:p>
    <w:p w14:paraId="30439EF9" w14:textId="77777777" w:rsidR="006B79F7" w:rsidRDefault="0017149C">
      <w:pPr>
        <w:pStyle w:val="ae"/>
        <w:widowControl w:val="0"/>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Платформа «Дія.Engine» та цифрові реєстри. На її базі створюються цифрові реєстри, які забезпечують централізований облік медичних кадрів, ліцензій, послуг, що суттєво спрощує адміністративну діяльність закладів</w:t>
      </w:r>
      <w:r w:rsidR="00D47454">
        <w:rPr>
          <w:rFonts w:ascii="Times New Roman" w:hAnsi="Times New Roman" w:cs="Times New Roman"/>
          <w:sz w:val="28"/>
          <w:szCs w:val="28"/>
        </w:rPr>
        <w:t xml:space="preserve"> [49]</w:t>
      </w:r>
      <w:r>
        <w:rPr>
          <w:rFonts w:ascii="Times New Roman" w:hAnsi="Times New Roman" w:cs="Times New Roman"/>
          <w:sz w:val="28"/>
          <w:szCs w:val="28"/>
        </w:rPr>
        <w:t>.</w:t>
      </w:r>
    </w:p>
    <w:p w14:paraId="2D3679AB"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Усі зазначені ініціативи впливають на організаційну та управлінську структуру приватних медичних підприємств.</w:t>
      </w:r>
    </w:p>
    <w:p w14:paraId="1DE66C5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Цифрові технології не тільки полегшують доступ до медичних послуг, але й допомагають лікарям проводити більш точну діагностику, що значно покращує якість лікування. Наприклад, використання штучного інтелекту для аналізу медичних зображень дозволяє швидше виявляти захворювання на </w:t>
      </w:r>
      <w:r>
        <w:rPr>
          <w:rFonts w:ascii="Times New Roman" w:hAnsi="Times New Roman" w:cs="Times New Roman"/>
          <w:sz w:val="28"/>
          <w:szCs w:val="28"/>
        </w:rPr>
        <w:lastRenderedPageBreak/>
        <w:t>ранніх стадіях, що в свою чергу сприяє ефективнішому лікуванню [1].</w:t>
      </w:r>
    </w:p>
    <w:p w14:paraId="2BD70991" w14:textId="77777777" w:rsidR="006B79F7" w:rsidRDefault="0017149C">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Міжнародна практика також свідчить про зростання ролі цифрових технологій і приватних інвестицій. </w:t>
      </w:r>
    </w:p>
    <w:p w14:paraId="7396CFD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Згідно з глобальним звітом KPMG (2023),</w:t>
      </w:r>
      <w:r>
        <w:rPr>
          <w:rFonts w:ascii="Times New Roman" w:hAnsi="Times New Roman" w:cs="Times New Roman"/>
          <w:sz w:val="28"/>
          <w:szCs w:val="28"/>
        </w:rPr>
        <w:t xml:space="preserve"> 62% організацій охорони здоров'я вважають ШІ і машинне навчання ключовими для підвищення продуктивності та боротьби з вигоранням персоналу. ШІ має значний потенціал для поліпшення ефективності медичних послуг, зменшення навантаження на лікарів і медсестер</w:t>
      </w:r>
      <w:r w:rsidR="00D47454">
        <w:rPr>
          <w:rFonts w:ascii="Times New Roman" w:hAnsi="Times New Roman" w:cs="Times New Roman"/>
          <w:sz w:val="28"/>
          <w:szCs w:val="28"/>
        </w:rPr>
        <w:t xml:space="preserve"> [13]</w:t>
      </w:r>
      <w:r>
        <w:rPr>
          <w:rFonts w:ascii="Times New Roman" w:hAnsi="Times New Roman" w:cs="Times New Roman"/>
          <w:sz w:val="28"/>
          <w:szCs w:val="28"/>
        </w:rPr>
        <w:t xml:space="preserve">. </w:t>
      </w:r>
    </w:p>
    <w:p w14:paraId="7BB09F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Аналітичний прогноз PwC (2025) </w:t>
      </w:r>
      <w:r>
        <w:rPr>
          <w:rFonts w:ascii="Times New Roman" w:hAnsi="Times New Roman" w:cs="Times New Roman"/>
          <w:sz w:val="28"/>
          <w:szCs w:val="28"/>
        </w:rPr>
        <w:t>підкреслює важливість злиттів та поглинань для розширення технологічних та клінічних можливостей в охороні здоров'я. Очікується, що це призведе до покращення доступу до інноваційних ліків і послуг, але також може мати вплив на конкуренцію та доступність для пацієнтів</w:t>
      </w:r>
      <w:r w:rsidR="00D47454">
        <w:rPr>
          <w:rFonts w:ascii="Times New Roman" w:hAnsi="Times New Roman" w:cs="Times New Roman"/>
          <w:sz w:val="28"/>
          <w:szCs w:val="28"/>
        </w:rPr>
        <w:t xml:space="preserve"> [5]</w:t>
      </w:r>
      <w:r>
        <w:rPr>
          <w:rFonts w:ascii="Times New Roman" w:hAnsi="Times New Roman" w:cs="Times New Roman"/>
          <w:sz w:val="28"/>
          <w:szCs w:val="28"/>
        </w:rPr>
        <w:t xml:space="preserve">. </w:t>
      </w:r>
    </w:p>
    <w:p w14:paraId="41DC6DB2" w14:textId="77777777" w:rsidR="006B79F7" w:rsidRDefault="0017149C">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Звіт Globenewswire (2024) очікує зростання світового ринку приватної медицини до $ 11,3 трлн. до 2030 року</w:t>
      </w:r>
      <w:r w:rsidR="00D47454">
        <w:rPr>
          <w:rFonts w:ascii="Times New Roman" w:eastAsia="Times New Roman" w:hAnsi="Times New Roman" w:cs="Times New Roman"/>
          <w:sz w:val="28"/>
          <w:szCs w:val="28"/>
          <w:lang w:eastAsia="ru-RU"/>
        </w:rPr>
        <w:t xml:space="preserve"> </w:t>
      </w:r>
      <w:r w:rsidR="00D47454">
        <w:rPr>
          <w:rFonts w:ascii="Times New Roman" w:hAnsi="Times New Roman" w:cs="Times New Roman"/>
          <w:sz w:val="28"/>
          <w:szCs w:val="28"/>
        </w:rPr>
        <w:t>[64]</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Це зростання буде підтримано цифровими технологіями, персоналізованою медициною та розширенням спеціалізованих послуг. Очікується, що приватний сектор відіграватиме дедалі більшу роль в охороні здоров'я через інновації та підвищену якість обслуговування. </w:t>
      </w:r>
      <w:r>
        <w:rPr>
          <w:rFonts w:ascii="Times New Roman" w:eastAsia="Times New Roman" w:hAnsi="Times New Roman" w:cs="Times New Roman"/>
          <w:sz w:val="28"/>
          <w:szCs w:val="28"/>
          <w:lang w:eastAsia="ru-RU"/>
        </w:rPr>
        <w:t xml:space="preserve">У той же час міжнародні дослідження вказують на ризики. </w:t>
      </w:r>
    </w:p>
    <w:p w14:paraId="406910F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Дослідження Wall Street Journal критикують </w:t>
      </w:r>
      <w:r>
        <w:rPr>
          <w:rFonts w:ascii="Times New Roman" w:hAnsi="Times New Roman" w:cs="Times New Roman"/>
          <w:sz w:val="28"/>
          <w:szCs w:val="28"/>
        </w:rPr>
        <w:t xml:space="preserve"> роль приватного капіталу в охороні здоров'я. Зокрема, зазначається, що приватні інвестиційні фонди часто ставлять прибуток перед якістю медичної допомоги. Це призводить до проблем, таких як недостатній персонал і закриття лікарень, що негативно позначається на пацієнтах. </w:t>
      </w:r>
      <w:r>
        <w:rPr>
          <w:rFonts w:ascii="Times New Roman" w:eastAsia="Times New Roman" w:hAnsi="Times New Roman" w:cs="Times New Roman"/>
          <w:sz w:val="28"/>
          <w:szCs w:val="28"/>
          <w:lang w:eastAsia="ru-RU"/>
        </w:rPr>
        <w:t>Це підкреслює важливість державного регулювання у процесі приватизації медичної допомоги [65].</w:t>
      </w:r>
    </w:p>
    <w:p w14:paraId="19BCC2A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Приватна медицина в Україні продовжує розвиватися завдяки значним інвестиціям у модернізацію медичної інфраструктури, впровадженню нових технологій і розширенню доступу до якісних медичних послуг. Становлення цієї галузі зумовлено не лише розвитком інновацій, але й важливими соціальними ініціативами, такими як надання допомоги ветеранам війни та </w:t>
      </w:r>
      <w:r>
        <w:rPr>
          <w:rFonts w:ascii="Times New Roman" w:hAnsi="Times New Roman" w:cs="Times New Roman"/>
          <w:sz w:val="28"/>
          <w:szCs w:val="28"/>
        </w:rPr>
        <w:lastRenderedPageBreak/>
        <w:t>внутрішньо переміщеним особам [1].</w:t>
      </w:r>
    </w:p>
    <w:p w14:paraId="7983475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спостерігається зростання попиту на спеціалізовані медичні послуги, такі як онкологія, репродуктивна медицина, пластична хірургія та естетична медицина. Це відкриває нові можливості для розвитку приватних медичних клінік, які спеціалізуються на цих напрямках.</w:t>
      </w:r>
    </w:p>
    <w:p w14:paraId="3C55D9C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Додатково варто зазначити відсутність податкових пільг для медичних стартапів, що ускладнює залучення додаткових інвестицій у нові технології. Проте з розвитком державно-приватного партнерства та реформуванням законодавства є можливість створення сприятливих умов для інвестицій в приватну медицину.</w:t>
      </w:r>
    </w:p>
    <w:p w14:paraId="4490B89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перспективі приватний медичний сектор в Україні буде продовжувати зростати, інтегруючи новітні технології, пропонуючи високоякісні медичні послуги та сприяючи стабільному розвитку економіки та соціальної сфери. Для забезпечення сталого розвитку цієї галузі важливо продовжувати вдосконалювати законодавче поле, підтримувати інвестиції та заохочувати впровадження інновацій.</w:t>
      </w:r>
    </w:p>
    <w:p w14:paraId="7F05E752" w14:textId="77777777" w:rsidR="006B79F7" w:rsidRDefault="006B79F7">
      <w:pPr>
        <w:widowControl w:val="0"/>
        <w:spacing w:after="0" w:line="360" w:lineRule="auto"/>
        <w:ind w:firstLine="709"/>
        <w:jc w:val="both"/>
        <w:rPr>
          <w:rFonts w:ascii="Times New Roman" w:hAnsi="Times New Roman" w:cs="Times New Roman"/>
          <w:sz w:val="28"/>
          <w:szCs w:val="28"/>
        </w:rPr>
      </w:pPr>
    </w:p>
    <w:p w14:paraId="208821AA"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1.3. Основні переваги й недоліки приватного підприємництва у галузі охорони здоров’я</w:t>
      </w:r>
    </w:p>
    <w:p w14:paraId="2180276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Наразі приватна медицина в Україні продовжує розвиватися, демонструючи стабільне зростання і покращення фінансових результатів, незважаючи на економічні та соціальні виклики. Так, ринок приватних медичних послуг в Україні за період з 2019 по 2022 рік зріс у кілька разів. У 2022 році обсяг доходу ринку сягнув 179,72 млрд. грн., що становить близько 43% від загальної кількості медичних закладів в країні. Це вражаюче зростання відображає підвищений попит на медичні послуги та якісне обслуговування з боку приватного сектору [3].</w:t>
      </w:r>
    </w:p>
    <w:p w14:paraId="4C73D66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2020 році, під час пандемії COVID-19, ринок приватної медицини зазнав певних труднощів, зокрема через зниження попиту на планові медичні послуги та обмеження у наданні медичних послуг. Проте вже в 2021 році </w:t>
      </w:r>
      <w:r>
        <w:rPr>
          <w:rFonts w:ascii="Times New Roman" w:hAnsi="Times New Roman" w:cs="Times New Roman"/>
          <w:sz w:val="28"/>
          <w:szCs w:val="28"/>
        </w:rPr>
        <w:lastRenderedPageBreak/>
        <w:t>ринок почав відновлюватися і навіть збільшуватися на 25% порівняно з доковідними роками. Відновлення стало можливим завдяки переорієнтації клінік на нові напрямки, зокрема телемедицину та лабораторні послуги, а також розвитку програмного забезпечення для дистанційних консультацій.</w:t>
      </w:r>
    </w:p>
    <w:p w14:paraId="12F44A2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Пандемія COVID-19 стала важливим каталізатором для змін у медичному секторі. Приватні клініки були змушені адаптуватися до нових умов, зокрема запровадити онлайн-консультації та збільшити кількість дистанційних послуг. Водночас обмеження на фізичні контакти призвели до збільшення попиту на лабораторні дослідження та послуги з обстеження без необхідності відвідувати медичний заклад [3].</w:t>
      </w:r>
    </w:p>
    <w:p w14:paraId="40CD071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2022 році, після початку війни в Україні, приватні медичні заклади знову зіткнулися з кризовими умовами. Проте багато з них змогли швидко адаптуватися до нових реалій, продовжуючи надавати медичні послуги, включаючи надання допомоги постраждалим від війни. Зокрема, у 2022 році багато клінік стали співпрацювати з міжнародними організаціями, такими як UNICEF, що дозволило безкоштовно надавати медичні послуги для внутрішньо переміщених осіб та потерпілих від війни.</w:t>
      </w:r>
    </w:p>
    <w:p w14:paraId="1494F5A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Сучасна система охорони здоров’я України є спадком радянської моделі, що обумовлює домінування державного сектору, який охоплює орієнтовно 85–90% медичної інфраструктури. Приватний сектор, натомість, становить лише 10–15%. Водночас, приватні медичні заклади останніми роками демонструють динамічне зростання: наприклад, їхня частка, яка у 2012 році складала лише 1%, суттєво збільшилась [8].</w:t>
      </w:r>
    </w:p>
    <w:p w14:paraId="31A1301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Подальший розвиток приватного медичного сектора стримується рядом факторів, як прямого, так і опосередкованого впливу. До найбільш важливих з них належать:  </w:t>
      </w:r>
    </w:p>
    <w:p w14:paraId="0FBF623D" w14:textId="77777777" w:rsidR="006B79F7" w:rsidRDefault="0017149C">
      <w:pPr>
        <w:pStyle w:val="ae"/>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низька купівельна спроможність населення;  </w:t>
      </w:r>
    </w:p>
    <w:p w14:paraId="3C287D40" w14:textId="77777777" w:rsidR="006B79F7" w:rsidRDefault="0017149C">
      <w:pPr>
        <w:pStyle w:val="ae"/>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нестабільність національної валюти;  </w:t>
      </w:r>
    </w:p>
    <w:p w14:paraId="7859D7D7" w14:textId="77777777" w:rsidR="006B79F7" w:rsidRDefault="0017149C">
      <w:pPr>
        <w:pStyle w:val="ae"/>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недосконале нормативно-правове регулювання галузі, особливо в аспекті приватної медицини;  </w:t>
      </w:r>
    </w:p>
    <w:p w14:paraId="29BA39E9" w14:textId="77777777" w:rsidR="006B79F7" w:rsidRDefault="0017149C">
      <w:pPr>
        <w:pStyle w:val="ae"/>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надмірна бюрократизація процесів ліцензування медичних закладів у приватному секторі;  </w:t>
      </w:r>
    </w:p>
    <w:p w14:paraId="684C5B36" w14:textId="77777777" w:rsidR="006B79F7" w:rsidRDefault="0017149C">
      <w:pPr>
        <w:pStyle w:val="ae"/>
        <w:widowControl w:val="0"/>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обмежений доступ до фінансових ресурсів, необхідних для розширення масштабів діяльності.  </w:t>
      </w:r>
    </w:p>
    <w:p w14:paraId="54540FF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розвиток ринку приватної медицини стимулюється кризовим станом державної системи охорони здоров’я, недостатньо ефективними реформами у державному секторі, а також хронічним дефіцитом бюджетного фінансування програм, спрямованих на модернізацію системи охорони здоров’я.</w:t>
      </w:r>
    </w:p>
    <w:p w14:paraId="37F55F6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Приватні медичні заклади України мають ряд вагомих переваг, серед яких [7]:  </w:t>
      </w:r>
    </w:p>
    <w:p w14:paraId="5B59E91A"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доступність та швидкість надання медичних послуг;  </w:t>
      </w:r>
    </w:p>
    <w:p w14:paraId="23507FDC"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сучасне обладнання та високоякісне устаткування;  </w:t>
      </w:r>
    </w:p>
    <w:p w14:paraId="6245E699"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професійна кваліфікація медичного персоналу;  </w:t>
      </w:r>
    </w:p>
    <w:p w14:paraId="2EAC66F5"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чітка організація та відповідальність під час лікування;  </w:t>
      </w:r>
    </w:p>
    <w:p w14:paraId="26F683A5"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можливість отримання додаткових сервісів.  </w:t>
      </w:r>
    </w:p>
    <w:p w14:paraId="5A25251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Основна частина приватних медичних закладів зосереджена в регіонах із найвищим рівнем платоспроможності, зокрема в столиці, де розташовано близько половини всіх приватних медичних установ країни, а також у Харкові, Дніпрі, Одесі тощо. Хоча наразі 70% ринку приватної медицини складають невеликі центри, кабінети та лабораторії, останнім часом спостерігається тенденція до залучення іноземних інвестицій у розвиток крупних медичних установ [1]. </w:t>
      </w:r>
    </w:p>
    <w:p w14:paraId="5E0C962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роки діяльності приватна медицина сформувала очевидних лідерів галузі, які досягли значного економічного успіху – їхні доходи обраховуються вже не десятками, а сотнями мільйонів гривень (рис. 1.1).</w:t>
      </w:r>
    </w:p>
    <w:p w14:paraId="23E95C37"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Opendatabot опублікував рейтинг топ-10 компаній у сфері охорони здоров’я України за 2024 рік, базуючись на фінансових показниках підприємств. Сукупний виторг топ-10 компаній: 11,04 млрд. ₴. Зростання виторгу порівняно з 2023 роком склала + 56,65% [21].</w:t>
      </w:r>
    </w:p>
    <w:p w14:paraId="4A838219" w14:textId="77777777" w:rsidR="006B79F7" w:rsidRDefault="0017149C">
      <w:pPr>
        <w:widowControl w:val="0"/>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5CC70EBC" wp14:editId="5B8D3D41">
            <wp:extent cx="6236970" cy="4093845"/>
            <wp:effectExtent l="0" t="0" r="0" b="0"/>
            <wp:docPr id="8559" name="Рисунок 8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9" name="Рисунок 855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6276958" cy="4120542"/>
                    </a:xfrm>
                    <a:prstGeom prst="rect">
                      <a:avLst/>
                    </a:prstGeom>
                    <a:noFill/>
                  </pic:spPr>
                </pic:pic>
              </a:graphicData>
            </a:graphic>
          </wp:inline>
        </w:drawing>
      </w:r>
    </w:p>
    <w:p w14:paraId="3222C3F0" w14:textId="77777777" w:rsidR="006B79F7" w:rsidRDefault="0017149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1.1. Аналіз топ-10 компаній за виторгом</w:t>
      </w:r>
    </w:p>
    <w:p w14:paraId="7AC39345" w14:textId="77777777" w:rsidR="006B79F7" w:rsidRDefault="006B79F7">
      <w:pPr>
        <w:widowControl w:val="0"/>
        <w:spacing w:after="0" w:line="360" w:lineRule="auto"/>
        <w:ind w:firstLine="708"/>
        <w:jc w:val="both"/>
        <w:rPr>
          <w:rFonts w:ascii="Times New Roman" w:hAnsi="Times New Roman" w:cs="Times New Roman"/>
          <w:sz w:val="28"/>
          <w:szCs w:val="28"/>
        </w:rPr>
      </w:pPr>
    </w:p>
    <w:p w14:paraId="3BF5AA0A"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Лідери рейтингу:</w:t>
      </w:r>
    </w:p>
    <w:p w14:paraId="5A8911BB"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 Медичний центр «Добробут-поліклініка» (Київ) — 2,24 млрд ₴ (+71,55%)</w:t>
      </w:r>
    </w:p>
    <w:p w14:paraId="577A1371"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2. «Діла» (Київ) — 2,04 млрд ₴ (+61,11%)</w:t>
      </w:r>
    </w:p>
    <w:p w14:paraId="0148AE18"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 «Сінево» (Київ) — 1,92 млрд ₴ (+44,25%)</w:t>
      </w:r>
    </w:p>
    <w:p w14:paraId="5C4B929A"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 «Український центр трансплант-координації» (Київ) — 860,74 млн ₴ (+65,69%)</w:t>
      </w:r>
    </w:p>
    <w:p w14:paraId="5A440D83"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 «Смартлаб» (Одеська область) — 845,37 млн ₴ (+43,05%)</w:t>
      </w:r>
    </w:p>
    <w:p w14:paraId="7FC751A6"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 «Дім медицини» (Одеська область) — 808,80 млн ₴ (+34,83%)</w:t>
      </w:r>
    </w:p>
    <w:p w14:paraId="1C943F33"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7. «Сінево Схід» (Дніпропетровська область) — 636,06 млн ₴ (+61,63%)</w:t>
      </w:r>
    </w:p>
    <w:p w14:paraId="7E493E99"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8. «Сі ес ді лаб» (Київ) — 588,95 млн ₴ (+74,30%)</w:t>
      </w:r>
    </w:p>
    <w:p w14:paraId="5AF360D4"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9. «Медікс-рей інтернешнл груп» (Київ) — 558,11 млн ₴ (+55,18%)</w:t>
      </w:r>
    </w:p>
    <w:p w14:paraId="45D67890"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10. «Перша соціальна медична лабораторія Ескулаб» (Львівська область) — 538,39 млн ₴ (+57,91%)  </w:t>
      </w:r>
    </w:p>
    <w:p w14:paraId="4FDBF41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Відзначається, що вартість лікування у приватних медичних закладах здебільшого визначається не якістю пропонованих послуг, а статусністю закладу. При наданні аналогічних послуг і рівному рівні якості ціни можуть різнитися на 50–80%. Таким чином, кінцевий споживач часто переплачує за репутацію закладу [</w:t>
      </w:r>
      <w:r w:rsidR="00632951">
        <w:rPr>
          <w:rFonts w:ascii="Times New Roman" w:hAnsi="Times New Roman" w:cs="Times New Roman"/>
          <w:sz w:val="28"/>
          <w:szCs w:val="28"/>
        </w:rPr>
        <w:t>9</w:t>
      </w:r>
      <w:r>
        <w:rPr>
          <w:rFonts w:ascii="Times New Roman" w:hAnsi="Times New Roman" w:cs="Times New Roman"/>
          <w:sz w:val="28"/>
          <w:szCs w:val="28"/>
        </w:rPr>
        <w:t>].</w:t>
      </w:r>
    </w:p>
    <w:p w14:paraId="4430170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Недооцінена роль приватної медицини у фінансуванні медичної сфери в Україні також заслуговує на увагу. За оцінками фахівців, обсяг «тіньової складової» приватного медичного ринку перевищує 2 мільярди доларів США. Є припущення, що за умови державної підтримки цього сегмента та створення більш сприятливих умов для розвитку галузі значна частина цих коштів може перейти у легальний обіг</w:t>
      </w:r>
      <w:r w:rsidR="00632951">
        <w:rPr>
          <w:rFonts w:ascii="Times New Roman" w:hAnsi="Times New Roman" w:cs="Times New Roman"/>
          <w:sz w:val="28"/>
          <w:szCs w:val="28"/>
        </w:rPr>
        <w:t xml:space="preserve"> [53]</w:t>
      </w:r>
      <w:r>
        <w:rPr>
          <w:rFonts w:ascii="Times New Roman" w:hAnsi="Times New Roman" w:cs="Times New Roman"/>
          <w:sz w:val="28"/>
          <w:szCs w:val="28"/>
        </w:rPr>
        <w:t>.</w:t>
      </w:r>
    </w:p>
    <w:p w14:paraId="03EF7CD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Регулювання і розвиток приватної медицини здатні забезпечити додаткові надходження до державного бюджету у вигляді податків, які можуть досягати близько 1 мільярда гривень на рік. Це створить можливості для поліпшення фінансування всієї системи охорони здоров’я.</w:t>
      </w:r>
    </w:p>
    <w:p w14:paraId="1595518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контексті європейської політики «Здоров’я-2020», розробленої ВООЗ, висунуто підхід до здоров’я як багатофакторного концепту. Взаємозв’язок фізичних, психологічних, соціальних та екологічних чинників підкреслює необхідність комплексних стратегій, що мають на меті досягнення синергетичного ефекту мобілізації зусиль з усіх напрямків</w:t>
      </w:r>
      <w:r w:rsidR="00632951">
        <w:rPr>
          <w:rFonts w:ascii="Times New Roman" w:hAnsi="Times New Roman" w:cs="Times New Roman"/>
          <w:sz w:val="28"/>
          <w:szCs w:val="28"/>
        </w:rPr>
        <w:t xml:space="preserve"> [57]</w:t>
      </w:r>
      <w:r>
        <w:rPr>
          <w:rFonts w:ascii="Times New Roman" w:hAnsi="Times New Roman" w:cs="Times New Roman"/>
          <w:sz w:val="28"/>
          <w:szCs w:val="28"/>
        </w:rPr>
        <w:t>. Політика визначила два ключові напрямки: покращення здоров’я населення та скорочення нерівності в доступі до охорони здоров’я, з акцентом на лідерстві та координації зусиль [</w:t>
      </w:r>
      <w:r w:rsidR="00632951">
        <w:rPr>
          <w:rFonts w:ascii="Times New Roman" w:hAnsi="Times New Roman" w:cs="Times New Roman"/>
          <w:sz w:val="28"/>
          <w:szCs w:val="28"/>
        </w:rPr>
        <w:t>56; 60</w:t>
      </w:r>
      <w:r>
        <w:rPr>
          <w:rFonts w:ascii="Times New Roman" w:hAnsi="Times New Roman" w:cs="Times New Roman"/>
          <w:sz w:val="28"/>
          <w:szCs w:val="28"/>
        </w:rPr>
        <w:t xml:space="preserve">].  </w:t>
      </w:r>
    </w:p>
    <w:p w14:paraId="1C64459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з цього, були визначені пріоритетні цілі для розвитку приватної медицини в Україні у рамках європейської політики: збільшення середньої тривалості життя, зменшення рівня передчасної смертності, скорочення нерівності у доступі до медичних послуг, підвищення загального рівня здоров’я населення, інвестиції у здоров’я на всіх етапах життя, зміцнення орієнтованої на потреби людей системи охорони здоров’я, забезпечення загального охоплення послугами та реалізація права кожного на </w:t>
      </w:r>
      <w:r>
        <w:rPr>
          <w:rFonts w:ascii="Times New Roman" w:hAnsi="Times New Roman" w:cs="Times New Roman"/>
          <w:sz w:val="28"/>
          <w:szCs w:val="28"/>
        </w:rPr>
        <w:lastRenderedPageBreak/>
        <w:t>здоров’я (рис.1.2)</w:t>
      </w:r>
      <w:r w:rsidR="00632951">
        <w:rPr>
          <w:rFonts w:ascii="Times New Roman" w:hAnsi="Times New Roman" w:cs="Times New Roman"/>
          <w:sz w:val="28"/>
          <w:szCs w:val="28"/>
        </w:rPr>
        <w:t xml:space="preserve"> [55]</w:t>
      </w:r>
      <w:r>
        <w:rPr>
          <w:rFonts w:ascii="Times New Roman" w:hAnsi="Times New Roman" w:cs="Times New Roman"/>
          <w:sz w:val="28"/>
          <w:szCs w:val="28"/>
        </w:rPr>
        <w:t>.</w:t>
      </w:r>
    </w:p>
    <w:p w14:paraId="4DCF4EA8" w14:textId="77777777" w:rsidR="006B79F7" w:rsidRDefault="006B79F7">
      <w:pPr>
        <w:widowControl w:val="0"/>
        <w:spacing w:after="0" w:line="360" w:lineRule="auto"/>
        <w:ind w:firstLine="709"/>
        <w:jc w:val="both"/>
        <w:rPr>
          <w:rFonts w:ascii="Times New Roman" w:hAnsi="Times New Roman" w:cs="Times New Roman"/>
          <w:sz w:val="28"/>
          <w:szCs w:val="28"/>
        </w:rPr>
      </w:pPr>
    </w:p>
    <w:p w14:paraId="25096CD5" w14:textId="77777777" w:rsidR="006B79F7" w:rsidRDefault="000C1C35">
      <w:pPr>
        <w:widowControl w:val="0"/>
        <w:spacing w:after="0" w:line="360" w:lineRule="auto"/>
        <w:jc w:val="both"/>
        <w:rPr>
          <w:rFonts w:ascii="Times New Roman" w:hAnsi="Times New Roman" w:cs="Times New Roman"/>
          <w:sz w:val="28"/>
          <w:szCs w:val="28"/>
          <w:lang w:eastAsia="uk-UA"/>
        </w:rPr>
      </w:pPr>
      <w:r>
        <w:rPr>
          <w:rFonts w:ascii="Times New Roman" w:hAnsi="Times New Roman" w:cs="Times New Roman"/>
          <w:noProof/>
          <w:sz w:val="28"/>
          <w:szCs w:val="28"/>
          <w:lang w:eastAsia="uk-UA"/>
        </w:rPr>
        <mc:AlternateContent>
          <mc:Choice Requires="wpg">
            <w:drawing>
              <wp:inline distT="0" distB="0" distL="0" distR="0" wp14:anchorId="5473C339" wp14:editId="78154F06">
                <wp:extent cx="5942965" cy="3838575"/>
                <wp:effectExtent l="12700" t="12700" r="635" b="0"/>
                <wp:docPr id="1978084926" name="Группа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2965" cy="3838575"/>
                          <a:chOff x="0" y="0"/>
                          <a:chExt cx="54894" cy="28087"/>
                        </a:xfrm>
                      </wpg:grpSpPr>
                      <wps:wsp>
                        <wps:cNvPr id="1960778382" name="Shape 9245"/>
                        <wps:cNvSpPr>
                          <a:spLocks/>
                        </wps:cNvSpPr>
                        <wps:spPr bwMode="auto">
                          <a:xfrm>
                            <a:off x="0" y="1325"/>
                            <a:ext cx="54894" cy="2271"/>
                          </a:xfrm>
                          <a:custGeom>
                            <a:avLst/>
                            <a:gdLst>
                              <a:gd name="T0" fmla="*/ 0 w 5489448"/>
                              <a:gd name="T1" fmla="*/ 0 h 227076"/>
                              <a:gd name="T2" fmla="*/ 54894 w 5489448"/>
                              <a:gd name="T3" fmla="*/ 0 h 227076"/>
                              <a:gd name="T4" fmla="*/ 54894 w 5489448"/>
                              <a:gd name="T5" fmla="*/ 2271 h 227076"/>
                              <a:gd name="T6" fmla="*/ 0 w 5489448"/>
                              <a:gd name="T7" fmla="*/ 2271 h 227076"/>
                              <a:gd name="T8" fmla="*/ 0 w 5489448"/>
                              <a:gd name="T9" fmla="*/ 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0"/>
                                </a:moveTo>
                                <a:lnTo>
                                  <a:pt x="5489448" y="0"/>
                                </a:lnTo>
                                <a:lnTo>
                                  <a:pt x="5489448" y="227076"/>
                                </a:lnTo>
                                <a:lnTo>
                                  <a:pt x="0" y="227076"/>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476389314" name="Shape 1065"/>
                        <wps:cNvSpPr>
                          <a:spLocks/>
                        </wps:cNvSpPr>
                        <wps:spPr bwMode="auto">
                          <a:xfrm>
                            <a:off x="0" y="1325"/>
                            <a:ext cx="54894" cy="2271"/>
                          </a:xfrm>
                          <a:custGeom>
                            <a:avLst/>
                            <a:gdLst>
                              <a:gd name="T0" fmla="*/ 0 w 5489448"/>
                              <a:gd name="T1" fmla="*/ 2271 h 227076"/>
                              <a:gd name="T2" fmla="*/ 54894 w 5489448"/>
                              <a:gd name="T3" fmla="*/ 2271 h 227076"/>
                              <a:gd name="T4" fmla="*/ 54894 w 5489448"/>
                              <a:gd name="T5" fmla="*/ 0 h 227076"/>
                              <a:gd name="T6" fmla="*/ 0 w 5489448"/>
                              <a:gd name="T7" fmla="*/ 0 h 227076"/>
                              <a:gd name="T8" fmla="*/ 0 w 5489448"/>
                              <a:gd name="T9" fmla="*/ 2271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227076"/>
                                </a:moveTo>
                                <a:lnTo>
                                  <a:pt x="5489448" y="227076"/>
                                </a:lnTo>
                                <a:lnTo>
                                  <a:pt x="5489448" y="0"/>
                                </a:lnTo>
                                <a:lnTo>
                                  <a:pt x="0" y="0"/>
                                </a:lnTo>
                                <a:lnTo>
                                  <a:pt x="0" y="22707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743901" name="Shape 1066"/>
                        <wps:cNvSpPr>
                          <a:spLocks/>
                        </wps:cNvSpPr>
                        <wps:spPr bwMode="auto">
                          <a:xfrm>
                            <a:off x="2743" y="0"/>
                            <a:ext cx="49484" cy="2651"/>
                          </a:xfrm>
                          <a:custGeom>
                            <a:avLst/>
                            <a:gdLst>
                              <a:gd name="T0" fmla="*/ 442 w 4948428"/>
                              <a:gd name="T1" fmla="*/ 0 h 265176"/>
                              <a:gd name="T2" fmla="*/ 49042 w 4948428"/>
                              <a:gd name="T3" fmla="*/ 0 h 265176"/>
                              <a:gd name="T4" fmla="*/ 49484 w 4948428"/>
                              <a:gd name="T5" fmla="*/ 442 h 265176"/>
                              <a:gd name="T6" fmla="*/ 49484 w 4948428"/>
                              <a:gd name="T7" fmla="*/ 2209 h 265176"/>
                              <a:gd name="T8" fmla="*/ 49042 w 4948428"/>
                              <a:gd name="T9" fmla="*/ 2651 h 265176"/>
                              <a:gd name="T10" fmla="*/ 442 w 4948428"/>
                              <a:gd name="T11" fmla="*/ 2651 h 265176"/>
                              <a:gd name="T12" fmla="*/ 0 w 4948428"/>
                              <a:gd name="T13" fmla="*/ 2209 h 265176"/>
                              <a:gd name="T14" fmla="*/ 0 w 4948428"/>
                              <a:gd name="T15" fmla="*/ 442 h 265176"/>
                              <a:gd name="T16" fmla="*/ 442 w 4948428"/>
                              <a:gd name="T17" fmla="*/ 0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44196" y="0"/>
                                </a:move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ubicBezTo>
                                  <a:pt x="0" y="19812"/>
                                  <a:pt x="19812" y="0"/>
                                  <a:pt x="44196"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582375715" name="Shape 1067"/>
                        <wps:cNvSpPr>
                          <a:spLocks/>
                        </wps:cNvSpPr>
                        <wps:spPr bwMode="auto">
                          <a:xfrm>
                            <a:off x="2743" y="0"/>
                            <a:ext cx="49484" cy="2651"/>
                          </a:xfrm>
                          <a:custGeom>
                            <a:avLst/>
                            <a:gdLst>
                              <a:gd name="T0" fmla="*/ 0 w 4948428"/>
                              <a:gd name="T1" fmla="*/ 442 h 265176"/>
                              <a:gd name="T2" fmla="*/ 442 w 4948428"/>
                              <a:gd name="T3" fmla="*/ 0 h 265176"/>
                              <a:gd name="T4" fmla="*/ 49042 w 4948428"/>
                              <a:gd name="T5" fmla="*/ 0 h 265176"/>
                              <a:gd name="T6" fmla="*/ 49484 w 4948428"/>
                              <a:gd name="T7" fmla="*/ 442 h 265176"/>
                              <a:gd name="T8" fmla="*/ 49484 w 4948428"/>
                              <a:gd name="T9" fmla="*/ 2209 h 265176"/>
                              <a:gd name="T10" fmla="*/ 49042 w 4948428"/>
                              <a:gd name="T11" fmla="*/ 2651 h 265176"/>
                              <a:gd name="T12" fmla="*/ 442 w 4948428"/>
                              <a:gd name="T13" fmla="*/ 2651 h 265176"/>
                              <a:gd name="T14" fmla="*/ 0 w 4948428"/>
                              <a:gd name="T15" fmla="*/ 2209 h 265176"/>
                              <a:gd name="T16" fmla="*/ 0 w 4948428"/>
                              <a:gd name="T17" fmla="*/ 442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0" y="44196"/>
                                </a:moveTo>
                                <a:cubicBezTo>
                                  <a:pt x="0" y="19812"/>
                                  <a:pt x="19812" y="0"/>
                                  <a:pt x="44196" y="0"/>
                                </a:cubicBez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941455" name="Rectangle 1068"/>
                        <wps:cNvSpPr>
                          <a:spLocks/>
                        </wps:cNvSpPr>
                        <wps:spPr bwMode="auto">
                          <a:xfrm>
                            <a:off x="4322" y="0"/>
                            <a:ext cx="47444" cy="2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0DB69"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Підвищення середньої тривалості життя </w:t>
                              </w:r>
                            </w:p>
                          </w:txbxContent>
                        </wps:txbx>
                        <wps:bodyPr rot="0" vert="horz" wrap="square" lIns="0" tIns="0" rIns="0" bIns="0" anchor="t" anchorCtr="0" upright="1">
                          <a:noAutofit/>
                        </wps:bodyPr>
                      </wps:wsp>
                      <wps:wsp>
                        <wps:cNvPr id="2038767396" name="Shape 9246"/>
                        <wps:cNvSpPr>
                          <a:spLocks/>
                        </wps:cNvSpPr>
                        <wps:spPr bwMode="auto">
                          <a:xfrm>
                            <a:off x="0" y="5410"/>
                            <a:ext cx="54894" cy="2270"/>
                          </a:xfrm>
                          <a:custGeom>
                            <a:avLst/>
                            <a:gdLst>
                              <a:gd name="T0" fmla="*/ 0 w 5489448"/>
                              <a:gd name="T1" fmla="*/ 0 h 227076"/>
                              <a:gd name="T2" fmla="*/ 54894 w 5489448"/>
                              <a:gd name="T3" fmla="*/ 0 h 227076"/>
                              <a:gd name="T4" fmla="*/ 54894 w 5489448"/>
                              <a:gd name="T5" fmla="*/ 2270 h 227076"/>
                              <a:gd name="T6" fmla="*/ 0 w 5489448"/>
                              <a:gd name="T7" fmla="*/ 2270 h 227076"/>
                              <a:gd name="T8" fmla="*/ 0 w 5489448"/>
                              <a:gd name="T9" fmla="*/ 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0"/>
                                </a:moveTo>
                                <a:lnTo>
                                  <a:pt x="5489448" y="0"/>
                                </a:lnTo>
                                <a:lnTo>
                                  <a:pt x="5489448" y="227076"/>
                                </a:lnTo>
                                <a:lnTo>
                                  <a:pt x="0" y="227076"/>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120709213" name="Shape 1070"/>
                        <wps:cNvSpPr>
                          <a:spLocks/>
                        </wps:cNvSpPr>
                        <wps:spPr bwMode="auto">
                          <a:xfrm>
                            <a:off x="0" y="5410"/>
                            <a:ext cx="54894" cy="2270"/>
                          </a:xfrm>
                          <a:custGeom>
                            <a:avLst/>
                            <a:gdLst>
                              <a:gd name="T0" fmla="*/ 0 w 5489448"/>
                              <a:gd name="T1" fmla="*/ 2270 h 227076"/>
                              <a:gd name="T2" fmla="*/ 54894 w 5489448"/>
                              <a:gd name="T3" fmla="*/ 2270 h 227076"/>
                              <a:gd name="T4" fmla="*/ 54894 w 5489448"/>
                              <a:gd name="T5" fmla="*/ 0 h 227076"/>
                              <a:gd name="T6" fmla="*/ 0 w 5489448"/>
                              <a:gd name="T7" fmla="*/ 0 h 227076"/>
                              <a:gd name="T8" fmla="*/ 0 w 5489448"/>
                              <a:gd name="T9" fmla="*/ 227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227076"/>
                                </a:moveTo>
                                <a:lnTo>
                                  <a:pt x="5489448" y="227076"/>
                                </a:lnTo>
                                <a:lnTo>
                                  <a:pt x="5489448" y="0"/>
                                </a:lnTo>
                                <a:lnTo>
                                  <a:pt x="0" y="0"/>
                                </a:lnTo>
                                <a:lnTo>
                                  <a:pt x="0" y="22707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723693" name="Shape 1071"/>
                        <wps:cNvSpPr>
                          <a:spLocks/>
                        </wps:cNvSpPr>
                        <wps:spPr bwMode="auto">
                          <a:xfrm>
                            <a:off x="2743" y="4084"/>
                            <a:ext cx="49484" cy="2652"/>
                          </a:xfrm>
                          <a:custGeom>
                            <a:avLst/>
                            <a:gdLst>
                              <a:gd name="T0" fmla="*/ 442 w 4948428"/>
                              <a:gd name="T1" fmla="*/ 0 h 265176"/>
                              <a:gd name="T2" fmla="*/ 49042 w 4948428"/>
                              <a:gd name="T3" fmla="*/ 0 h 265176"/>
                              <a:gd name="T4" fmla="*/ 49484 w 4948428"/>
                              <a:gd name="T5" fmla="*/ 442 h 265176"/>
                              <a:gd name="T6" fmla="*/ 49484 w 4948428"/>
                              <a:gd name="T7" fmla="*/ 2210 h 265176"/>
                              <a:gd name="T8" fmla="*/ 49042 w 4948428"/>
                              <a:gd name="T9" fmla="*/ 2652 h 265176"/>
                              <a:gd name="T10" fmla="*/ 442 w 4948428"/>
                              <a:gd name="T11" fmla="*/ 2652 h 265176"/>
                              <a:gd name="T12" fmla="*/ 0 w 4948428"/>
                              <a:gd name="T13" fmla="*/ 2210 h 265176"/>
                              <a:gd name="T14" fmla="*/ 0 w 4948428"/>
                              <a:gd name="T15" fmla="*/ 442 h 265176"/>
                              <a:gd name="T16" fmla="*/ 442 w 4948428"/>
                              <a:gd name="T17" fmla="*/ 0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44196" y="0"/>
                                </a:move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ubicBezTo>
                                  <a:pt x="0" y="19812"/>
                                  <a:pt x="19812" y="0"/>
                                  <a:pt x="44196"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2029395906" name="Shape 1072"/>
                        <wps:cNvSpPr>
                          <a:spLocks/>
                        </wps:cNvSpPr>
                        <wps:spPr bwMode="auto">
                          <a:xfrm>
                            <a:off x="2743" y="4084"/>
                            <a:ext cx="49484" cy="2652"/>
                          </a:xfrm>
                          <a:custGeom>
                            <a:avLst/>
                            <a:gdLst>
                              <a:gd name="T0" fmla="*/ 0 w 4948428"/>
                              <a:gd name="T1" fmla="*/ 442 h 265176"/>
                              <a:gd name="T2" fmla="*/ 442 w 4948428"/>
                              <a:gd name="T3" fmla="*/ 0 h 265176"/>
                              <a:gd name="T4" fmla="*/ 49042 w 4948428"/>
                              <a:gd name="T5" fmla="*/ 0 h 265176"/>
                              <a:gd name="T6" fmla="*/ 49484 w 4948428"/>
                              <a:gd name="T7" fmla="*/ 442 h 265176"/>
                              <a:gd name="T8" fmla="*/ 49484 w 4948428"/>
                              <a:gd name="T9" fmla="*/ 2210 h 265176"/>
                              <a:gd name="T10" fmla="*/ 49042 w 4948428"/>
                              <a:gd name="T11" fmla="*/ 2652 h 265176"/>
                              <a:gd name="T12" fmla="*/ 442 w 4948428"/>
                              <a:gd name="T13" fmla="*/ 2652 h 265176"/>
                              <a:gd name="T14" fmla="*/ 0 w 4948428"/>
                              <a:gd name="T15" fmla="*/ 2210 h 265176"/>
                              <a:gd name="T16" fmla="*/ 0 w 4948428"/>
                              <a:gd name="T17" fmla="*/ 442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0" y="44196"/>
                                </a:moveTo>
                                <a:cubicBezTo>
                                  <a:pt x="0" y="19812"/>
                                  <a:pt x="19812" y="0"/>
                                  <a:pt x="44196" y="0"/>
                                </a:cubicBez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1710349" name="Rectangle 1073"/>
                        <wps:cNvSpPr>
                          <a:spLocks/>
                        </wps:cNvSpPr>
                        <wps:spPr bwMode="auto">
                          <a:xfrm>
                            <a:off x="4322" y="4224"/>
                            <a:ext cx="47900" cy="2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9061E9"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Скорочення передчасної смертності серед населення </w:t>
                              </w:r>
                            </w:p>
                          </w:txbxContent>
                        </wps:txbx>
                        <wps:bodyPr rot="0" vert="horz" wrap="square" lIns="0" tIns="0" rIns="0" bIns="0" anchor="t" anchorCtr="0" upright="1">
                          <a:noAutofit/>
                        </wps:bodyPr>
                      </wps:wsp>
                      <wps:wsp>
                        <wps:cNvPr id="1778308643" name="Shape 9247"/>
                        <wps:cNvSpPr>
                          <a:spLocks/>
                        </wps:cNvSpPr>
                        <wps:spPr bwMode="auto">
                          <a:xfrm>
                            <a:off x="0" y="9494"/>
                            <a:ext cx="54894" cy="2271"/>
                          </a:xfrm>
                          <a:custGeom>
                            <a:avLst/>
                            <a:gdLst>
                              <a:gd name="T0" fmla="*/ 0 w 5489448"/>
                              <a:gd name="T1" fmla="*/ 0 h 227076"/>
                              <a:gd name="T2" fmla="*/ 54894 w 5489448"/>
                              <a:gd name="T3" fmla="*/ 0 h 227076"/>
                              <a:gd name="T4" fmla="*/ 54894 w 5489448"/>
                              <a:gd name="T5" fmla="*/ 2271 h 227076"/>
                              <a:gd name="T6" fmla="*/ 0 w 5489448"/>
                              <a:gd name="T7" fmla="*/ 2271 h 227076"/>
                              <a:gd name="T8" fmla="*/ 0 w 5489448"/>
                              <a:gd name="T9" fmla="*/ 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0"/>
                                </a:moveTo>
                                <a:lnTo>
                                  <a:pt x="5489448" y="0"/>
                                </a:lnTo>
                                <a:lnTo>
                                  <a:pt x="5489448" y="227076"/>
                                </a:lnTo>
                                <a:lnTo>
                                  <a:pt x="0" y="227076"/>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665009385" name="Shape 1075"/>
                        <wps:cNvSpPr>
                          <a:spLocks/>
                        </wps:cNvSpPr>
                        <wps:spPr bwMode="auto">
                          <a:xfrm>
                            <a:off x="0" y="9494"/>
                            <a:ext cx="54894" cy="2271"/>
                          </a:xfrm>
                          <a:custGeom>
                            <a:avLst/>
                            <a:gdLst>
                              <a:gd name="T0" fmla="*/ 0 w 5489448"/>
                              <a:gd name="T1" fmla="*/ 2271 h 227076"/>
                              <a:gd name="T2" fmla="*/ 54894 w 5489448"/>
                              <a:gd name="T3" fmla="*/ 2271 h 227076"/>
                              <a:gd name="T4" fmla="*/ 54894 w 5489448"/>
                              <a:gd name="T5" fmla="*/ 0 h 227076"/>
                              <a:gd name="T6" fmla="*/ 0 w 5489448"/>
                              <a:gd name="T7" fmla="*/ 0 h 227076"/>
                              <a:gd name="T8" fmla="*/ 0 w 5489448"/>
                              <a:gd name="T9" fmla="*/ 2271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227076"/>
                                </a:moveTo>
                                <a:lnTo>
                                  <a:pt x="5489448" y="227076"/>
                                </a:lnTo>
                                <a:lnTo>
                                  <a:pt x="5489448" y="0"/>
                                </a:lnTo>
                                <a:lnTo>
                                  <a:pt x="0" y="0"/>
                                </a:lnTo>
                                <a:lnTo>
                                  <a:pt x="0" y="22707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1602311" name="Shape 1076"/>
                        <wps:cNvSpPr>
                          <a:spLocks/>
                        </wps:cNvSpPr>
                        <wps:spPr bwMode="auto">
                          <a:xfrm>
                            <a:off x="2743" y="8168"/>
                            <a:ext cx="49484" cy="2652"/>
                          </a:xfrm>
                          <a:custGeom>
                            <a:avLst/>
                            <a:gdLst>
                              <a:gd name="T0" fmla="*/ 442 w 4948428"/>
                              <a:gd name="T1" fmla="*/ 0 h 265176"/>
                              <a:gd name="T2" fmla="*/ 49042 w 4948428"/>
                              <a:gd name="T3" fmla="*/ 0 h 265176"/>
                              <a:gd name="T4" fmla="*/ 49484 w 4948428"/>
                              <a:gd name="T5" fmla="*/ 442 h 265176"/>
                              <a:gd name="T6" fmla="*/ 49484 w 4948428"/>
                              <a:gd name="T7" fmla="*/ 2210 h 265176"/>
                              <a:gd name="T8" fmla="*/ 49042 w 4948428"/>
                              <a:gd name="T9" fmla="*/ 2652 h 265176"/>
                              <a:gd name="T10" fmla="*/ 442 w 4948428"/>
                              <a:gd name="T11" fmla="*/ 2652 h 265176"/>
                              <a:gd name="T12" fmla="*/ 0 w 4948428"/>
                              <a:gd name="T13" fmla="*/ 2210 h 265176"/>
                              <a:gd name="T14" fmla="*/ 0 w 4948428"/>
                              <a:gd name="T15" fmla="*/ 442 h 265176"/>
                              <a:gd name="T16" fmla="*/ 442 w 4948428"/>
                              <a:gd name="T17" fmla="*/ 0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44196" y="0"/>
                                </a:move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ubicBezTo>
                                  <a:pt x="0" y="19812"/>
                                  <a:pt x="19812" y="0"/>
                                  <a:pt x="44196"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086462192" name="Shape 1077"/>
                        <wps:cNvSpPr>
                          <a:spLocks/>
                        </wps:cNvSpPr>
                        <wps:spPr bwMode="auto">
                          <a:xfrm>
                            <a:off x="2743" y="8168"/>
                            <a:ext cx="49484" cy="2652"/>
                          </a:xfrm>
                          <a:custGeom>
                            <a:avLst/>
                            <a:gdLst>
                              <a:gd name="T0" fmla="*/ 0 w 4948428"/>
                              <a:gd name="T1" fmla="*/ 442 h 265176"/>
                              <a:gd name="T2" fmla="*/ 442 w 4948428"/>
                              <a:gd name="T3" fmla="*/ 0 h 265176"/>
                              <a:gd name="T4" fmla="*/ 49042 w 4948428"/>
                              <a:gd name="T5" fmla="*/ 0 h 265176"/>
                              <a:gd name="T6" fmla="*/ 49484 w 4948428"/>
                              <a:gd name="T7" fmla="*/ 442 h 265176"/>
                              <a:gd name="T8" fmla="*/ 49484 w 4948428"/>
                              <a:gd name="T9" fmla="*/ 2210 h 265176"/>
                              <a:gd name="T10" fmla="*/ 49042 w 4948428"/>
                              <a:gd name="T11" fmla="*/ 2652 h 265176"/>
                              <a:gd name="T12" fmla="*/ 442 w 4948428"/>
                              <a:gd name="T13" fmla="*/ 2652 h 265176"/>
                              <a:gd name="T14" fmla="*/ 0 w 4948428"/>
                              <a:gd name="T15" fmla="*/ 2210 h 265176"/>
                              <a:gd name="T16" fmla="*/ 0 w 4948428"/>
                              <a:gd name="T17" fmla="*/ 442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0" y="44196"/>
                                </a:moveTo>
                                <a:cubicBezTo>
                                  <a:pt x="0" y="19812"/>
                                  <a:pt x="19812" y="0"/>
                                  <a:pt x="44196" y="0"/>
                                </a:cubicBez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924521" name="Rectangle 1078"/>
                        <wps:cNvSpPr>
                          <a:spLocks/>
                        </wps:cNvSpPr>
                        <wps:spPr bwMode="auto">
                          <a:xfrm>
                            <a:off x="4321" y="8334"/>
                            <a:ext cx="47440" cy="2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1039D7"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Скорочення несправедливості стосовно здоров’я</w:t>
                              </w:r>
                            </w:p>
                          </w:txbxContent>
                        </wps:txbx>
                        <wps:bodyPr rot="0" vert="horz" wrap="square" lIns="0" tIns="0" rIns="0" bIns="0" anchor="t" anchorCtr="0" upright="1">
                          <a:noAutofit/>
                        </wps:bodyPr>
                      </wps:wsp>
                      <wps:wsp>
                        <wps:cNvPr id="233356722" name="Rectangle 1079"/>
                        <wps:cNvSpPr>
                          <a:spLocks/>
                        </wps:cNvSpPr>
                        <wps:spPr bwMode="auto">
                          <a:xfrm>
                            <a:off x="27296" y="8810"/>
                            <a:ext cx="506" cy="16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EDC34"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w:t>
                              </w:r>
                            </w:p>
                          </w:txbxContent>
                        </wps:txbx>
                        <wps:bodyPr rot="0" vert="horz" wrap="square" lIns="0" tIns="0" rIns="0" bIns="0" anchor="t" anchorCtr="0" upright="1">
                          <a:noAutofit/>
                        </wps:bodyPr>
                      </wps:wsp>
                      <wps:wsp>
                        <wps:cNvPr id="710746706" name="Shape 9248"/>
                        <wps:cNvSpPr>
                          <a:spLocks/>
                        </wps:cNvSpPr>
                        <wps:spPr bwMode="auto">
                          <a:xfrm>
                            <a:off x="0" y="13578"/>
                            <a:ext cx="54894" cy="2256"/>
                          </a:xfrm>
                          <a:custGeom>
                            <a:avLst/>
                            <a:gdLst>
                              <a:gd name="T0" fmla="*/ 0 w 5489448"/>
                              <a:gd name="T1" fmla="*/ 0 h 225552"/>
                              <a:gd name="T2" fmla="*/ 54894 w 5489448"/>
                              <a:gd name="T3" fmla="*/ 0 h 225552"/>
                              <a:gd name="T4" fmla="*/ 54894 w 5489448"/>
                              <a:gd name="T5" fmla="*/ 2256 h 225552"/>
                              <a:gd name="T6" fmla="*/ 0 w 5489448"/>
                              <a:gd name="T7" fmla="*/ 2256 h 225552"/>
                              <a:gd name="T8" fmla="*/ 0 w 5489448"/>
                              <a:gd name="T9" fmla="*/ 0 h 225552"/>
                              <a:gd name="T10" fmla="*/ 0 60000 65536"/>
                              <a:gd name="T11" fmla="*/ 0 60000 65536"/>
                              <a:gd name="T12" fmla="*/ 0 60000 65536"/>
                              <a:gd name="T13" fmla="*/ 0 60000 65536"/>
                              <a:gd name="T14" fmla="*/ 0 60000 65536"/>
                              <a:gd name="T15" fmla="*/ 0 w 5489448"/>
                              <a:gd name="T16" fmla="*/ 0 h 225552"/>
                              <a:gd name="T17" fmla="*/ 5489448 w 5489448"/>
                              <a:gd name="T18" fmla="*/ 225552 h 225552"/>
                            </a:gdLst>
                            <a:ahLst/>
                            <a:cxnLst>
                              <a:cxn ang="T10">
                                <a:pos x="T0" y="T1"/>
                              </a:cxn>
                              <a:cxn ang="T11">
                                <a:pos x="T2" y="T3"/>
                              </a:cxn>
                              <a:cxn ang="T12">
                                <a:pos x="T4" y="T5"/>
                              </a:cxn>
                              <a:cxn ang="T13">
                                <a:pos x="T6" y="T7"/>
                              </a:cxn>
                              <a:cxn ang="T14">
                                <a:pos x="T8" y="T9"/>
                              </a:cxn>
                            </a:cxnLst>
                            <a:rect l="T15" t="T16" r="T17" b="T18"/>
                            <a:pathLst>
                              <a:path w="5489448" h="225552">
                                <a:moveTo>
                                  <a:pt x="0" y="0"/>
                                </a:moveTo>
                                <a:lnTo>
                                  <a:pt x="5489448" y="0"/>
                                </a:lnTo>
                                <a:lnTo>
                                  <a:pt x="5489448" y="225552"/>
                                </a:lnTo>
                                <a:lnTo>
                                  <a:pt x="0" y="225552"/>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040784148" name="Shape 1082"/>
                        <wps:cNvSpPr>
                          <a:spLocks/>
                        </wps:cNvSpPr>
                        <wps:spPr bwMode="auto">
                          <a:xfrm>
                            <a:off x="0" y="13578"/>
                            <a:ext cx="54894" cy="2256"/>
                          </a:xfrm>
                          <a:custGeom>
                            <a:avLst/>
                            <a:gdLst>
                              <a:gd name="T0" fmla="*/ 0 w 5489448"/>
                              <a:gd name="T1" fmla="*/ 2256 h 225552"/>
                              <a:gd name="T2" fmla="*/ 54894 w 5489448"/>
                              <a:gd name="T3" fmla="*/ 2256 h 225552"/>
                              <a:gd name="T4" fmla="*/ 54894 w 5489448"/>
                              <a:gd name="T5" fmla="*/ 0 h 225552"/>
                              <a:gd name="T6" fmla="*/ 0 w 5489448"/>
                              <a:gd name="T7" fmla="*/ 0 h 225552"/>
                              <a:gd name="T8" fmla="*/ 0 w 5489448"/>
                              <a:gd name="T9" fmla="*/ 2256 h 225552"/>
                              <a:gd name="T10" fmla="*/ 0 60000 65536"/>
                              <a:gd name="T11" fmla="*/ 0 60000 65536"/>
                              <a:gd name="T12" fmla="*/ 0 60000 65536"/>
                              <a:gd name="T13" fmla="*/ 0 60000 65536"/>
                              <a:gd name="T14" fmla="*/ 0 60000 65536"/>
                              <a:gd name="T15" fmla="*/ 0 w 5489448"/>
                              <a:gd name="T16" fmla="*/ 0 h 225552"/>
                              <a:gd name="T17" fmla="*/ 5489448 w 5489448"/>
                              <a:gd name="T18" fmla="*/ 225552 h 225552"/>
                            </a:gdLst>
                            <a:ahLst/>
                            <a:cxnLst>
                              <a:cxn ang="T10">
                                <a:pos x="T0" y="T1"/>
                              </a:cxn>
                              <a:cxn ang="T11">
                                <a:pos x="T2" y="T3"/>
                              </a:cxn>
                              <a:cxn ang="T12">
                                <a:pos x="T4" y="T5"/>
                              </a:cxn>
                              <a:cxn ang="T13">
                                <a:pos x="T6" y="T7"/>
                              </a:cxn>
                              <a:cxn ang="T14">
                                <a:pos x="T8" y="T9"/>
                              </a:cxn>
                            </a:cxnLst>
                            <a:rect l="T15" t="T16" r="T17" b="T18"/>
                            <a:pathLst>
                              <a:path w="5489448" h="225552">
                                <a:moveTo>
                                  <a:pt x="0" y="225552"/>
                                </a:moveTo>
                                <a:lnTo>
                                  <a:pt x="5489448" y="225552"/>
                                </a:lnTo>
                                <a:lnTo>
                                  <a:pt x="5489448" y="0"/>
                                </a:lnTo>
                                <a:lnTo>
                                  <a:pt x="0" y="0"/>
                                </a:lnTo>
                                <a:lnTo>
                                  <a:pt x="0" y="225552"/>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4502810" name="Shape 1083"/>
                        <wps:cNvSpPr>
                          <a:spLocks/>
                        </wps:cNvSpPr>
                        <wps:spPr bwMode="auto">
                          <a:xfrm>
                            <a:off x="2743" y="12252"/>
                            <a:ext cx="49484" cy="2652"/>
                          </a:xfrm>
                          <a:custGeom>
                            <a:avLst/>
                            <a:gdLst>
                              <a:gd name="T0" fmla="*/ 442 w 4948428"/>
                              <a:gd name="T1" fmla="*/ 0 h 265176"/>
                              <a:gd name="T2" fmla="*/ 49042 w 4948428"/>
                              <a:gd name="T3" fmla="*/ 0 h 265176"/>
                              <a:gd name="T4" fmla="*/ 49484 w 4948428"/>
                              <a:gd name="T5" fmla="*/ 442 h 265176"/>
                              <a:gd name="T6" fmla="*/ 49484 w 4948428"/>
                              <a:gd name="T7" fmla="*/ 2210 h 265176"/>
                              <a:gd name="T8" fmla="*/ 49042 w 4948428"/>
                              <a:gd name="T9" fmla="*/ 2652 h 265176"/>
                              <a:gd name="T10" fmla="*/ 442 w 4948428"/>
                              <a:gd name="T11" fmla="*/ 2652 h 265176"/>
                              <a:gd name="T12" fmla="*/ 0 w 4948428"/>
                              <a:gd name="T13" fmla="*/ 2210 h 265176"/>
                              <a:gd name="T14" fmla="*/ 0 w 4948428"/>
                              <a:gd name="T15" fmla="*/ 442 h 265176"/>
                              <a:gd name="T16" fmla="*/ 442 w 4948428"/>
                              <a:gd name="T17" fmla="*/ 0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44196" y="0"/>
                                </a:move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ubicBezTo>
                                  <a:pt x="0" y="19812"/>
                                  <a:pt x="19812" y="0"/>
                                  <a:pt x="44196"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2102556331" name="Shape 1084"/>
                        <wps:cNvSpPr>
                          <a:spLocks/>
                        </wps:cNvSpPr>
                        <wps:spPr bwMode="auto">
                          <a:xfrm>
                            <a:off x="2743" y="12252"/>
                            <a:ext cx="49484" cy="2652"/>
                          </a:xfrm>
                          <a:custGeom>
                            <a:avLst/>
                            <a:gdLst>
                              <a:gd name="T0" fmla="*/ 0 w 4948428"/>
                              <a:gd name="T1" fmla="*/ 442 h 265176"/>
                              <a:gd name="T2" fmla="*/ 442 w 4948428"/>
                              <a:gd name="T3" fmla="*/ 0 h 265176"/>
                              <a:gd name="T4" fmla="*/ 49042 w 4948428"/>
                              <a:gd name="T5" fmla="*/ 0 h 265176"/>
                              <a:gd name="T6" fmla="*/ 49484 w 4948428"/>
                              <a:gd name="T7" fmla="*/ 442 h 265176"/>
                              <a:gd name="T8" fmla="*/ 49484 w 4948428"/>
                              <a:gd name="T9" fmla="*/ 2210 h 265176"/>
                              <a:gd name="T10" fmla="*/ 49042 w 4948428"/>
                              <a:gd name="T11" fmla="*/ 2652 h 265176"/>
                              <a:gd name="T12" fmla="*/ 442 w 4948428"/>
                              <a:gd name="T13" fmla="*/ 2652 h 265176"/>
                              <a:gd name="T14" fmla="*/ 0 w 4948428"/>
                              <a:gd name="T15" fmla="*/ 2210 h 265176"/>
                              <a:gd name="T16" fmla="*/ 0 w 4948428"/>
                              <a:gd name="T17" fmla="*/ 442 h 26517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5176"/>
                              <a:gd name="T29" fmla="*/ 4948428 w 4948428"/>
                              <a:gd name="T30" fmla="*/ 265176 h 26517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5176">
                                <a:moveTo>
                                  <a:pt x="0" y="44196"/>
                                </a:moveTo>
                                <a:cubicBezTo>
                                  <a:pt x="0" y="19812"/>
                                  <a:pt x="19812" y="0"/>
                                  <a:pt x="44196" y="0"/>
                                </a:cubicBezTo>
                                <a:lnTo>
                                  <a:pt x="4904232" y="0"/>
                                </a:lnTo>
                                <a:cubicBezTo>
                                  <a:pt x="4928616" y="0"/>
                                  <a:pt x="4948428" y="19812"/>
                                  <a:pt x="4948428" y="44196"/>
                                </a:cubicBezTo>
                                <a:lnTo>
                                  <a:pt x="4948428" y="220980"/>
                                </a:lnTo>
                                <a:cubicBezTo>
                                  <a:pt x="4948428" y="245364"/>
                                  <a:pt x="4928616" y="265176"/>
                                  <a:pt x="4904232" y="265176"/>
                                </a:cubicBezTo>
                                <a:lnTo>
                                  <a:pt x="44196" y="265176"/>
                                </a:lnTo>
                                <a:cubicBezTo>
                                  <a:pt x="19812" y="265176"/>
                                  <a:pt x="0" y="245364"/>
                                  <a:pt x="0" y="220980"/>
                                </a:cubicBezTo>
                                <a:lnTo>
                                  <a:pt x="0" y="4419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3902086" name="Rectangle 1085"/>
                        <wps:cNvSpPr>
                          <a:spLocks/>
                        </wps:cNvSpPr>
                        <wps:spPr bwMode="auto">
                          <a:xfrm>
                            <a:off x="4321" y="12251"/>
                            <a:ext cx="47440" cy="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285FB"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Підвищення рівня здоров’я населення</w:t>
                              </w:r>
                            </w:p>
                          </w:txbxContent>
                        </wps:txbx>
                        <wps:bodyPr rot="0" vert="horz" wrap="square" lIns="0" tIns="0" rIns="0" bIns="0" anchor="t" anchorCtr="0" upright="1">
                          <a:noAutofit/>
                        </wps:bodyPr>
                      </wps:wsp>
                      <wps:wsp>
                        <wps:cNvPr id="1527248668" name="Rectangle 1086"/>
                        <wps:cNvSpPr>
                          <a:spLocks/>
                        </wps:cNvSpPr>
                        <wps:spPr bwMode="auto">
                          <a:xfrm>
                            <a:off x="16777" y="12894"/>
                            <a:ext cx="507" cy="16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E9BF8" w14:textId="77777777" w:rsidR="0017149C" w:rsidRDefault="0017149C">
                              <w:pPr>
                                <w:rPr>
                                  <w:rFonts w:ascii="Times New Roman" w:hAnsi="Times New Roman" w:cs="Times New Roman"/>
                                  <w:sz w:val="28"/>
                                  <w:szCs w:val="28"/>
                                </w:rPr>
                              </w:pPr>
                            </w:p>
                          </w:txbxContent>
                        </wps:txbx>
                        <wps:bodyPr rot="0" vert="horz" wrap="square" lIns="0" tIns="0" rIns="0" bIns="0" anchor="t" anchorCtr="0" upright="1">
                          <a:noAutofit/>
                        </wps:bodyPr>
                      </wps:wsp>
                      <wps:wsp>
                        <wps:cNvPr id="668313611" name="Shape 9249"/>
                        <wps:cNvSpPr>
                          <a:spLocks/>
                        </wps:cNvSpPr>
                        <wps:spPr bwMode="auto">
                          <a:xfrm>
                            <a:off x="0" y="17663"/>
                            <a:ext cx="54894" cy="2255"/>
                          </a:xfrm>
                          <a:custGeom>
                            <a:avLst/>
                            <a:gdLst>
                              <a:gd name="T0" fmla="*/ 0 w 5489448"/>
                              <a:gd name="T1" fmla="*/ 0 h 225552"/>
                              <a:gd name="T2" fmla="*/ 54894 w 5489448"/>
                              <a:gd name="T3" fmla="*/ 0 h 225552"/>
                              <a:gd name="T4" fmla="*/ 54894 w 5489448"/>
                              <a:gd name="T5" fmla="*/ 2255 h 225552"/>
                              <a:gd name="T6" fmla="*/ 0 w 5489448"/>
                              <a:gd name="T7" fmla="*/ 2255 h 225552"/>
                              <a:gd name="T8" fmla="*/ 0 w 5489448"/>
                              <a:gd name="T9" fmla="*/ 0 h 225552"/>
                              <a:gd name="T10" fmla="*/ 0 60000 65536"/>
                              <a:gd name="T11" fmla="*/ 0 60000 65536"/>
                              <a:gd name="T12" fmla="*/ 0 60000 65536"/>
                              <a:gd name="T13" fmla="*/ 0 60000 65536"/>
                              <a:gd name="T14" fmla="*/ 0 60000 65536"/>
                              <a:gd name="T15" fmla="*/ 0 w 5489448"/>
                              <a:gd name="T16" fmla="*/ 0 h 225552"/>
                              <a:gd name="T17" fmla="*/ 5489448 w 5489448"/>
                              <a:gd name="T18" fmla="*/ 225552 h 225552"/>
                            </a:gdLst>
                            <a:ahLst/>
                            <a:cxnLst>
                              <a:cxn ang="T10">
                                <a:pos x="T0" y="T1"/>
                              </a:cxn>
                              <a:cxn ang="T11">
                                <a:pos x="T2" y="T3"/>
                              </a:cxn>
                              <a:cxn ang="T12">
                                <a:pos x="T4" y="T5"/>
                              </a:cxn>
                              <a:cxn ang="T13">
                                <a:pos x="T6" y="T7"/>
                              </a:cxn>
                              <a:cxn ang="T14">
                                <a:pos x="T8" y="T9"/>
                              </a:cxn>
                            </a:cxnLst>
                            <a:rect l="T15" t="T16" r="T17" b="T18"/>
                            <a:pathLst>
                              <a:path w="5489448" h="225552">
                                <a:moveTo>
                                  <a:pt x="0" y="0"/>
                                </a:moveTo>
                                <a:lnTo>
                                  <a:pt x="5489448" y="0"/>
                                </a:lnTo>
                                <a:lnTo>
                                  <a:pt x="5489448" y="225552"/>
                                </a:lnTo>
                                <a:lnTo>
                                  <a:pt x="0" y="225552"/>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022553852" name="Shape 1089"/>
                        <wps:cNvSpPr>
                          <a:spLocks/>
                        </wps:cNvSpPr>
                        <wps:spPr bwMode="auto">
                          <a:xfrm>
                            <a:off x="0" y="17663"/>
                            <a:ext cx="54894" cy="2255"/>
                          </a:xfrm>
                          <a:custGeom>
                            <a:avLst/>
                            <a:gdLst>
                              <a:gd name="T0" fmla="*/ 0 w 5489448"/>
                              <a:gd name="T1" fmla="*/ 2255 h 225552"/>
                              <a:gd name="T2" fmla="*/ 54894 w 5489448"/>
                              <a:gd name="T3" fmla="*/ 2255 h 225552"/>
                              <a:gd name="T4" fmla="*/ 54894 w 5489448"/>
                              <a:gd name="T5" fmla="*/ 0 h 225552"/>
                              <a:gd name="T6" fmla="*/ 0 w 5489448"/>
                              <a:gd name="T7" fmla="*/ 0 h 225552"/>
                              <a:gd name="T8" fmla="*/ 0 w 5489448"/>
                              <a:gd name="T9" fmla="*/ 2255 h 225552"/>
                              <a:gd name="T10" fmla="*/ 0 60000 65536"/>
                              <a:gd name="T11" fmla="*/ 0 60000 65536"/>
                              <a:gd name="T12" fmla="*/ 0 60000 65536"/>
                              <a:gd name="T13" fmla="*/ 0 60000 65536"/>
                              <a:gd name="T14" fmla="*/ 0 60000 65536"/>
                              <a:gd name="T15" fmla="*/ 0 w 5489448"/>
                              <a:gd name="T16" fmla="*/ 0 h 225552"/>
                              <a:gd name="T17" fmla="*/ 5489448 w 5489448"/>
                              <a:gd name="T18" fmla="*/ 225552 h 225552"/>
                            </a:gdLst>
                            <a:ahLst/>
                            <a:cxnLst>
                              <a:cxn ang="T10">
                                <a:pos x="T0" y="T1"/>
                              </a:cxn>
                              <a:cxn ang="T11">
                                <a:pos x="T2" y="T3"/>
                              </a:cxn>
                              <a:cxn ang="T12">
                                <a:pos x="T4" y="T5"/>
                              </a:cxn>
                              <a:cxn ang="T13">
                                <a:pos x="T6" y="T7"/>
                              </a:cxn>
                              <a:cxn ang="T14">
                                <a:pos x="T8" y="T9"/>
                              </a:cxn>
                            </a:cxnLst>
                            <a:rect l="T15" t="T16" r="T17" b="T18"/>
                            <a:pathLst>
                              <a:path w="5489448" h="225552">
                                <a:moveTo>
                                  <a:pt x="0" y="225552"/>
                                </a:moveTo>
                                <a:lnTo>
                                  <a:pt x="5489448" y="225552"/>
                                </a:lnTo>
                                <a:lnTo>
                                  <a:pt x="5489448" y="0"/>
                                </a:lnTo>
                                <a:lnTo>
                                  <a:pt x="0" y="0"/>
                                </a:lnTo>
                                <a:lnTo>
                                  <a:pt x="0" y="225552"/>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0490679" name="Shape 1090"/>
                        <wps:cNvSpPr>
                          <a:spLocks/>
                        </wps:cNvSpPr>
                        <wps:spPr bwMode="auto">
                          <a:xfrm>
                            <a:off x="2743" y="16322"/>
                            <a:ext cx="49484" cy="2667"/>
                          </a:xfrm>
                          <a:custGeom>
                            <a:avLst/>
                            <a:gdLst>
                              <a:gd name="T0" fmla="*/ 444 w 4948428"/>
                              <a:gd name="T1" fmla="*/ 0 h 266700"/>
                              <a:gd name="T2" fmla="*/ 49040 w 4948428"/>
                              <a:gd name="T3" fmla="*/ 0 h 266700"/>
                              <a:gd name="T4" fmla="*/ 49484 w 4948428"/>
                              <a:gd name="T5" fmla="*/ 445 h 266700"/>
                              <a:gd name="T6" fmla="*/ 49484 w 4948428"/>
                              <a:gd name="T7" fmla="*/ 2223 h 266700"/>
                              <a:gd name="T8" fmla="*/ 49040 w 4948428"/>
                              <a:gd name="T9" fmla="*/ 2667 h 266700"/>
                              <a:gd name="T10" fmla="*/ 444 w 4948428"/>
                              <a:gd name="T11" fmla="*/ 2667 h 266700"/>
                              <a:gd name="T12" fmla="*/ 0 w 4948428"/>
                              <a:gd name="T13" fmla="*/ 2223 h 266700"/>
                              <a:gd name="T14" fmla="*/ 0 w 4948428"/>
                              <a:gd name="T15" fmla="*/ 445 h 266700"/>
                              <a:gd name="T16" fmla="*/ 444 w 4948428"/>
                              <a:gd name="T17" fmla="*/ 0 h 2667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6700"/>
                              <a:gd name="T29" fmla="*/ 4948428 w 4948428"/>
                              <a:gd name="T30" fmla="*/ 266700 h 2667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6700">
                                <a:moveTo>
                                  <a:pt x="44450" y="0"/>
                                </a:moveTo>
                                <a:lnTo>
                                  <a:pt x="4903978" y="0"/>
                                </a:lnTo>
                                <a:cubicBezTo>
                                  <a:pt x="4928489" y="0"/>
                                  <a:pt x="4948428" y="19939"/>
                                  <a:pt x="4948428" y="44450"/>
                                </a:cubicBezTo>
                                <a:lnTo>
                                  <a:pt x="4948428" y="222250"/>
                                </a:lnTo>
                                <a:cubicBezTo>
                                  <a:pt x="4948428" y="246761"/>
                                  <a:pt x="4928489" y="266700"/>
                                  <a:pt x="4903978" y="266700"/>
                                </a:cubicBezTo>
                                <a:lnTo>
                                  <a:pt x="44450" y="266700"/>
                                </a:lnTo>
                                <a:cubicBezTo>
                                  <a:pt x="19939" y="266700"/>
                                  <a:pt x="0" y="246761"/>
                                  <a:pt x="0" y="222250"/>
                                </a:cubicBezTo>
                                <a:lnTo>
                                  <a:pt x="0" y="44450"/>
                                </a:lnTo>
                                <a:cubicBezTo>
                                  <a:pt x="0" y="19939"/>
                                  <a:pt x="19939" y="0"/>
                                  <a:pt x="44450"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927690806" name="Shape 1091"/>
                        <wps:cNvSpPr>
                          <a:spLocks/>
                        </wps:cNvSpPr>
                        <wps:spPr bwMode="auto">
                          <a:xfrm>
                            <a:off x="2743" y="16322"/>
                            <a:ext cx="49484" cy="2667"/>
                          </a:xfrm>
                          <a:custGeom>
                            <a:avLst/>
                            <a:gdLst>
                              <a:gd name="T0" fmla="*/ 0 w 4948428"/>
                              <a:gd name="T1" fmla="*/ 445 h 266700"/>
                              <a:gd name="T2" fmla="*/ 444 w 4948428"/>
                              <a:gd name="T3" fmla="*/ 0 h 266700"/>
                              <a:gd name="T4" fmla="*/ 49040 w 4948428"/>
                              <a:gd name="T5" fmla="*/ 0 h 266700"/>
                              <a:gd name="T6" fmla="*/ 49484 w 4948428"/>
                              <a:gd name="T7" fmla="*/ 445 h 266700"/>
                              <a:gd name="T8" fmla="*/ 49484 w 4948428"/>
                              <a:gd name="T9" fmla="*/ 2223 h 266700"/>
                              <a:gd name="T10" fmla="*/ 49040 w 4948428"/>
                              <a:gd name="T11" fmla="*/ 2667 h 266700"/>
                              <a:gd name="T12" fmla="*/ 444 w 4948428"/>
                              <a:gd name="T13" fmla="*/ 2667 h 266700"/>
                              <a:gd name="T14" fmla="*/ 0 w 4948428"/>
                              <a:gd name="T15" fmla="*/ 2223 h 266700"/>
                              <a:gd name="T16" fmla="*/ 0 w 4948428"/>
                              <a:gd name="T17" fmla="*/ 445 h 2667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48428"/>
                              <a:gd name="T28" fmla="*/ 0 h 266700"/>
                              <a:gd name="T29" fmla="*/ 4948428 w 4948428"/>
                              <a:gd name="T30" fmla="*/ 266700 h 2667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48428" h="266700">
                                <a:moveTo>
                                  <a:pt x="0" y="44450"/>
                                </a:moveTo>
                                <a:cubicBezTo>
                                  <a:pt x="0" y="19939"/>
                                  <a:pt x="19939" y="0"/>
                                  <a:pt x="44450" y="0"/>
                                </a:cubicBezTo>
                                <a:lnTo>
                                  <a:pt x="4903978" y="0"/>
                                </a:lnTo>
                                <a:cubicBezTo>
                                  <a:pt x="4928489" y="0"/>
                                  <a:pt x="4948428" y="19939"/>
                                  <a:pt x="4948428" y="44450"/>
                                </a:cubicBezTo>
                                <a:lnTo>
                                  <a:pt x="4948428" y="222250"/>
                                </a:lnTo>
                                <a:cubicBezTo>
                                  <a:pt x="4948428" y="246761"/>
                                  <a:pt x="4928489" y="266700"/>
                                  <a:pt x="4903978" y="266700"/>
                                </a:cubicBezTo>
                                <a:lnTo>
                                  <a:pt x="44450" y="266700"/>
                                </a:lnTo>
                                <a:cubicBezTo>
                                  <a:pt x="19939" y="266700"/>
                                  <a:pt x="0" y="246761"/>
                                  <a:pt x="0" y="222250"/>
                                </a:cubicBezTo>
                                <a:lnTo>
                                  <a:pt x="0" y="44450"/>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7228926" name="Rectangle 1092"/>
                        <wps:cNvSpPr>
                          <a:spLocks/>
                        </wps:cNvSpPr>
                        <wps:spPr bwMode="auto">
                          <a:xfrm>
                            <a:off x="4323" y="17200"/>
                            <a:ext cx="36622"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B39DF"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Інвестування в здоров`я на всіх етапах життя населення </w:t>
                              </w:r>
                            </w:p>
                          </w:txbxContent>
                        </wps:txbx>
                        <wps:bodyPr rot="0" vert="horz" wrap="square" lIns="0" tIns="0" rIns="0" bIns="0" anchor="t" anchorCtr="0" upright="1">
                          <a:noAutofit/>
                        </wps:bodyPr>
                      </wps:wsp>
                      <wps:wsp>
                        <wps:cNvPr id="2096579142" name="Shape 9250"/>
                        <wps:cNvSpPr>
                          <a:spLocks/>
                        </wps:cNvSpPr>
                        <wps:spPr bwMode="auto">
                          <a:xfrm>
                            <a:off x="0" y="21732"/>
                            <a:ext cx="54894" cy="2271"/>
                          </a:xfrm>
                          <a:custGeom>
                            <a:avLst/>
                            <a:gdLst>
                              <a:gd name="T0" fmla="*/ 0 w 5489448"/>
                              <a:gd name="T1" fmla="*/ 0 h 227076"/>
                              <a:gd name="T2" fmla="*/ 54894 w 5489448"/>
                              <a:gd name="T3" fmla="*/ 0 h 227076"/>
                              <a:gd name="T4" fmla="*/ 54894 w 5489448"/>
                              <a:gd name="T5" fmla="*/ 2271 h 227076"/>
                              <a:gd name="T6" fmla="*/ 0 w 5489448"/>
                              <a:gd name="T7" fmla="*/ 2271 h 227076"/>
                              <a:gd name="T8" fmla="*/ 0 w 5489448"/>
                              <a:gd name="T9" fmla="*/ 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0"/>
                                </a:moveTo>
                                <a:lnTo>
                                  <a:pt x="5489448" y="0"/>
                                </a:lnTo>
                                <a:lnTo>
                                  <a:pt x="5489448" y="227076"/>
                                </a:lnTo>
                                <a:lnTo>
                                  <a:pt x="0" y="227076"/>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452833773" name="Shape 1094"/>
                        <wps:cNvSpPr>
                          <a:spLocks/>
                        </wps:cNvSpPr>
                        <wps:spPr bwMode="auto">
                          <a:xfrm>
                            <a:off x="0" y="21732"/>
                            <a:ext cx="54894" cy="2271"/>
                          </a:xfrm>
                          <a:custGeom>
                            <a:avLst/>
                            <a:gdLst>
                              <a:gd name="T0" fmla="*/ 0 w 5489448"/>
                              <a:gd name="T1" fmla="*/ 2271 h 227076"/>
                              <a:gd name="T2" fmla="*/ 54894 w 5489448"/>
                              <a:gd name="T3" fmla="*/ 2271 h 227076"/>
                              <a:gd name="T4" fmla="*/ 54894 w 5489448"/>
                              <a:gd name="T5" fmla="*/ 0 h 227076"/>
                              <a:gd name="T6" fmla="*/ 0 w 5489448"/>
                              <a:gd name="T7" fmla="*/ 0 h 227076"/>
                              <a:gd name="T8" fmla="*/ 0 w 5489448"/>
                              <a:gd name="T9" fmla="*/ 2271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227076"/>
                                </a:moveTo>
                                <a:lnTo>
                                  <a:pt x="5489448" y="227076"/>
                                </a:lnTo>
                                <a:lnTo>
                                  <a:pt x="5489448" y="0"/>
                                </a:lnTo>
                                <a:lnTo>
                                  <a:pt x="0" y="0"/>
                                </a:lnTo>
                                <a:lnTo>
                                  <a:pt x="0" y="22707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08988" name="Shape 1095"/>
                        <wps:cNvSpPr>
                          <a:spLocks/>
                        </wps:cNvSpPr>
                        <wps:spPr bwMode="auto">
                          <a:xfrm>
                            <a:off x="2743" y="20406"/>
                            <a:ext cx="49865" cy="2667"/>
                          </a:xfrm>
                          <a:custGeom>
                            <a:avLst/>
                            <a:gdLst>
                              <a:gd name="T0" fmla="*/ 444 w 4986528"/>
                              <a:gd name="T1" fmla="*/ 0 h 266700"/>
                              <a:gd name="T2" fmla="*/ 49421 w 4986528"/>
                              <a:gd name="T3" fmla="*/ 0 h 266700"/>
                              <a:gd name="T4" fmla="*/ 49865 w 4986528"/>
                              <a:gd name="T5" fmla="*/ 445 h 266700"/>
                              <a:gd name="T6" fmla="*/ 49865 w 4986528"/>
                              <a:gd name="T7" fmla="*/ 2223 h 266700"/>
                              <a:gd name="T8" fmla="*/ 49421 w 4986528"/>
                              <a:gd name="T9" fmla="*/ 2667 h 266700"/>
                              <a:gd name="T10" fmla="*/ 444 w 4986528"/>
                              <a:gd name="T11" fmla="*/ 2667 h 266700"/>
                              <a:gd name="T12" fmla="*/ 0 w 4986528"/>
                              <a:gd name="T13" fmla="*/ 2223 h 266700"/>
                              <a:gd name="T14" fmla="*/ 0 w 4986528"/>
                              <a:gd name="T15" fmla="*/ 445 h 266700"/>
                              <a:gd name="T16" fmla="*/ 444 w 4986528"/>
                              <a:gd name="T17" fmla="*/ 0 h 2667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86528"/>
                              <a:gd name="T28" fmla="*/ 0 h 266700"/>
                              <a:gd name="T29" fmla="*/ 4986528 w 4986528"/>
                              <a:gd name="T30" fmla="*/ 266700 h 2667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86528" h="266700">
                                <a:moveTo>
                                  <a:pt x="44450" y="0"/>
                                </a:moveTo>
                                <a:lnTo>
                                  <a:pt x="4942078" y="0"/>
                                </a:lnTo>
                                <a:cubicBezTo>
                                  <a:pt x="4966589" y="0"/>
                                  <a:pt x="4986528" y="19939"/>
                                  <a:pt x="4986528" y="44450"/>
                                </a:cubicBezTo>
                                <a:lnTo>
                                  <a:pt x="4986528" y="222250"/>
                                </a:lnTo>
                                <a:cubicBezTo>
                                  <a:pt x="4986528" y="246761"/>
                                  <a:pt x="4966589" y="266700"/>
                                  <a:pt x="4942078" y="266700"/>
                                </a:cubicBezTo>
                                <a:lnTo>
                                  <a:pt x="44450" y="266700"/>
                                </a:lnTo>
                                <a:cubicBezTo>
                                  <a:pt x="19939" y="266700"/>
                                  <a:pt x="0" y="246761"/>
                                  <a:pt x="0" y="222250"/>
                                </a:cubicBezTo>
                                <a:lnTo>
                                  <a:pt x="0" y="44450"/>
                                </a:lnTo>
                                <a:cubicBezTo>
                                  <a:pt x="0" y="19939"/>
                                  <a:pt x="19939" y="0"/>
                                  <a:pt x="44450"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924415446" name="Shape 1096"/>
                        <wps:cNvSpPr>
                          <a:spLocks/>
                        </wps:cNvSpPr>
                        <wps:spPr bwMode="auto">
                          <a:xfrm>
                            <a:off x="2743" y="20406"/>
                            <a:ext cx="49865" cy="2667"/>
                          </a:xfrm>
                          <a:custGeom>
                            <a:avLst/>
                            <a:gdLst>
                              <a:gd name="T0" fmla="*/ 0 w 4986528"/>
                              <a:gd name="T1" fmla="*/ 445 h 266700"/>
                              <a:gd name="T2" fmla="*/ 444 w 4986528"/>
                              <a:gd name="T3" fmla="*/ 0 h 266700"/>
                              <a:gd name="T4" fmla="*/ 49421 w 4986528"/>
                              <a:gd name="T5" fmla="*/ 0 h 266700"/>
                              <a:gd name="T6" fmla="*/ 49865 w 4986528"/>
                              <a:gd name="T7" fmla="*/ 445 h 266700"/>
                              <a:gd name="T8" fmla="*/ 49865 w 4986528"/>
                              <a:gd name="T9" fmla="*/ 2223 h 266700"/>
                              <a:gd name="T10" fmla="*/ 49421 w 4986528"/>
                              <a:gd name="T11" fmla="*/ 2667 h 266700"/>
                              <a:gd name="T12" fmla="*/ 444 w 4986528"/>
                              <a:gd name="T13" fmla="*/ 2667 h 266700"/>
                              <a:gd name="T14" fmla="*/ 0 w 4986528"/>
                              <a:gd name="T15" fmla="*/ 2223 h 266700"/>
                              <a:gd name="T16" fmla="*/ 0 w 4986528"/>
                              <a:gd name="T17" fmla="*/ 445 h 2667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86528"/>
                              <a:gd name="T28" fmla="*/ 0 h 266700"/>
                              <a:gd name="T29" fmla="*/ 4986528 w 4986528"/>
                              <a:gd name="T30" fmla="*/ 266700 h 2667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86528" h="266700">
                                <a:moveTo>
                                  <a:pt x="0" y="44450"/>
                                </a:moveTo>
                                <a:cubicBezTo>
                                  <a:pt x="0" y="19939"/>
                                  <a:pt x="19939" y="0"/>
                                  <a:pt x="44450" y="0"/>
                                </a:cubicBezTo>
                                <a:lnTo>
                                  <a:pt x="4942078" y="0"/>
                                </a:lnTo>
                                <a:cubicBezTo>
                                  <a:pt x="4966589" y="0"/>
                                  <a:pt x="4986528" y="19939"/>
                                  <a:pt x="4986528" y="44450"/>
                                </a:cubicBezTo>
                                <a:lnTo>
                                  <a:pt x="4986528" y="222250"/>
                                </a:lnTo>
                                <a:cubicBezTo>
                                  <a:pt x="4986528" y="246761"/>
                                  <a:pt x="4966589" y="266700"/>
                                  <a:pt x="4942078" y="266700"/>
                                </a:cubicBezTo>
                                <a:lnTo>
                                  <a:pt x="44450" y="266700"/>
                                </a:lnTo>
                                <a:cubicBezTo>
                                  <a:pt x="19939" y="266700"/>
                                  <a:pt x="0" y="246761"/>
                                  <a:pt x="0" y="222250"/>
                                </a:cubicBezTo>
                                <a:lnTo>
                                  <a:pt x="0" y="44450"/>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0316433" name="Rectangle 1097"/>
                        <wps:cNvSpPr>
                          <a:spLocks/>
                        </wps:cNvSpPr>
                        <wps:spPr bwMode="auto">
                          <a:xfrm>
                            <a:off x="4323" y="21285"/>
                            <a:ext cx="44833"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1CBCC"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Зміцнення системи охорони здоров’я з орієнтацією на потреби людей</w:t>
                              </w:r>
                            </w:p>
                          </w:txbxContent>
                        </wps:txbx>
                        <wps:bodyPr rot="0" vert="horz" wrap="square" lIns="0" tIns="0" rIns="0" bIns="0" anchor="t" anchorCtr="0" upright="1">
                          <a:noAutofit/>
                        </wps:bodyPr>
                      </wps:wsp>
                      <wps:wsp>
                        <wps:cNvPr id="1000859141" name="Shape 9251"/>
                        <wps:cNvSpPr>
                          <a:spLocks/>
                        </wps:cNvSpPr>
                        <wps:spPr bwMode="auto">
                          <a:xfrm>
                            <a:off x="0" y="25816"/>
                            <a:ext cx="54894" cy="2271"/>
                          </a:xfrm>
                          <a:custGeom>
                            <a:avLst/>
                            <a:gdLst>
                              <a:gd name="T0" fmla="*/ 0 w 5489448"/>
                              <a:gd name="T1" fmla="*/ 0 h 227076"/>
                              <a:gd name="T2" fmla="*/ 54894 w 5489448"/>
                              <a:gd name="T3" fmla="*/ 0 h 227076"/>
                              <a:gd name="T4" fmla="*/ 54894 w 5489448"/>
                              <a:gd name="T5" fmla="*/ 2271 h 227076"/>
                              <a:gd name="T6" fmla="*/ 0 w 5489448"/>
                              <a:gd name="T7" fmla="*/ 2271 h 227076"/>
                              <a:gd name="T8" fmla="*/ 0 w 5489448"/>
                              <a:gd name="T9" fmla="*/ 0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0"/>
                                </a:moveTo>
                                <a:lnTo>
                                  <a:pt x="5489448" y="0"/>
                                </a:lnTo>
                                <a:lnTo>
                                  <a:pt x="5489448" y="227076"/>
                                </a:lnTo>
                                <a:lnTo>
                                  <a:pt x="0" y="227076"/>
                                </a:lnTo>
                                <a:lnTo>
                                  <a:pt x="0" y="0"/>
                                </a:lnTo>
                              </a:path>
                            </a:pathLst>
                          </a:custGeom>
                          <a:solidFill>
                            <a:srgbClr val="CBCBCB">
                              <a:alpha val="90195"/>
                            </a:srgbClr>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95399964" name="Shape 1099"/>
                        <wps:cNvSpPr>
                          <a:spLocks/>
                        </wps:cNvSpPr>
                        <wps:spPr bwMode="auto">
                          <a:xfrm>
                            <a:off x="0" y="25816"/>
                            <a:ext cx="54894" cy="2271"/>
                          </a:xfrm>
                          <a:custGeom>
                            <a:avLst/>
                            <a:gdLst>
                              <a:gd name="T0" fmla="*/ 0 w 5489448"/>
                              <a:gd name="T1" fmla="*/ 2271 h 227076"/>
                              <a:gd name="T2" fmla="*/ 54894 w 5489448"/>
                              <a:gd name="T3" fmla="*/ 2271 h 227076"/>
                              <a:gd name="T4" fmla="*/ 54894 w 5489448"/>
                              <a:gd name="T5" fmla="*/ 0 h 227076"/>
                              <a:gd name="T6" fmla="*/ 0 w 5489448"/>
                              <a:gd name="T7" fmla="*/ 0 h 227076"/>
                              <a:gd name="T8" fmla="*/ 0 w 5489448"/>
                              <a:gd name="T9" fmla="*/ 2271 h 227076"/>
                              <a:gd name="T10" fmla="*/ 0 60000 65536"/>
                              <a:gd name="T11" fmla="*/ 0 60000 65536"/>
                              <a:gd name="T12" fmla="*/ 0 60000 65536"/>
                              <a:gd name="T13" fmla="*/ 0 60000 65536"/>
                              <a:gd name="T14" fmla="*/ 0 60000 65536"/>
                              <a:gd name="T15" fmla="*/ 0 w 5489448"/>
                              <a:gd name="T16" fmla="*/ 0 h 227076"/>
                              <a:gd name="T17" fmla="*/ 5489448 w 5489448"/>
                              <a:gd name="T18" fmla="*/ 227076 h 227076"/>
                            </a:gdLst>
                            <a:ahLst/>
                            <a:cxnLst>
                              <a:cxn ang="T10">
                                <a:pos x="T0" y="T1"/>
                              </a:cxn>
                              <a:cxn ang="T11">
                                <a:pos x="T2" y="T3"/>
                              </a:cxn>
                              <a:cxn ang="T12">
                                <a:pos x="T4" y="T5"/>
                              </a:cxn>
                              <a:cxn ang="T13">
                                <a:pos x="T6" y="T7"/>
                              </a:cxn>
                              <a:cxn ang="T14">
                                <a:pos x="T8" y="T9"/>
                              </a:cxn>
                            </a:cxnLst>
                            <a:rect l="T15" t="T16" r="T17" b="T18"/>
                            <a:pathLst>
                              <a:path w="5489448" h="227076">
                                <a:moveTo>
                                  <a:pt x="0" y="227076"/>
                                </a:moveTo>
                                <a:lnTo>
                                  <a:pt x="5489448" y="227076"/>
                                </a:lnTo>
                                <a:lnTo>
                                  <a:pt x="5489448" y="0"/>
                                </a:lnTo>
                                <a:lnTo>
                                  <a:pt x="0" y="0"/>
                                </a:lnTo>
                                <a:lnTo>
                                  <a:pt x="0" y="22707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761302" name="Shape 1100"/>
                        <wps:cNvSpPr>
                          <a:spLocks/>
                        </wps:cNvSpPr>
                        <wps:spPr bwMode="auto">
                          <a:xfrm>
                            <a:off x="2743" y="24490"/>
                            <a:ext cx="49286" cy="2652"/>
                          </a:xfrm>
                          <a:custGeom>
                            <a:avLst/>
                            <a:gdLst>
                              <a:gd name="T0" fmla="*/ 442 w 4928616"/>
                              <a:gd name="T1" fmla="*/ 0 h 265175"/>
                              <a:gd name="T2" fmla="*/ 48844 w 4928616"/>
                              <a:gd name="T3" fmla="*/ 0 h 265175"/>
                              <a:gd name="T4" fmla="*/ 49286 w 4928616"/>
                              <a:gd name="T5" fmla="*/ 442 h 265175"/>
                              <a:gd name="T6" fmla="*/ 49286 w 4928616"/>
                              <a:gd name="T7" fmla="*/ 2210 h 265175"/>
                              <a:gd name="T8" fmla="*/ 48844 w 4928616"/>
                              <a:gd name="T9" fmla="*/ 2652 h 265175"/>
                              <a:gd name="T10" fmla="*/ 442 w 4928616"/>
                              <a:gd name="T11" fmla="*/ 2652 h 265175"/>
                              <a:gd name="T12" fmla="*/ 0 w 4928616"/>
                              <a:gd name="T13" fmla="*/ 2210 h 265175"/>
                              <a:gd name="T14" fmla="*/ 0 w 4928616"/>
                              <a:gd name="T15" fmla="*/ 442 h 265175"/>
                              <a:gd name="T16" fmla="*/ 442 w 4928616"/>
                              <a:gd name="T17" fmla="*/ 0 h 265175"/>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28616"/>
                              <a:gd name="T28" fmla="*/ 0 h 265175"/>
                              <a:gd name="T29" fmla="*/ 4928616 w 4928616"/>
                              <a:gd name="T30" fmla="*/ 265175 h 265175"/>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28616" h="265175">
                                <a:moveTo>
                                  <a:pt x="44196" y="0"/>
                                </a:moveTo>
                                <a:lnTo>
                                  <a:pt x="4884420" y="0"/>
                                </a:lnTo>
                                <a:cubicBezTo>
                                  <a:pt x="4908804" y="0"/>
                                  <a:pt x="4928616" y="19811"/>
                                  <a:pt x="4928616" y="44196"/>
                                </a:cubicBezTo>
                                <a:lnTo>
                                  <a:pt x="4928616" y="220980"/>
                                </a:lnTo>
                                <a:cubicBezTo>
                                  <a:pt x="4928616" y="245363"/>
                                  <a:pt x="4908804" y="265175"/>
                                  <a:pt x="4884420" y="265175"/>
                                </a:cubicBezTo>
                                <a:lnTo>
                                  <a:pt x="44196" y="265175"/>
                                </a:lnTo>
                                <a:cubicBezTo>
                                  <a:pt x="19812" y="265175"/>
                                  <a:pt x="0" y="245363"/>
                                  <a:pt x="0" y="220980"/>
                                </a:cubicBezTo>
                                <a:lnTo>
                                  <a:pt x="0" y="44196"/>
                                </a:lnTo>
                                <a:cubicBezTo>
                                  <a:pt x="0" y="19811"/>
                                  <a:pt x="19812" y="0"/>
                                  <a:pt x="44196" y="0"/>
                                </a:cubicBezTo>
                                <a:close/>
                              </a:path>
                            </a:pathLst>
                          </a:cu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bodyPr rot="0" vert="horz" wrap="square" lIns="91440" tIns="45720" rIns="91440" bIns="45720" anchor="t" anchorCtr="0" upright="1">
                          <a:noAutofit/>
                        </wps:bodyPr>
                      </wps:wsp>
                      <wps:wsp>
                        <wps:cNvPr id="14861899" name="Shape 1101"/>
                        <wps:cNvSpPr>
                          <a:spLocks/>
                        </wps:cNvSpPr>
                        <wps:spPr bwMode="auto">
                          <a:xfrm>
                            <a:off x="2743" y="24490"/>
                            <a:ext cx="49286" cy="2652"/>
                          </a:xfrm>
                          <a:custGeom>
                            <a:avLst/>
                            <a:gdLst>
                              <a:gd name="T0" fmla="*/ 0 w 4928616"/>
                              <a:gd name="T1" fmla="*/ 442 h 265175"/>
                              <a:gd name="T2" fmla="*/ 442 w 4928616"/>
                              <a:gd name="T3" fmla="*/ 0 h 265175"/>
                              <a:gd name="T4" fmla="*/ 48844 w 4928616"/>
                              <a:gd name="T5" fmla="*/ 0 h 265175"/>
                              <a:gd name="T6" fmla="*/ 49286 w 4928616"/>
                              <a:gd name="T7" fmla="*/ 442 h 265175"/>
                              <a:gd name="T8" fmla="*/ 49286 w 4928616"/>
                              <a:gd name="T9" fmla="*/ 2210 h 265175"/>
                              <a:gd name="T10" fmla="*/ 48844 w 4928616"/>
                              <a:gd name="T11" fmla="*/ 2652 h 265175"/>
                              <a:gd name="T12" fmla="*/ 442 w 4928616"/>
                              <a:gd name="T13" fmla="*/ 2652 h 265175"/>
                              <a:gd name="T14" fmla="*/ 0 w 4928616"/>
                              <a:gd name="T15" fmla="*/ 2210 h 265175"/>
                              <a:gd name="T16" fmla="*/ 0 w 4928616"/>
                              <a:gd name="T17" fmla="*/ 442 h 265175"/>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4928616"/>
                              <a:gd name="T28" fmla="*/ 0 h 265175"/>
                              <a:gd name="T29" fmla="*/ 4928616 w 4928616"/>
                              <a:gd name="T30" fmla="*/ 265175 h 265175"/>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4928616" h="265175">
                                <a:moveTo>
                                  <a:pt x="0" y="44196"/>
                                </a:moveTo>
                                <a:cubicBezTo>
                                  <a:pt x="0" y="19811"/>
                                  <a:pt x="19812" y="0"/>
                                  <a:pt x="44196" y="0"/>
                                </a:cubicBezTo>
                                <a:lnTo>
                                  <a:pt x="4884420" y="0"/>
                                </a:lnTo>
                                <a:cubicBezTo>
                                  <a:pt x="4908804" y="0"/>
                                  <a:pt x="4928616" y="19811"/>
                                  <a:pt x="4928616" y="44196"/>
                                </a:cubicBezTo>
                                <a:lnTo>
                                  <a:pt x="4928616" y="220980"/>
                                </a:lnTo>
                                <a:cubicBezTo>
                                  <a:pt x="4928616" y="245363"/>
                                  <a:pt x="4908804" y="265175"/>
                                  <a:pt x="4884420" y="265175"/>
                                </a:cubicBezTo>
                                <a:lnTo>
                                  <a:pt x="44196" y="265175"/>
                                </a:lnTo>
                                <a:cubicBezTo>
                                  <a:pt x="19812" y="265175"/>
                                  <a:pt x="0" y="245363"/>
                                  <a:pt x="0" y="220980"/>
                                </a:cubicBezTo>
                                <a:lnTo>
                                  <a:pt x="0" y="44196"/>
                                </a:lnTo>
                                <a:close/>
                              </a:path>
                            </a:pathLst>
                          </a:custGeom>
                          <a:noFill/>
                          <a:ln w="2590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178690" name="Rectangle 1102"/>
                        <wps:cNvSpPr>
                          <a:spLocks/>
                        </wps:cNvSpPr>
                        <wps:spPr bwMode="auto">
                          <a:xfrm>
                            <a:off x="4322" y="25359"/>
                            <a:ext cx="39480" cy="2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805EBE"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Загальне охоплення та право на здоров’я</w:t>
                              </w:r>
                            </w:p>
                          </w:txbxContent>
                        </wps:txbx>
                        <wps:bodyPr rot="0" vert="horz" wrap="square" lIns="0" tIns="0" rIns="0" bIns="0" anchor="t" anchorCtr="0" upright="1">
                          <a:noAutofit/>
                        </wps:bodyPr>
                      </wps:wsp>
                      <wps:wsp>
                        <wps:cNvPr id="1677163169" name="Rectangle 1103"/>
                        <wps:cNvSpPr>
                          <a:spLocks/>
                        </wps:cNvSpPr>
                        <wps:spPr bwMode="auto">
                          <a:xfrm>
                            <a:off x="23879" y="25138"/>
                            <a:ext cx="508" cy="1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6FF4C3" w14:textId="77777777" w:rsidR="0017149C" w:rsidRDefault="0017149C">
                              <w:pPr>
                                <w:rPr>
                                  <w:rFonts w:ascii="Times New Roman" w:hAnsi="Times New Roman" w:cs="Times New Roman"/>
                                  <w:sz w:val="28"/>
                                  <w:szCs w:val="28"/>
                                </w:rPr>
                              </w:pPr>
                            </w:p>
                          </w:txbxContent>
                        </wps:txbx>
                        <wps:bodyPr rot="0" vert="horz" wrap="square" lIns="0" tIns="0" rIns="0" bIns="0" anchor="t" anchorCtr="0" upright="1">
                          <a:noAutofit/>
                        </wps:bodyPr>
                      </wps:wsp>
                    </wpg:wgp>
                  </a:graphicData>
                </a:graphic>
              </wp:inline>
            </w:drawing>
          </mc:Choice>
          <mc:Fallback>
            <w:pict>
              <v:group w14:anchorId="5473C339" id="Группа 7" o:spid="_x0000_s1026" style="width:467.95pt;height:302.25pt;mso-position-horizontal-relative:char;mso-position-vertical-relative:line" coordsize="54894,2808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eF5fJR0AADEvAQAOAAAAZHJzL2Uyb0RvYy54bWzsXe1u60aS/b/AvoOgnwNsLH6IFI04g+Tm&#13;&#10;AwNkZgcb7wPIsmwJI0saSb528vRzqptNVpHskqwrOfZ13wCxbBWL3V3NrjpVp5vf/vX5YdH7PN1s&#13;&#10;56vlVT/6ZtDvTZeT1e18eX/V///rn/9n1O9td+Pl7XixWk6v+r9Pt/2/fvff//Xt0/pyGq9mq8Xt&#13;&#10;dNODkuX28ml91Z/tduvLi4vtZDZ9GG+/Wa2nS3x5t9o8jHf4dXN/cbsZP0H7w+IiHgyyi6fV5na9&#13;&#10;WU2m2y3++qP9sv+d0X93N53s/vfubjvd9RZXfbRtZ/6/Mf+/of9ffPft+PJ+M17P5pOyGeMjWvEw&#13;&#10;ni9x00rVj+PduPe4mbdUPcwnm9V2dbf7ZrJ6uFjd3c0nU9MH9CYaNHrzy2b1uDZ9ub98ul9Xw4Sh&#13;&#10;bYzT0Won//j8y2b92/qfG9t6fPx1NfnXFuNy8bS+v+Tf0+/3Vrh38/T31S3sOX7crUzHn+82D6QC&#13;&#10;Xeo9m/H9vRrf6fOuN8Efh0UaF9mw35vgu2SUjIb50FpgMoOZWtdNZj+5K9NRkdrr4tFglNNVF+NL&#13;&#10;e1PT0LJhZHjMpG09WNsvG6zfZuP11NhgS4Pxz01vfouJXmSDPEcP4n5vOX7AQBi5XhGnpkfUCEi7&#13;&#10;cd3yQWXfkNgWY3/gcEZJXI5XNaJsXOI8EsMyvpw8bne/TFfGLuPPv253drbf4pOx9m3Z9ms8GXcP&#13;&#10;C0z8v1z0Br2n3pDUpqPy6ajEIiE268VxPsizphSGpFJmFPkVJkx00PMphOEPVYi5VYmidZFXZ8YE&#13;&#10;lR7nTEzVh2WuurGirxBivg5H0h7ZAP962XCYtMY6kibRJLlZoE3RKa2iSXLL6Dq5YZTxiaRdvAPE&#13;&#10;7VJOVv8si7hx7JwV8wILyb17JsYz95hMnpflc4JPvTH5s2sYhh6c9WpLaxU9NljIrt1jBzn6lolH&#13;&#10;QhwWIPGkfErb4rEQx+CSuHni0cS2eCLEMXIk7pbGtngqxDEmJF7wxti7lL3ewHeS17yOYDv4zWuy&#13;&#10;DTzndYTBh++8xrCa9WQ93tGgmYHBx94TFvpy/ejNrvrlIkFfP6w+T69XRnDXWOxx6/rbxZJLVcrQ&#13;&#10;XuOwIesk3M+10ccly9taP+HE3E8rbs13sKC8NxpBHTduqBoBGkC25m5Xi/ntz/PFgrq83dzffFps&#13;&#10;ep/HGNRPP9B/xiDjxXo2tn8tBlHhzF2KG/1Cz8JMsuWK9LreGWdtXYl1gDer29/hVjYrG/AgQMOH&#13;&#10;2WrzR7/3hGDnqr/99+N4M+33Fn9bwkEWUZpiNHbml3SYx/hlw7+54d+MlxOouurv+ngs6OOnHX7D&#13;&#10;JY/rzfx+hjvZeb9cfY/o4G5Obgc+entpW1X+Ah/9Ss46zbNkVCQRHijuq6MBQhE07ev31Zjifk/I&#13;&#10;/YJ5gPwLKXcMqk7uF/bolI7Bt+BLt+ANULhb8McT3B0ovoj7arW3wV2XgaPPeuQxquioXKT9syy4&#13;&#10;axNqvFV3LfzlIT5bXOA8sPvZdtzSzdaunvvsQ2Q6bztZrLZT6zX3eu/KxVIbKKqJh8VgZHy2cMjC&#13;&#10;sVNYPXDNE2IP8x0yHYv5w1V/VAmNL2fT8e1Py1u0aXy5G88X9rMJcYJXt0mdbgiOEDNPE4RMLa9u&#13;&#10;UNKpvXqMm5mQ2Rh3fOkQeFqkI7g7ymjE2dBBAZcN4dHgwQg8TWOsjkZxvB+D46Y6Bk+LgaaQO3Xj&#13;&#10;MzsVco9uWuZvIffo1BV4hU6V3KfvUcn9RxwPCq9O7tr39Fu4dzTQq1O4d902HI1Tp/06edRFMYjP&#13;&#10;2tw6as8puq18rKbxUPMIKK53m5vHP4WEX9ezBdw2qiQBFdZrJVcRc9voOqVtNJ3cOrpOaR1NJ7eP&#13;&#10;rpM/QLqkNJB3tmG14aPpe3Bjbp5y4vqncMJNZFcC8VjA1R2afbHO9+DsSyESHvuyL5hKJjNR5nZg&#13;&#10;MMqPODjeSqdgPnFx2ILEvdmXWOZ2urIvPHMUy9wOLUGkHuk+G7y0myPDxajsbeRNNiGTzNtPy4e5&#13;&#10;g7/Dmbyg7DFie9YkSoBUebMqgxRj/lEGieYXZZBoAlEGCVPDxD1V/sTmVCjWcuuhySBZ90HNreNN&#13;&#10;Gw6mKTLxpuUu5qolZIhpvEFih8XJOonJ48188sP0D551Sot4lNEaiFFxzTRJpqpl+CIqRhhp24fW&#13;&#10;l7Zt5eCIO7j7ln2gCIKGBgppiR8d1jx2UYrMcCqbUTeeO193QwQE5VDU35rcFR+HRiurkRaXOKGu&#13;&#10;IbSjY7rFAgAex6Na0mi5nehiGKRqd0Ouho+0+15exaVbRqvbKQ1d9dgZROp8CZYQSEAAhp/Nv/IZ&#13;&#10;EmIh0eevjHZDguEoTvJhTgnrRqLPLFLvGBJoAR3z2Vq4zaMaNZyTQY0vCOABzZ5IW0Y0PoVYaqtI&#13;&#10;zqyx/pCChzNal3k4s0clD2n0OJuHM3s6LqpztGyKwIfiHleAJX9d916Da/DotaSuk5tIm0DcPnrf&#13;&#10;uY00jYcaKECCqugeIIGIKwIkaBaTAyRwcTIVlf2QwEaQPCSsIYEM4M4RFLrw0+oOoAOYrT0U4kmX&#13;&#10;NmmMXxWCi0uckLzU3qcO5utLXBtKcHFG0BHKC4xO8K5JAxEYcEUapcMKTPwfCDGgAS2mPTAHTF7+&#13;&#10;1IAiTZAmYgmHqsaQpymCOVNjiIcm4QC07moM641l+fXow1Wfsi4mU+PqDRB1IpRCEWUt8QcIEuY0&#13;&#10;VA1iJVpqxO755hlJDOrrC1kleNwsowQfLJsEH+ykwIf3xiKJB8koz/KE8k0cXYLyeZaCE4YICaFh&#13;&#10;ityfSTC5yWDq524y5C414SbDUQUnCuXLsry9FwMmDG34GRUcvezhe3D44lfIocsehRK95H6dTfDi&#13;&#10;6THHLlRDJszWyXPl6FIZQY4s/cpEkUlN5gtQqUtys+iS0ioKFmmUmTRJbhhlfESdSRkgbpfSdMq0&#13;&#10;5cax5hN2xFJ3KMKQZQH7VAbKZ6B8liOAmcTXXJHBFYneQPmkbRmvRPmMoniQD4qYsmXcWUf4K7m4&#13;&#10;U0dub89Zq66LO4Y97pV7BlXnkS7bv+If4a/9yrg/UJwRd9Zqb4O/DpzP/jXmPGJ0P0kAyw8vsmNG&#13;&#10;k7iomPOqP4IrLo45S+JvYIuGjaDKImWdTnN5GJt5cfE0NVpc4MTcz7a4QzFOwv20knZxPUSm87Yv&#13;&#10;qdMKcBw4n29tJ0cyzPI4yYq2VzfEmFN79YrzmQ7A8RQo3JQTK9pnMyXDI0KXhmGIo4bXmNoHlv2Y&#13;&#10;oPFyjFFRq+N+fU9tkvt1v0Lu1PdUUDnc04qy3K3vUckhXxxH/mZy776n38LDZ0M/PVV4eLVgLhA5&#13;&#10;ss6KTm4gCkPMAHSQfLl11J438Lhf46HmEXBc7zY3j982ocYbary2FCPYDy/IwATaZ6B9yo3DgfZJ&#13;&#10;MXarjsk5q+3qJy9G19+a/FWgfRrcZSm8Vc3ZIQ5ZZn4JnPBnAwPtszzh50Un13TTPuNBXCQFNuch&#13;&#10;tGwk+0xg/r5hgRYmMlCghdw86lRDOh52+iM6CQrUzWU86vQrPBISaF2WiABceX+wLRCBhjIkItB3&#13;&#10;1R2JCVTrNKmfCs7gJtImELePjjO4jTSNHBRoBgqwIMCCAAvsOUJdiV6eFw7Uz0D9NLWA1tYllz+i&#13;&#10;nDunvMqQVabT+TVio5UTkxfbHLy4KAAP2nWIfDDAUzVogfr5tVA/0yLKo0GSIjC0cIIzP3Ozo/bU&#13;&#10;kKJifqZx3Kw05AUOFLHkzwhhpZ12ju/nmJ1nJH/aAy/pvtTrD80BjejMz8Eoo6NAONIEB/QsOwxt&#13;&#10;5ZOIyLL6ZEqtFQe0OSeOqj5RTO8quKbSVVeV5MkJPjokB5kv4JQYVNjJr+QYZo9CCWOUw86aKMbT&#13;&#10;Yw5iUFP2H57GYaYyghxi+jss8KXO15Qm0ViY3Cy6Tgn+NZ3cMrpObhhlfETRSRkgbpfSdMq05cax&#13;&#10;zIDAAe2CGpQCbh/aEI797OKdYKz2Hhzmz/oGDugrckCzbDgYFDhkXPpqUEDPeOznW/LVqufifmGP&#13;&#10;d+WOQdXJ/cIendIx+GKKI9y133twd6D4Iu6r1d4Gdx0ooIEC6j2q20ZcjSyJy5YECmg49nPf20+6&#13;&#10;i71IzmSDOKH6Gkfg8Opn2YVZUUBHkd3z6zv5M1BAiQcv2awnPupHLVBy7x4ooOZAuWYa51DzCDSu&#13;&#10;V6Q5IDeRVyctOdR6Q6031HpDrTec/CnjX1FUDSd/2o1j7ABUWYiWY2eTc7zm7b6XV/EtZK3yeX1Y&#13;&#10;kOF6unOC2vRiqTNQQN/axrCIinJZHBVIazVgwVkKc68LCyhb5daKZlB3YMjN031qSMeTff6Ijmf6&#13;&#10;9kTbPOr0K+SZPtNVf5d5zKkxDCUiCBTQkkPVnEDcPirCErBAm5KHGijAggALAiwIsOCUsKAdFtbH&#13;&#10;Fcgg7hyBoQtBHWeyPmff7SVyEl1t4du3ZDzq6K9gebZiWBcYBAooXslaB/T1DjcX1dup0d41V/6d&#13;&#10;4y9pHWczPmM6gUeggH4tFNBkBCiRDumlQR0U0HMd/om74QkfJUmD7pfi/E/MUnP+52DUpPu9FgW0&#13;&#10;2kv3oSmgcZKYU0gqoCnIweasnlOTg+M8Ll9yMxqBdGAC+Oo0UNr0SBMD5almCeq1JkbFiP7QEwOU&#13;&#10;8TzN8uYmVCwjZ1kurNeKkmFeviKwmhH07m3HDR66bQqOL35+bvBwaE8o5q+34NmHPcSgVv4h7lLI&#13;&#10;8w97FEp8O8wMB7RLJ09BKPwgjm7jWNHH8w+KPs43suSlrsYFshEjG3UOELeLmRLp6GBuMCkU8wI0&#13;&#10;z3A+LL2B4kzcYGNBOnOhRmc8unZoqf5WxuClfU245GSdhPtp9XFJPK3l2oReOTH3k9/+YEF578AN&#13;&#10;7u/cue6fdnjRH3zU43ozv5/hWHr7usTl6vvH3epuvkMQY86ZtyFD+csrng87SAf5CMf7Y5GW9QIb&#13;&#10;RZ06hHuD3lr1XUc6bFXnkT7b7xOPcNh+ZUd4a7W3wWEHh/0VsYP3OGzhMQ/x2uIC54Pdz7brlo62&#13;&#10;9t7cax8i03nbl5TzwwGxb9qvxxGydoOY0iRNv15lKSb/+PybebvN+HK7/nU1+dfWBSPVN+T+6Q04&#13;&#10;vZunv69up1f9MaIWczazw9Gru7se8s0VDyDCzDL5l8AP9lfuORTXKvfcsb+ADKBWr7l/38NY4Igc&#13;&#10;ZQTlmCXMsgOP7+UbdnWdPPTSquw8UaL2PBwR21M3KVOSv7KiLilto2yRxok9h+rkYbF+d/746JL8&#13;&#10;AdIledZEmW30enI2Rj5iP73YvRIrC5P+5QCvf6+lAxEgEAFOSQRoczh9YSk/F7UZQ8pCsI02Q5le&#13;&#10;xun1SNc1d5Zg6xrCP7dM/8iPu+UIosWtqNtpJoZjEtQ9dvNFdvIlgMJ/WEA4IvaER8RGAyR/sySp&#13;&#10;CvpmdyHe5Glf7HDqfN8r4wLFc/PgRou5eWgTCMK2yF4fgcTjGj3Y5jHNHpwRzoj9y0VPm5OBIBwI&#13;&#10;wgEXBFxwSlyA9blxVmqNC2QUd47IsBE50xniCTwvWuQiSSfR1ZaAPNzolEiselXDO0EegSD8tRCE&#13;&#10;o0GUFIMY2w5doYHzQHHmGGoKpwYVOCQW0TxxPVFsMCxgVmyoKcIJFpXy2B1XrXgtJqjhLVO3PzQT&#13;&#10;NBqCsZuOMhwY08Eex4w5w9yIsjxHLtdMDuJ/4hb15BgO8FVJEjZlMKRnXntqVE/Eh54amBNJlGTN&#13;&#10;04tAEj4Lc9wGO1GeZcbsbEYIkrCxDZsTH54kPBRkUM5klpUV75HJvKxCnAOvPllX8erj+Qc/hylw&#13;&#10;jgLn6ONwjhxiqvGbRAec+utknYT7aXEEl+xkCElxu6oeLCjvHUjC74gkTDbGAcJA6A2S8Efx1qrv&#13;&#10;4iUD8wj591twOoSqk7Mh9uiUdAg6QtjR+7/QYfsd7BHeWu1tcNjBYX8ch10/oHCCh3htcYHzwe5n&#13;&#10;23VLRxtIwobCetRbe4rIbDjf/Y3SdekwjxHybMwv5Tc3/JvxcjJbgRb8bjb/ZKMBSrNZDlQl/Xph&#13;&#10;ptCp83Y1GSBLYo0knJmzyr4UiKep8rJTTgcwfi7DlmXTa+40uWenIrbCL+Ce3a+Qu/U9jF7u1tPU&#13;&#10;IOfONnIkvkelRONxQmi8Uyf373v6zRE5KfPqFD5etw03jq6TG0gxjnxjbKz0/EiSsN884rQwvdvc&#13;&#10;PP4pFMgA75AM0Lm48EfnpSRhUigeNayWh+7UHpkdHOuVLahbFH/tTlPBG5AoZY4fvfHy/qp/HRVC&#13;&#10;HE8ckuvXLn3eEoeLNO+QL7VjwSNxl1lti9v9sK4xWMxI3K3/bfFYaMc6ReIGhWIA2uKJEKcliOSr&#13;&#10;twe2L0jlBWVvsX7Q3piuOwzlBWV/8dIo3wWZvKDscSS6bO/063ZHQ7mZTna9BZodY4HADuJrIqEj&#13;&#10;zLgmlvkNfoI/bsoc9EKm8hr62HtCzOJOzJphj45d6kllHXS6AjJ2C5mxcbFjLSHjTHiDpMBRGzSO&#13;&#10;TtZJ+Er1yLHX8hV31LUMiqIC760v+7Cj7URVs/El1ky0rRxNQVl19y37wBTG+Fdd5MS6m4fzMGk8&#13;&#10;caMYp5ZkZTnRqYxHrvHcUbpv66GovyXTaa00vTG3qzwvLtHaaEdHXuJG0Rqt3fLy73wYtFZZcT7S&#13;&#10;WoOsdMtodTvdfLS2rHrcbcVAEn5zhwIUcZ4Vg1HzCJ9oUJjH453jAi1OZBtxtJibh51qTHcMKlBh&#13;&#10;BkcFMgDguOVITKB1GWuk3NHk38/E4xqsQH6YISGBjq8aJGENaBxsHQkLVPDCgZs2gbh99L5zG2ka&#13;&#10;OSrQDBRwQcAFNgwJuMAGdAEXfCkuaMeFNS6Q8aQNiU8bGboYtB1uu0jSSXS1hUjCLniXASkDCq0g&#13;&#10;NiCPlYHvJnSvI/oa37we8ggk4a+FJBxHSR7HoyJGzNM+RhjvKgG6PzWoAEkYwTclF1C1KZ9/dzRo&#13;&#10;kmWoP1gmaDJyuZ3XZoJW/NcPzQTFcePZMEc5DQbhRaiiTOCcel5YFxVHOfabmKyZmxSGZeHOi81d&#13;&#10;OtRNivNTQfPyzZ0cx3Eks4cF0kKacZdCDmP2KJRIJo8oquzU2QQyRq897Jf3heMY9X3SHGkSMPLo&#13;&#10;4yjTIOHOxgmIqR4BIgCmLsnNoktKqygHpTTqTpokN4wyPqLwpAwQt0s51P5BFyDTTgcxL5DKPLQK&#13;&#10;IesE9rFUqhCyTgALYGn3VyEiWSfYV4VAIoAXLTCjSbtIyYuSiKwSdKGN7gw+ygImg0+2oQx+hMGn&#13;&#10;DD6G1axFHRl8N/t7lMG3U7wrg2/Hz8XFdZTuImQbQ1fK0D0n6yTcz7Zk/dizTLUUL1fV6hHcIyjv&#13;&#10;DWHquCmwVCNAA/i43f0yXT1Qf/3HQ3z6gf4z9hsv1rNx7/MYxZJiEBWuBrPd3N98WmyMfqFnYUpd&#13;&#10;1VF2ptHlEax06lmgjGBUS/+LM+Dmtwim8C4IvJchz7GwcW+N1HC156k6Pe4E58q9QW+t+i7uGczD&#13;&#10;5l9KuWtQdR7ps/1L/hEO26/sCG+t9jY4bEYF7QrhyGdUmfjgsKlcfP1uHbZwrYd4bXGB88HuZ9t1&#13;&#10;S0db15mtpAwanBb3k8t03vYlldvKyVIbiJkQD1FhNF5buOTSV1snPjD/KDSCaxZiD/PddNNbzB/w&#13;&#10;mqBKaHw5m45vf1remlhqN54v7Ofg12/Xm9Vkut3Ol/fmvKeWX88HsEYxwmLe8Oomhjo1Bq+IoDFq&#13;&#10;nSYNUu/ITItRhijZvOMJFbnS+F8Ew12FFopB9TCToz7RiHMNjZeraBkcvHK/jhRxHJnqZ6dC7tf9&#13;&#10;CrlTN132K+R4TysAcre+RyV3IWqVknv3Pf3meJzSxaIKxcdSeHjdNtw4uk5uIFtN7TSOrPiqtWlu&#13;&#10;IU3joeYReFzvNjePfwoJLK6nIbhtVEkiuFfBhS7JbaNLStsoqY13fFps52zrOC32ACKoUeVfDhqn&#13;&#10;xQYiKAWAXSkYnrHBzOIJHlqCKMPzkYigdoaaNJJ1cV1pJKxLBxNB0xivjjHj2Iwyu8uxWTbsJoKW&#13;&#10;LYNBOsqx9Ze2bTYYlHeQEavxfY7TCe92IBG0vlGbTpkWdePbpVByjG4o6m9NAoufsNpoZTXS4hIn&#13;&#10;JDtoQ/E/txwrSK0cG7SMVrfTTAxXMW7PLdnJl8AJAQYEZginxZ7utFgcx5JGwzRFZNmABVXt8pTJ&#13;&#10;vleGBVpQx6IgLeTmkY0a0h0DClSUwaNOf4h4JCTQuiwRARZNf6TCo04VZUhEoMMrUaY7HBOo1pGo&#13;&#10;QMUux6ACve/cRtqU5KBAM1CABW+IB2qDikbKIcAChARhf5jJarZ3oL3y/rAy7KXqsh8WWLjEA/A6&#13;&#10;Vy2DuHMEhi4mtrp5tB2AxwcAHoEH+rXwQFGqSaIsTSryAD8rtjC5/lOXGioaKN6IZ0+jZaWGFFSG&#13;&#10;P50GWnX7Q9NAI1TxRkPQQJFW5lgTNNCz7Dm0Hi0ejpCWN+FZoIHSUaht2iYHmipxo4ljHNesEfxy&#13;&#10;GKPq40CTcJFHHweZBghXHDRvzUmtVgh8qUty9K9LSvivVEACDdTm5cuybys6hnV4Hh8WoDS+Y/C3&#13;&#10;xQMN9HpFAyZDaPco0eA1Q2i/ZCcHRIqXq2r1CBrmRVcLrKC8N4QDDRSHrtAhYp92oAdjkB7Xm/n9&#13;&#10;DId+2Hm/XH2PF/DezXdYVC8oVLIxQ/nL03Zt+Zr40Ht+WCy3l5C56s92u/XlxcX2dIlhcGuToigy&#13;&#10;ZMO4swYL9IwHgr4pZ626Lu4YzLPmd1/cM6g6eeJxj07usv0u8Qh/7Vd2hLNWeysywrpvPZiHgD0B&#13;&#10;B3IbRD5Yvzs3iy4preKNZwRNxD/gEY+jyvXcP8tETtiu42Hbhq1dy03iVLR9XjYPXjr3tg1rkTLm&#13;&#10;qTNr0rdypy0ucGLup02TcXHpZ5vRQJcv7pbpvO1LyraBBfqm3XqSJjgBKxlgoRRuHeCcJuepczN1&#13;&#10;vTfFsWIShptXfDkaKA4ep4CnflkL3xk0/ozHFV+znWc1uxNzu6Kzubd5xqPMgf5aUHqR8r3ehvzK&#13;&#10;YST3IOloVB4w2qmQO3azjGfDKG8p5O7DdNlUUzsVcv/BXhbZUsn9+h6V3Ifwt3m2dHL3vqffHI/j&#13;&#10;bWSxoYF2dV24eN023Di6Tm4gW0ztHEvh4NWeNwD5U88Macf8OdQ8wr/r3ebm8U8h4dv1EITbRpUM&#13;&#10;NNCDasjSQN650VHv7Xog6DjHerHC6SVYpvzLQYMGSgrFo4bV8tCduOE8ULfbv5VAiuVOX4IQhjfq&#13;&#10;zTjFb/08ULseWhqomYXdNNCogB9h6SFfVGq8AS0XTNYFol2VYTj6EU4dr+UrdqCd8OYLet28MUnX&#13;&#10;l/al8zYekHdw93V14rKraFmMUyZGzShYXtxxUTpM3PvC3Ld1482bNktHWX5LAUE5FPW3hCgEdbLR&#13;&#10;SvnqTqMQlzgheam9D42OnYf1XdxAWUPErZaXf+fDIFW7G9pbWHE+0u57eRWXbhmtbmcZ25XDVPXY&#13;&#10;GUTqfAmeCDRQ5ADPn+3DOxyjEVJ7TVRwlsrcK6MCLUrk/jj1R7I86FQjuiMwgQ4yeNDpjxCPRATU&#13;&#10;FR8QEoCAVm5/oMKjGj3UxqpTxz96x0WV7nBIoFpHggIVunDYpk0gbh+979xGmkYecmoGCqjgoAie&#13;&#10;G0hHRNJASgmXTmmvprFiyoAKELQEFujbYIEehAraUWGNCmQMd4640EWgZRTJgm0XRzqJrrYE3OFG&#13;&#10;pxmF1yDiTeOOwAL9Wligw2Ea5SO8YMDhCcYCjVB7OEOlASzQEjEPk2H5phFH+EtwHDCaYg6cwDtO&#13;&#10;G5WG9caeQdajD1d9eheLYSC5qgOeGSdCiRRR4BJ/MA9XSdSoDxfbPd88m4O1zLkUNaOjt1nhbmjW&#13;&#10;5+kGH8AI+aPfe9qM11f97b8fx5tpv7cwr56DiH07HT7YN9Phg30rHT68vzfS5XmUgSNcYU0xN0zW&#13;&#10;7eRVqGREL8CjLNEwSsrzQdzkGOKMGntObDZqnkXi7H7uqVFRat4qQRhMpPvLp3uQjzDJ7zFJZ/PJ&#13;&#10;j+PdmP9uZv7lNF7NVovb6ea7/wAAAP//AwBQSwMEFAAGAAgAAAAhABEr3bDhAAAACgEAAA8AAABk&#13;&#10;cnMvZG93bnJldi54bWxMj81qwzAQhO+FvoPYQG+N7KYOjWM5hPTnFApNCiU3xdrYJtbKWIrtvH23&#13;&#10;vbSXgWWY2fmy1Wgb0WPna0cK4mkEAqlwpqZSwef+9f4JhA+ajG4coYIreljltzeZTo0b6AP7XSgF&#13;&#10;l5BPtYIqhDaV0hcVWu2nrkVi7+Q6qwOfXSlNpwcut418iKK5tLom/lDpFjcVFufdxSp4G/SwnsUv&#13;&#10;/fZ82lwP++T9axujUneT8XnJsl6CCDiGvwT8MPB+yHnY0V3IeNEoYJrwq+wtZskCxFHBPHpMQOaZ&#13;&#10;/I+QfwMAAP//AwBQSwECLQAUAAYACAAAACEAtoM4kv4AAADhAQAAEwAAAAAAAAAAAAAAAAAAAAAA&#13;&#10;W0NvbnRlbnRfVHlwZXNdLnhtbFBLAQItABQABgAIAAAAIQA4/SH/1gAAAJQBAAALAAAAAAAAAAAA&#13;&#10;AAAAAC8BAABfcmVscy8ucmVsc1BLAQItABQABgAIAAAAIQC3eF5fJR0AADEvAQAOAAAAAAAAAAAA&#13;&#10;AAAAAC4CAABkcnMvZTJvRG9jLnhtbFBLAQItABQABgAIAAAAIQARK92w4QAAAAoBAAAPAAAAAAAA&#13;&#10;AAAAAAAAAH8fAABkcnMvZG93bnJldi54bWxQSwUGAAAAAAQABADzAAAAjSAAAAAA&#13;&#10;">
                <v:shape id="Shape 9245" o:spid="_x0000_s1027" style="position:absolute;top:1325;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7S0AAAAOgAAAAPAAAAZHJzL2Rvd25yZXYueG1sRI/BSsNA&#13;&#10;EIbvgu+wjODNbozYxLTbIoqgILTWHuxtyEyT2OxszK5t6tO7BcHLwMzP/w3fdD7YVu25940TA9ej&#13;&#10;BBRL6aiRysD6/ekqB+UDCmHrhA0c2cN8dn42xYLcQd54vwqVihDxBRqoQ+gKrX1Zs0U/ch1LzLau&#13;&#10;txji2leaejxEuG11miRjbbGR+KHGjh9qLnerb2vgK31dNp+3H5v1keiHdy9Ei4yMubwYHidx3E9A&#13;&#10;BR7Cf+MP8UzR4W6cZFl+k6dwEosH0LNfAAAA//8DAFBLAQItABQABgAIAAAAIQDb4fbL7gAAAIUB&#13;&#10;AAATAAAAAAAAAAAAAAAAAAAAAABbQ29udGVudF9UeXBlc10ueG1sUEsBAi0AFAAGAAgAAAAhAFr0&#13;&#10;LFu/AAAAFQEAAAsAAAAAAAAAAAAAAAAAHwEAAF9yZWxzLy5yZWxzUEsBAi0AFAAGAAgAAAAhAAP4&#13;&#10;PtLQAAAA6AAAAA8AAAAAAAAAAAAAAAAABwIAAGRycy9kb3ducmV2LnhtbFBLBQYAAAAAAwADALcA&#13;&#10;AAAEAwAAAAA=&#13;&#10;" path="m,l5489448,r,227076l,227076,,e" fillcolor="#cbcbcb" stroked="f" strokeweight="0">
                  <v:fill opacity="59110f"/>
                  <v:stroke joinstyle="miter"/>
                  <v:path arrowok="t" o:connecttype="custom" o:connectlocs="0,0;549,0;549,23;0,23;0,0" o:connectangles="0,0,0,0,0" textboxrect="0,0,5489448,227076"/>
                </v:shape>
                <v:shape id="Shape 1065" o:spid="_x0000_s1028" style="position:absolute;top:1325;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GmAAzwAAAOcAAAAPAAAAZHJzL2Rvd25yZXYueG1sRI9BS8NA&#13;&#10;FITvgv9heYKXYjdNSpqm3RaxCBZ6sRV6fWRfk2j2bdxd0/jvXUHwMjAM8w2z3o6mEwM531pWMJsm&#13;&#10;IIgrq1uuFbydnh8KED4ga+wsk4Jv8rDd3N6ssdT2yq80HEMtIoR9iQqaEPpSSl81ZNBPbU8cs4t1&#13;&#10;BkO0rpba4TXCTSfTJMmlwZbjQoM9PTVUfRy/jIKJH0/LdDfkk/7znL0Xbr84pHul7u/G3SrK4wpE&#13;&#10;oDH8N/4QL1rBfJFnxTKbzeH3V/wEcvMDAAD//wMAUEsBAi0AFAAGAAgAAAAhANvh9svuAAAAhQEA&#13;&#10;ABMAAAAAAAAAAAAAAAAAAAAAAFtDb250ZW50X1R5cGVzXS54bWxQSwECLQAUAAYACAAAACEAWvQs&#13;&#10;W78AAAAVAQAACwAAAAAAAAAAAAAAAAAfAQAAX3JlbHMvLnJlbHNQSwECLQAUAAYACAAAACEAahpg&#13;&#10;AM8AAADnAAAADwAAAAAAAAAAAAAAAAAHAgAAZHJzL2Rvd25yZXYueG1sUEsFBgAAAAADAAMAtwAA&#13;&#10;AAMDAAAAAA==&#13;&#10;" path="m,227076r5489448,l5489448,,,,,227076xe" filled="f" strokeweight="2.04pt">
                  <v:stroke joinstyle="miter"/>
                  <v:path arrowok="t" o:connecttype="custom" o:connectlocs="0,23;549,23;549,0;0,0;0,23" o:connectangles="0,0,0,0,0" textboxrect="0,0,5489448,227076"/>
                </v:shape>
                <v:shape id="Shape 1066" o:spid="_x0000_s1029" style="position:absolute;left:2743;width:49484;height:2651;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lQrjzQAAAOcAAAAPAAAAZHJzL2Rvd25yZXYueG1sRI/dasJA&#13;&#10;FITvC32H5Qi9azaxYk10lWoteCP40wc4ZI/ZYPZsyK6avr1bELwZGIb5hpktetuIK3W+dqwgS1IQ&#13;&#10;xKXTNVcKfo8/7xMQPiBrbByTgj/ysJi/vsyw0O7Ge7oeQiUihH2BCkwIbSGlLw1Z9IlriWN2cp3F&#13;&#10;EG1XSd3hLcJtI4dpOpYWa44LBltaGSrPh4tV0Jpxvr6E8y7jfrgr6+Nyu90bpd4G/fc0ytcURKA+&#13;&#10;PBsPxEYrGE3yz9FHnmbw/yt+Ajm/AwAA//8DAFBLAQItABQABgAIAAAAIQDb4fbL7gAAAIUBAAAT&#13;&#10;AAAAAAAAAAAAAAAAAAAAAABbQ29udGVudF9UeXBlc10ueG1sUEsBAi0AFAAGAAgAAAAhAFr0LFu/&#13;&#10;AAAAFQEAAAsAAAAAAAAAAAAAAAAAHwEAAF9yZWxzLy5yZWxzUEsBAi0AFAAGAAgAAAAhAJKVCuPN&#13;&#10;AAAA5wAAAA8AAAAAAAAAAAAAAAAABwIAAGRycy9kb3ducmV2LnhtbFBLBQYAAAAAAwADALcAAAAB&#13;&#10;AwAAAAA=&#13;&#10;" path="m44196,l4904232,v24384,,44196,19812,44196,44196l4948428,220980v,24384,-19812,44196,-44196,44196l44196,265176c19812,265176,,245364,,220980l,44196c,19812,19812,,44196,xe" stroked="f" strokeweight="0">
                  <v:stroke joinstyle="miter"/>
                  <v:path arrowok="t" o:connecttype="custom" o:connectlocs="4,0;490,0;495,4;495,22;490,27;4,27;0,22;0,4;4,0" o:connectangles="0,0,0,0,0,0,0,0,0" textboxrect="0,0,4948428,265176"/>
                </v:shape>
                <v:shape id="Shape 1067" o:spid="_x0000_s1030" style="position:absolute;left:2743;width:49484;height:2651;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K+K2zQAAAOcAAAAPAAAAZHJzL2Rvd25yZXYueG1sRI9Pa8JA&#13;&#10;FMTvhX6H5RV6qxuVVImuUlosohf/gddn9pkEs29jdmPSb+8KBS8DwzC/YabzzpTiRrUrLCvo9yIQ&#13;&#10;xKnVBWcKDvvFxxiE88gaS8uk4I8czGevL1NMtG15S7edz0SAsEtQQe59lUjp0pwMup6tiEN2trVB&#13;&#10;H2ydSV1jG+CmlIMo+pQGCw4LOVb0nVN62TVGwR7b01IvhqvmmK6b381Vy+NVK/X+1v1MgnxNQHjq&#13;&#10;/LPxj1hqBfF4MBzFo34Mj1/hE8jZHQAA//8DAFBLAQItABQABgAIAAAAIQDb4fbL7gAAAIUBAAAT&#13;&#10;AAAAAAAAAAAAAAAAAAAAAABbQ29udGVudF9UeXBlc10ueG1sUEsBAi0AFAAGAAgAAAAhAFr0LFu/&#13;&#10;AAAAFQEAAAsAAAAAAAAAAAAAAAAAHwEAAF9yZWxzLy5yZWxzUEsBAi0AFAAGAAgAAAAhAOUr4rbN&#13;&#10;AAAA5wAAAA8AAAAAAAAAAAAAAAAABwIAAGRycy9kb3ducmV2LnhtbFBLBQYAAAAAAwADALcAAAAB&#13;&#10;AwAAAAA=&#13;&#10;" path="m,44196c,19812,19812,,44196,l4904232,v24384,,44196,19812,44196,44196l4948428,220980v,24384,-19812,44196,-44196,44196l44196,265176c19812,265176,,245364,,220980l,44196xe" filled="f" strokeweight="2.04pt">
                  <v:stroke joinstyle="miter"/>
                  <v:path arrowok="t" o:connecttype="custom" o:connectlocs="0,4;4,0;490,0;495,4;495,22;490,27;4,27;0,22;0,4" o:connectangles="0,0,0,0,0,0,0,0,0" textboxrect="0,0,4948428,265176"/>
                </v:shape>
                <v:rect id="Rectangle 1068" o:spid="_x0000_s1031" style="position:absolute;left:4322;width:47444;height:225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mYyZzwAAAOgAAAAPAAAAZHJzL2Rvd25yZXYueG1sRI/BasJA&#13;&#10;EIbvhb7DMoKXopvYWDS6SrUIBU+mKh6H7Jikzc6G7Krp23cLgpeBmZ//G775sjO1uFLrKssK4mEE&#13;&#10;gji3uuJCwf5rM5iAcB5ZY22ZFPySg+Xi+WmOqbY33tE184UIEHYpKii9b1IpXV6SQTe0DXHIzrY1&#13;&#10;6MPaFlK3eAtwU8tRFL1JgxWHDyU2tC4p/8kuRsHLPtu+rk4UH/Uh/tZRstvYYqVUv9d9zMJ4n4Hw&#13;&#10;1PlH44741MFhMk2mSZyMx/AvFg4gF38AAAD//wMAUEsBAi0AFAAGAAgAAAAhANvh9svuAAAAhQEA&#13;&#10;ABMAAAAAAAAAAAAAAAAAAAAAAFtDb250ZW50X1R5cGVzXS54bWxQSwECLQAUAAYACAAAACEAWvQs&#13;&#10;W78AAAAVAQAACwAAAAAAAAAAAAAAAAAfAQAAX3JlbHMvLnJlbHNQSwECLQAUAAYACAAAACEAZ5mM&#13;&#10;mc8AAADoAAAADwAAAAAAAAAAAAAAAAAHAgAAZHJzL2Rvd25yZXYueG1sUEsFBgAAAAADAAMAtwAA&#13;&#10;AAMDAAAAAA==&#13;&#10;" filled="f" stroked="f">
                  <v:path arrowok="t"/>
                  <v:textbox inset="0,0,0,0">
                    <w:txbxContent>
                      <w:p w14:paraId="6DD0DB69"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Підвищення середньої тривалості життя </w:t>
                        </w:r>
                      </w:p>
                    </w:txbxContent>
                  </v:textbox>
                </v:rect>
                <v:shape id="Shape 9246" o:spid="_x0000_s1032" style="position:absolute;top:5410;width:54894;height:2270;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BDdc0AAAAOgAAAAPAAAAZHJzL2Rvd25yZXYueG1sRI9BS8NA&#13;&#10;FITvgv9heYI3uzHFpKbdlqIICoK19qC3R94zSZt9G7Nrm/rrXaHgZWAY5htmthhsq/bc+8aJgetR&#13;&#10;AoqldNRIZWDz9nA1AeUDCmHrhA0c2cNifn42w4LcQV55vw6VihDxBRqoQ+gKrX1Zs0U/ch1LzD5d&#13;&#10;bzFE21eaejxEuG11miSZtthIXKix47uay9362xr4Sp9Xzfbm/WNzJPrh3RPRS07GXF4M99Moyymo&#13;&#10;wEP4b5wQj2QgTcaTPMvHtxn8HYunQM9/AQAA//8DAFBLAQItABQABgAIAAAAIQDb4fbL7gAAAIUB&#13;&#10;AAATAAAAAAAAAAAAAAAAAAAAAABbQ29udGVudF9UeXBlc10ueG1sUEsBAi0AFAAGAAgAAAAhAFr0&#13;&#10;LFu/AAAAFQEAAAsAAAAAAAAAAAAAAAAAHwEAAF9yZWxzLy5yZWxzUEsBAi0AFAAGAAgAAAAhAFQE&#13;&#10;N1zQAAAA6AAAAA8AAAAAAAAAAAAAAAAABwIAAGRycy9kb3ducmV2LnhtbFBLBQYAAAAAAwADALcA&#13;&#10;AAAEAwAAAAA=&#13;&#10;" path="m,l5489448,r,227076l,227076,,e" fillcolor="#cbcbcb" stroked="f" strokeweight="0">
                  <v:fill opacity="59110f"/>
                  <v:stroke joinstyle="miter"/>
                  <v:path arrowok="t" o:connecttype="custom" o:connectlocs="0,0;549,0;549,23;0,23;0,0" o:connectangles="0,0,0,0,0" textboxrect="0,0,5489448,227076"/>
                </v:shape>
                <v:shape id="Shape 1070" o:spid="_x0000_s1033" style="position:absolute;top:5410;width:54894;height:2270;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vpRPzwAAAOgAAAAPAAAAZHJzL2Rvd25yZXYueG1sRI9NSwMx&#13;&#10;EIbvgv8hjOCl2GRT6Me2aRGLYMGLreB12Iy7q5vJmsTt+u+NIPQyMPPyPsOz2Y2uEwOF2Ho2UEwV&#13;&#10;COLK25ZrA6+nx7sliJiQLXaeycAPRdhtr682WFp/5hcajqkWGcKxRANNSn0pZawachinvifO2bsP&#13;&#10;DlNeQy1twHOGu05qpebSYcv5Q4M9PTRUfR6/nYFJHE8rvR/mk/7rbfaxDIfFsz4Yc3sz7td53K9B&#13;&#10;JBrTpfGPeLLZodBqoVa6mMGfWD6A3P4CAAD//wMAUEsBAi0AFAAGAAgAAAAhANvh9svuAAAAhQEA&#13;&#10;ABMAAAAAAAAAAAAAAAAAAAAAAFtDb250ZW50X1R5cGVzXS54bWxQSwECLQAUAAYACAAAACEAWvQs&#13;&#10;W78AAAAVAQAACwAAAAAAAAAAAAAAAAAfAQAAX3JlbHMvLnJlbHNQSwECLQAUAAYACAAAACEAur6U&#13;&#10;T88AAADoAAAADwAAAAAAAAAAAAAAAAAHAgAAZHJzL2Rvd25yZXYueG1sUEsFBgAAAAADAAMAtwAA&#13;&#10;AAMDAAAAAA==&#13;&#10;" path="m,227076r5489448,l5489448,,,,,227076xe" filled="f" strokeweight="2.04pt">
                  <v:stroke joinstyle="miter"/>
                  <v:path arrowok="t" o:connecttype="custom" o:connectlocs="0,23;549,23;549,0;0,0;0,23" o:connectangles="0,0,0,0,0" textboxrect="0,0,5489448,227076"/>
                </v:shape>
                <v:shape id="Shape 1071" o:spid="_x0000_s1034" style="position:absolute;left:2743;top:4084;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TrGtzQAAAOcAAAAPAAAAZHJzL2Rvd25yZXYueG1sRI/NasMw&#13;&#10;EITvgb6D2EJviRybuI0TOfQXcgnkpw+wWFvL2FoZS0nct48KgV4GhmG+Ydab0XbiQoNvHCuYzxIQ&#13;&#10;xJXTDdcKvk9f0xcQPiBr7ByTgl/ysCkfJmsstLvygS7HUIsIYV+gAhNCX0jpK0MW/cz1xDH7cYPF&#13;&#10;EO1QSz3gNcJtJ9MkyaXFhuOCwZ7eDVXt8WwV9CZffp5Du5/zmO6r5vS22x2MUk+P48cqyusKRKAx&#13;&#10;/DfuiK1WkC3y5zTLlxn8/YqfQJY3AAAA//8DAFBLAQItABQABgAIAAAAIQDb4fbL7gAAAIUBAAAT&#13;&#10;AAAAAAAAAAAAAAAAAAAAAABbQ29udGVudF9UeXBlc10ueG1sUEsBAi0AFAAGAAgAAAAhAFr0LFu/&#13;&#10;AAAAFQEAAAsAAAAAAAAAAAAAAAAAHwEAAF9yZWxzLy5yZWxzUEsBAi0AFAAGAAgAAAAhADNOsa3N&#13;&#10;AAAA5wAAAA8AAAAAAAAAAAAAAAAABwIAAGRycy9kb3ducmV2LnhtbFBLBQYAAAAAAwADALcAAAAB&#13;&#10;AwAAAAA=&#13;&#10;" path="m44196,l4904232,v24384,,44196,19812,44196,44196l4948428,220980v,24384,-19812,44196,-44196,44196l44196,265176c19812,265176,,245364,,220980l,44196c,19812,19812,,44196,xe" stroked="f" strokeweight="0">
                  <v:stroke joinstyle="miter"/>
                  <v:path arrowok="t" o:connecttype="custom" o:connectlocs="4,0;490,0;495,4;495,22;490,27;4,27;0,22;0,4;4,0" o:connectangles="0,0,0,0,0,0,0,0,0" textboxrect="0,0,4948428,265176"/>
                </v:shape>
                <v:shape id="Shape 1072" o:spid="_x0000_s1035" style="position:absolute;left:2743;top:4084;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tLMJzwAAAOgAAAAPAAAAZHJzL2Rvd25yZXYueG1sRI9Ba8JA&#13;&#10;FITvBf/D8oTe6m4jlSa6ilgs0l6sFrw+s88kNPs2Zjcm/ffdQqGXgWGYb5jFarC1uFHrK8caHicK&#13;&#10;BHHuTMWFhs/j9uEZhA/IBmvHpOGbPKyWo7sFZsb1/EG3QyhEhLDPUEMZQpNJ6fOSLPqJa4hjdnGt&#13;&#10;xRBtW0jTYh/htpaJUjNpseK4UGJDm5Lyr0NnNRyxP+/MdvrWnfL37nV/NfJ0NVrfj4eXeZT1HESg&#13;&#10;Ifw3/hA7oyFRSTpNn1I1g99j8RTI5Q8AAAD//wMAUEsBAi0AFAAGAAgAAAAhANvh9svuAAAAhQEA&#13;&#10;ABMAAAAAAAAAAAAAAAAAAAAAAFtDb250ZW50X1R5cGVzXS54bWxQSwECLQAUAAYACAAAACEAWvQs&#13;&#10;W78AAAAVAQAACwAAAAAAAAAAAAAAAAAfAQAAX3JlbHMvLnJlbHNQSwECLQAUAAYACAAAACEAWbSz&#13;&#10;Cc8AAADoAAAADwAAAAAAAAAAAAAAAAAHAgAAZHJzL2Rvd25yZXYueG1sUEsFBgAAAAADAAMAtwAA&#13;&#10;AAMDAAAAAA==&#13;&#10;" path="m,44196c,19812,19812,,44196,l4904232,v24384,,44196,19812,44196,44196l4948428,220980v,24384,-19812,44196,-44196,44196l44196,265176c19812,265176,,245364,,220980l,44196xe" filled="f" strokeweight="2.04pt">
                  <v:stroke joinstyle="miter"/>
                  <v:path arrowok="t" o:connecttype="custom" o:connectlocs="0,4;4,0;490,0;495,4;495,22;490,27;4,27;0,22;0,4" o:connectangles="0,0,0,0,0,0,0,0,0" textboxrect="0,0,4948428,265176"/>
                </v:shape>
                <v:rect id="Rectangle 1073" o:spid="_x0000_s1036" style="position:absolute;left:4322;top:4224;width:47900;height:21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1VtizwAAAOcAAAAPAAAAZHJzL2Rvd25yZXYueG1sRI9BSwMx&#13;&#10;FITvgv8hPMGL2CR2qe22abGWguCp21Y8PjbP3dXNy7KJ7fbfG0HwMjAM8w2zWA2uFSfqQ+PZgB4p&#13;&#10;EMSltw1XBg777f0URIjIFlvPZOBCAVbL66sF5tafeUenIlYiQTjkaKCOsculDGVNDsPId8Qp+/C9&#13;&#10;w5hsX0nb4znBXSsflJpIhw2nhRo7eq6p/Cq+nYG7Q/E6Xr+TfrNH/WlVttv6am3M7c2wmSd5moOI&#13;&#10;NMT/xh/ixRrIZvpRq3E2g99f6RPI5Q8AAAD//wMAUEsBAi0AFAAGAAgAAAAhANvh9svuAAAAhQEA&#13;&#10;ABMAAAAAAAAAAAAAAAAAAAAAAFtDb250ZW50X1R5cGVzXS54bWxQSwECLQAUAAYACAAAACEAWvQs&#13;&#10;W78AAAAVAQAACwAAAAAAAAAAAAAAAAAfAQAAX3JlbHMvLnJlbHNQSwECLQAUAAYACAAAACEA2NVb&#13;&#10;Ys8AAADnAAAADwAAAAAAAAAAAAAAAAAHAgAAZHJzL2Rvd25yZXYueG1sUEsFBgAAAAADAAMAtwAA&#13;&#10;AAMDAAAAAA==&#13;&#10;" filled="f" stroked="f">
                  <v:path arrowok="t"/>
                  <v:textbox inset="0,0,0,0">
                    <w:txbxContent>
                      <w:p w14:paraId="089061E9"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Скорочення передчасної смертності серед населення </w:t>
                        </w:r>
                      </w:p>
                    </w:txbxContent>
                  </v:textbox>
                </v:rect>
                <v:shape id="Shape 9247" o:spid="_x0000_s1037" style="position:absolute;top:9494;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2TgA0AAAAOgAAAAPAAAAZHJzL2Rvd25yZXYueG1sRI/BSsNA&#13;&#10;EIbvQt9hGcGb3dhqE9JuiyiCgmBte6i3ITMmabOzMbu2qU/vCgUvAzM//zd8s0VvG3XgztdODNwM&#13;&#10;E1AshaNaSgOb9dN1BsoHFMLGCRs4sYfFfHAxw5zcUd75sAqlihDxORqoQmhzrX1RsUU/dC1LzD5d&#13;&#10;ZzHEtSs1dXiMcNvoUZJMtMVa4ocKW36ouNivvq2Br9Hrst7dbT82J6If3r8QvaVkzNVl/ziN434K&#13;&#10;KnAf/htnxDNFhzTNxkk2uR3Dn1g8gJ7/AgAA//8DAFBLAQItABQABgAIAAAAIQDb4fbL7gAAAIUB&#13;&#10;AAATAAAAAAAAAAAAAAAAAAAAAABbQ29udGVudF9UeXBlc10ueG1sUEsBAi0AFAAGAAgAAAAhAFr0&#13;&#10;LFu/AAAAFQEAAAsAAAAAAAAAAAAAAAAAHwEAAF9yZWxzLy5yZWxzUEsBAi0AFAAGAAgAAAAhAHPZ&#13;&#10;OADQAAAA6AAAAA8AAAAAAAAAAAAAAAAABwIAAGRycy9kb3ducmV2LnhtbFBLBQYAAAAAAwADALcA&#13;&#10;AAAEAwAAAAA=&#13;&#10;" path="m,l5489448,r,227076l,227076,,e" fillcolor="#cbcbcb" stroked="f" strokeweight="0">
                  <v:fill opacity="59110f"/>
                  <v:stroke joinstyle="miter"/>
                  <v:path arrowok="t" o:connecttype="custom" o:connectlocs="0,0;549,0;549,23;0,23;0,0" o:connectangles="0,0,0,0,0" textboxrect="0,0,5489448,227076"/>
                </v:shape>
                <v:shape id="Shape 1075" o:spid="_x0000_s1038" style="position:absolute;top:9494;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s3PLzwAAAOcAAAAPAAAAZHJzL2Rvd25yZXYueG1sRI9BS8NA&#13;&#10;FITvgv9heYKXYndNaUzTbotYBAu92BZ6fWSfSTT7Nu6uafz3riB4GRiG+YZZbUbbiYF8aB1ruJ8q&#13;&#10;EMSVMy3XGk7H57sCRIjIBjvHpOGbAmzW11crLI278CsNh1iLBOFQooYmxr6UMlQNWQxT1xOn7M15&#13;&#10;izFZX0vj8ZLgtpOZUrm02HJaaLCnp4aqj8OX1TAJ43GRbYd80n+eZ++F3z3ss53WtzfjdpnkcQki&#13;&#10;0hj/G3+IF6Mhz+dKLWbFHH5/pU8g1z8AAAD//wMAUEsBAi0AFAAGAAgAAAAhANvh9svuAAAAhQEA&#13;&#10;ABMAAAAAAAAAAAAAAAAAAAAAAFtDb250ZW50X1R5cGVzXS54bWxQSwECLQAUAAYACAAAACEAWvQs&#13;&#10;W78AAAAVAQAACwAAAAAAAAAAAAAAAAAfAQAAX3JlbHMvLnJlbHNQSwECLQAUAAYACAAAACEAkLNz&#13;&#10;y88AAADnAAAADwAAAAAAAAAAAAAAAAAHAgAAZHJzL2Rvd25yZXYueG1sUEsFBgAAAAADAAMAtwAA&#13;&#10;AAMDAAAAAA==&#13;&#10;" path="m,227076r5489448,l5489448,,,,,227076xe" filled="f" strokeweight="2.04pt">
                  <v:stroke joinstyle="miter"/>
                  <v:path arrowok="t" o:connecttype="custom" o:connectlocs="0,23;549,23;549,0;0,0;0,23" o:connectangles="0,0,0,0,0" textboxrect="0,0,5489448,227076"/>
                </v:shape>
                <v:shape id="Shape 1076" o:spid="_x0000_s1039" style="position:absolute;left:2743;top:8168;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5HTGzAAAAOcAAAAPAAAAZHJzL2Rvd25yZXYueG1sRI/NasMw&#13;&#10;EITvhb6D2EJvjSw3mMSJEvoX6CXg/DzAYm0tE2tlLCVx3j4qFHoZGIb5hlmuR9eJCw2h9axBTTIQ&#13;&#10;xLU3LTcajofNywxEiMgGO8+k4UYB1qvHhyWWxl95R5d9bESCcChRg42xL6UMtSWHYeJ74pT9+MFh&#13;&#10;THZopBnwmuCuk3mWFdJhy2nBYk8flurT/uw09LaYf53jqVI85lXdHt63253V+vlp/FwkeVuAiDTG&#13;&#10;/8Yf4ttomM5VkeWvSsHvr/QJ5OoOAAD//wMAUEsBAi0AFAAGAAgAAAAhANvh9svuAAAAhQEAABMA&#13;&#10;AAAAAAAAAAAAAAAAAAAAAFtDb250ZW50X1R5cGVzXS54bWxQSwECLQAUAAYACAAAACEAWvQsW78A&#13;&#10;AAAVAQAACwAAAAAAAAAAAAAAAAAfAQAAX3JlbHMvLnJlbHNQSwECLQAUAAYACAAAACEA9OR0xswA&#13;&#10;AADnAAAADwAAAAAAAAAAAAAAAAAHAgAAZHJzL2Rvd25yZXYueG1sUEsFBgAAAAADAAMAtwAAAAAD&#13;&#10;AAAAAA==&#13;&#10;" path="m44196,l4904232,v24384,,44196,19812,44196,44196l4948428,220980v,24384,-19812,44196,-44196,44196l44196,265176c19812,265176,,245364,,220980l,44196c,19812,19812,,44196,xe" stroked="f" strokeweight="0">
                  <v:stroke joinstyle="miter"/>
                  <v:path arrowok="t" o:connecttype="custom" o:connectlocs="4,0;490,0;495,4;495,22;490,27;4,27;0,22;0,4;4,0" o:connectangles="0,0,0,0,0,0,0,0,0" textboxrect="0,0,4948428,265176"/>
                </v:shape>
                <v:shape id="Shape 1077" o:spid="_x0000_s1040" style="position:absolute;left:2743;top:8168;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snR7zgAAAOgAAAAPAAAAZHJzL2Rvd25yZXYueG1sRI/BasJA&#13;&#10;EIbvQt9hmYI33RhLsNFVimKRerFa8DpmxyQ0OxuzG5O+fbcg9DIw8/N/w7dY9aYSd2pcaVnBZByB&#13;&#10;IM6sLjlX8HXajmYgnEfWWFkmBT/kYLV8Giww1bbjT7offS4ChF2KCgrv61RKlxVk0I1tTRyyq20M&#13;&#10;+rA2udQNdgFuKhlHUSINlhw+FFjTuqDs+9gaBSfsLju9nX6052zfvh9uWp5vWqnhc7+Zh/E2B+Gp&#13;&#10;9/+NB2Kng0M0S16SePIaw59YOIBc/gIAAP//AwBQSwECLQAUAAYACAAAACEA2+H2y+4AAACFAQAA&#13;&#10;EwAAAAAAAAAAAAAAAAAAAAAAW0NvbnRlbnRfVHlwZXNdLnhtbFBLAQItABQABgAIAAAAIQBa9Cxb&#13;&#10;vwAAABUBAAALAAAAAAAAAAAAAAAAAB8BAABfcmVscy8ucmVsc1BLAQItABQABgAIAAAAIQBssnR7&#13;&#10;zgAAAOgAAAAPAAAAAAAAAAAAAAAAAAcCAABkcnMvZG93bnJldi54bWxQSwUGAAAAAAMAAwC3AAAA&#13;&#10;AgMAAAAA&#13;&#10;" path="m,44196c,19812,19812,,44196,l4904232,v24384,,44196,19812,44196,44196l4948428,220980v,24384,-19812,44196,-44196,44196l44196,265176c19812,265176,,245364,,220980l,44196xe" filled="f" strokeweight="2.04pt">
                  <v:stroke joinstyle="miter"/>
                  <v:path arrowok="t" o:connecttype="custom" o:connectlocs="0,4;4,0;490,0;495,4;495,22;490,27;4,27;0,22;0,4" o:connectangles="0,0,0,0,0,0,0,0,0" textboxrect="0,0,4948428,265176"/>
                </v:shape>
                <v:rect id="Rectangle 1078" o:spid="_x0000_s1041" style="position:absolute;left:4321;top:8334;width:47440;height:20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OEbozwAAAOcAAAAPAAAAZHJzL2Rvd25yZXYueG1sRI9Ba8JA&#13;&#10;FITvhf6H5RV6KbrZqMVGV6ktQsGTqYrHR/Y1iWbfhuxW03/fLRS8DAzDfMPMl71txIU6XzvWoIYJ&#13;&#10;COLCmZpLDbvP9WAKwgdkg41j0vBDHpaL+7s5ZsZdeUuXPJQiQthnqKEKoc2k9EVFFv3QtcQx+3Kd&#13;&#10;xRBtV0rT4TXCbSPTJHmWFmuOCxW29FZRcc6/rYanXb4ZrY6kDmavTiYZb9euXGn9+NC/z6K8zkAE&#13;&#10;6sOt8Y/4MBpGU/WSjiepgr9f8RPIxS8AAAD//wMAUEsBAi0AFAAGAAgAAAAhANvh9svuAAAAhQEA&#13;&#10;ABMAAAAAAAAAAAAAAAAAAAAAAFtDb250ZW50X1R5cGVzXS54bWxQSwECLQAUAAYACAAAACEAWvQs&#13;&#10;W78AAAAVAQAACwAAAAAAAAAAAAAAAAAfAQAAX3JlbHMvLnJlbHNQSwECLQAUAAYACAAAACEAgThG&#13;&#10;6M8AAADnAAAADwAAAAAAAAAAAAAAAAAHAgAAZHJzL2Rvd25yZXYueG1sUEsFBgAAAAADAAMAtwAA&#13;&#10;AAMDAAAAAA==&#13;&#10;" filled="f" stroked="f">
                  <v:path arrowok="t"/>
                  <v:textbox inset="0,0,0,0">
                    <w:txbxContent>
                      <w:p w14:paraId="3C1039D7"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Скорочення несправедливості стосовно здоров’я</w:t>
                        </w:r>
                      </w:p>
                    </w:txbxContent>
                  </v:textbox>
                </v:rect>
                <v:rect id="Rectangle 1079" o:spid="_x0000_s1042" style="position:absolute;left:27296;top:8810;width:506;height:16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c6HTzwAAAOcAAAAPAAAAZHJzL2Rvd25yZXYueG1sRI9ba8JA&#13;&#10;FITfC/0Pyyn4Uurm0lqJruIFQeiTqS0+HrKnSWr2bMiuGv+9KxT6MjAM8w0znfemEWfqXG1ZQTyM&#13;&#10;QBAXVtdcKth/bl7GIJxH1thYJgVXcjCfPT5MMdP2wjs6574UAcIuQwWV920mpSsqMuiGtiUO2Y/t&#13;&#10;DPpgu1LqDi8BbhqZRNFIGqw5LFTY0qqi4pifjILnff6RLg8Uf+uv+FdHr7uNLZdKDZ769STIYgLC&#13;&#10;U+//G3+IrVaQpGn6NnpPErj/Cp9Azm4AAAD//wMAUEsBAi0AFAAGAAgAAAAhANvh9svuAAAAhQEA&#13;&#10;ABMAAAAAAAAAAAAAAAAAAAAAAFtDb250ZW50X1R5cGVzXS54bWxQSwECLQAUAAYACAAAACEAWvQs&#13;&#10;W78AAAAVAQAACwAAAAAAAAAAAAAAAAAfAQAAX3JlbHMvLnJlbHNQSwECLQAUAAYACAAAACEAiHOh&#13;&#10;088AAADnAAAADwAAAAAAAAAAAAAAAAAHAgAAZHJzL2Rvd25yZXYueG1sUEsFBgAAAAADAAMAtwAA&#13;&#10;AAMDAAAAAA==&#13;&#10;" filled="f" stroked="f">
                  <v:path arrowok="t"/>
                  <v:textbox inset="0,0,0,0">
                    <w:txbxContent>
                      <w:p w14:paraId="56EEDC34"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w:t>
                        </w:r>
                      </w:p>
                    </w:txbxContent>
                  </v:textbox>
                </v:rect>
                <v:shape id="Shape 9248" o:spid="_x0000_s1043" style="position:absolute;top:13578;width:54894;height:2256;visibility:visible;mso-wrap-style:square;v-text-anchor:top" coordsize="5489448,2255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tcR5zgAAAOcAAAAPAAAAZHJzL2Rvd25yZXYueG1sRI9Ba8JA&#13;&#10;FITvQv/D8gq96a5SEomuUiq10kNBLfb6yD6TtNm3Mbs18d+7QsHLwDDMN8x82dtanKn1lWMN45EC&#13;&#10;QZw7U3Gh4Wv/NpyC8AHZYO2YNFzIw3LxMJhjZlzHWzrvQiEihH2GGsoQmkxKn5dk0Y9cQxyzo2st&#13;&#10;hmjbQpoWuwi3tZwolUiLFceFEht6LSn/3f1ZDadU/VzWpyrZv/frTXf8OHzy90Hrp8d+NYvyMgMR&#13;&#10;qA/3xj9iYzSkY5U+J6lK4PYrfgK5uAIAAP//AwBQSwECLQAUAAYACAAAACEA2+H2y+4AAACFAQAA&#13;&#10;EwAAAAAAAAAAAAAAAAAAAAAAW0NvbnRlbnRfVHlwZXNdLnhtbFBLAQItABQABgAIAAAAIQBa9Cxb&#13;&#10;vwAAABUBAAALAAAAAAAAAAAAAAAAAB8BAABfcmVscy8ucmVsc1BLAQItABQABgAIAAAAIQDYtcR5&#13;&#10;zgAAAOcAAAAPAAAAAAAAAAAAAAAAAAcCAABkcnMvZG93bnJldi54bWxQSwUGAAAAAAMAAwC3AAAA&#13;&#10;AgMAAAAA&#13;&#10;" path="m,l5489448,r,225552l,225552,,e" fillcolor="#cbcbcb" stroked="f" strokeweight="0">
                  <v:fill opacity="59110f"/>
                  <v:stroke joinstyle="miter"/>
                  <v:path arrowok="t" o:connecttype="custom" o:connectlocs="0,0;549,0;549,23;0,23;0,0" o:connectangles="0,0,0,0,0" textboxrect="0,0,5489448,225552"/>
                </v:shape>
                <v:shape id="Shape 1082" o:spid="_x0000_s1044" style="position:absolute;top:13578;width:54894;height:2256;visibility:visible;mso-wrap-style:square;v-text-anchor:top" coordsize="5489448,2255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Di0xzwAAAOgAAAAPAAAAZHJzL2Rvd25yZXYueG1sRI9BSwMx&#13;&#10;EIXvgv8hjOBFbFJZatk2Lboq9mirFLyNm3F36WayJLHd/nvnIHh5MO8x38xbrkffqyPF1AW2MJ0Y&#13;&#10;UMR1cB03Fj7eX27noFJGdtgHJgtnSrBeXV4ssXThxFs67nKjBMKpRAttzkOpdapb8pgmYSCW7DtE&#13;&#10;j1nG2GgX8SRw3+s7Y2baY8dyocWBqpbqw+7HW3gt4uPn/q26cV+zzfbw7M8j7Strr6/Gp4XIwwJU&#13;&#10;pjH/b/whNk46mMLcz4tpIZ9LMTFAr34BAAD//wMAUEsBAi0AFAAGAAgAAAAhANvh9svuAAAAhQEA&#13;&#10;ABMAAAAAAAAAAAAAAAAAAAAAAFtDb250ZW50X1R5cGVzXS54bWxQSwECLQAUAAYACAAAACEAWvQs&#13;&#10;W78AAAAVAQAACwAAAAAAAAAAAAAAAAAfAQAAX3JlbHMvLnJlbHNQSwECLQAUAAYACAAAACEAwQ4t&#13;&#10;Mc8AAADoAAAADwAAAAAAAAAAAAAAAAAHAgAAZHJzL2Rvd25yZXYueG1sUEsFBgAAAAADAAMAtwAA&#13;&#10;AAMDAAAAAA==&#13;&#10;" path="m,225552r5489448,l5489448,,,,,225552xe" filled="f" strokeweight="2.04pt">
                  <v:stroke joinstyle="miter"/>
                  <v:path arrowok="t" o:connecttype="custom" o:connectlocs="0,23;549,23;549,0;0,0;0,23" o:connectangles="0,0,0,0,0" textboxrect="0,0,5489448,225552"/>
                </v:shape>
                <v:shape id="Shape 1083" o:spid="_x0000_s1045" style="position:absolute;left:2743;top:12252;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CeqRzQAAAOgAAAAPAAAAZHJzL2Rvd25yZXYueG1sRI/LasMw&#13;&#10;EEX3hfyDmEB3jWzRhsSJEvqEbgJ59AMGa2qZWCNjKYn7951FoZuBy3DP5ay3Y+jUlYbURrZQzgpQ&#13;&#10;xHV0LTcWvk4fDwtQKSM77CKThR9KsN1M7tZYuXjjA12PuVEC4VShBZ9zX2mdak8B0yz2xPL7jkPA&#13;&#10;LHFotBvwJvDQaVMUcx2wZVnw2NOrp/p8vAQLvZ8v3y/5vC95NPu6Pb3sdgdv7f10fFvJeV6ByjTm&#13;&#10;/8Yf4tNZMKV5fCrMohQVERMp0JtfAAAA//8DAFBLAQItABQABgAIAAAAIQDb4fbL7gAAAIUBAAAT&#13;&#10;AAAAAAAAAAAAAAAAAAAAAABbQ29udGVudF9UeXBlc10ueG1sUEsBAi0AFAAGAAgAAAAhAFr0LFu/&#13;&#10;AAAAFQEAAAsAAAAAAAAAAAAAAAAAHwEAAF9yZWxzLy5yZWxzUEsBAi0AFAAGAAgAAAAhAEsJ6pHN&#13;&#10;AAAA6AAAAA8AAAAAAAAAAAAAAAAABwIAAGRycy9kb3ducmV2LnhtbFBLBQYAAAAAAwADALcAAAAB&#13;&#10;AwAAAAA=&#13;&#10;" path="m44196,l4904232,v24384,,44196,19812,44196,44196l4948428,220980v,24384,-19812,44196,-44196,44196l44196,265176c19812,265176,,245364,,220980l,44196c,19812,19812,,44196,xe" stroked="f" strokeweight="0">
                  <v:stroke joinstyle="miter"/>
                  <v:path arrowok="t" o:connecttype="custom" o:connectlocs="4,0;490,0;495,4;495,22;490,27;4,27;0,22;0,4;4,0" o:connectangles="0,0,0,0,0,0,0,0,0" textboxrect="0,0,4948428,265176"/>
                </v:shape>
                <v:shape id="Shape 1084" o:spid="_x0000_s1046" style="position:absolute;left:2743;top:12252;width:49484;height:2652;visibility:visible;mso-wrap-style:square;v-text-anchor:top" coordsize="4948428,265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q7nvzgAAAOgAAAAPAAAAZHJzL2Rvd25yZXYueG1sRI9ba8JA&#13;&#10;FITfhf6H5RT6VjcXlBJdRVos0r54Kfh6zB6TYPZszG5M+u+7QsGXgWGYb5j5cjC1uFHrKssK4nEE&#13;&#10;gji3uuJCwc9h/foGwnlkjbVlUvBLDpaLp9EcM2173tFt7wsRIOwyVFB632RSurwkg25sG+KQnW1r&#13;&#10;0AfbFlK32Ae4qWUSRVNpsOKwUGJD7yXll31nFBywP230Ov3qjvl397m9anm8aqVenoePWZDVDISn&#13;&#10;wT8a/4iNVpDEUTKZTNM0hvuxcArk4g8AAP//AwBQSwECLQAUAAYACAAAACEA2+H2y+4AAACFAQAA&#13;&#10;EwAAAAAAAAAAAAAAAAAAAAAAW0NvbnRlbnRfVHlwZXNdLnhtbFBLAQItABQABgAIAAAAIQBa9Cxb&#13;&#10;vwAAABUBAAALAAAAAAAAAAAAAAAAAB8BAABfcmVscy8ucmVsc1BLAQItABQABgAIAAAAIQDjq7nv&#13;&#10;zgAAAOgAAAAPAAAAAAAAAAAAAAAAAAcCAABkcnMvZG93bnJldi54bWxQSwUGAAAAAAMAAwC3AAAA&#13;&#10;AgMAAAAA&#13;&#10;" path="m,44196c,19812,19812,,44196,l4904232,v24384,,44196,19812,44196,44196l4948428,220980v,24384,-19812,44196,-44196,44196l44196,265176c19812,265176,,245364,,220980l,44196xe" filled="f" strokeweight="2.04pt">
                  <v:stroke joinstyle="miter"/>
                  <v:path arrowok="t" o:connecttype="custom" o:connectlocs="0,4;4,0;490,0;495,4;495,22;490,27;4,27;0,22;0,4" o:connectangles="0,0,0,0,0,0,0,0,0" textboxrect="0,0,4948428,265176"/>
                </v:shape>
                <v:rect id="Rectangle 1085" o:spid="_x0000_s1047" style="position:absolute;left:4321;top:12251;width:47440;height:30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Q4oAzwAAAOgAAAAPAAAAZHJzL2Rvd25yZXYueG1sRI9Na8JA&#13;&#10;EIbvhf6HZQq9FN2Nimh0FW0RCp6MH3gcstMkNTsbsltN/323IHgZmHl5n+GZLztbiyu1vnKsIekr&#13;&#10;EMS5MxUXGg77TW8Cwgdkg7Vj0vBLHpaL56c5psbdeEfXLBQiQtinqKEMoUml9HlJFn3fNcQx+3Kt&#13;&#10;xRDXtpCmxVuE21oOlBpLixXHDyU29F5Sfsl+rIa3Q7Ydrs+UnMwx+TZqtNu4Yq3160v3MYtjNQMR&#13;&#10;qAuPxh3xaaKDSoZTNVCTMfyLxQPIxR8AAAD//wMAUEsBAi0AFAAGAAgAAAAhANvh9svuAAAAhQEA&#13;&#10;ABMAAAAAAAAAAAAAAAAAAAAAAFtDb250ZW50X1R5cGVzXS54bWxQSwECLQAUAAYACAAAACEAWvQs&#13;&#10;W78AAAAVAQAACwAAAAAAAAAAAAAAAAAfAQAAX3JlbHMvLnJlbHNQSwECLQAUAAYACAAAACEAX0OK&#13;&#10;AM8AAADoAAAADwAAAAAAAAAAAAAAAAAHAgAAZHJzL2Rvd25yZXYueG1sUEsFBgAAAAADAAMAtwAA&#13;&#10;AAMDAAAAAA==&#13;&#10;" filled="f" stroked="f">
                  <v:path arrowok="t"/>
                  <v:textbox inset="0,0,0,0">
                    <w:txbxContent>
                      <w:p w14:paraId="42E285FB"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Підвищення рівня здоров’я населення</w:t>
                        </w:r>
                      </w:p>
                    </w:txbxContent>
                  </v:textbox>
                </v:rect>
                <v:rect id="Rectangle 1086" o:spid="_x0000_s1048" style="position:absolute;left:16777;top:12894;width:507;height:16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c19u0AAAAOgAAAAPAAAAZHJzL2Rvd25yZXYueG1sRI9BS8NA&#13;&#10;EIXvgv9hGcGL2E1iG0vabbFKQfDUtEqPQ3aaRLOzIbu28d87B8HLg3mP+Wbecj26Tp1pCK1nA+kk&#13;&#10;AUVcedtybeCw397PQYWIbLHzTAZ+KMB6dX21xML6C+/oXMZaCYRDgQaaGPtC61A15DBMfE8s2ckP&#13;&#10;DqOMQ63tgBeBu05nSZJrhy3LhQZ7em6o+iq/nYG7Q/n2sDlS+mHf00+bTHdbX2+Mub0ZXxYiTwtQ&#13;&#10;kcb4v/GHeLXSYZY9ZtN5nsvnUkwM0KtfAAAA//8DAFBLAQItABQABgAIAAAAIQDb4fbL7gAAAIUB&#13;&#10;AAATAAAAAAAAAAAAAAAAAAAAAABbQ29udGVudF9UeXBlc10ueG1sUEsBAi0AFAAGAAgAAAAhAFr0&#13;&#10;LFu/AAAAFQEAAAsAAAAAAAAAAAAAAAAAHwEAAF9yZWxzLy5yZWxzUEsBAi0AFAAGAAgAAAAhAHxz&#13;&#10;X27QAAAA6AAAAA8AAAAAAAAAAAAAAAAABwIAAGRycy9kb3ducmV2LnhtbFBLBQYAAAAAAwADALcA&#13;&#10;AAAEAwAAAAA=&#13;&#10;" filled="f" stroked="f">
                  <v:path arrowok="t"/>
                  <v:textbox inset="0,0,0,0">
                    <w:txbxContent>
                      <w:p w14:paraId="756E9BF8" w14:textId="77777777" w:rsidR="0017149C" w:rsidRDefault="0017149C">
                        <w:pPr>
                          <w:rPr>
                            <w:rFonts w:ascii="Times New Roman" w:hAnsi="Times New Roman" w:cs="Times New Roman"/>
                            <w:sz w:val="28"/>
                            <w:szCs w:val="28"/>
                          </w:rPr>
                        </w:pPr>
                      </w:p>
                    </w:txbxContent>
                  </v:textbox>
                </v:rect>
                <v:shape id="Shape 9249" o:spid="_x0000_s1049" style="position:absolute;top:17663;width:54894;height:2255;visibility:visible;mso-wrap-style:square;v-text-anchor:top" coordsize="5489448,2255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PhtPzgAAAOcAAAAPAAAAZHJzL2Rvd25yZXYueG1sRI9Ba8JA&#13;&#10;FITvhf6H5RW81U0qbCW6SmnRigdBLfb6yD6TtNm3Mbs18d+7QsHLwDDMN8x03ttanKn1lWMN6TAB&#13;&#10;QZw7U3Gh4Wu/eB6D8AHZYO2YNFzIw3z2+DDFzLiOt3TehUJECPsMNZQhNJmUPi/Joh+6hjhmR9da&#13;&#10;DNG2hTQtdhFua/mSJEparDgulNjQe0n57+7Paji9Jj+X5alS+89+ueqO68OGvw9aD576j0mUtwmI&#13;&#10;QH24N/4RK6NBqfEoHak0hduv+Ank7AoAAP//AwBQSwECLQAUAAYACAAAACEA2+H2y+4AAACFAQAA&#13;&#10;EwAAAAAAAAAAAAAAAAAAAAAAW0NvbnRlbnRfVHlwZXNdLnhtbFBLAQItABQABgAIAAAAIQBa9Cxb&#13;&#10;vwAAABUBAAALAAAAAAAAAAAAAAAAAB8BAABfcmVscy8ucmVsc1BLAQItABQABgAIAAAAIQD3PhtP&#13;&#10;zgAAAOcAAAAPAAAAAAAAAAAAAAAAAAcCAABkcnMvZG93bnJldi54bWxQSwUGAAAAAAMAAwC3AAAA&#13;&#10;AgMAAAAA&#13;&#10;" path="m,l5489448,r,225552l,225552,,e" fillcolor="#cbcbcb" stroked="f" strokeweight="0">
                  <v:fill opacity="59110f"/>
                  <v:stroke joinstyle="miter"/>
                  <v:path arrowok="t" o:connecttype="custom" o:connectlocs="0,0;549,0;549,23;0,23;0,0" o:connectangles="0,0,0,0,0" textboxrect="0,0,5489448,225552"/>
                </v:shape>
                <v:shape id="Shape 1089" o:spid="_x0000_s1050" style="position:absolute;top:17663;width:54894;height:2255;visibility:visible;mso-wrap-style:square;v-text-anchor:top" coordsize="5489448,2255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faV20AAAAOgAAAAPAAAAZHJzL2Rvd25yZXYueG1sRI/BSsNA&#13;&#10;EIbvBd9hGcFLsZvGppS022KjYo+mSsHbmB2T0Oxs2F3b9O1doeBlYObn/4ZvtRlMJ07kfGtZwXSS&#13;&#10;gCCurG65VvDx/nK/AOEDssbOMim4kIfN+ma0wlzbM5d02odaRAj7HBU0IfS5lL5qyKCf2J44Zt/W&#13;&#10;GQxxdbXUDs8RbjqZJslcGmw5fmiwp6Kh6rj/MQpeZ277eXgrxvprviuPz+Yy0KFQ6u52eFrG8bgE&#13;&#10;EWgI/40rYqejQ5KmWfawyFL4E4sHkOtfAAAA//8DAFBLAQItABQABgAIAAAAIQDb4fbL7gAAAIUB&#13;&#10;AAATAAAAAAAAAAAAAAAAAAAAAABbQ29udGVudF9UeXBlc10ueG1sUEsBAi0AFAAGAAgAAAAhAFr0&#13;&#10;LFu/AAAAFQEAAAsAAAAAAAAAAAAAAAAAHwEAAF9yZWxzLy5yZWxzUEsBAi0AFAAGAAgAAAAhAHF9&#13;&#10;pXbQAAAA6AAAAA8AAAAAAAAAAAAAAAAABwIAAGRycy9kb3ducmV2LnhtbFBLBQYAAAAAAwADALcA&#13;&#10;AAAEAwAAAAA=&#13;&#10;" path="m,225552r5489448,l5489448,,,,,225552xe" filled="f" strokeweight="2.04pt">
                  <v:stroke joinstyle="miter"/>
                  <v:path arrowok="t" o:connecttype="custom" o:connectlocs="0,23;549,23;549,0;0,0;0,23" o:connectangles="0,0,0,0,0" textboxrect="0,0,5489448,225552"/>
                </v:shape>
                <v:shape id="Shape 1090" o:spid="_x0000_s1051" style="position:absolute;left:2743;top:16322;width:49484;height:2667;visibility:visible;mso-wrap-style:square;v-text-anchor:top" coordsize="4948428,266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cRI0QAAAOgAAAAPAAAAZHJzL2Rvd25yZXYueG1sRI9Na8JA&#13;&#10;EIbvgv9hGcGL1N1KiTG6ilhalF5a+0GPY3aahGZnQ3bV6K/vFgq9DMy8vM/wLFadrcWJWl851nA7&#13;&#10;ViCIc2cqLjS8vT7cpCB8QDZYOyYNF/KwWvZ7C8yMO/MLnfahEBHCPkMNZQhNJqXPS7Lox64hjtmX&#13;&#10;ay2GuLaFNC2eI9zWcqJUIi1WHD+U2NCmpPx7f7QaHqfX9H0nn5qPw+7wfNzyaP15Ia2Hg+5+Hsd6&#13;&#10;DiJQF/4bf4itiQ5Jqu5mKpnO4FcsHkAufwAAAP//AwBQSwECLQAUAAYACAAAACEA2+H2y+4AAACF&#13;&#10;AQAAEwAAAAAAAAAAAAAAAAAAAAAAW0NvbnRlbnRfVHlwZXNdLnhtbFBLAQItABQABgAIAAAAIQBa&#13;&#10;9CxbvwAAABUBAAALAAAAAAAAAAAAAAAAAB8BAABfcmVscy8ucmVsc1BLAQItABQABgAIAAAAIQC/&#13;&#10;scRI0QAAAOgAAAAPAAAAAAAAAAAAAAAAAAcCAABkcnMvZG93bnJldi54bWxQSwUGAAAAAAMAAwC3&#13;&#10;AAAABQMAAAAA&#13;&#10;" path="m44450,l4903978,v24511,,44450,19939,44450,44450l4948428,222250v,24511,-19939,44450,-44450,44450l44450,266700c19939,266700,,246761,,222250l,44450c,19939,19939,,44450,xe" stroked="f" strokeweight="0">
                  <v:stroke joinstyle="miter"/>
                  <v:path arrowok="t" o:connecttype="custom" o:connectlocs="4,0;490,0;495,4;495,22;490,27;4,27;0,22;0,4;4,0" o:connectangles="0,0,0,0,0,0,0,0,0" textboxrect="0,0,4948428,266700"/>
                </v:shape>
                <v:shape id="Shape 1091" o:spid="_x0000_s1052" style="position:absolute;left:2743;top:16322;width:49484;height:2667;visibility:visible;mso-wrap-style:square;v-text-anchor:top" coordsize="4948428,266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JoDHzQAAAOgAAAAPAAAAZHJzL2Rvd25yZXYueG1sRI/BSsNA&#13;&#10;EIbvgu+wjODNzraH2KbdllIpiBdptehxyE6T0Oxsml2T+PauIHgZmPn5v+FbbUbXqJ67UHsxMJ1o&#13;&#10;UCyFt7WUBt7f9g9zUCGSWGq8sIFvDrBZ396sKLd+kAP3x1iqBJGQk4EqxjZHDEXFjsLEtywpO/vO&#13;&#10;UUxrV6LtaEhw1+BM6wwd1ZI+VNTyruLicvxyBvbx46W4Hkp3wtfP4YSxHxpCY+7vxqdlGtslqMhj&#13;&#10;/G/8IZ5tcljMHrOFnusMfsXSAXD9AwAA//8DAFBLAQItABQABgAIAAAAIQDb4fbL7gAAAIUBAAAT&#13;&#10;AAAAAAAAAAAAAAAAAAAAAABbQ29udGVudF9UeXBlc10ueG1sUEsBAi0AFAAGAAgAAAAhAFr0LFu/&#13;&#10;AAAAFQEAAAsAAAAAAAAAAAAAAAAAHwEAAF9yZWxzLy5yZWxzUEsBAi0AFAAGAAgAAAAhAIEmgMfN&#13;&#10;AAAA6AAAAA8AAAAAAAAAAAAAAAAABwIAAGRycy9kb3ducmV2LnhtbFBLBQYAAAAAAwADALcAAAAB&#13;&#10;AwAAAAA=&#13;&#10;" path="m,44450c,19939,19939,,44450,l4903978,v24511,,44450,19939,44450,44450l4948428,222250v,24511,-19939,44450,-44450,44450l44450,266700c19939,266700,,246761,,222250l,44450xe" filled="f" strokeweight="2.04pt">
                  <v:stroke joinstyle="miter"/>
                  <v:path arrowok="t" o:connecttype="custom" o:connectlocs="0,4;4,0;490,0;495,4;495,22;490,27;4,27;0,22;0,4" o:connectangles="0,0,0,0,0,0,0,0,0" textboxrect="0,0,4948428,266700"/>
                </v:shape>
                <v:rect id="Rectangle 1092" o:spid="_x0000_s1053" style="position:absolute;left:4323;top:17200;width:36622;height:1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sOgzwAAAOgAAAAPAAAAZHJzL2Rvd25yZXYueG1sRI9Ba8JA&#13;&#10;FITvQv/D8gq9SN1kLdZGV6kWoeDJ1JYeH9nXJJp9G7Krpv++WxC8DAzDfMPMl71txJk6XzvWkI4S&#13;&#10;EMSFMzWXGvYfm8cpCB+QDTaOScMveVgu7gZzzIy78I7OeShFhLDPUEMVQptJ6YuKLPqRa4lj9uM6&#13;&#10;iyHarpSmw0uE20aqJJlIizXHhQpbWldUHPOT1TDc59vx6pvSL/OZHkzytNu4cqX1w33/NovyOgMR&#13;&#10;qA+3xhXxbjSodPys1PRFTeD/WDwFcvEHAAD//wMAUEsBAi0AFAAGAAgAAAAhANvh9svuAAAAhQEA&#13;&#10;ABMAAAAAAAAAAAAAAAAAAAAAAFtDb250ZW50X1R5cGVzXS54bWxQSwECLQAUAAYACAAAACEAWvQs&#13;&#10;W78AAAAVAQAACwAAAAAAAAAAAAAAAAAfAQAAX3JlbHMvLnJlbHNQSwECLQAUAAYACAAAACEABP7D&#13;&#10;oM8AAADoAAAADwAAAAAAAAAAAAAAAAAHAgAAZHJzL2Rvd25yZXYueG1sUEsFBgAAAAADAAMAtwAA&#13;&#10;AAMDAAAAAA==&#13;&#10;" filled="f" stroked="f">
                  <v:path arrowok="t"/>
                  <v:textbox inset="0,0,0,0">
                    <w:txbxContent>
                      <w:p w14:paraId="6E7B39DF"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 xml:space="preserve">Інвестування в здоров`я на всіх етапах життя населення </w:t>
                        </w:r>
                      </w:p>
                    </w:txbxContent>
                  </v:textbox>
                </v:rect>
                <v:shape id="Shape 9250" o:spid="_x0000_s1054" style="position:absolute;top:21732;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i2wK0AAAAOgAAAAPAAAAZHJzL2Rvd25yZXYueG1sRI9bS8NA&#13;&#10;FITfBf/Dcgq+2U2DvaXdFlEEBaH28qBvh5zTJDZ7NmbXNvXXu4LQl4FhmG+Y+bKztTpy6ysnBgb9&#13;&#10;BBRL7qiSwsBu+3Q7AeUDCmHthA2c2cNycX01x4zcSdZ83IRCRYj4DA2UITSZ1j4v2aLvu4YlZnvX&#13;&#10;WgzRtoWmFk8RbmudJslIW6wkLpTY8EPJ+WHzbQ18pa9v1efw/WN3JvrhwwvRakzG3PS6x1mU+xmo&#13;&#10;wF24NP4Rz2QgTaaj4Xg6uEvh71g8BXrxCwAA//8DAFBLAQItABQABgAIAAAAIQDb4fbL7gAAAIUB&#13;&#10;AAATAAAAAAAAAAAAAAAAAAAAAABbQ29udGVudF9UeXBlc10ueG1sUEsBAi0AFAAGAAgAAAAhAFr0&#13;&#10;LFu/AAAAFQEAAAsAAAAAAAAAAAAAAAAAHwEAAF9yZWxzLy5yZWxzUEsBAi0AFAAGAAgAAAAhACaL&#13;&#10;bArQAAAA6AAAAA8AAAAAAAAAAAAAAAAABwIAAGRycy9kb3ducmV2LnhtbFBLBQYAAAAAAwADALcA&#13;&#10;AAAEAwAAAAA=&#13;&#10;" path="m,l5489448,r,227076l,227076,,e" fillcolor="#cbcbcb" stroked="f" strokeweight="0">
                  <v:fill opacity="59110f"/>
                  <v:stroke joinstyle="miter"/>
                  <v:path arrowok="t" o:connecttype="custom" o:connectlocs="0,0;549,0;549,23;0,23;0,0" o:connectangles="0,0,0,0,0" textboxrect="0,0,5489448,227076"/>
                </v:shape>
                <v:shape id="Shape 1094" o:spid="_x0000_s1055" style="position:absolute;top:21732;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xfeH0AAAAOgAAAAPAAAAZHJzL2Rvd25yZXYueG1sRI/BSsNA&#13;&#10;EIbvgu+wTMFLsRuT2sS02yIWwYIXW8HrkB2T1Oxs3F3T+PZuoeBlYObn/4ZvtRlNJwZyvrWs4G6W&#13;&#10;gCCurG65VvB+eL4tQPiArLGzTAp+ycNmfX21wlLbE7/RsA+1iBD2JSpoQuhLKX3VkEE/sz1xzD6t&#13;&#10;Mxji6mqpHZ4i3HQyTZKFNNhy/NBgT08NVV/7H6Ng6sfDQ7odFtP++yM7Fm6Xv6Y7pW4m43YZx+MS&#13;&#10;RKAx/DcuiBcdHeb3aZFleZ7BWSweQK7/AAAA//8DAFBLAQItABQABgAIAAAAIQDb4fbL7gAAAIUB&#13;&#10;AAATAAAAAAAAAAAAAAAAAAAAAABbQ29udGVudF9UeXBlc10ueG1sUEsBAi0AFAAGAAgAAAAhAFr0&#13;&#10;LFu/AAAAFQEAAAsAAAAAAAAAAAAAAAAAHwEAAF9yZWxzLy5yZWxzUEsBAi0AFAAGAAgAAAAhAOzF&#13;&#10;94fQAAAA6AAAAA8AAAAAAAAAAAAAAAAABwIAAGRycy9kb3ducmV2LnhtbFBLBQYAAAAAAwADALcA&#13;&#10;AAAEAwAAAAA=&#13;&#10;" path="m,227076r5489448,l5489448,,,,,227076xe" filled="f" strokeweight="2.04pt">
                  <v:stroke joinstyle="miter"/>
                  <v:path arrowok="t" o:connecttype="custom" o:connectlocs="0,23;549,23;549,0;0,0;0,23" o:connectangles="0,0,0,0,0" textboxrect="0,0,5489448,227076"/>
                </v:shape>
                <v:shape id="Shape 1095" o:spid="_x0000_s1056" style="position:absolute;left:2743;top:20406;width:49865;height:2667;visibility:visible;mso-wrap-style:square;v-text-anchor:top" coordsize="4986528,266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nupezAAAAOYAAAAPAAAAZHJzL2Rvd25yZXYueG1sRI/BSsRA&#13;&#10;DIbvgu8wRPDmzqygtt2dXcQqeHVXFG/TTmxrO5nSidv69uYgeAn8hP9Lvu1+CYM64ZS6SBbWKwMK&#13;&#10;qY6+o8bC6/HpKgOV2JF3QyS08IMJ9rvzs60rfJzpBU8HbpRAKBXOQss8FlqnusXg0iqOSLL7jFNw&#13;&#10;LHFqtJ/cLPAw6GtjbnVwHcmF1o340GLdH76DBR7fy6z6KNd9dfP19hgr7s2cW3t5sZQbGfcbUIwL&#13;&#10;/zf+EM/ewp3JTZZn8rdoiRLo3S8AAAD//wMAUEsBAi0AFAAGAAgAAAAhANvh9svuAAAAhQEAABMA&#13;&#10;AAAAAAAAAAAAAAAAAAAAAFtDb250ZW50X1R5cGVzXS54bWxQSwECLQAUAAYACAAAACEAWvQsW78A&#13;&#10;AAAVAQAACwAAAAAAAAAAAAAAAAAfAQAAX3JlbHMvLnJlbHNQSwECLQAUAAYACAAAACEAy57qXswA&#13;&#10;AADmAAAADwAAAAAAAAAAAAAAAAAHAgAAZHJzL2Rvd25yZXYueG1sUEsFBgAAAAADAAMAtwAAAAAD&#13;&#10;AAAAAA==&#13;&#10;" path="m44450,l4942078,v24511,,44450,19939,44450,44450l4986528,222250v,24511,-19939,44450,-44450,44450l44450,266700c19939,266700,,246761,,222250l,44450c,19939,19939,,44450,xe" stroked="f" strokeweight="0">
                  <v:stroke joinstyle="miter"/>
                  <v:path arrowok="t" o:connecttype="custom" o:connectlocs="4,0;494,0;499,4;499,22;494,27;4,27;0,22;0,4;4,0" o:connectangles="0,0,0,0,0,0,0,0,0" textboxrect="0,0,4986528,266700"/>
                </v:shape>
                <v:shape id="Shape 1096" o:spid="_x0000_s1057" style="position:absolute;left:2743;top:20406;width:49865;height:2667;visibility:visible;mso-wrap-style:square;v-text-anchor:top" coordsize="4986528,2667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YmDPzgAAAOcAAAAPAAAAZHJzL2Rvd25yZXYueG1sRI9Ba8JA&#13;&#10;FITvBf/D8oTe6iY2lRpdRbTS3opJ9fzIviap2bdhd6vx33cLhV4GhmG+YZbrwXTiQs63lhWkkwQE&#13;&#10;cWV1y7WCj3L/8AzCB2SNnWVScCMP69Xobom5tlc+0KUItYgQ9jkqaELocyl91ZBBP7E9ccw+rTMY&#13;&#10;onW11A6vEW46OU2SmTTYclxosKdtQ9W5+DYKyuKx3Cand5ueDhtn9ev+9vJ1VOp+POwWUTYLEIGG&#13;&#10;8N/4Q7xpBfNplqVPWTaD31/xE8jVDwAAAP//AwBQSwECLQAUAAYACAAAACEA2+H2y+4AAACFAQAA&#13;&#10;EwAAAAAAAAAAAAAAAAAAAAAAW0NvbnRlbnRfVHlwZXNdLnhtbFBLAQItABQABgAIAAAAIQBa9Cxb&#13;&#10;vwAAABUBAAALAAAAAAAAAAAAAAAAAB8BAABfcmVscy8ucmVsc1BLAQItABQABgAIAAAAIQAvYmDP&#13;&#10;zgAAAOcAAAAPAAAAAAAAAAAAAAAAAAcCAABkcnMvZG93bnJldi54bWxQSwUGAAAAAAMAAwC3AAAA&#13;&#10;AgMAAAAA&#13;&#10;" path="m,44450c,19939,19939,,44450,l4942078,v24511,,44450,19939,44450,44450l4986528,222250v,24511,-19939,44450,-44450,44450l44450,266700c19939,266700,,246761,,222250l,44450xe" filled="f" strokeweight="2.04pt">
                  <v:stroke joinstyle="miter"/>
                  <v:path arrowok="t" o:connecttype="custom" o:connectlocs="0,4;4,0;494,0;499,4;499,22;494,27;4,27;0,22;0,4" o:connectangles="0,0,0,0,0,0,0,0,0" textboxrect="0,0,4986528,266700"/>
                </v:shape>
                <v:rect id="Rectangle 1097" o:spid="_x0000_s1058" style="position:absolute;left:4323;top:21285;width:44833;height:1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dAcjzgAAAOcAAAAPAAAAZHJzL2Rvd25yZXYueG1sRI9Pa8JA&#13;&#10;FMTvhX6H5RV6KbqbRkSiq6hFKPRk/IPHR/aZRLNvQ3ar6bfvFgpeBoZhfsPMFr1txI06XzvWkAwV&#13;&#10;COLCmZpLDfvdZjAB4QOywcYxafghD4v589MMM+PuvKVbHkoRIewz1FCF0GZS+qIii37oWuKYnV1n&#13;&#10;MUTbldJ0eI9w28h3pcbSYs1xocKW1hUV1/zbanjb51/p6kTJ0RySi1Gj7caVK61fX/qPaZTlFESg&#13;&#10;Pjwa/4hPo2GiVJqMR2kKf7/iJ5DzXwAAAP//AwBQSwECLQAUAAYACAAAACEA2+H2y+4AAACFAQAA&#13;&#10;EwAAAAAAAAAAAAAAAAAAAAAAW0NvbnRlbnRfVHlwZXNdLnhtbFBLAQItABQABgAIAAAAIQBa9Cxb&#13;&#10;vwAAABUBAAALAAAAAAAAAAAAAAAAAB8BAABfcmVscy8ucmVsc1BLAQItABQABgAIAAAAIQDLdAcj&#13;&#10;zgAAAOcAAAAPAAAAAAAAAAAAAAAAAAcCAABkcnMvZG93bnJldi54bWxQSwUGAAAAAAMAAwC3AAAA&#13;&#10;AgMAAAAA&#13;&#10;" filled="f" stroked="f">
                  <v:path arrowok="t"/>
                  <v:textbox inset="0,0,0,0">
                    <w:txbxContent>
                      <w:p w14:paraId="1E01CBCC"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Зміцнення системи охорони здоров’я з орієнтацією на потреби людей</w:t>
                        </w:r>
                      </w:p>
                    </w:txbxContent>
                  </v:textbox>
                </v:rect>
                <v:shape id="Shape 9251" o:spid="_x0000_s1059" style="position:absolute;top:25816;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fM1D0AAAAOgAAAAPAAAAZHJzL2Rvd25yZXYueG1sRI/BSsNA&#13;&#10;EIbvgu+wjODN7qZYrWm3RRTBglCtPdjbkJkmsdnZmF3b1Kd3C4KXgZmf/xu+6bx3jdpzF2ovFrKB&#13;&#10;AcVSeKqltLB+f7oagwoRhbDxwhaOHGA+Oz+bYk7+IG+8X8VSJYiEHC1UMba51qGo2GEY+JYlZVvf&#13;&#10;OYxp7UpNHR4S3DV6aMyNdlhL+lBhyw8VF7vVt7PwNXx5rT9HH5v1keiHdwui5S1Ze3nRP07SuJ+A&#13;&#10;itzH/8Yf4pmSgzFmPLrLrjM4iaUD6NkvAAAA//8DAFBLAQItABQABgAIAAAAIQDb4fbL7gAAAIUB&#13;&#10;AAATAAAAAAAAAAAAAAAAAAAAAABbQ29udGVudF9UeXBlc10ueG1sUEsBAi0AFAAGAAgAAAAhAFr0&#13;&#10;LFu/AAAAFQEAAAsAAAAAAAAAAAAAAAAAHwEAAF9yZWxzLy5yZWxzUEsBAi0AFAAGAAgAAAAhABx8&#13;&#10;zUPQAAAA6AAAAA8AAAAAAAAAAAAAAAAABwIAAGRycy9kb3ducmV2LnhtbFBLBQYAAAAAAwADALcA&#13;&#10;AAAEAwAAAAA=&#13;&#10;" path="m,l5489448,r,227076l,227076,,e" fillcolor="#cbcbcb" stroked="f" strokeweight="0">
                  <v:fill opacity="59110f"/>
                  <v:stroke joinstyle="miter"/>
                  <v:path arrowok="t" o:connecttype="custom" o:connectlocs="0,0;549,0;549,23;0,23;0,0" o:connectangles="0,0,0,0,0" textboxrect="0,0,5489448,227076"/>
                </v:shape>
                <v:shape id="Shape 1099" o:spid="_x0000_s1060" style="position:absolute;top:25816;width:54894;height:2271;visibility:visible;mso-wrap-style:square;v-text-anchor:top" coordsize="5489448,2270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TD1UzgAAAOcAAAAPAAAAZHJzL2Rvd25yZXYueG1sRI9BS8NA&#13;&#10;FITvgv9heYKXYjemmnbTbotYBAtebAteH9lnEs2+jbtrGv+9WxC8DAzDfMOsNqPtxEA+tI413E4z&#13;&#10;EMSVMy3XGo6Hp5sFiBCRDXaOScMPBdisLy9WWBp34lca9rEWCcKhRA1NjH0pZagashimridO2bvz&#13;&#10;FmOyvpbG4ynBbSfzLCukxZbTQoM9PTZUfe6/rYZJGA8q3w7FpP96m30s/G7+ku+0vr4at8skD0sQ&#13;&#10;kcb43/hDPJv0Qd3PlFLFHZx/JQ9y/QsAAP//AwBQSwECLQAUAAYACAAAACEA2+H2y+4AAACFAQAA&#13;&#10;EwAAAAAAAAAAAAAAAAAAAAAAW0NvbnRlbnRfVHlwZXNdLnhtbFBLAQItABQABgAIAAAAIQBa9Cxb&#13;&#10;vwAAABUBAAALAAAAAAAAAAAAAAAAAB8BAABfcmVscy8ucmVsc1BLAQItABQABgAIAAAAIQDTTD1U&#13;&#10;zgAAAOcAAAAPAAAAAAAAAAAAAAAAAAcCAABkcnMvZG93bnJldi54bWxQSwUGAAAAAAMAAwC3AAAA&#13;&#10;AgMAAAAA&#13;&#10;" path="m,227076r5489448,l5489448,,,,,227076xe" filled="f" strokeweight="2.04pt">
                  <v:stroke joinstyle="miter"/>
                  <v:path arrowok="t" o:connecttype="custom" o:connectlocs="0,23;549,23;549,0;0,0;0,23" o:connectangles="0,0,0,0,0" textboxrect="0,0,5489448,227076"/>
                </v:shape>
                <v:shape id="Shape 1100" o:spid="_x0000_s1061" style="position:absolute;left:2743;top:24490;width:49286;height:2652;visibility:visible;mso-wrap-style:square;v-text-anchor:top" coordsize="4928616,2651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pbCVzwAAAOcAAAAPAAAAZHJzL2Rvd25yZXYueG1sRI9BSwMx&#13;&#10;FITvBf9DeIK3Ntuu1LJtWkRZLFIo1qLt7bF5boKbl2UT262/3giCl4FhmG+Yxap3jThRF6xnBeNR&#13;&#10;BoK48tpyrWD/Wg5nIEJE1th4JgUXCrBaXg0WWGh/5hc67WItEoRDgQpMjG0hZagMOQwj3xKn7MN3&#13;&#10;DmOyXS11h+cEd42cZNlUOrScFgy29GCo+tx9OQXvz4e4fdpszJv9Pq5LGS368qLUzXX/OE9yPwcR&#13;&#10;qY//jT/EWivIb/O76TjPJvD7K30CufwBAAD//wMAUEsBAi0AFAAGAAgAAAAhANvh9svuAAAAhQEA&#13;&#10;ABMAAAAAAAAAAAAAAAAAAAAAAFtDb250ZW50X1R5cGVzXS54bWxQSwECLQAUAAYACAAAACEAWvQs&#13;&#10;W78AAAAVAQAACwAAAAAAAAAAAAAAAAAfAQAAX3JlbHMvLnJlbHNQSwECLQAUAAYACAAAACEAH6Ww&#13;&#10;lc8AAADnAAAADwAAAAAAAAAAAAAAAAAHAgAAZHJzL2Rvd25yZXYueG1sUEsFBgAAAAADAAMAtwAA&#13;&#10;AAMDAAAAAA==&#13;&#10;" path="m44196,l4884420,v24384,,44196,19811,44196,44196l4928616,220980v,24383,-19812,44195,-44196,44195l44196,265175c19812,265175,,245363,,220980l,44196c,19811,19812,,44196,xe" stroked="f" strokeweight="0">
                  <v:stroke joinstyle="miter"/>
                  <v:path arrowok="t" o:connecttype="custom" o:connectlocs="4,0;488,0;493,4;493,22;488,27;4,27;0,22;0,4;4,0" o:connectangles="0,0,0,0,0,0,0,0,0" textboxrect="0,0,4928616,265175"/>
                </v:shape>
                <v:shape id="Shape 1101" o:spid="_x0000_s1062" style="position:absolute;left:2743;top:24490;width:49286;height:2652;visibility:visible;mso-wrap-style:square;v-text-anchor:top" coordsize="4928616,2651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tqA2zQAAAOYAAAAPAAAAZHJzL2Rvd25yZXYueG1sRI9BawIx&#13;&#10;FITvBf9DeEJvNauIrqtRilIqiqDW0uvr5nV36eZlm6S6/vtGEHoZGIb5hpktWlOLMzlfWVbQ7yUg&#13;&#10;iHOrKy4UnN5enlIQPiBrrC2Tgit5WMw7DzPMtL3wgc7HUIgIYZ+hgjKEJpPS5yUZ9D3bEMfsyzqD&#13;&#10;IVpXSO3wEuGmloMkGUmDFceFEhtalpR/H3+NAn84/QyL6mMzdrt08Pmqw/t2r5V67LaraZTnKYhA&#13;&#10;bfhv3BFrHT8M01E/nUzgditakPM/AAAA//8DAFBLAQItABQABgAIAAAAIQDb4fbL7gAAAIUBAAAT&#13;&#10;AAAAAAAAAAAAAAAAAAAAAABbQ29udGVudF9UeXBlc10ueG1sUEsBAi0AFAAGAAgAAAAhAFr0LFu/&#13;&#10;AAAAFQEAAAsAAAAAAAAAAAAAAAAAHwEAAF9yZWxzLy5yZWxzUEsBAi0AFAAGAAgAAAAhABq2oDbN&#13;&#10;AAAA5gAAAA8AAAAAAAAAAAAAAAAABwIAAGRycy9kb3ducmV2LnhtbFBLBQYAAAAAAwADALcAAAAB&#13;&#10;AwAAAAA=&#13;&#10;" path="m,44196c,19811,19812,,44196,l4884420,v24384,,44196,19811,44196,44196l4928616,220980v,24383,-19812,44195,-44196,44195l44196,265175c19812,265175,,245363,,220980l,44196xe" filled="f" strokeweight="2.04pt">
                  <v:stroke joinstyle="miter"/>
                  <v:path arrowok="t" o:connecttype="custom" o:connectlocs="0,4;4,0;488,0;493,4;493,22;488,27;4,27;0,22;0,4" o:connectangles="0,0,0,0,0,0,0,0,0" textboxrect="0,0,4928616,265175"/>
                </v:shape>
                <v:rect id="Rectangle 1102" o:spid="_x0000_s1063" style="position:absolute;left:4322;top:25359;width:39480;height:23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uQVmzwAAAOcAAAAPAAAAZHJzL2Rvd25yZXYueG1sRI9NS8NA&#13;&#10;EIbvQv/DMgUvYjfRfpl2W6xSKHhqbEuPQ3ZMotnZkF3b+O+dg+Bl4GV4n5dnue5doy7UhdqzgXSU&#13;&#10;gCIuvK25NHB4397PQYWIbLHxTAZ+KMB6NbhZYmb9lfd0yWOpBMIhQwNVjG2mdSgqchhGviWW34fv&#13;&#10;HEaJXalth1eBu0Y/JMlUO6xZFips6aWi4iv/dgbuDvnb4+ZM6cke00+bjPdbX26MuR32rws5zwtQ&#13;&#10;kfr43/hD7KyByWSczubTJzERL3ECvfoFAAD//wMAUEsBAi0AFAAGAAgAAAAhANvh9svuAAAAhQEA&#13;&#10;ABMAAAAAAAAAAAAAAAAAAAAAAFtDb250ZW50X1R5cGVzXS54bWxQSwECLQAUAAYACAAAACEAWvQs&#13;&#10;W78AAAAVAQAACwAAAAAAAAAAAAAAAAAfAQAAX3JlbHMvLnJlbHNQSwECLQAUAAYACAAAACEA97kF&#13;&#10;Zs8AAADnAAAADwAAAAAAAAAAAAAAAAAHAgAAZHJzL2Rvd25yZXYueG1sUEsFBgAAAAADAAMAtwAA&#13;&#10;AAMDAAAAAA==&#13;&#10;" filled="f" stroked="f">
                  <v:path arrowok="t"/>
                  <v:textbox inset="0,0,0,0">
                    <w:txbxContent>
                      <w:p w14:paraId="3D805EBE" w14:textId="77777777" w:rsidR="0017149C" w:rsidRDefault="0017149C">
                        <w:pPr>
                          <w:rPr>
                            <w:rFonts w:ascii="Times New Roman" w:hAnsi="Times New Roman" w:cs="Times New Roman"/>
                            <w:sz w:val="28"/>
                            <w:szCs w:val="28"/>
                          </w:rPr>
                        </w:pPr>
                        <w:r>
                          <w:rPr>
                            <w:rFonts w:ascii="Times New Roman" w:hAnsi="Times New Roman" w:cs="Times New Roman"/>
                            <w:sz w:val="28"/>
                            <w:szCs w:val="28"/>
                          </w:rPr>
                          <w:t>Загальне охоплення та право на здоров’я</w:t>
                        </w:r>
                      </w:p>
                    </w:txbxContent>
                  </v:textbox>
                </v:rect>
                <v:rect id="Rectangle 1103" o:spid="_x0000_s1064" style="position:absolute;left:23879;top:25138;width:508;height:16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jdoLzwAAAOgAAAAPAAAAZHJzL2Rvd25yZXYueG1sRI/BasJA&#13;&#10;EIbvhb7DMkIvRTdbS9ToKrUiFHoyVfE4ZMckbXY2ZLca375bKPQyMPPzf8O3WPW2ERfqfO1Ygxol&#13;&#10;IIgLZ2ouNew/tsMpCB+QDTaOScONPKyW93cLzIy78o4ueShFhLDPUEMVQptJ6YuKLPqRa4ljdnad&#13;&#10;xRDXrpSmw2uE20Y+JUkqLdYcP1TY0mtFxVf+bTU87vP38fpE6mgO6tMkz7utK9daPwz6zTyOlzmI&#13;&#10;QH34b/wh3kx0SCcTlY5VOoNfsXgAufwBAAD//wMAUEsBAi0AFAAGAAgAAAAhANvh9svuAAAAhQEA&#13;&#10;ABMAAAAAAAAAAAAAAAAAAAAAAFtDb250ZW50X1R5cGVzXS54bWxQSwECLQAUAAYACAAAACEAWvQs&#13;&#10;W78AAAAVAQAACwAAAAAAAAAAAAAAAAAfAQAAX3JlbHMvLnJlbHNQSwECLQAUAAYACAAAACEAuo3a&#13;&#10;C88AAADoAAAADwAAAAAAAAAAAAAAAAAHAgAAZHJzL2Rvd25yZXYueG1sUEsFBgAAAAADAAMAtwAA&#13;&#10;AAMDAAAAAA==&#13;&#10;" filled="f" stroked="f">
                  <v:path arrowok="t"/>
                  <v:textbox inset="0,0,0,0">
                    <w:txbxContent>
                      <w:p w14:paraId="4B6FF4C3" w14:textId="77777777" w:rsidR="0017149C" w:rsidRDefault="0017149C">
                        <w:pPr>
                          <w:rPr>
                            <w:rFonts w:ascii="Times New Roman" w:hAnsi="Times New Roman" w:cs="Times New Roman"/>
                            <w:sz w:val="28"/>
                            <w:szCs w:val="28"/>
                          </w:rPr>
                        </w:pPr>
                      </w:p>
                    </w:txbxContent>
                  </v:textbox>
                </v:rect>
                <w10:anchorlock/>
              </v:group>
            </w:pict>
          </mc:Fallback>
        </mc:AlternateContent>
      </w:r>
    </w:p>
    <w:p w14:paraId="75A0ED22"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Рис.1.2. Цільові орієнтири розвитку ринку приватної медицини в Україні в контексті європейської політики</w:t>
      </w:r>
    </w:p>
    <w:p w14:paraId="39B635AD" w14:textId="77777777" w:rsidR="006B79F7" w:rsidRDefault="006B79F7">
      <w:pPr>
        <w:widowControl w:val="0"/>
        <w:spacing w:after="0" w:line="360" w:lineRule="auto"/>
        <w:ind w:firstLine="709"/>
        <w:jc w:val="both"/>
        <w:rPr>
          <w:rFonts w:ascii="Times New Roman" w:hAnsi="Times New Roman" w:cs="Times New Roman"/>
          <w:sz w:val="28"/>
          <w:szCs w:val="28"/>
        </w:rPr>
      </w:pPr>
    </w:p>
    <w:p w14:paraId="1E35FF4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приватна система охорони здоров’я виконує функції, що відповідають не лише приватним, а й публічним інтересам, виникає потреба в ефективному державному контролі за їх реалізацією. </w:t>
      </w:r>
    </w:p>
    <w:p w14:paraId="188FCB1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цілі державного регулювання ринку приватної медицини України охоплюють такі напрямки [</w:t>
      </w:r>
      <w:r w:rsidR="00632951">
        <w:rPr>
          <w:rFonts w:ascii="Times New Roman" w:hAnsi="Times New Roman" w:cs="Times New Roman"/>
          <w:sz w:val="28"/>
          <w:szCs w:val="28"/>
        </w:rPr>
        <w:t>14</w:t>
      </w:r>
      <w:r>
        <w:rPr>
          <w:rFonts w:ascii="Times New Roman" w:hAnsi="Times New Roman" w:cs="Times New Roman"/>
          <w:sz w:val="28"/>
          <w:szCs w:val="28"/>
        </w:rPr>
        <w:t>]:</w:t>
      </w:r>
    </w:p>
    <w:p w14:paraId="5F6F32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Забезпечення збалансованого розвитку інфраструктури системи охорони здоров’я у контексті її взаємозв’язку із соціально-економічним зростанням країни.</w:t>
      </w:r>
    </w:p>
    <w:p w14:paraId="47E9CB5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Створення сприятливих умов для розвитку та інтеграції інноваційних рішень у діючу систему охорони здоров’я.</w:t>
      </w:r>
    </w:p>
    <w:p w14:paraId="6F2A2C0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Формування конкурентного середовища на ринку приватних медичних послуг, з акцентом на забезпечення чесної конкуренції між </w:t>
      </w:r>
      <w:r>
        <w:rPr>
          <w:rFonts w:ascii="Times New Roman" w:hAnsi="Times New Roman" w:cs="Times New Roman"/>
          <w:sz w:val="28"/>
          <w:szCs w:val="28"/>
        </w:rPr>
        <w:lastRenderedPageBreak/>
        <w:t>постачальниками.</w:t>
      </w:r>
    </w:p>
    <w:p w14:paraId="3FE90D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Впровадження концепції "конкуренція за ринок" у тих сегментах, де надмірна конкуренція може призводити до деструктивних наслідків.</w:t>
      </w:r>
    </w:p>
    <w:p w14:paraId="6AB4B74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Захист економічних інтересів як споживачів приватних послуг медицини, так і сумлінних виробників.</w:t>
      </w:r>
    </w:p>
    <w:p w14:paraId="31E8373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Підтримка експортного потенціалу медичних послуг та сприяння міжнародній конкурентоспроможності вітчизняних постачальників на глобальних ринках.</w:t>
      </w:r>
    </w:p>
    <w:p w14:paraId="349A648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Інвестування в проєкти, спрямовані на усунення «вузьких місць» в інфраструктурі приватної медицини та їх модернізацію.</w:t>
      </w:r>
    </w:p>
    <w:p w14:paraId="220FC0C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Державна підтримка споживачів або виробників у тих випадках, коли механізми вільного ринку неспроможні забезпечити відповідний рівень доступності та якості медичних послуг за помірними цінами.</w:t>
      </w:r>
    </w:p>
    <w:p w14:paraId="5163401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можна визначити головні переваги приватного підприємництва в охороні здоров’я:</w:t>
      </w:r>
    </w:p>
    <w:p w14:paraId="679DF21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Якість послуг. Приватні медичні установи часто мають можливість надавати більш якісні послуги завдяки наявності новітнього обладнання, персоналізованому підходу до пацієнта та кращим умовам для медичного персоналу.</w:t>
      </w:r>
    </w:p>
    <w:p w14:paraId="315C55D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Гнучкість та інновації. Приватні клініки можуть швидше впроваджувати новітні технології та інноваційні методи лікування, оскільки вони не обмежені державними бюрократичними процедурами та нормативами.</w:t>
      </w:r>
    </w:p>
    <w:p w14:paraId="3E56B10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Скорочення черг. В приватних установах зазвичай менші черги на прийом до лікаря, оскільки вони мають можливість регулювати кількість пацієнтів на день.</w:t>
      </w:r>
    </w:p>
    <w:p w14:paraId="1ED2977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Мотивація медичного персоналу. В приватних медичних закладах заробітна плата лікарів і медичного персоналу зазвичай вища, що стимулює їх працювати на високому рівні і надавати кращі послуги.</w:t>
      </w:r>
    </w:p>
    <w:p w14:paraId="100A5B7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Конкуренція та підвищення стандартів. Приватні установи часто </w:t>
      </w:r>
      <w:r>
        <w:rPr>
          <w:rFonts w:ascii="Times New Roman" w:hAnsi="Times New Roman" w:cs="Times New Roman"/>
          <w:sz w:val="28"/>
          <w:szCs w:val="28"/>
        </w:rPr>
        <w:lastRenderedPageBreak/>
        <w:t>працюють в умовах конкуренції, що стимулює їх постійно підвищувати якість послуг, щоб залучити пацієнтів.</w:t>
      </w:r>
    </w:p>
    <w:p w14:paraId="7864DCB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із вищенаведеного можна визначити й недоліки приватної медицини:</w:t>
      </w:r>
    </w:p>
    <w:p w14:paraId="50755B6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Висока вартість послуг. Приватні медичні послуги можуть бути дорогими для великої частини населення. Це обмежує доступ до лікування для осіб з низьким рівнем доходу.</w:t>
      </w:r>
    </w:p>
    <w:p w14:paraId="4140A4A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Нерівний доступ до медичних послуг. Приватні клініки можуть зосереджуватись на забезпеченні послуг для заможних клієнтів, в той час як менш забезпечені верстви населення можуть мати обмежений доступ до необхідного лікування.</w:t>
      </w:r>
    </w:p>
    <w:p w14:paraId="67FAA9B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Нерівність у доступі до базових послуг. У приватних установах можуть бути надані більш спеціалізовані послуги (наприклад, косметична хірургія або естетична медицина), а базова медична допомога може бути недостатньо доступною або недостатньо розвиненою.</w:t>
      </w:r>
    </w:p>
    <w:p w14:paraId="164E7B2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Мотиви прибутку. У приватних медичних закладах основним мотивом є прибуток, що інколи може призводити до незадоволення пацієнтів чи навіть неетичних практик, коли фінансові інтереси переважають над інтересами пацієнта.</w:t>
      </w:r>
    </w:p>
    <w:p w14:paraId="5BD813B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Недостатнє державне регулювання. Іноді приватні клініки можуть працювати без належного державного контролю, що може призвести до зниження якості послуг або навіть до шахрайства.</w:t>
      </w:r>
    </w:p>
    <w:p w14:paraId="0B7906F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Приватне підприємництво в охороні здоров'я має як значні переваги, так і важливі недоліки. З одного боку, це забезпечує високий рівень інновацій і якості медичних послуг, але з іншого – може призвести до соціальної нерівності в доступі до медичної допомоги. Важливою умовою є належне державне регулювання, яке допоможе зберегти баланс між ефективністю приватних установ і доступністю медичних послуг для всіх верств населення [</w:t>
      </w:r>
      <w:r w:rsidR="00632951">
        <w:rPr>
          <w:rFonts w:ascii="Times New Roman" w:hAnsi="Times New Roman" w:cs="Times New Roman"/>
          <w:sz w:val="28"/>
          <w:szCs w:val="28"/>
        </w:rPr>
        <w:t>35</w:t>
      </w:r>
      <w:r>
        <w:rPr>
          <w:rFonts w:ascii="Times New Roman" w:hAnsi="Times New Roman" w:cs="Times New Roman"/>
          <w:sz w:val="28"/>
          <w:szCs w:val="28"/>
        </w:rPr>
        <w:t>].</w:t>
      </w:r>
    </w:p>
    <w:p w14:paraId="3D0CB6A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аналіз сучасної системи охорони здоров’я України </w:t>
      </w:r>
      <w:r>
        <w:rPr>
          <w:rFonts w:ascii="Times New Roman" w:hAnsi="Times New Roman" w:cs="Times New Roman"/>
          <w:sz w:val="28"/>
          <w:szCs w:val="28"/>
        </w:rPr>
        <w:lastRenderedPageBreak/>
        <w:t>демонструє, що розвиток ринку приватної медицини стримується не лише низькою купівельною спроможністю населення, але й недосконалою нормативно-правовою базою, яка регулює відповідну галузь. У зв’язку зі збільшенням частки приватного сектора у структурі національної системи охорони здоров’я об’єктивно зростає значення державного регулювання цього сектора, зважаючи на його соціальну та політичну пріоритетність. Основоположні принципи європейської програми «Здоров’я-2020» становлять важливий орієнтир для розвитку систем охорони здоров’я у світовому масштабі й можуть бути успішно застосовані при стратегічному плануванні реформування ринку приватної медицини в Україні. Зміни у стратегії державного управління приватними медичними закладами слугують необхідною передумовою для створення основи кардинально нового суспільства зі сприятливими умовами для формування здорової нації.</w:t>
      </w:r>
    </w:p>
    <w:p w14:paraId="2BC8E43D" w14:textId="77777777" w:rsidR="006B79F7" w:rsidRDefault="006B79F7">
      <w:pPr>
        <w:widowControl w:val="0"/>
        <w:spacing w:after="0" w:line="360" w:lineRule="auto"/>
        <w:ind w:firstLine="709"/>
        <w:jc w:val="both"/>
        <w:rPr>
          <w:rFonts w:ascii="Times New Roman" w:hAnsi="Times New Roman" w:cs="Times New Roman"/>
          <w:sz w:val="28"/>
          <w:szCs w:val="28"/>
        </w:rPr>
      </w:pPr>
    </w:p>
    <w:p w14:paraId="54E8C662"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 до  розділу 1</w:t>
      </w:r>
    </w:p>
    <w:p w14:paraId="010F8FB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Проведений у розділі комплексний теоретичний аналіз особливостей функціонування приватного сектора охорони здоров’я України дозволяє зробити низку важливих узагальнень щодо його місця, ролі та перспектив у сучасній національній системі охорони здоров’я. У межах трьох підрозділів розкрито сутність тенденцій розвитку приватної медицини, специфіку її інноваційно-інвестиційної діяльності, а також визначено ключові переваги, недоліки та чинники, що впливають на ефективність управління приватними медичними підприємствами. Узагальнення отриманих результатів дає підстави для формування комплексного бачення сутності та закономірностей управління приватним підприємством у сфері охорони здоров’я.</w:t>
      </w:r>
    </w:p>
    <w:p w14:paraId="4D0951D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структури та динаміки розвитку приватної медицини показує, що цей сектор за останні роки зазнав суттєвих трансформацій, значною мірою зумовлених реформою медичної галузі, цифровізацією та соціально-економічними наслідками пандемії COVID-19 і повномасштабної війни. Відповідно до даних, наведених у розділі, обсяг приватного ринку медицини </w:t>
      </w:r>
      <w:r>
        <w:rPr>
          <w:rFonts w:ascii="Times New Roman" w:hAnsi="Times New Roman" w:cs="Times New Roman"/>
          <w:sz w:val="28"/>
          <w:szCs w:val="28"/>
        </w:rPr>
        <w:lastRenderedPageBreak/>
        <w:t xml:space="preserve">зріс майже вчетверо порівняно з 2019 роком, що свідчить про високий рівень попиту на якісні та інноваційні медичні послуги. Приватний сектор сьогодні охоплює до </w:t>
      </w:r>
      <w:r>
        <w:rPr>
          <w:rStyle w:val="a5"/>
          <w:rFonts w:ascii="Times New Roman" w:hAnsi="Times New Roman" w:cs="Times New Roman"/>
          <w:b w:val="0"/>
          <w:sz w:val="28"/>
          <w:szCs w:val="28"/>
        </w:rPr>
        <w:t>43% усіх медичних послуг</w:t>
      </w:r>
      <w:r>
        <w:rPr>
          <w:rFonts w:ascii="Times New Roman" w:hAnsi="Times New Roman" w:cs="Times New Roman"/>
          <w:sz w:val="28"/>
          <w:szCs w:val="28"/>
        </w:rPr>
        <w:t xml:space="preserve">, а кількість приватних медичних закладів у 2024 році перевищила </w:t>
      </w:r>
      <w:r>
        <w:rPr>
          <w:rStyle w:val="a5"/>
          <w:rFonts w:ascii="Times New Roman" w:hAnsi="Times New Roman" w:cs="Times New Roman"/>
          <w:b w:val="0"/>
          <w:sz w:val="28"/>
          <w:szCs w:val="28"/>
        </w:rPr>
        <w:t>6000</w:t>
      </w:r>
      <w:r>
        <w:rPr>
          <w:rFonts w:ascii="Times New Roman" w:hAnsi="Times New Roman" w:cs="Times New Roman"/>
          <w:sz w:val="28"/>
          <w:szCs w:val="28"/>
        </w:rPr>
        <w:t xml:space="preserve">. При цьому частка закладів, які мають контракт з НСЗУ, зросла з </w:t>
      </w:r>
      <w:r>
        <w:rPr>
          <w:rStyle w:val="a5"/>
          <w:rFonts w:ascii="Times New Roman" w:hAnsi="Times New Roman" w:cs="Times New Roman"/>
          <w:b w:val="0"/>
          <w:sz w:val="28"/>
          <w:szCs w:val="28"/>
        </w:rPr>
        <w:t>12% до 36%</w:t>
      </w:r>
      <w:r>
        <w:rPr>
          <w:rFonts w:ascii="Times New Roman" w:hAnsi="Times New Roman" w:cs="Times New Roman"/>
          <w:sz w:val="28"/>
          <w:szCs w:val="28"/>
        </w:rPr>
        <w:t>, що демонструє поступову інтеграцію приватної медицини до державної системи фінансування. Суттєвим здобутком приватного сектора є його здатність забезпечувати: гнучке й оперативне реагування на зміну попиту; високий рівень сервісу; впровадження сучасних технологій; розвиток спеціалізованих напрямів, які часто відсутні у державній медицині.</w:t>
      </w:r>
    </w:p>
    <w:p w14:paraId="7994C62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Приватні медичні заклади виконують як медичні, так і соціально значущі функції — від надання допомоги пацієнтам у критичних умовах до участі у благодійних програмах, особливо під час війни. Це свідчить про те, що приватна медицина перестала бути виключно комерційним сегментом і дедалі більше бере участь у розв’язанні загальнонаціональних завдань.</w:t>
      </w:r>
    </w:p>
    <w:p w14:paraId="5B8365F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Другий підрозділ розкрив, що приватна медицина є ключовим драйвером інновацій у сфері охорони здоров’я. Саме в цьому секторі першочергово впроваджуються: телемедичні послуги; електронні медичні картки; CRM/MIS-системи (їх використовують вже понад 70 % приватних закладів); онлайн-запис та мобільні застосунки; цифрові платформи управління запасами та закупівлями (e-Stock, SAP Ariba); епідеміологічні інформаційні системи (ЕСЕН); інструменти штучного інтелекту, зокрема для діагностики. </w:t>
      </w:r>
    </w:p>
    <w:p w14:paraId="5AEBA8C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Приватний сектор демонструє високий рівень цифрової адаптації: підключення до eHealth у 2020–2024 роках зросло з </w:t>
      </w:r>
      <w:r>
        <w:rPr>
          <w:rStyle w:val="a5"/>
          <w:rFonts w:ascii="Times New Roman" w:hAnsi="Times New Roman" w:cs="Times New Roman"/>
          <w:b w:val="0"/>
          <w:sz w:val="28"/>
          <w:szCs w:val="28"/>
        </w:rPr>
        <w:t>40% до 64%</w:t>
      </w:r>
      <w:r>
        <w:rPr>
          <w:rFonts w:ascii="Times New Roman" w:hAnsi="Times New Roman" w:cs="Times New Roman"/>
          <w:sz w:val="28"/>
          <w:szCs w:val="28"/>
        </w:rPr>
        <w:t xml:space="preserve">, а кількість телемедичних послуг — з </w:t>
      </w:r>
      <w:r>
        <w:rPr>
          <w:rStyle w:val="a5"/>
          <w:rFonts w:ascii="Times New Roman" w:hAnsi="Times New Roman" w:cs="Times New Roman"/>
          <w:b w:val="0"/>
          <w:sz w:val="28"/>
          <w:szCs w:val="28"/>
        </w:rPr>
        <w:t>10% до 58%</w:t>
      </w:r>
      <w:r>
        <w:rPr>
          <w:rFonts w:ascii="Times New Roman" w:hAnsi="Times New Roman" w:cs="Times New Roman"/>
          <w:sz w:val="28"/>
          <w:szCs w:val="28"/>
        </w:rPr>
        <w:t>. Інвестиційна активність також є визначальною характеристикою галузі. Вітчизняні та міжнародні інвестори вкладають значні ресурси у: модернізацію інфраструктури; високотехнологічне обладнання; цифрову інфраструктуру; розвиток персоналізованої та спеціалізованої медицини; відкриття нових клінік і філій.</w:t>
      </w:r>
    </w:p>
    <w:p w14:paraId="1DB75B7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Особливої ваги набуло державно-приватне партнерство, яке дозволяє ефективно поєднувати інвестиційні можливості приватних компаній і стратегічний контроль держави. Така модель управління є перспективною для регіонального розвитку, розбудови діагностичних центрів та модернізації медичних закладів, особливо у післявоєнний період. Таким чином, інновації та інвестиції формують нову якість приватної медицини, роблячи її не альтернативою, а повноцінним партнером державної системи охорони здоров’я.</w:t>
      </w:r>
    </w:p>
    <w:p w14:paraId="1E3C0D3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підрозділ дозволяє узагальнити основні сильні сторони приватного сектора: висока якість сервісу та гнучкість управління; швидке впровадження новітніх технологій; ефективна мотиваційна система персоналу; здатність працювати в кризових умовах (пандемія, війна); участь у соціальних ініціативах та гуманітарних проєктах; позитивний внесок у працевлаштування й розвиток ринку праці.</w:t>
      </w:r>
    </w:p>
    <w:p w14:paraId="00D4BB6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Однак поряд з перевагами існують і системні недоліки, що стримують розвиток: соціальна нерівність у доступі до послуг; висока вартість лікування в окремих приватних клініках; нестабільність і недосконалість нормативно-правової бази; складність ліцензування і надмірна бюрократизація; залежність від фінансових ризиків та коливань економічної ситуації; недостатній розвиток медичного страхування; нерівномірність територіального розподілу приватних закладів. </w:t>
      </w:r>
    </w:p>
    <w:p w14:paraId="7C26E50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Зазначені переваги та недоліки формують складний контекст, у якому приватні медичні заклади вимушені шукати оптимальні управлінські моделі. Це потребує від керівництва високого рівня стратегічної компетентності, адаптивності та здатності оперативно реагувати на зовнішні загрози.</w:t>
      </w:r>
    </w:p>
    <w:p w14:paraId="7B2DA3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Інтеграція з європейською політикою «Здоров’я–2020» визначає важливі цілі: підвищення тривалості життя населення; скорочення нерівності в доступі до медичних послуг; зміцнення системи охорони здоров’я з орієнтацією на потреби людей; інвестування в здоров’я на всіх етапах життя; розширення загального медичного покриття.</w:t>
      </w:r>
    </w:p>
    <w:p w14:paraId="20E3561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У контексті цих цілей приватний сектор виконує критично важливу роль. Високі темпи цифровізації, інновацій та розширення спеціалізованих медичних послуг свідчать про те, що приватна медицина є одним із ключових рушіїв модернізації національної системи охорони здоров’я.</w:t>
      </w:r>
    </w:p>
    <w:p w14:paraId="4C6B04A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Подальший розвиток приватного сектора потребує: удосконалення державного регулювання; створення прозорих правил для інвесторів; розширення державно-приватних партнерств; впровадження медичного страхування; підтримки цифрових інновацій; стимулювання кадрового потенціалу; забезпечення доступності послуг для населення.</w:t>
      </w:r>
    </w:p>
    <w:p w14:paraId="409D5E8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результати теоретичного аналізу, викладені у першому розділі, переконливо свідчать, що приватні медичні підприємства займають дедалі важливіше місце у системі охорони здоров’я України. Сектор характеризується високими темпами розвитку, значним інноваційним потенціалом, здатністю до адаптації та вагомим соціальним внеском.</w:t>
      </w:r>
    </w:p>
    <w:p w14:paraId="703FD97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Приватна медицина сьогодні є не лише альтернативою державній, а й потужним партнером та драйвером змін. Водночас ефективне управління приватним підприємством у сфері охорони здоров’я потребує врахування складної системи регуляторних, фінансових, соціальних та технологічних чинників, що визначають специфіку його функціонування. Подальший розвиток приватної медицини залежить від здатності держави та бізнесу діяти синергійно, забезпечуючи сталість та ефективність усієї системи охорони здоров’я.</w:t>
      </w:r>
    </w:p>
    <w:p w14:paraId="5C86E9E5" w14:textId="77777777" w:rsidR="006B79F7" w:rsidRDefault="006B79F7">
      <w:pPr>
        <w:widowControl w:val="0"/>
        <w:spacing w:after="0" w:line="360" w:lineRule="auto"/>
        <w:ind w:firstLine="709"/>
        <w:jc w:val="both"/>
        <w:rPr>
          <w:rFonts w:ascii="Times New Roman" w:hAnsi="Times New Roman" w:cs="Times New Roman"/>
          <w:sz w:val="28"/>
          <w:szCs w:val="28"/>
        </w:rPr>
      </w:pPr>
    </w:p>
    <w:p w14:paraId="3EC7E89B"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page"/>
      </w:r>
      <w:r>
        <w:rPr>
          <w:rFonts w:ascii="Times New Roman" w:hAnsi="Times New Roman" w:cs="Times New Roman"/>
          <w:b/>
          <w:sz w:val="28"/>
          <w:szCs w:val="28"/>
        </w:rPr>
        <w:lastRenderedPageBreak/>
        <w:t xml:space="preserve">РОЗДІЛ 2. </w:t>
      </w:r>
    </w:p>
    <w:p w14:paraId="16336A29"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АНАЛІЗ МЕХАНІЗМІВ УПРАВЛІННЯ ДІЯЛЬНІСТЮ МЕДИЧНИХ УСТАНОВ В СУЧАСНИХ УМОВАХ</w:t>
      </w:r>
    </w:p>
    <w:p w14:paraId="4D7C774B" w14:textId="77777777" w:rsidR="006B79F7" w:rsidRDefault="006B79F7">
      <w:pPr>
        <w:pStyle w:val="ae"/>
        <w:widowControl w:val="0"/>
        <w:spacing w:after="0" w:line="360" w:lineRule="auto"/>
        <w:ind w:left="360"/>
        <w:rPr>
          <w:rFonts w:ascii="Times New Roman" w:hAnsi="Times New Roman" w:cs="Times New Roman"/>
          <w:sz w:val="28"/>
          <w:szCs w:val="28"/>
        </w:rPr>
      </w:pPr>
    </w:p>
    <w:p w14:paraId="3AF94E44"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2.1 Законодавчі трансформації управління діяльністю підприємств у галузі охорони здоров’я в умовах воєнного стану</w:t>
      </w:r>
    </w:p>
    <w:p w14:paraId="093C4E4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видання Указу Президента України № 64 від 24 лютого 2022 року «Про введення воєнного стану в Україні» </w:t>
      </w:r>
      <w:r w:rsidR="00632951">
        <w:rPr>
          <w:rFonts w:ascii="Times New Roman" w:hAnsi="Times New Roman" w:cs="Times New Roman"/>
          <w:sz w:val="28"/>
          <w:szCs w:val="28"/>
        </w:rPr>
        <w:t xml:space="preserve">[42] </w:t>
      </w:r>
      <w:r>
        <w:rPr>
          <w:rFonts w:ascii="Times New Roman" w:hAnsi="Times New Roman" w:cs="Times New Roman"/>
          <w:sz w:val="28"/>
          <w:szCs w:val="28"/>
        </w:rPr>
        <w:t>МОЗ України оперативно затвердило наказ № 374 того ж дня</w:t>
      </w:r>
      <w:r w:rsidR="00632951">
        <w:rPr>
          <w:rFonts w:ascii="Times New Roman" w:hAnsi="Times New Roman" w:cs="Times New Roman"/>
          <w:sz w:val="28"/>
          <w:szCs w:val="28"/>
        </w:rPr>
        <w:t xml:space="preserve"> [43]</w:t>
      </w:r>
      <w:r>
        <w:rPr>
          <w:rFonts w:ascii="Times New Roman" w:hAnsi="Times New Roman" w:cs="Times New Roman"/>
          <w:sz w:val="28"/>
          <w:szCs w:val="28"/>
        </w:rPr>
        <w:t>. Цей документ встановив тимчасові заходи у закладах охорони здоров’я для забезпечення їхньої готовності надавати медичну допомогу постраждалим унаслідок військової агресії з боку Російської Федерації. Наказ передбачав тимчасове припинення планових госпіталізацій, організацію додаткових хірургічних бригад для роботи з пораненими, а також забезпечення повноцінного надання екстреної медичної допомоги. МОЗ України повідомило про затвердження зразків стандартних операційних процедур, формування додаткових хірургічних команд і наголосило на тому, що медична допомога залишатиметься доступною у випадках ускладненої вагітності, під час пологів, а також для пацієнтів з онкологічними захворюваннями в спеціалізованих відділеннях та для забезпечення паліативної допомоги.</w:t>
      </w:r>
    </w:p>
    <w:p w14:paraId="699325B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відповідного законодавства дозволив глибше вивчити поняття «кластерний заклад охорони здоров’я» та «надкластерний заклад охорони здоров’я» (рис. 2.1). У період воєнного стану ці багатопрофільні лікувальні заклади відіграватимуть важливу роль. Кластерні заклади забезпечуватимуть потреби населення територій госпітального кластеру за вказаними напрямами, затвердженими Кабінетом Міністрів України. У свою чергу, надкластерні заклади надаватимуть медичні послуги пацієнтам у межах госпітального округу, зокрема у складних або рідкісних випадках захворювань. Слід зазначити, що надкластерні заклади мають необхідні ресурси та передові технології для виконання складних завдань</w:t>
      </w:r>
      <w:r w:rsidR="00632951">
        <w:rPr>
          <w:rFonts w:ascii="Times New Roman" w:hAnsi="Times New Roman" w:cs="Times New Roman"/>
          <w:sz w:val="28"/>
          <w:szCs w:val="28"/>
        </w:rPr>
        <w:t xml:space="preserve"> [32]</w:t>
      </w:r>
      <w:r>
        <w:rPr>
          <w:rFonts w:ascii="Times New Roman" w:hAnsi="Times New Roman" w:cs="Times New Roman"/>
          <w:sz w:val="28"/>
          <w:szCs w:val="28"/>
        </w:rPr>
        <w:t>.</w:t>
      </w:r>
    </w:p>
    <w:p w14:paraId="4D1B0BB0" w14:textId="77777777" w:rsidR="006B79F7" w:rsidRDefault="0017149C">
      <w:pPr>
        <w:widowControl w:val="0"/>
        <w:spacing w:after="0" w:line="360" w:lineRule="auto"/>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648599E8" wp14:editId="746E3584">
            <wp:extent cx="5949950" cy="5295265"/>
            <wp:effectExtent l="0" t="0" r="0" b="63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19C44D8"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 2.1. Порівняльна характеристика понять «кластерний» та «надкластерний» заклад охорони здоров’я»</w:t>
      </w:r>
    </w:p>
    <w:p w14:paraId="0309C726" w14:textId="77777777" w:rsidR="006B79F7" w:rsidRDefault="006B79F7">
      <w:pPr>
        <w:widowControl w:val="0"/>
        <w:spacing w:after="0" w:line="360" w:lineRule="auto"/>
        <w:ind w:firstLine="709"/>
        <w:rPr>
          <w:rFonts w:ascii="Times New Roman" w:hAnsi="Times New Roman" w:cs="Times New Roman"/>
          <w:sz w:val="28"/>
          <w:szCs w:val="28"/>
        </w:rPr>
      </w:pPr>
    </w:p>
    <w:p w14:paraId="2929A48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Рішення, яке було ухвалене, обумовлене реаліями воєнного часу, що характеризуються збільшенням кількості постраждалих унаслідок воєнної агресії РФ, а також зростанням числа пацієнтів із опіками, яким потрібна пересадка шкіри або іншого анатомічного матеріалу. З огляду на ускладнену логістику та перебої у функціонуванні медичних систем, рекомендовано підвищити використання телемедичних технологій, а також проводити медико-соціальну експертизу за спрощеною процедурою, зокрема дистанційно.</w:t>
      </w:r>
    </w:p>
    <w:p w14:paraId="3D99402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Міністерство охорони здоров’я України активно сприяє координації </w:t>
      </w:r>
      <w:r>
        <w:rPr>
          <w:rFonts w:ascii="Times New Roman" w:hAnsi="Times New Roman" w:cs="Times New Roman"/>
          <w:sz w:val="28"/>
          <w:szCs w:val="28"/>
        </w:rPr>
        <w:lastRenderedPageBreak/>
        <w:t>гуманітарної допомоги для медичних закладів, враховуючи суттєві зміни, що сталися в період із лютого до травня 2022 року. Варто відзначити, що на 22 лютого 2022 року ключовим суб’єктом гуманітарної допомоги виступало Міністерство соціальної політики України. Втім, станом на 1 червня того ж року централізованого органу не існує, оскільки повноваження в цьому напрямі були розділені між різними державними установами та консультаційно-дорадчими органами, які регулюють процеси забезпечення гуманітарної підтримки [1</w:t>
      </w:r>
      <w:r w:rsidR="00B96D58">
        <w:rPr>
          <w:rFonts w:ascii="Times New Roman" w:hAnsi="Times New Roman" w:cs="Times New Roman"/>
          <w:sz w:val="28"/>
          <w:szCs w:val="28"/>
        </w:rPr>
        <w:t>8</w:t>
      </w:r>
      <w:r>
        <w:rPr>
          <w:rFonts w:ascii="Times New Roman" w:hAnsi="Times New Roman" w:cs="Times New Roman"/>
          <w:sz w:val="28"/>
          <w:szCs w:val="28"/>
        </w:rPr>
        <w:t>].</w:t>
      </w:r>
    </w:p>
    <w:p w14:paraId="3B3E439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Впровадження логістичних механізмів у сучасній системі охорони здоров’я значною мірою зумовлене численними бар’єрами, серед яких першочергово виділяються воєнні дії, що впливають на функціонування ланцюгів постачання. Такі труднощі безпосередньо відображаються на показниках ефективності діяльності охорони здоров’я та її адаптивності.</w:t>
      </w:r>
    </w:p>
    <w:p w14:paraId="5EB3357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Основні сфери застосування логістики в медичній галузі охоплюють різноманітні аспекти: від біометричної та клінічної інженерії до управління медичними послугами й матеріально-технічного забезпечення, включаючи фармацію та оптимізацію кадрових ресурсів медичних установ.</w:t>
      </w:r>
    </w:p>
    <w:p w14:paraId="1C1718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прикладів логістичних зв’язків є ініціативи, реалізовані МОЗ України спільно зі Світовим банком, спрямовані на закупівлю додаткових 1100 генераторів для українських медичних закладів. Окрім цього, Всесвітня організація охорони здоров’я бере участь у постачанні ще 170 генераторів для медичних установ. Також важливим є проведення переговорів щодо припинення постачання лікарських засобів із країни-агресора [</w:t>
      </w:r>
      <w:r w:rsidR="00C40385">
        <w:rPr>
          <w:rFonts w:ascii="Times New Roman" w:hAnsi="Times New Roman" w:cs="Times New Roman"/>
          <w:sz w:val="28"/>
          <w:szCs w:val="28"/>
        </w:rPr>
        <w:t>33</w:t>
      </w:r>
      <w:r>
        <w:rPr>
          <w:rFonts w:ascii="Times New Roman" w:hAnsi="Times New Roman" w:cs="Times New Roman"/>
          <w:sz w:val="28"/>
          <w:szCs w:val="28"/>
        </w:rPr>
        <w:t>].</w:t>
      </w:r>
    </w:p>
    <w:p w14:paraId="3D262D9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зазначити, що поняття «медична логістика» охоплює не лише планування, управління та контроль за ефективністю потоків у системі охорони здоров'я. Воно також включає організацію транспортування, зберігання фармацевтичних препаратів, а також відповідного медичного, хірургічного обладнання, приладів та іншого устаткування. Усі ці компоненти є необхідними для забезпечення функціонування персоналу в медичних закладах, санаторіях, аптеках тощо.</w:t>
      </w:r>
    </w:p>
    <w:p w14:paraId="7CB02D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Медична логістика відіграє ключову роль в оптимізації процесів лікування, підвищенні якості надання медичних послуг та зменшенні витрат, досягаючи при цьому максимальної ефективності.</w:t>
      </w:r>
    </w:p>
    <w:p w14:paraId="0DC70AA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початком воєнного стану Уряд вніс низку змін, які мали на меті забезпечити безперервне фінансування медичних закладів навіть за умов воєнного конфлікту. Варто підкреслити, що перед повномасштабним вторгненням НСЗУ уклала контракти з медичними установами на 2022 рік. До Програми державних гарантій медичного обслуговування населення було внесено зміни (5 березня 2022 року), які гарантують стабільне фінансування лікарень</w:t>
      </w:r>
      <w:r w:rsidR="00C40385">
        <w:rPr>
          <w:rFonts w:ascii="Times New Roman" w:hAnsi="Times New Roman" w:cs="Times New Roman"/>
          <w:sz w:val="28"/>
          <w:szCs w:val="28"/>
        </w:rPr>
        <w:t xml:space="preserve"> [41; 44]</w:t>
      </w:r>
      <w:r>
        <w:rPr>
          <w:rFonts w:ascii="Times New Roman" w:hAnsi="Times New Roman" w:cs="Times New Roman"/>
          <w:sz w:val="28"/>
          <w:szCs w:val="28"/>
        </w:rPr>
        <w:t>. Національна служба здоров'я України почала здійснювати фіксовані щомісячні виплати медичним установам. Ця сума визначалася на основі більшого з двох показників: фактичної вартості медичних послуг, наданих у січні 2022 року, або частини (1/n) запланованої вартості відповідного пакета послуг. З 1 липня Уряд відновив систему оплати за фактично надані послуги медичного характеру із обов'язковим поданням електронних звітів. Проте для лікарень у тимчасово окупованих районах, зонах бойових дій та на лінії фронту продовжили дію механізму фінансування у вигляді фіксованих виплат. Загалом, із початку повномасштабного військового вторгнення, НСЗУ виплатила понад 74 млрд. грн.. медичним закладам і центрам екстреної медичної допомоги</w:t>
      </w:r>
      <w:r w:rsidR="00C40385">
        <w:rPr>
          <w:rFonts w:ascii="Times New Roman" w:hAnsi="Times New Roman" w:cs="Times New Roman"/>
          <w:sz w:val="28"/>
          <w:szCs w:val="28"/>
        </w:rPr>
        <w:t xml:space="preserve"> [32]</w:t>
      </w:r>
      <w:r>
        <w:rPr>
          <w:rFonts w:ascii="Times New Roman" w:hAnsi="Times New Roman" w:cs="Times New Roman"/>
          <w:sz w:val="28"/>
          <w:szCs w:val="28"/>
        </w:rPr>
        <w:t>.</w:t>
      </w:r>
    </w:p>
    <w:p w14:paraId="27F0E30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відповідного законодавства України було додано зміни, спрямовані на підвищення доступності медичної допомоги та реабілітаційних послуг. Законодавство дозволяє залучати іноземних спеціалістів за умови їхньої реєстрації в інформаційно-комунікаційній системі.</w:t>
      </w:r>
    </w:p>
    <w:p w14:paraId="5F41E05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МОЗ України, станом на сьогодні, в Україні працюють 230 медичних фахівців-іноземців. З-поміж них 60 спеціалістів представляють Ізраїль, а близько 30 — Литву. Також, за даними з відкритих джерел, Німецька медична асоціація інформує про 1,1 тисячі фахівців, які подали заявки та готові співпрацювати з українськими лікарями в умовах війни.</w:t>
      </w:r>
    </w:p>
    <w:p w14:paraId="7D47C21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Зазначено, що для надання медичної допомоги на добровільних засадах </w:t>
      </w:r>
      <w:r>
        <w:rPr>
          <w:rFonts w:ascii="Times New Roman" w:hAnsi="Times New Roman" w:cs="Times New Roman"/>
          <w:sz w:val="28"/>
          <w:szCs w:val="28"/>
        </w:rPr>
        <w:lastRenderedPageBreak/>
        <w:t>можуть залучатися медичні працівники та фахівці з реабілітації. Однак, виконання таких функцій, як внесення даних до первинної медичної облікової документації, ведення обліку наданих медичних послуг, управління медичною інформацією та використання функціональних можливостей електронної системи охорони здоров’я, дозволяється лише тим медпрацівникам, які призначені керівником відповідного закладу охорони здоров’я [</w:t>
      </w:r>
      <w:r w:rsidR="00C40385">
        <w:rPr>
          <w:rFonts w:ascii="Times New Roman" w:hAnsi="Times New Roman" w:cs="Times New Roman"/>
          <w:sz w:val="28"/>
          <w:szCs w:val="28"/>
        </w:rPr>
        <w:t>33</w:t>
      </w:r>
      <w:r>
        <w:rPr>
          <w:rFonts w:ascii="Times New Roman" w:hAnsi="Times New Roman" w:cs="Times New Roman"/>
          <w:sz w:val="28"/>
          <w:szCs w:val="28"/>
        </w:rPr>
        <w:t>].</w:t>
      </w:r>
    </w:p>
    <w:p w14:paraId="44EEDD4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25 листопада 2022 року Кабінет Міністрів України підтримав проєкт Закону України про внесення змін до Кодексу законів про працю щодо права наступництва в трудових відносинах. Цей документ було розроблено з метою гармонізації українського законодавства з європейськими стандартами, оскільки Україна взяла на себе зобов’язання наблизити свою нормативну базу до правил, стандартів та практик Європейського Союзу щодо питань зайнятості, соціальної політики й забезпечення рівних можливостей. Очікується, що цей закон сприятиме збереженню робочих місць, створенню нових можливостей для працевлаштування та мінімізації необґрунтованих скорочень працівників з економічних причин, що має вирішальне значення і для управління медичними закладами під час воєнного стану [</w:t>
      </w:r>
      <w:r w:rsidR="00A408E8">
        <w:rPr>
          <w:rFonts w:ascii="Times New Roman" w:hAnsi="Times New Roman" w:cs="Times New Roman"/>
          <w:sz w:val="28"/>
          <w:szCs w:val="28"/>
        </w:rPr>
        <w:t>4</w:t>
      </w:r>
      <w:r>
        <w:rPr>
          <w:rFonts w:ascii="Times New Roman" w:hAnsi="Times New Roman" w:cs="Times New Roman"/>
          <w:sz w:val="28"/>
          <w:szCs w:val="28"/>
        </w:rPr>
        <w:t>].</w:t>
      </w:r>
    </w:p>
    <w:p w14:paraId="1AACBC1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Вивчення змін у законодавстві щодо управління діяльністю медичних установ у воєнних умовах включає й ознайомлення з наказом № 374 від 24 лютого 2022 року про тимчасові заходи в закладах охорони здоров’я для підготовки до надання допомоги постраждалим внаслідок військової агресії з боку Росії. Додатково було проаналізовано положення Закону України про зміну деяких законодавчих актів для підвищення доступності медичних і реабілітаційних послуг у період воєнного стану</w:t>
      </w:r>
      <w:r w:rsidR="00A408E8">
        <w:rPr>
          <w:rFonts w:ascii="Times New Roman" w:hAnsi="Times New Roman" w:cs="Times New Roman"/>
          <w:sz w:val="28"/>
          <w:szCs w:val="28"/>
        </w:rPr>
        <w:t xml:space="preserve"> [42; 43]</w:t>
      </w:r>
      <w:r>
        <w:rPr>
          <w:rFonts w:ascii="Times New Roman" w:hAnsi="Times New Roman" w:cs="Times New Roman"/>
          <w:sz w:val="28"/>
          <w:szCs w:val="28"/>
        </w:rPr>
        <w:t>.</w:t>
      </w:r>
    </w:p>
    <w:p w14:paraId="6FB8DED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ключових заходів у системі охорони здоров’я в умовах війни визначено: спрощений доступ до безоплатної первинної медичної допомоги, тимчасове припинення планових госпіталізацій, організацію додаткових хірургічних бригад для роботи з пораненими, безперебійне забезпечення екстреної медичної допомоги, оптимізацію логістики для постачання, </w:t>
      </w:r>
      <w:r>
        <w:rPr>
          <w:rFonts w:ascii="Times New Roman" w:hAnsi="Times New Roman" w:cs="Times New Roman"/>
          <w:sz w:val="28"/>
          <w:szCs w:val="28"/>
        </w:rPr>
        <w:lastRenderedPageBreak/>
        <w:t>стабільне фінансування лікарень і впровадження програм відшкодування витрат на лікування та медикаменти.</w:t>
      </w:r>
    </w:p>
    <w:p w14:paraId="224A2DE2" w14:textId="77777777" w:rsidR="006B79F7" w:rsidRDefault="006B79F7">
      <w:pPr>
        <w:widowControl w:val="0"/>
        <w:spacing w:after="0" w:line="360" w:lineRule="auto"/>
        <w:ind w:firstLine="709"/>
        <w:jc w:val="both"/>
        <w:rPr>
          <w:rFonts w:ascii="Times New Roman" w:hAnsi="Times New Roman" w:cs="Times New Roman"/>
          <w:sz w:val="28"/>
          <w:szCs w:val="28"/>
        </w:rPr>
      </w:pPr>
    </w:p>
    <w:p w14:paraId="12CF051B"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2.2. Механізми управління підприємницькою діяльністю у галузі охорони здоров’я та впровадження публічно-приватного партнерства</w:t>
      </w:r>
    </w:p>
    <w:p w14:paraId="2B0393A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сучасних умовах трансформації системи охорони здоров’я особливого значення набуває ефективне управління приватними медичними закладами. Приватне підприємство у цій галузі функціонує не лише як економічна одиниця, а й як соціально відповідальний суб’єкт, діяльність якого безпосередньо впливає на якість і доступність медичних послуг. Саме тому механізми управління в цій сфері мають бути чітко структурованими, адаптивними та спрямованими на досягнення як фінансової стабільності, так і високих стандартів обслуговування пацієнтів.</w:t>
      </w:r>
    </w:p>
    <w:p w14:paraId="43446C5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Основу управлінського процесу становлять стратегічні, організаційні, економічні та інформаційно-аналітичні механізми. Стратегічне управління передбачає формування довгострокових цілей підприємства, визначення його місії, бачення розвитку та позиціонування на ринку медичних послуг. Важливим аспектом є аналіз конкурентного середовища, потреб населення та регуляторних вимог</w:t>
      </w:r>
      <w:r w:rsidR="00AD1C3B">
        <w:rPr>
          <w:rFonts w:ascii="Times New Roman" w:hAnsi="Times New Roman" w:cs="Times New Roman"/>
          <w:sz w:val="28"/>
          <w:szCs w:val="28"/>
        </w:rPr>
        <w:t xml:space="preserve"> [17; 22; 26]</w:t>
      </w:r>
      <w:r>
        <w:rPr>
          <w:rFonts w:ascii="Times New Roman" w:hAnsi="Times New Roman" w:cs="Times New Roman"/>
          <w:sz w:val="28"/>
          <w:szCs w:val="28"/>
        </w:rPr>
        <w:t>.</w:t>
      </w:r>
    </w:p>
    <w:p w14:paraId="32FE584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Організаційні механізми охоплюють структуру управління, розподіл функціональних обов’язків, систему внутрішнього контролю та управління персоналом. Успішне функціонування приватного медичного закладу неможливе без ефективної командної взаємодії, постійного підвищення кваліфікації працівників і впровадження корпоративної культури, орієнтованої на пацієнтоцентричність.</w:t>
      </w:r>
    </w:p>
    <w:p w14:paraId="628D2E2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Економічні механізми управління включають фінансове планування, цінову політику, управління витратами та інвестиційною діяльністю. Особливо актуальними є питання оптимізації витрат без зниження якості послуг, залучення інвестицій для оновлення медичного обладнання та впровадження новітніх технологій.</w:t>
      </w:r>
    </w:p>
    <w:p w14:paraId="5D3054E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Не менш важливу роль відіграють інформаційно-аналітичні механізми, що базуються на використанні сучасних інформаційних систем, електронної медичної документації та аналітики даних. Це забезпечує прозорість процесів, швидкість прийняття управлінських рішень та можливість оперативного реагування на зміни у зовнішньому середовищі.</w:t>
      </w:r>
    </w:p>
    <w:p w14:paraId="2235E76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ефективне управління приватним підприємством у галузі охорони здоров’я потребує комплексного підходу, що поєднує економічну доцільність, якість медичного обслуговування та дотримання етичних стандартів. Лише завдяки злагодженій роботі всіх складових механізму управління можна досягти стабільного розвитку та зміцнити довіру пацієнтів.</w:t>
      </w:r>
    </w:p>
    <w:p w14:paraId="08FA365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Публічне управління діяльністю медичних установ в умовах воєнного стану передбачає врахування всіх наявних механізмів управління, серед яких особливе значення мають організаційний, технічний, адміністративний, інформаційний та інші (табл. 2.1). </w:t>
      </w:r>
    </w:p>
    <w:p w14:paraId="0202EFF0" w14:textId="77777777" w:rsidR="006B79F7" w:rsidRDefault="0017149C">
      <w:pPr>
        <w:widowControl w:val="0"/>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2.1</w:t>
      </w:r>
    </w:p>
    <w:p w14:paraId="45BB7F3D"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Урахування механізмів публічного управління </w:t>
      </w:r>
    </w:p>
    <w:p w14:paraId="450D11B7"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 умовах воєнного стану (%)</w:t>
      </w:r>
    </w:p>
    <w:tbl>
      <w:tblPr>
        <w:tblW w:w="9854" w:type="dxa"/>
        <w:tblInd w:w="-108" w:type="dxa"/>
        <w:tblCellMar>
          <w:top w:w="9" w:type="dxa"/>
          <w:left w:w="0" w:type="dxa"/>
          <w:right w:w="2" w:type="dxa"/>
        </w:tblCellMar>
        <w:tblLook w:val="04A0" w:firstRow="1" w:lastRow="0" w:firstColumn="1" w:lastColumn="0" w:noHBand="0" w:noVBand="1"/>
      </w:tblPr>
      <w:tblGrid>
        <w:gridCol w:w="3862"/>
        <w:gridCol w:w="2833"/>
        <w:gridCol w:w="3159"/>
      </w:tblGrid>
      <w:tr w:rsidR="006B79F7" w14:paraId="14ABCEAD" w14:textId="77777777">
        <w:trPr>
          <w:trHeight w:val="331"/>
        </w:trPr>
        <w:tc>
          <w:tcPr>
            <w:tcW w:w="3862" w:type="dxa"/>
            <w:tcBorders>
              <w:top w:val="single" w:sz="4" w:space="0" w:color="000000"/>
              <w:left w:val="single" w:sz="4" w:space="0" w:color="000000"/>
              <w:bottom w:val="single" w:sz="4" w:space="0" w:color="000000"/>
              <w:right w:val="single" w:sz="4" w:space="0" w:color="000000"/>
            </w:tcBorders>
            <w:vAlign w:val="bottom"/>
          </w:tcPr>
          <w:p w14:paraId="216D800F" w14:textId="77777777" w:rsidR="006B79F7" w:rsidRDefault="0017149C">
            <w:pPr>
              <w:widowControl w:val="0"/>
              <w:spacing w:after="0" w:line="240" w:lineRule="auto"/>
              <w:ind w:hanging="28"/>
              <w:jc w:val="center"/>
              <w:rPr>
                <w:rFonts w:ascii="Times New Roman" w:hAnsi="Times New Roman" w:cs="Times New Roman"/>
                <w:b/>
                <w:sz w:val="28"/>
                <w:szCs w:val="28"/>
              </w:rPr>
            </w:pPr>
            <w:r>
              <w:rPr>
                <w:rFonts w:ascii="Times New Roman" w:hAnsi="Times New Roman" w:cs="Times New Roman"/>
                <w:b/>
                <w:sz w:val="28"/>
                <w:szCs w:val="28"/>
              </w:rPr>
              <w:t>Механізми</w:t>
            </w:r>
          </w:p>
        </w:tc>
        <w:tc>
          <w:tcPr>
            <w:tcW w:w="2833" w:type="dxa"/>
            <w:tcBorders>
              <w:top w:val="single" w:sz="4" w:space="0" w:color="000000"/>
              <w:left w:val="single" w:sz="4" w:space="0" w:color="000000"/>
              <w:bottom w:val="single" w:sz="4" w:space="0" w:color="000000"/>
              <w:right w:val="single" w:sz="4" w:space="0" w:color="000000"/>
            </w:tcBorders>
          </w:tcPr>
          <w:p w14:paraId="00D68C7B" w14:textId="77777777" w:rsidR="006B79F7" w:rsidRDefault="0017149C">
            <w:pPr>
              <w:widowControl w:val="0"/>
              <w:spacing w:after="0" w:line="240" w:lineRule="auto"/>
              <w:ind w:firstLine="79"/>
              <w:jc w:val="center"/>
              <w:rPr>
                <w:rFonts w:ascii="Times New Roman" w:hAnsi="Times New Roman" w:cs="Times New Roman"/>
                <w:b/>
                <w:sz w:val="28"/>
                <w:szCs w:val="28"/>
              </w:rPr>
            </w:pPr>
            <w:r>
              <w:rPr>
                <w:rFonts w:ascii="Times New Roman" w:hAnsi="Times New Roman" w:cs="Times New Roman"/>
                <w:b/>
                <w:sz w:val="28"/>
                <w:szCs w:val="28"/>
              </w:rPr>
              <w:t>До війни</w:t>
            </w:r>
          </w:p>
        </w:tc>
        <w:tc>
          <w:tcPr>
            <w:tcW w:w="3159" w:type="dxa"/>
            <w:tcBorders>
              <w:top w:val="single" w:sz="4" w:space="0" w:color="000000"/>
              <w:left w:val="single" w:sz="4" w:space="0" w:color="000000"/>
              <w:bottom w:val="single" w:sz="4" w:space="0" w:color="000000"/>
              <w:right w:val="single" w:sz="4" w:space="0" w:color="000000"/>
            </w:tcBorders>
          </w:tcPr>
          <w:p w14:paraId="41D7F3AB"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В умовах воєнного стану</w:t>
            </w:r>
          </w:p>
        </w:tc>
      </w:tr>
      <w:tr w:rsidR="006B79F7" w14:paraId="7A85B514"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1E2482D7"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Державний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79BC2A39"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10</w:t>
            </w:r>
          </w:p>
        </w:tc>
        <w:tc>
          <w:tcPr>
            <w:tcW w:w="3159" w:type="dxa"/>
            <w:tcBorders>
              <w:top w:val="single" w:sz="4" w:space="0" w:color="000000"/>
              <w:left w:val="single" w:sz="4" w:space="0" w:color="000000"/>
              <w:bottom w:val="single" w:sz="4" w:space="0" w:color="000000"/>
              <w:right w:val="single" w:sz="4" w:space="0" w:color="000000"/>
            </w:tcBorders>
          </w:tcPr>
          <w:p w14:paraId="42ACCEC8"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6B79F7" w14:paraId="5BBB0106"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7680CC14"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Технічний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4622195F"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10</w:t>
            </w:r>
          </w:p>
        </w:tc>
        <w:tc>
          <w:tcPr>
            <w:tcW w:w="3159" w:type="dxa"/>
            <w:tcBorders>
              <w:top w:val="single" w:sz="4" w:space="0" w:color="000000"/>
              <w:left w:val="single" w:sz="4" w:space="0" w:color="000000"/>
              <w:bottom w:val="single" w:sz="4" w:space="0" w:color="000000"/>
              <w:right w:val="single" w:sz="4" w:space="0" w:color="000000"/>
            </w:tcBorders>
          </w:tcPr>
          <w:p w14:paraId="25341FF7"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6B79F7" w14:paraId="72F2758B"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30232929"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Інформаційний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4FEEC589"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10</w:t>
            </w:r>
          </w:p>
        </w:tc>
        <w:tc>
          <w:tcPr>
            <w:tcW w:w="3159" w:type="dxa"/>
            <w:tcBorders>
              <w:top w:val="single" w:sz="4" w:space="0" w:color="000000"/>
              <w:left w:val="single" w:sz="4" w:space="0" w:color="000000"/>
              <w:bottom w:val="single" w:sz="4" w:space="0" w:color="000000"/>
              <w:right w:val="single" w:sz="4" w:space="0" w:color="000000"/>
            </w:tcBorders>
          </w:tcPr>
          <w:p w14:paraId="161D0917"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6B79F7" w14:paraId="6077F13F"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5A944C8E"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Економічний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0649D58E"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20</w:t>
            </w:r>
          </w:p>
        </w:tc>
        <w:tc>
          <w:tcPr>
            <w:tcW w:w="3159" w:type="dxa"/>
            <w:tcBorders>
              <w:top w:val="single" w:sz="4" w:space="0" w:color="000000"/>
              <w:left w:val="single" w:sz="4" w:space="0" w:color="000000"/>
              <w:bottom w:val="single" w:sz="4" w:space="0" w:color="000000"/>
              <w:right w:val="single" w:sz="4" w:space="0" w:color="000000"/>
            </w:tcBorders>
          </w:tcPr>
          <w:p w14:paraId="599266A0"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6B79F7" w14:paraId="48ACA97F"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746EF804"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Структурний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602DB480"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20</w:t>
            </w:r>
          </w:p>
        </w:tc>
        <w:tc>
          <w:tcPr>
            <w:tcW w:w="3159" w:type="dxa"/>
            <w:tcBorders>
              <w:top w:val="single" w:sz="4" w:space="0" w:color="000000"/>
              <w:left w:val="single" w:sz="4" w:space="0" w:color="000000"/>
              <w:bottom w:val="single" w:sz="4" w:space="0" w:color="000000"/>
              <w:right w:val="single" w:sz="4" w:space="0" w:color="000000"/>
            </w:tcBorders>
          </w:tcPr>
          <w:p w14:paraId="547286DD"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6B79F7" w14:paraId="6A64AA6D" w14:textId="77777777">
        <w:trPr>
          <w:trHeight w:val="332"/>
        </w:trPr>
        <w:tc>
          <w:tcPr>
            <w:tcW w:w="3862" w:type="dxa"/>
            <w:tcBorders>
              <w:top w:val="single" w:sz="4" w:space="0" w:color="000000"/>
              <w:left w:val="single" w:sz="4" w:space="0" w:color="000000"/>
              <w:bottom w:val="single" w:sz="4" w:space="0" w:color="000000"/>
              <w:right w:val="single" w:sz="4" w:space="0" w:color="000000"/>
            </w:tcBorders>
          </w:tcPr>
          <w:p w14:paraId="22EF457B"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Адміністративний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50493914"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20</w:t>
            </w:r>
          </w:p>
        </w:tc>
        <w:tc>
          <w:tcPr>
            <w:tcW w:w="3159" w:type="dxa"/>
            <w:tcBorders>
              <w:top w:val="single" w:sz="4" w:space="0" w:color="000000"/>
              <w:left w:val="single" w:sz="4" w:space="0" w:color="000000"/>
              <w:bottom w:val="single" w:sz="4" w:space="0" w:color="000000"/>
              <w:right w:val="single" w:sz="4" w:space="0" w:color="000000"/>
            </w:tcBorders>
          </w:tcPr>
          <w:p w14:paraId="241F935A"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6B79F7" w14:paraId="383EA387" w14:textId="77777777">
        <w:trPr>
          <w:trHeight w:val="331"/>
        </w:trPr>
        <w:tc>
          <w:tcPr>
            <w:tcW w:w="3862" w:type="dxa"/>
            <w:tcBorders>
              <w:top w:val="single" w:sz="4" w:space="0" w:color="000000"/>
              <w:left w:val="single" w:sz="4" w:space="0" w:color="000000"/>
              <w:bottom w:val="single" w:sz="4" w:space="0" w:color="000000"/>
              <w:right w:val="single" w:sz="4" w:space="0" w:color="000000"/>
            </w:tcBorders>
          </w:tcPr>
          <w:p w14:paraId="32EB036C" w14:textId="77777777" w:rsidR="006B79F7" w:rsidRDefault="0017149C">
            <w:pPr>
              <w:widowControl w:val="0"/>
              <w:spacing w:after="0" w:line="240" w:lineRule="auto"/>
              <w:ind w:hanging="28"/>
              <w:rPr>
                <w:rFonts w:ascii="Times New Roman" w:hAnsi="Times New Roman" w:cs="Times New Roman"/>
                <w:sz w:val="28"/>
                <w:szCs w:val="28"/>
              </w:rPr>
            </w:pPr>
            <w:r>
              <w:rPr>
                <w:rFonts w:ascii="Times New Roman" w:hAnsi="Times New Roman" w:cs="Times New Roman"/>
                <w:sz w:val="28"/>
                <w:szCs w:val="28"/>
              </w:rPr>
              <w:t xml:space="preserve">Організаційний механізм </w:t>
            </w:r>
          </w:p>
        </w:tc>
        <w:tc>
          <w:tcPr>
            <w:tcW w:w="2833" w:type="dxa"/>
            <w:tcBorders>
              <w:top w:val="single" w:sz="4" w:space="0" w:color="000000"/>
              <w:left w:val="single" w:sz="4" w:space="0" w:color="000000"/>
              <w:bottom w:val="single" w:sz="4" w:space="0" w:color="000000"/>
              <w:right w:val="single" w:sz="4" w:space="0" w:color="000000"/>
            </w:tcBorders>
          </w:tcPr>
          <w:p w14:paraId="7CEF0851" w14:textId="77777777" w:rsidR="006B79F7" w:rsidRDefault="0017149C">
            <w:pPr>
              <w:widowControl w:val="0"/>
              <w:spacing w:after="0" w:line="240" w:lineRule="auto"/>
              <w:ind w:firstLine="79"/>
              <w:jc w:val="center"/>
              <w:rPr>
                <w:rFonts w:ascii="Times New Roman" w:hAnsi="Times New Roman" w:cs="Times New Roman"/>
                <w:sz w:val="28"/>
                <w:szCs w:val="28"/>
              </w:rPr>
            </w:pPr>
            <w:r>
              <w:rPr>
                <w:rFonts w:ascii="Times New Roman" w:hAnsi="Times New Roman" w:cs="Times New Roman"/>
                <w:sz w:val="28"/>
                <w:szCs w:val="28"/>
              </w:rPr>
              <w:t>10</w:t>
            </w:r>
          </w:p>
        </w:tc>
        <w:tc>
          <w:tcPr>
            <w:tcW w:w="3159" w:type="dxa"/>
            <w:tcBorders>
              <w:top w:val="single" w:sz="4" w:space="0" w:color="000000"/>
              <w:left w:val="single" w:sz="4" w:space="0" w:color="000000"/>
              <w:bottom w:val="single" w:sz="4" w:space="0" w:color="000000"/>
              <w:right w:val="single" w:sz="4" w:space="0" w:color="000000"/>
            </w:tcBorders>
          </w:tcPr>
          <w:p w14:paraId="791F1391"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bl>
    <w:p w14:paraId="561443A4" w14:textId="77777777" w:rsidR="006B79F7" w:rsidRDefault="006B79F7">
      <w:pPr>
        <w:widowControl w:val="0"/>
        <w:spacing w:after="0" w:line="360" w:lineRule="auto"/>
        <w:ind w:firstLine="709"/>
        <w:rPr>
          <w:rFonts w:ascii="Times New Roman" w:hAnsi="Times New Roman" w:cs="Times New Roman"/>
          <w:sz w:val="28"/>
          <w:szCs w:val="28"/>
        </w:rPr>
      </w:pPr>
    </w:p>
    <w:p w14:paraId="6273BCF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у обставинах воєнного стану спостерігається чітка ієрархія щодо ефективності застосування цих механізмів. Зокрема, найбільший вплив мають інформаційний (25%), технічний (15%), державний (25%) та економічний механізми (15%)</w:t>
      </w:r>
      <w:r w:rsidR="00C57FEF">
        <w:rPr>
          <w:rFonts w:ascii="Times New Roman" w:hAnsi="Times New Roman" w:cs="Times New Roman"/>
          <w:sz w:val="28"/>
          <w:szCs w:val="28"/>
        </w:rPr>
        <w:t xml:space="preserve"> [</w:t>
      </w:r>
      <w:r w:rsidR="00923DF0">
        <w:rPr>
          <w:rFonts w:ascii="Times New Roman" w:hAnsi="Times New Roman" w:cs="Times New Roman"/>
          <w:sz w:val="28"/>
          <w:szCs w:val="28"/>
        </w:rPr>
        <w:t>1</w:t>
      </w:r>
      <w:r w:rsidR="00C57FEF">
        <w:rPr>
          <w:rFonts w:ascii="Times New Roman" w:hAnsi="Times New Roman" w:cs="Times New Roman"/>
          <w:sz w:val="28"/>
          <w:szCs w:val="28"/>
        </w:rPr>
        <w:t>8]</w:t>
      </w:r>
      <w:r>
        <w:rPr>
          <w:rFonts w:ascii="Times New Roman" w:hAnsi="Times New Roman" w:cs="Times New Roman"/>
          <w:sz w:val="28"/>
          <w:szCs w:val="28"/>
        </w:rPr>
        <w:t xml:space="preserve">. Важливість державного механізму пояснюється його здатністю активізувати необхідні інструменти, процеси та </w:t>
      </w:r>
      <w:r>
        <w:rPr>
          <w:rFonts w:ascii="Times New Roman" w:hAnsi="Times New Roman" w:cs="Times New Roman"/>
          <w:sz w:val="28"/>
          <w:szCs w:val="28"/>
        </w:rPr>
        <w:lastRenderedPageBreak/>
        <w:t>закономірності, завдяки яким законодавча й виконавча влада забезпечують ефективне функціонування управлінського апарату.</w:t>
      </w:r>
    </w:p>
    <w:p w14:paraId="0D267B5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Інформаційний механізм публічного управління набуває особливої ваги у воєнних і гібридних конфліктах. Його основна роль полягає у забезпеченні збору оперативної та достовірної інформації, що є вкрай необхідною для фахівців, від яких може залежати порятунок людських життів. </w:t>
      </w:r>
    </w:p>
    <w:p w14:paraId="1856D0B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Технічний механізм публічного управління, побудований на базі сучасних цифрових технологій, дозволяє здійснювати управлінські дії в режимі реального часу, що є надзвичайно важливим у швидкозмінних зовнішніх умовах. Це забезпечує гнучке та своєчасне ухвалення рішень для оптимізації функціонування медичних закладів.</w:t>
      </w:r>
    </w:p>
    <w:p w14:paraId="5591A59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трансформацій управління медичними установами в умовах воєнного конфлікту вимагає ретельного аналізу багатоетапних процесів, включаючи прогнозування, стратегічне планування розвитку, мотиваційні та організаційні механізми, інформаційне забезпечення, а також врахування специфіки функціонування медичних закладів.</w:t>
      </w:r>
    </w:p>
    <w:p w14:paraId="4F8B6D8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Державне та приватне медичне партнерство є ключовим механізмом для підвищення ефективності управління у сфері охорони здоров’я. Запровадження інструментів такого партнерства відкриває доступ до передових практик, сучасного медичного обладнання, новітніх технологій лікування та інновацій для українських спеціалістів. Це сприяє вдосконаленню професійної підготовки медичних працівників і загальному підвищенню якості медичних послуг в Україні. У період 2023-2024 років було підписано понад 60 меморандумів про співпрацю між українськими закладами охорони здоров’я та партнерами з-за кордону. За даними МОЗ, Україна підтримує партнерські відносини з 21 країною світу, серед яких Австрія, Данія, Естонія, Ізраїль, Іспанія, Канада, Латвія, Литва, Нідерланди, Північна Македонія, Велика Британія, Польща, Франція та інші</w:t>
      </w:r>
      <w:r w:rsidR="00923DF0">
        <w:rPr>
          <w:rFonts w:ascii="Times New Roman" w:hAnsi="Times New Roman" w:cs="Times New Roman"/>
          <w:sz w:val="28"/>
          <w:szCs w:val="28"/>
        </w:rPr>
        <w:t xml:space="preserve"> [</w:t>
      </w:r>
      <w:r w:rsidR="00660AA1">
        <w:rPr>
          <w:rFonts w:ascii="Times New Roman" w:hAnsi="Times New Roman" w:cs="Times New Roman"/>
          <w:sz w:val="28"/>
          <w:szCs w:val="28"/>
        </w:rPr>
        <w:t>24</w:t>
      </w:r>
      <w:r w:rsidR="00923DF0">
        <w:rPr>
          <w:rFonts w:ascii="Times New Roman" w:hAnsi="Times New Roman" w:cs="Times New Roman"/>
          <w:sz w:val="28"/>
          <w:szCs w:val="28"/>
        </w:rPr>
        <w:t>]</w:t>
      </w:r>
      <w:r>
        <w:rPr>
          <w:rFonts w:ascii="Times New Roman" w:hAnsi="Times New Roman" w:cs="Times New Roman"/>
          <w:sz w:val="28"/>
          <w:szCs w:val="28"/>
        </w:rPr>
        <w:t>.</w:t>
      </w:r>
    </w:p>
    <w:p w14:paraId="32F5805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Учасниками міжнародних медичних державно-приватних програм є багатопрофільні лікарні (зокрема університетські), дитячі спеціалізовані </w:t>
      </w:r>
      <w:r>
        <w:rPr>
          <w:rFonts w:ascii="Times New Roman" w:hAnsi="Times New Roman" w:cs="Times New Roman"/>
          <w:sz w:val="28"/>
          <w:szCs w:val="28"/>
        </w:rPr>
        <w:lastRenderedPageBreak/>
        <w:t>лікарні, онкологічні та психіатричні заклади, а також медичні університети [</w:t>
      </w:r>
      <w:r w:rsidR="00660AA1">
        <w:rPr>
          <w:rFonts w:ascii="Times New Roman" w:hAnsi="Times New Roman" w:cs="Times New Roman"/>
          <w:sz w:val="28"/>
          <w:szCs w:val="28"/>
        </w:rPr>
        <w:t>58</w:t>
      </w:r>
      <w:r>
        <w:rPr>
          <w:rFonts w:ascii="Times New Roman" w:hAnsi="Times New Roman" w:cs="Times New Roman"/>
          <w:sz w:val="28"/>
          <w:szCs w:val="28"/>
        </w:rPr>
        <w:t xml:space="preserve">]. </w:t>
      </w:r>
    </w:p>
    <w:p w14:paraId="0F48D76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державно-приватне медичне партнерство виступає дієвою формою співпраці держави та приватного сектору, що дозволяє залучати інвестиції у сферу охорони здоров’я. Це забезпечує якісне обслуговування пацієнтів і конкурентоспроможність на тлі складних умов та невизначеності зовнішнього середовища.</w:t>
      </w:r>
    </w:p>
    <w:p w14:paraId="787C6FC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дослідженнях [</w:t>
      </w:r>
      <w:r w:rsidR="00660AA1">
        <w:rPr>
          <w:rFonts w:ascii="Times New Roman" w:hAnsi="Times New Roman" w:cs="Times New Roman"/>
          <w:sz w:val="28"/>
          <w:szCs w:val="28"/>
        </w:rPr>
        <w:t>6; 25; 63</w:t>
      </w:r>
      <w:r>
        <w:rPr>
          <w:rFonts w:ascii="Times New Roman" w:hAnsi="Times New Roman" w:cs="Times New Roman"/>
          <w:sz w:val="28"/>
          <w:szCs w:val="28"/>
        </w:rPr>
        <w:t>] виокремлено кілька ключових переваг впровадження елементів системи державно-приватного партнерства у сфері охорони здоров’я України:</w:t>
      </w:r>
    </w:p>
    <w:p w14:paraId="58D9B5B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Підвищення ефективності управління медичними закладами, як державної, так і комунальної форми власності.</w:t>
      </w:r>
    </w:p>
    <w:p w14:paraId="331DB1D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Модернізація стандартів та оптимізація якості надання спеціалізованих медичних послуг.</w:t>
      </w:r>
    </w:p>
    <w:p w14:paraId="153D001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Залучення додаткового фінансування, що знижує навантаження на державний бюджет і дозволяє інвестувати у модернізацію лікарень, закупівлю сучасного обладнання та впровадження інновацій.</w:t>
      </w:r>
    </w:p>
    <w:p w14:paraId="603A456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Створення умов для інтеграції інноваційних технологій, цифрових рішень, новітніх методів діагностики та лікування, а також освоєння сучасних підходів у галузі медицини.</w:t>
      </w:r>
    </w:p>
    <w:p w14:paraId="36857DB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Оптимізація системи управління медичними установами завдяки ефективним моделям менеджменту, скороченню бюрократії, оптимізації витрат та підвищенню продуктивності.</w:t>
      </w:r>
    </w:p>
    <w:p w14:paraId="3A340A7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Покращення мотивації персоналу, розвиток сучасних підходів до навчання та створення належних умов праці завдяки фінансовій участі приватних інвесторів.</w:t>
      </w:r>
    </w:p>
    <w:p w14:paraId="7982CAF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Зменшення бюрократичних процедур і корупційних ризиків завдяки прозорості організаційно-фінансових механізмів контролю в межах державно-приватного партнерства. Такі ініціативи сприяють більш раціональному використанню бюджетних коштів і підвищенню рівня довіри </w:t>
      </w:r>
      <w:r>
        <w:rPr>
          <w:rFonts w:ascii="Times New Roman" w:hAnsi="Times New Roman" w:cs="Times New Roman"/>
          <w:sz w:val="28"/>
          <w:szCs w:val="28"/>
        </w:rPr>
        <w:lastRenderedPageBreak/>
        <w:t>до системи охорони здоров’я.</w:t>
      </w:r>
    </w:p>
    <w:p w14:paraId="29B1BEC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Гнучкість сфери охорони здоров’я, що забезпечує швидке адаптування до змін ринкових умов завдяки застосуванню сучасних управлінських практик бізнес-середовища.</w:t>
      </w:r>
    </w:p>
    <w:p w14:paraId="22F17A3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Загальне підвищення конкурентоспроможності системи охорони здоров’я, зростання стандартів медичного обслуговування та покращення якості послуг для пацієнтів.</w:t>
      </w:r>
    </w:p>
    <w:p w14:paraId="24E97AB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Згідно із Законом України «Про державно-приватне партнерство», використання цього механізму в галузі охорони здоров’я є рекомендованим, що включає не лише надання медичних послуг, а й додаткові напрямки, такі як донорство крові і її компонентів, заготівля, переробка, тестування, зберігання та розповсюдження донорської крові, а також соціально орієнтовані послуги</w:t>
      </w:r>
      <w:r w:rsidR="002A1156">
        <w:rPr>
          <w:rFonts w:ascii="Times New Roman" w:hAnsi="Times New Roman" w:cs="Times New Roman"/>
          <w:sz w:val="28"/>
          <w:szCs w:val="28"/>
        </w:rPr>
        <w:t xml:space="preserve"> [</w:t>
      </w:r>
      <w:r w:rsidR="001C21C6">
        <w:rPr>
          <w:rFonts w:ascii="Times New Roman" w:hAnsi="Times New Roman" w:cs="Times New Roman"/>
          <w:sz w:val="28"/>
          <w:szCs w:val="28"/>
        </w:rPr>
        <w:t xml:space="preserve">11; </w:t>
      </w:r>
      <w:r w:rsidR="002A1156">
        <w:rPr>
          <w:rFonts w:ascii="Times New Roman" w:hAnsi="Times New Roman" w:cs="Times New Roman"/>
          <w:sz w:val="28"/>
          <w:szCs w:val="28"/>
        </w:rPr>
        <w:t>45; 46]</w:t>
      </w:r>
      <w:r>
        <w:rPr>
          <w:rFonts w:ascii="Times New Roman" w:hAnsi="Times New Roman" w:cs="Times New Roman"/>
          <w:sz w:val="28"/>
          <w:szCs w:val="28"/>
        </w:rPr>
        <w:t>. Таким чином, державно-приватне партнерство у цій сфері може охоплювати інфраструктурні проєкти, управлінські процеси та безпосередньо медичне обслуговування населення (табл. 2.2).</w:t>
      </w:r>
    </w:p>
    <w:p w14:paraId="2C15EBA4" w14:textId="77777777" w:rsidR="006B79F7" w:rsidRDefault="0017149C">
      <w:pPr>
        <w:widowControl w:val="0"/>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2.2</w:t>
      </w:r>
    </w:p>
    <w:p w14:paraId="5FFDC3A6"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Базові моделі публічно-приватного партнерства у сфері охорони здоров’я</w:t>
      </w:r>
    </w:p>
    <w:tbl>
      <w:tblPr>
        <w:tblW w:w="5000" w:type="pct"/>
        <w:tblCellMar>
          <w:top w:w="57" w:type="dxa"/>
          <w:left w:w="57" w:type="dxa"/>
          <w:right w:w="1" w:type="dxa"/>
        </w:tblCellMar>
        <w:tblLook w:val="04A0" w:firstRow="1" w:lastRow="0" w:firstColumn="1" w:lastColumn="0" w:noHBand="0" w:noVBand="1"/>
      </w:tblPr>
      <w:tblGrid>
        <w:gridCol w:w="600"/>
        <w:gridCol w:w="2805"/>
        <w:gridCol w:w="5939"/>
      </w:tblGrid>
      <w:tr w:rsidR="006B79F7" w14:paraId="226E3429" w14:textId="77777777">
        <w:trPr>
          <w:trHeight w:val="479"/>
        </w:trPr>
        <w:tc>
          <w:tcPr>
            <w:tcW w:w="321" w:type="pct"/>
            <w:tcBorders>
              <w:top w:val="single" w:sz="4" w:space="0" w:color="181717"/>
              <w:left w:val="single" w:sz="4" w:space="0" w:color="181717"/>
              <w:bottom w:val="single" w:sz="4" w:space="0" w:color="181717"/>
              <w:right w:val="single" w:sz="4" w:space="0" w:color="181717"/>
            </w:tcBorders>
          </w:tcPr>
          <w:p w14:paraId="2547A5AD"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w:t>
            </w:r>
          </w:p>
          <w:p w14:paraId="48ABA6AE"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з/п</w:t>
            </w:r>
          </w:p>
        </w:tc>
        <w:tc>
          <w:tcPr>
            <w:tcW w:w="1500" w:type="pct"/>
            <w:tcBorders>
              <w:top w:val="single" w:sz="4" w:space="0" w:color="181717"/>
              <w:left w:val="single" w:sz="4" w:space="0" w:color="181717"/>
              <w:bottom w:val="single" w:sz="4" w:space="0" w:color="181717"/>
              <w:right w:val="single" w:sz="4" w:space="0" w:color="181717"/>
            </w:tcBorders>
            <w:vAlign w:val="center"/>
          </w:tcPr>
          <w:p w14:paraId="7C2629F7"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Моделі партнерства</w:t>
            </w:r>
          </w:p>
        </w:tc>
        <w:tc>
          <w:tcPr>
            <w:tcW w:w="3177" w:type="pct"/>
            <w:tcBorders>
              <w:top w:val="single" w:sz="4" w:space="0" w:color="181717"/>
              <w:left w:val="single" w:sz="4" w:space="0" w:color="181717"/>
              <w:bottom w:val="single" w:sz="4" w:space="0" w:color="181717"/>
              <w:right w:val="single" w:sz="4" w:space="0" w:color="181717"/>
            </w:tcBorders>
            <w:vAlign w:val="center"/>
          </w:tcPr>
          <w:p w14:paraId="5F24D0E1"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Характеристика</w:t>
            </w:r>
          </w:p>
        </w:tc>
      </w:tr>
      <w:tr w:rsidR="006B79F7" w14:paraId="5413C7FB" w14:textId="77777777">
        <w:trPr>
          <w:trHeight w:val="699"/>
        </w:trPr>
        <w:tc>
          <w:tcPr>
            <w:tcW w:w="321" w:type="pct"/>
            <w:tcBorders>
              <w:top w:val="single" w:sz="4" w:space="0" w:color="181717"/>
              <w:left w:val="single" w:sz="4" w:space="0" w:color="181717"/>
              <w:bottom w:val="single" w:sz="4" w:space="0" w:color="181717"/>
              <w:right w:val="single" w:sz="4" w:space="0" w:color="181717"/>
            </w:tcBorders>
            <w:vAlign w:val="center"/>
          </w:tcPr>
          <w:p w14:paraId="78D3DC5D"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1</w:t>
            </w:r>
          </w:p>
        </w:tc>
        <w:tc>
          <w:tcPr>
            <w:tcW w:w="1500" w:type="pct"/>
            <w:tcBorders>
              <w:top w:val="single" w:sz="4" w:space="0" w:color="181717"/>
              <w:left w:val="single" w:sz="4" w:space="0" w:color="181717"/>
              <w:bottom w:val="single" w:sz="4" w:space="0" w:color="181717"/>
              <w:right w:val="single" w:sz="4" w:space="0" w:color="181717"/>
            </w:tcBorders>
            <w:vAlign w:val="center"/>
          </w:tcPr>
          <w:p w14:paraId="72B9C2F5"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Послуги з управління  обладнанням</w:t>
            </w:r>
          </w:p>
        </w:tc>
        <w:tc>
          <w:tcPr>
            <w:tcW w:w="3177" w:type="pct"/>
            <w:tcBorders>
              <w:top w:val="single" w:sz="4" w:space="0" w:color="181717"/>
              <w:left w:val="single" w:sz="4" w:space="0" w:color="181717"/>
              <w:bottom w:val="single" w:sz="4" w:space="0" w:color="181717"/>
              <w:right w:val="single" w:sz="4" w:space="0" w:color="181717"/>
            </w:tcBorders>
          </w:tcPr>
          <w:p w14:paraId="5B7935DA"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Перелік послуг включає первинну купівлю, інсталяцію, фінансування, налаштування та підтримку обладнання, у тому числі і обладнання для обробки зображень</w:t>
            </w:r>
          </w:p>
        </w:tc>
      </w:tr>
      <w:tr w:rsidR="006B79F7" w14:paraId="031C7AA5" w14:textId="77777777">
        <w:trPr>
          <w:trHeight w:val="699"/>
        </w:trPr>
        <w:tc>
          <w:tcPr>
            <w:tcW w:w="321" w:type="pct"/>
            <w:tcBorders>
              <w:top w:val="single" w:sz="4" w:space="0" w:color="181717"/>
              <w:left w:val="single" w:sz="4" w:space="0" w:color="181717"/>
              <w:bottom w:val="single" w:sz="4" w:space="0" w:color="181717"/>
              <w:right w:val="single" w:sz="4" w:space="0" w:color="181717"/>
            </w:tcBorders>
            <w:vAlign w:val="center"/>
          </w:tcPr>
          <w:p w14:paraId="15EBD595"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2</w:t>
            </w:r>
          </w:p>
        </w:tc>
        <w:tc>
          <w:tcPr>
            <w:tcW w:w="1500" w:type="pct"/>
            <w:tcBorders>
              <w:top w:val="single" w:sz="4" w:space="0" w:color="181717"/>
              <w:left w:val="single" w:sz="4" w:space="0" w:color="181717"/>
              <w:bottom w:val="single" w:sz="4" w:space="0" w:color="181717"/>
              <w:right w:val="single" w:sz="4" w:space="0" w:color="181717"/>
            </w:tcBorders>
            <w:vAlign w:val="center"/>
          </w:tcPr>
          <w:p w14:paraId="136D701A"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Договір управління</w:t>
            </w:r>
          </w:p>
        </w:tc>
        <w:tc>
          <w:tcPr>
            <w:tcW w:w="3177" w:type="pct"/>
            <w:tcBorders>
              <w:top w:val="single" w:sz="4" w:space="0" w:color="181717"/>
              <w:left w:val="single" w:sz="4" w:space="0" w:color="181717"/>
              <w:bottom w:val="single" w:sz="4" w:space="0" w:color="181717"/>
              <w:right w:val="single" w:sz="4" w:space="0" w:color="181717"/>
            </w:tcBorders>
          </w:tcPr>
          <w:p w14:paraId="6872470C"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Експлуатація обладнання та інфраструктури закладів охорони здоров’я в рахунок оплати управлінських послуг</w:t>
            </w:r>
          </w:p>
        </w:tc>
      </w:tr>
      <w:tr w:rsidR="006B79F7" w14:paraId="6A94B720" w14:textId="77777777">
        <w:trPr>
          <w:trHeight w:val="699"/>
        </w:trPr>
        <w:tc>
          <w:tcPr>
            <w:tcW w:w="321" w:type="pct"/>
            <w:tcBorders>
              <w:top w:val="single" w:sz="4" w:space="0" w:color="181717"/>
              <w:left w:val="single" w:sz="4" w:space="0" w:color="181717"/>
              <w:bottom w:val="single" w:sz="4" w:space="0" w:color="181717"/>
              <w:right w:val="single" w:sz="4" w:space="0" w:color="181717"/>
            </w:tcBorders>
            <w:vAlign w:val="center"/>
          </w:tcPr>
          <w:p w14:paraId="7699B2E7"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3</w:t>
            </w:r>
          </w:p>
        </w:tc>
        <w:tc>
          <w:tcPr>
            <w:tcW w:w="1500" w:type="pct"/>
            <w:tcBorders>
              <w:top w:val="single" w:sz="4" w:space="0" w:color="181717"/>
              <w:left w:val="single" w:sz="4" w:space="0" w:color="181717"/>
              <w:bottom w:val="single" w:sz="4" w:space="0" w:color="181717"/>
              <w:right w:val="single" w:sz="4" w:space="0" w:color="181717"/>
            </w:tcBorders>
            <w:vAlign w:val="center"/>
          </w:tcPr>
          <w:p w14:paraId="01713326"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Спеціалізовані  клінічні й діагностичні послуги</w:t>
            </w:r>
          </w:p>
        </w:tc>
        <w:tc>
          <w:tcPr>
            <w:tcW w:w="3177" w:type="pct"/>
            <w:tcBorders>
              <w:top w:val="single" w:sz="4" w:space="0" w:color="181717"/>
              <w:left w:val="single" w:sz="4" w:space="0" w:color="181717"/>
              <w:bottom w:val="single" w:sz="4" w:space="0" w:color="181717"/>
              <w:right w:val="single" w:sz="4" w:space="0" w:color="181717"/>
            </w:tcBorders>
          </w:tcPr>
          <w:p w14:paraId="6EC3DA25"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Публічний сектор визначає послуги спеціалістів (діаліз, променева терапія, денна хірургія тощо) або діагностичні послуги (лабораторні послуги, ядерна медицина та ін.), що повинні надаватися приватним оператором</w:t>
            </w:r>
          </w:p>
        </w:tc>
      </w:tr>
    </w:tbl>
    <w:p w14:paraId="66422B67"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14:paraId="1387F406" w14:textId="77777777" w:rsidR="006B79F7" w:rsidRDefault="0017149C">
      <w:pPr>
        <w:widowControl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2.2</w:t>
      </w:r>
    </w:p>
    <w:p w14:paraId="61A94958" w14:textId="77777777" w:rsidR="006B79F7" w:rsidRDefault="006B79F7">
      <w:pPr>
        <w:widowControl w:val="0"/>
        <w:spacing w:after="0" w:line="240" w:lineRule="auto"/>
        <w:rPr>
          <w:rFonts w:ascii="Times New Roman" w:hAnsi="Times New Roman" w:cs="Times New Roman"/>
          <w:sz w:val="28"/>
          <w:szCs w:val="28"/>
        </w:rPr>
      </w:pPr>
    </w:p>
    <w:tbl>
      <w:tblPr>
        <w:tblW w:w="5000" w:type="pct"/>
        <w:tblCellMar>
          <w:top w:w="57" w:type="dxa"/>
          <w:left w:w="57" w:type="dxa"/>
          <w:right w:w="1" w:type="dxa"/>
        </w:tblCellMar>
        <w:tblLook w:val="04A0" w:firstRow="1" w:lastRow="0" w:firstColumn="1" w:lastColumn="0" w:noHBand="0" w:noVBand="1"/>
      </w:tblPr>
      <w:tblGrid>
        <w:gridCol w:w="600"/>
        <w:gridCol w:w="2805"/>
        <w:gridCol w:w="5939"/>
      </w:tblGrid>
      <w:tr w:rsidR="006B79F7" w14:paraId="46517A6B" w14:textId="77777777">
        <w:trPr>
          <w:trHeight w:val="1139"/>
        </w:trPr>
        <w:tc>
          <w:tcPr>
            <w:tcW w:w="321" w:type="pct"/>
            <w:tcBorders>
              <w:top w:val="single" w:sz="4" w:space="0" w:color="181717"/>
              <w:left w:val="single" w:sz="4" w:space="0" w:color="181717"/>
              <w:bottom w:val="single" w:sz="4" w:space="0" w:color="181717"/>
              <w:right w:val="single" w:sz="4" w:space="0" w:color="181717"/>
            </w:tcBorders>
            <w:vAlign w:val="center"/>
          </w:tcPr>
          <w:p w14:paraId="366F9387"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4</w:t>
            </w:r>
          </w:p>
        </w:tc>
        <w:tc>
          <w:tcPr>
            <w:tcW w:w="1500" w:type="pct"/>
            <w:tcBorders>
              <w:top w:val="single" w:sz="4" w:space="0" w:color="181717"/>
              <w:left w:val="single" w:sz="4" w:space="0" w:color="181717"/>
              <w:bottom w:val="single" w:sz="4" w:space="0" w:color="181717"/>
              <w:right w:val="single" w:sz="4" w:space="0" w:color="181717"/>
            </w:tcBorders>
            <w:vAlign w:val="center"/>
          </w:tcPr>
          <w:p w14:paraId="717B84B9"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Заклад охорони здоров’я</w:t>
            </w:r>
          </w:p>
        </w:tc>
        <w:tc>
          <w:tcPr>
            <w:tcW w:w="3177" w:type="pct"/>
            <w:tcBorders>
              <w:top w:val="single" w:sz="4" w:space="0" w:color="181717"/>
              <w:left w:val="single" w:sz="4" w:space="0" w:color="181717"/>
              <w:bottom w:val="single" w:sz="4" w:space="0" w:color="181717"/>
              <w:right w:val="single" w:sz="4" w:space="0" w:color="181717"/>
            </w:tcBorders>
          </w:tcPr>
          <w:p w14:paraId="2A9F8F84"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На відміну від інтегрованої, ця модель зберігає державний контроль за клінічними послугами, проте приватний сектор забезпечує детальне проектування, реконструкцію чи будівництво інфраструктури. Може включати надання жорсткого управління об’єктами чи поєднання м’якого/жорсткого управління об’єктами.</w:t>
            </w:r>
          </w:p>
        </w:tc>
      </w:tr>
      <w:tr w:rsidR="006B79F7" w14:paraId="4584538B" w14:textId="77777777">
        <w:trPr>
          <w:trHeight w:val="699"/>
        </w:trPr>
        <w:tc>
          <w:tcPr>
            <w:tcW w:w="321" w:type="pct"/>
            <w:tcBorders>
              <w:top w:val="single" w:sz="4" w:space="0" w:color="181717"/>
              <w:left w:val="single" w:sz="4" w:space="0" w:color="181717"/>
              <w:bottom w:val="single" w:sz="4" w:space="0" w:color="181717"/>
              <w:right w:val="single" w:sz="4" w:space="0" w:color="181717"/>
            </w:tcBorders>
            <w:vAlign w:val="center"/>
          </w:tcPr>
          <w:p w14:paraId="3ED22EF1"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5</w:t>
            </w:r>
          </w:p>
        </w:tc>
        <w:tc>
          <w:tcPr>
            <w:tcW w:w="1500" w:type="pct"/>
            <w:tcBorders>
              <w:top w:val="single" w:sz="4" w:space="0" w:color="181717"/>
              <w:left w:val="single" w:sz="4" w:space="0" w:color="181717"/>
              <w:bottom w:val="single" w:sz="4" w:space="0" w:color="181717"/>
              <w:right w:val="single" w:sz="4" w:space="0" w:color="181717"/>
            </w:tcBorders>
            <w:vAlign w:val="center"/>
          </w:tcPr>
          <w:p w14:paraId="205FA5C0"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Інтегрована модель </w:t>
            </w:r>
          </w:p>
        </w:tc>
        <w:tc>
          <w:tcPr>
            <w:tcW w:w="3177" w:type="pct"/>
            <w:tcBorders>
              <w:top w:val="single" w:sz="4" w:space="0" w:color="181717"/>
              <w:left w:val="single" w:sz="4" w:space="0" w:color="181717"/>
              <w:bottom w:val="single" w:sz="4" w:space="0" w:color="181717"/>
              <w:right w:val="single" w:sz="4" w:space="0" w:color="181717"/>
            </w:tcBorders>
          </w:tcPr>
          <w:p w14:paraId="10667432"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Приватний сектор надає всі послуги. Це включає проектування, будівництво та ремонт інфраструктури, а також усі медичні послуги на довгостроковій основі, як правило, у межах 10-30 років.</w:t>
            </w:r>
          </w:p>
        </w:tc>
      </w:tr>
    </w:tbl>
    <w:p w14:paraId="0085C9E0" w14:textId="77777777" w:rsidR="006B79F7" w:rsidRDefault="006B79F7">
      <w:pPr>
        <w:widowControl w:val="0"/>
        <w:spacing w:after="0" w:line="360" w:lineRule="auto"/>
        <w:ind w:firstLine="709"/>
        <w:rPr>
          <w:rFonts w:ascii="Times New Roman" w:hAnsi="Times New Roman" w:cs="Times New Roman"/>
          <w:sz w:val="28"/>
          <w:szCs w:val="28"/>
        </w:rPr>
      </w:pPr>
    </w:p>
    <w:p w14:paraId="279E49B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дослідженні під назвою «Creating Markets in Ukraine. Doubling Down on Reform: Building Ukraine`s New Economy»</w:t>
      </w:r>
      <w:r w:rsidR="002A1156">
        <w:rPr>
          <w:rFonts w:ascii="Times New Roman" w:hAnsi="Times New Roman" w:cs="Times New Roman"/>
          <w:sz w:val="28"/>
          <w:szCs w:val="28"/>
        </w:rPr>
        <w:t xml:space="preserve"> [62]</w:t>
      </w:r>
      <w:r>
        <w:rPr>
          <w:rFonts w:ascii="Times New Roman" w:hAnsi="Times New Roman" w:cs="Times New Roman"/>
          <w:sz w:val="28"/>
          <w:szCs w:val="28"/>
        </w:rPr>
        <w:t>, проведеному експертами Міжнародної фінансової корпорації у 2021 році, особливу увагу було приділено розробці конкретних рекомендацій для тих секторів економіки, які зазнали суттєвих організаційно-функціональних змін. Метою цих рекомендацій стало залучення інституцій приватного сектору задля забезпечення подальшого ефективного розвитку відповідних галузей економіки. Успішне впровадження реформ здатне зробити українську економіку привабливішою для іноземних інвесторів та стимулювати сталий розвиток цих галузей. Зокрема, вищезгадане дослідження визначає п’ять основних моделей публічно-приватного партнерства у сфері охорони здоров’я.</w:t>
      </w:r>
    </w:p>
    <w:p w14:paraId="7E7E422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Розглянемо детальніше моделі співпраці держави і приватного сектору в медичній галузі [</w:t>
      </w:r>
      <w:r w:rsidR="00D87E70">
        <w:rPr>
          <w:rFonts w:ascii="Times New Roman" w:hAnsi="Times New Roman" w:cs="Times New Roman"/>
          <w:sz w:val="28"/>
          <w:szCs w:val="28"/>
        </w:rPr>
        <w:t>12; 23; 39; 66</w:t>
      </w:r>
      <w:r>
        <w:rPr>
          <w:rFonts w:ascii="Times New Roman" w:hAnsi="Times New Roman" w:cs="Times New Roman"/>
          <w:sz w:val="28"/>
          <w:szCs w:val="28"/>
        </w:rPr>
        <w:t>].</w:t>
      </w:r>
    </w:p>
    <w:p w14:paraId="4CBBB2C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Спеціалізовані діагностично-клінічні послуги. У цій моделі держава окреслює перелік спеціалізованих медичних послуг, які надаватиме незалежний оператор. Приватний сектор забезпечує стартові інвестиції та фінансує капітальні витрати. Держава оплачує надані послуги через різні моделі фінансування. Переваги такого підходу включають розширення </w:t>
      </w:r>
      <w:r>
        <w:rPr>
          <w:rFonts w:ascii="Times New Roman" w:hAnsi="Times New Roman" w:cs="Times New Roman"/>
          <w:sz w:val="28"/>
          <w:szCs w:val="28"/>
        </w:rPr>
        <w:lastRenderedPageBreak/>
        <w:t>доступу до якісних медичних послуг, сучасного обладнання та закладів охорони здоров’я. Проте ризики, зокрема високі операційні витрати, можуть призвести до росту цін на послуги для населення. Додатково необхідно враховувати можливість неефективного розподілу коштів на профільні медичні послуги та їх диференціацію.</w:t>
      </w:r>
    </w:p>
    <w:p w14:paraId="57C598B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Заклади охорони здоров’я. Ця модель передбачає передачу проектного управління – проектування, будівництва, фінансових потоків та експлуатації медичних установ (лікарень, амбулаторій, поліклінік тощо) – приватному партнеру. Державна сторона зберігає контроль над управлінням медичними послугами. Контракти укладаються терміном від 30 років і допускають аутсорсинг окремих функцій, таких як харчування пацієнтів, клінінг чи прання. Оплата послуг приватного оператора здійснюється державою, але може включати спільне чи часткове фінансування з боку пацієнтів. Такий підхід дозволяє залучати приватні інвестиції для розвитку медичної інфраструктури, зменшувати фінансовий тиск на державний бюджет та створювати додаткові можливості для модернізації обладнання. Впровадження цієї моделі вимагає стабільної державної політики, належного нормативно-правового регулювання і конкурентного ринкового середовища. Це забезпечить справедливе ціноутворення та високу якість медичних послуг протягом усього періоду дії контрактів.</w:t>
      </w:r>
    </w:p>
    <w:p w14:paraId="52806EF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Інтегрована модель державно-приватного партнерства (ДПП) є стратегічним підходом до співпраці між державними та приватними структурами, спрямованим на ефективну реалізацію проектів різного рівня складності у сфері охорони здоров’я. У межах цієї моделі приватний оператор бере на себе відповідальність за комплексну реалізацію ключових етапів, таких як проектування, будівництво, фінансування, експлуатація медичних об’єктів, а також надання обмеженого обсягу клінічних послуг на довготривалій основі. Тривалість контрактів у цьому форматі співпраці зазвичай становить від 10 до 20 років. </w:t>
      </w:r>
    </w:p>
    <w:p w14:paraId="242D9BF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Фінансування діяльності незалежного приватного оператора </w:t>
      </w:r>
      <w:r>
        <w:rPr>
          <w:rFonts w:ascii="Times New Roman" w:hAnsi="Times New Roman" w:cs="Times New Roman"/>
          <w:sz w:val="28"/>
          <w:szCs w:val="28"/>
        </w:rPr>
        <w:lastRenderedPageBreak/>
        <w:t>здійснюється переважно за рахунок державних бюджетних коштів, проте може бути доповнене співоплатою з боку пацієнтів. Крім цього, модель передбачає залучення додаткових приватних інвестицій для покриття як капітальних витрат, так і операційних витрат на утримання і використання об’єктів. Таким чином, інтегрована модель ДПП націлена на спільне управління ресурсами та розподіл відповідальності між державним і приватним секторами на всіх етапах реалізації проектів: від планування та фінансування до управління та надання медичних послуг.</w:t>
      </w:r>
    </w:p>
    <w:p w14:paraId="04C579A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Особливостями інтегрованої моделі ДПП є [</w:t>
      </w:r>
      <w:r w:rsidR="00DE1CAC">
        <w:rPr>
          <w:rFonts w:ascii="Times New Roman" w:hAnsi="Times New Roman" w:cs="Times New Roman"/>
          <w:sz w:val="28"/>
          <w:szCs w:val="28"/>
        </w:rPr>
        <w:t>51; 59</w:t>
      </w:r>
      <w:r>
        <w:rPr>
          <w:rFonts w:ascii="Times New Roman" w:hAnsi="Times New Roman" w:cs="Times New Roman"/>
          <w:sz w:val="28"/>
          <w:szCs w:val="28"/>
        </w:rPr>
        <w:t>]:</w:t>
      </w:r>
    </w:p>
    <w:p w14:paraId="26D989A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Спільне фінансування, при якому державні органи та приватні партнери об’єднують свої фінансові ресурси задля реалізації проектів у медичній галузі.</w:t>
      </w:r>
    </w:p>
    <w:p w14:paraId="0281F70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Розподіл ризиків між сторонами проекту, включаючи фінансові, операційні та нормативно-регулятивні аспекти.</w:t>
      </w:r>
    </w:p>
    <w:p w14:paraId="4EED8B1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Формування єдиної стратегії управління, що забезпечує координацію діяльності державних і приватних структур в усіх фазах реалізації проектів.</w:t>
      </w:r>
    </w:p>
    <w:p w14:paraId="09FE1E9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Довготривалість партнерських зв’язків, яка створює основу для стабільної і продуктивної співпраці.</w:t>
      </w:r>
    </w:p>
    <w:p w14:paraId="74E875E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Спільна експлуатація об’єктів, при якій обидві сторони беруть участь в управлінні та наданні медичних послуг.</w:t>
      </w:r>
    </w:p>
    <w:p w14:paraId="14FFD9B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Гнучкість та адаптивність, яка дозволяє ефективно реагувати на зміни ринкового середовища та потреб населення у медичному обслуговуванні.</w:t>
      </w:r>
    </w:p>
    <w:p w14:paraId="3650F1C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інтегрованої моделі ДПП у сфері охорони здоров’я охоплює такі аспекти, як спільне управління лікарнями, залучення приватних структур до будівництва медичних закладів, а також інтеграція сучасних цифрових технологій у їхню діяльність. </w:t>
      </w:r>
    </w:p>
    <w:p w14:paraId="5A57B85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Наочно вищезгадані моделі представлено на рис. 2.2.</w:t>
      </w:r>
    </w:p>
    <w:p w14:paraId="72475D5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Досвід зарубіжних країн демонструє високу ефективність використання механізмів державно-приватного партнерства для підвищення якості медичних послуг, модернізації інфраструктури закладів охорони </w:t>
      </w:r>
      <w:r>
        <w:rPr>
          <w:rFonts w:ascii="Times New Roman" w:hAnsi="Times New Roman" w:cs="Times New Roman"/>
          <w:sz w:val="28"/>
          <w:szCs w:val="28"/>
        </w:rPr>
        <w:lastRenderedPageBreak/>
        <w:t>здоров’я та залучення додаткових приватних інвестицій</w:t>
      </w:r>
      <w:r w:rsidR="00DE1CAC">
        <w:rPr>
          <w:rFonts w:ascii="Times New Roman" w:hAnsi="Times New Roman" w:cs="Times New Roman"/>
          <w:sz w:val="28"/>
          <w:szCs w:val="28"/>
        </w:rPr>
        <w:t xml:space="preserve"> [10; 38; 39]</w:t>
      </w:r>
      <w:r>
        <w:rPr>
          <w:rFonts w:ascii="Times New Roman" w:hAnsi="Times New Roman" w:cs="Times New Roman"/>
          <w:sz w:val="28"/>
          <w:szCs w:val="28"/>
        </w:rPr>
        <w:t xml:space="preserve">. </w:t>
      </w:r>
    </w:p>
    <w:p w14:paraId="36D47885" w14:textId="77777777" w:rsidR="006B79F7" w:rsidRDefault="0017149C">
      <w:pPr>
        <w:widowControl w:val="0"/>
        <w:spacing w:after="0" w:line="360" w:lineRule="auto"/>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307F9CC" wp14:editId="2406CFDE">
            <wp:extent cx="5984875" cy="3194050"/>
            <wp:effectExtent l="0" t="38100" r="0" b="44450"/>
            <wp:docPr id="7"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0205CDD" w14:textId="77777777" w:rsidR="006B79F7" w:rsidRDefault="0017149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2.2. Моделі публічно-приватного партнерства у сфері охорони здоров’я: рекомендації ВООЗ для національних урядів</w:t>
      </w:r>
    </w:p>
    <w:p w14:paraId="449735E5" w14:textId="77777777" w:rsidR="006B79F7" w:rsidRDefault="006B79F7">
      <w:pPr>
        <w:widowControl w:val="0"/>
        <w:spacing w:after="0" w:line="360" w:lineRule="auto"/>
        <w:ind w:firstLine="709"/>
        <w:jc w:val="both"/>
        <w:rPr>
          <w:rFonts w:ascii="Times New Roman" w:hAnsi="Times New Roman" w:cs="Times New Roman"/>
          <w:sz w:val="28"/>
          <w:szCs w:val="28"/>
        </w:rPr>
      </w:pPr>
    </w:p>
    <w:p w14:paraId="77FB611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Систематизація успішних практик із впровадження ДПП у медичній галузі різних країн світу представлена у Додатку 2.</w:t>
      </w:r>
    </w:p>
    <w:p w14:paraId="01C8937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механізмів державно-приватного партнерства у сфері приватної медицини в Україні стикається з низкою викликів, які можуть ускладнити успішну реалізацію таких проєктів на сучасному етапі. </w:t>
      </w:r>
    </w:p>
    <w:p w14:paraId="06CDE31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основних перешкод належать [</w:t>
      </w:r>
      <w:r w:rsidR="004F3472">
        <w:rPr>
          <w:rFonts w:ascii="Times New Roman" w:hAnsi="Times New Roman" w:cs="Times New Roman"/>
          <w:sz w:val="28"/>
          <w:szCs w:val="28"/>
        </w:rPr>
        <w:t>19; 27</w:t>
      </w:r>
      <w:r>
        <w:rPr>
          <w:rFonts w:ascii="Times New Roman" w:hAnsi="Times New Roman" w:cs="Times New Roman"/>
          <w:sz w:val="28"/>
          <w:szCs w:val="28"/>
        </w:rPr>
        <w:t>]:</w:t>
      </w:r>
    </w:p>
    <w:p w14:paraId="238EDA2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Ризик неефективного управління державними ресурсами, переданими приватним партнерам для виконання умов договору.</w:t>
      </w:r>
    </w:p>
    <w:p w14:paraId="3A53FC5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Відсутність гарантій від приватних партнерів щодо виконання фінансових зобов’язань у рамках довгострокових проєктів.</w:t>
      </w:r>
    </w:p>
    <w:p w14:paraId="4304CC6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Невизначеність із виконанням фінансових зобов’язань державою на повний термін реалізації проєктів, що обумовлено необхідністю щорічного затвердження бюджету та корегування відповідних програм.</w:t>
      </w:r>
    </w:p>
    <w:p w14:paraId="2A22099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Недоліки у фіскальному законодавстві, зокрема, відсутність податкових або митних пільг, що знижує привабливість таких проєктів для </w:t>
      </w:r>
      <w:r>
        <w:rPr>
          <w:rFonts w:ascii="Times New Roman" w:hAnsi="Times New Roman" w:cs="Times New Roman"/>
          <w:sz w:val="28"/>
          <w:szCs w:val="28"/>
        </w:rPr>
        <w:lastRenderedPageBreak/>
        <w:t>незалежних комерційних партнерів.</w:t>
      </w:r>
    </w:p>
    <w:p w14:paraId="76D7E4D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Ризики змін у законодавчо-нормативній базі, наприклад, переписи податкового чи регуляторного законодавства, що може суттєво змінити умови участі приватного сектору.</w:t>
      </w:r>
    </w:p>
    <w:p w14:paraId="5371E76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Соціальні ризики, пов’язані із нерівномірним доступом до медичних послуг. Це може призводити до того, що послуги стають доступними лише для окремих соціальних груп або регіонів, посилюючи соціальну нерівність та дисбаланс у медичному забезпеченні.</w:t>
      </w:r>
    </w:p>
    <w:p w14:paraId="53C79E0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Організаційні ризики, включаючи неефективне управління проєктами, незбалансоване партнерство та необхідність перегляду умов контрактів через зміни в законодавстві чи політичній ситуації.</w:t>
      </w:r>
    </w:p>
    <w:p w14:paraId="2C07630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Відсутність гарантій щодо отримання приватним партнером необхідних дозволів і погоджень від органів виконавчої влади або місцевого самоврядування для реалізації умов договору.</w:t>
      </w:r>
    </w:p>
    <w:p w14:paraId="326F5C5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 виклики потребують системного підходу до їх вирішення, аби забезпечити ефективне функціонування механізмів ДПП у медичній галузі України.</w:t>
      </w:r>
    </w:p>
    <w:p w14:paraId="75352F31" w14:textId="77777777" w:rsidR="006B79F7" w:rsidRDefault="0017149C">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Актуальні сфери реалізації проектів публічно-приватного  партнерства у сфері охорони здоров’я представлені на рис. 2.3.</w:t>
      </w:r>
    </w:p>
    <w:p w14:paraId="14606B9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поступового розвитку системи публічно-приватного партнерства та ефективного впровадження проєктів у сфері охорони здоров’я в Україні доцільно вдосконалити модель державно-приватної співпраці шляхом: розробки єдиного підходу до розвитку партнерства у сфері охорони здоров’я, що сприятиме підвищенню конкурентоспроможності та стійкості національної медицини; поліпшення стандартів контрактів, правил залучення приватних інвесторів, а також забезпечення прозорості й підзвітності через створення механізмів, які гарантують відкритість угод і контроль за їх виконанням; чіткого розподілу повноважень і відповідальності між органами виконавчої влади в управлінні системою охорони здоров’я у контексті державно-приватного партнерства; впровадження механізмів ризик-</w:t>
      </w:r>
      <w:r>
        <w:rPr>
          <w:rFonts w:ascii="Times New Roman" w:hAnsi="Times New Roman" w:cs="Times New Roman"/>
          <w:sz w:val="28"/>
          <w:szCs w:val="28"/>
        </w:rPr>
        <w:lastRenderedPageBreak/>
        <w:t xml:space="preserve">менеджменту та державних гарантій для забезпечення стабільності проєктів в умовах невизначеності й ризиків; забезпечення рівного доступу до медичних послуг у всіх регіонах України, зокрема у сільській місцевості. </w:t>
      </w:r>
    </w:p>
    <w:p w14:paraId="520CD613" w14:textId="77777777" w:rsidR="006B79F7" w:rsidRDefault="0017149C">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4613970" wp14:editId="10E54399">
            <wp:extent cx="5854065" cy="4509135"/>
            <wp:effectExtent l="0" t="0" r="635" b="12065"/>
            <wp:docPr id="1174" name="Picture 1174"/>
            <wp:cNvGraphicFramePr/>
            <a:graphic xmlns:a="http://schemas.openxmlformats.org/drawingml/2006/main">
              <a:graphicData uri="http://schemas.openxmlformats.org/drawingml/2006/picture">
                <pic:pic xmlns:pic="http://schemas.openxmlformats.org/drawingml/2006/picture">
                  <pic:nvPicPr>
                    <pic:cNvPr id="1174" name="Picture 1174"/>
                    <pic:cNvPicPr/>
                  </pic:nvPicPr>
                  <pic:blipFill>
                    <a:blip r:embed="rId20" cstate="print"/>
                    <a:stretch>
                      <a:fillRect/>
                    </a:stretch>
                  </pic:blipFill>
                  <pic:spPr>
                    <a:xfrm>
                      <a:off x="0" y="0"/>
                      <a:ext cx="5869473" cy="4521043"/>
                    </a:xfrm>
                    <a:prstGeom prst="rect">
                      <a:avLst/>
                    </a:prstGeom>
                  </pic:spPr>
                </pic:pic>
              </a:graphicData>
            </a:graphic>
          </wp:inline>
        </w:drawing>
      </w:r>
    </w:p>
    <w:p w14:paraId="517D7CA7" w14:textId="77777777" w:rsidR="006B79F7" w:rsidRDefault="0017149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2.3. Актуальні сфери реалізації проектів публічно-приватного  партнерства у сфері охорони здоров’я</w:t>
      </w:r>
    </w:p>
    <w:p w14:paraId="56240622" w14:textId="77777777" w:rsidR="006B79F7" w:rsidRDefault="006B79F7">
      <w:pPr>
        <w:widowControl w:val="0"/>
        <w:spacing w:after="0" w:line="360" w:lineRule="auto"/>
        <w:ind w:firstLine="709"/>
        <w:rPr>
          <w:rFonts w:ascii="Times New Roman" w:hAnsi="Times New Roman" w:cs="Times New Roman"/>
          <w:sz w:val="28"/>
          <w:szCs w:val="28"/>
        </w:rPr>
      </w:pPr>
    </w:p>
    <w:p w14:paraId="3F0C1CA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майбутні дослідження мають бути спрямовані на розробку моделей, які гарантують доступність високоякісних медичних послуг у віддалених регіонах.</w:t>
      </w:r>
    </w:p>
    <w:p w14:paraId="4EB4AF8D" w14:textId="77777777" w:rsidR="006B79F7" w:rsidRDefault="006B79F7">
      <w:pPr>
        <w:widowControl w:val="0"/>
        <w:spacing w:after="0" w:line="360" w:lineRule="auto"/>
        <w:ind w:firstLine="709"/>
        <w:jc w:val="both"/>
        <w:rPr>
          <w:rFonts w:ascii="Times New Roman" w:hAnsi="Times New Roman" w:cs="Times New Roman"/>
          <w:sz w:val="28"/>
          <w:szCs w:val="28"/>
        </w:rPr>
      </w:pPr>
    </w:p>
    <w:p w14:paraId="04BF8F7D"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2.3. Запровадження світового досвіду в сфері управління приватним підприємством у галузі охорони здоров’я в Україні</w:t>
      </w:r>
    </w:p>
    <w:p w14:paraId="43F06B0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сучасному глобалізованому світі охорона здоров’я виходить за межі державних систем і дедалі частіше стає об’єктом підприємницької діяльності. Приватний сектор охорони здоров’я відіграє ключову роль у забезпеченні </w:t>
      </w:r>
      <w:r>
        <w:rPr>
          <w:rFonts w:ascii="Times New Roman" w:hAnsi="Times New Roman" w:cs="Times New Roman"/>
          <w:sz w:val="28"/>
          <w:szCs w:val="28"/>
        </w:rPr>
        <w:lastRenderedPageBreak/>
        <w:t>доступності, якості та інноваційності медичних послуг. Світовий досвід доводить, що саме ефективне управління приватними медичними підприємствами визначає їхню конкурентоспроможність, стійкість до викликів і здатність оперативно реагувати на потреби пацієнтів. В умовах трансформації української системи охорони здоров’я питання адаптації найкращих міжнародних практик у сфері управління набуває стратегічного значення.</w:t>
      </w:r>
    </w:p>
    <w:p w14:paraId="7946C35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Запровадження світового досвіду управління в сфері приватної медицини в Україні має низку потенційних переваг. Це включає оптимізацію бізнес-процесів, покращення фінансової ефективності, розвиток пацієнтоорієнтованих сервісів, дотримання стандартів якості та безпеки, впровадження сучасних інформаційних технологій. Разом з тим, запозичення готових моделей без урахування локальних особливостей може призвести до конфліктів, неефективності або соціального спротиву. Отже, важливо не лише розуміти, що саме працює у світі, а й як адаптувати ці підходи до українських реалій [</w:t>
      </w:r>
      <w:r w:rsidR="004F3472">
        <w:rPr>
          <w:rFonts w:ascii="Times New Roman" w:hAnsi="Times New Roman" w:cs="Times New Roman"/>
          <w:sz w:val="28"/>
          <w:szCs w:val="28"/>
        </w:rPr>
        <w:t>67</w:t>
      </w:r>
      <w:r>
        <w:rPr>
          <w:rFonts w:ascii="Times New Roman" w:hAnsi="Times New Roman" w:cs="Times New Roman"/>
          <w:sz w:val="28"/>
          <w:szCs w:val="28"/>
        </w:rPr>
        <w:t>].</w:t>
      </w:r>
    </w:p>
    <w:p w14:paraId="2AC175C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сьогодні приватне підприємництво в охороні здоров’я України розвивається динамічно, хоча й нерівномірно. У великих містах уже діють сучасні приватні клініки, медичні центри, лабораторії, стоматологічні кабінети, а також стартапи в галузі eHealth. Проте загалом структура управління в більшості таких підприємств є спрощеною або неструктурованою, що ускладнює масштабування бізнесу, залучення інвестицій, стандартизацію якості. Багато керівників медичних закладів досі поєднують адміністративну роботу з лікарською практикою, що не відповідає західним моделям, де управлінська функція винесена окремо і виконується професійними менеджерами.</w:t>
      </w:r>
    </w:p>
    <w:p w14:paraId="5ACFB5D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того, рівень цифровізації управлінських процесів у приватних медичних закладах України залишається низьким. ERP-системи, автоматизований облік, управління персоналом, контроль витрат, аналітика ефективності — усе це поки що рідкість, а не норма. Слабке місце — </w:t>
      </w:r>
      <w:r>
        <w:rPr>
          <w:rFonts w:ascii="Times New Roman" w:hAnsi="Times New Roman" w:cs="Times New Roman"/>
          <w:sz w:val="28"/>
          <w:szCs w:val="28"/>
        </w:rPr>
        <w:lastRenderedPageBreak/>
        <w:t>корпоративна культура: мало уваги приділяється розвитку персоналу, внутрішній комунікації, побудові команди та оцінці лояльності працівників. Саме тому адаптація світового досвіду може стати поштовхом для глибокої трансформації управлінських підходів у галузі приватної медицини України.</w:t>
      </w:r>
    </w:p>
    <w:p w14:paraId="6D8010E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Управління приватними підприємствами в галузі охорони здоров’я в різних країнах світу має свої особливості, обумовлені історичними, економічними та культурними факторами, проте існують і спільні принципи, які формують успішні моделі. Розглянемо приклади Нідерландів та Ізраїлю, які вважаються лідерами у сфері приватної медицини та управлінських практик</w:t>
      </w:r>
      <w:r w:rsidR="004F3472">
        <w:rPr>
          <w:rFonts w:ascii="Times New Roman" w:hAnsi="Times New Roman" w:cs="Times New Roman"/>
          <w:sz w:val="28"/>
          <w:szCs w:val="28"/>
        </w:rPr>
        <w:t xml:space="preserve"> [</w:t>
      </w:r>
      <w:r w:rsidR="002F14CF">
        <w:rPr>
          <w:rFonts w:ascii="Times New Roman" w:hAnsi="Times New Roman" w:cs="Times New Roman"/>
          <w:sz w:val="28"/>
          <w:szCs w:val="28"/>
        </w:rPr>
        <w:t>20; 30; 31</w:t>
      </w:r>
      <w:r w:rsidR="004F3472">
        <w:rPr>
          <w:rFonts w:ascii="Times New Roman" w:hAnsi="Times New Roman" w:cs="Times New Roman"/>
          <w:sz w:val="28"/>
          <w:szCs w:val="28"/>
        </w:rPr>
        <w:t>]</w:t>
      </w:r>
      <w:r>
        <w:rPr>
          <w:rFonts w:ascii="Times New Roman" w:hAnsi="Times New Roman" w:cs="Times New Roman"/>
          <w:sz w:val="28"/>
          <w:szCs w:val="28"/>
        </w:rPr>
        <w:t>.</w:t>
      </w:r>
    </w:p>
    <w:p w14:paraId="651594A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Нідерланди мають одну з найефективніших систем охорони здоров’я у Європі, де приватний бізнес і державні структури тісно співпрацюють. Управління приватними медичними підприємствами тут базується на принципах прозорості, підзвітності та партнерства. Велика роль відводиться цифровим технологіям, що підтримують процеси прийняття рішень і взаємодії з пацієнтами. Нідерландські клініки активно впроваджують системи оцінки якості послуг на основі результатів лікування (outcome-based management). Також поширені практики гнучкого управління персоналом, що дозволяють швидко адаптуватися до змін у попиті і технологіях.</w:t>
      </w:r>
    </w:p>
    <w:p w14:paraId="07F3EA8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Ізраїль — країна з інноваційним підходом у медицині, де приватні підприємства є рушіями технологічних розробок і впровадження новітніх методів лікування. Управління в ізраїльських приватних клініках відзначається високою орієнтацією на інновації, ефективність і якість. Стратегічне планування поєднується з активним залученням венчурного капіталу, що дозволяє швидко виводити нові продукти на ринок. Управлінські структури мають чіткий поділ обов’язків, а також розвинені системи контролю якості та безпеки пацієнтів.</w:t>
      </w:r>
    </w:p>
    <w:p w14:paraId="337961E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аналіз міжнародного досвіду дозволяє виокремити кілька важливих аспектів, які можуть бути корисними для України: професіоналізація управлінських кадрів із чітким розподілом ролей; </w:t>
      </w:r>
      <w:r>
        <w:rPr>
          <w:rFonts w:ascii="Times New Roman" w:hAnsi="Times New Roman" w:cs="Times New Roman"/>
          <w:sz w:val="28"/>
          <w:szCs w:val="28"/>
        </w:rPr>
        <w:lastRenderedPageBreak/>
        <w:t>впровадження цифрових систем для контролю якості, фінансів та взаємодії з пацієнтами; розвиток корпоративної культури, орієнтованої на інновації та пацієнта; формування прозорих і підзвітних структур управління; а також активна співпраця з державними структурами та залучення інвестицій.</w:t>
      </w:r>
    </w:p>
    <w:p w14:paraId="52AD0C5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Запровадження таких моделей в Україні вимагатиме адаптації до місцевих реалій: особливостей законодавства, ринку праці, інвестиційного клімату та культурних особливостей. Однак ці виклики не є непереборними і можуть стати основою для формування сучасного, ефективного та конкурентоспроможного приватного медичного бізнесу.</w:t>
      </w:r>
    </w:p>
    <w:p w14:paraId="53BE6AD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Успішне управління приватним підприємством у сфері охорони здоров’я значною мірою залежить від ефективної організації корпоративного управління та лідерських практик. Корпоративне управління передбачає систему взаємовідносин між власниками, керівниками і персоналом, яка забезпечує баланс інтересів, контроль за діяльністю та сприяє довгостроковому розвитку компанії. У розвинених країнах цей підхід є стандартом і базується на прозорості, відповідальності, а також чіткому розподілі повноважень і обов’язків</w:t>
      </w:r>
      <w:r w:rsidR="002774BD">
        <w:rPr>
          <w:rFonts w:ascii="Times New Roman" w:hAnsi="Times New Roman" w:cs="Times New Roman"/>
          <w:sz w:val="28"/>
          <w:szCs w:val="28"/>
        </w:rPr>
        <w:t xml:space="preserve"> [</w:t>
      </w:r>
      <w:r w:rsidR="001E59AD">
        <w:rPr>
          <w:rFonts w:ascii="Times New Roman" w:hAnsi="Times New Roman" w:cs="Times New Roman"/>
          <w:sz w:val="28"/>
          <w:szCs w:val="28"/>
        </w:rPr>
        <w:t xml:space="preserve">7; 27; </w:t>
      </w:r>
      <w:r w:rsidR="002774BD">
        <w:rPr>
          <w:rFonts w:ascii="Times New Roman" w:hAnsi="Times New Roman" w:cs="Times New Roman"/>
          <w:sz w:val="28"/>
          <w:szCs w:val="28"/>
        </w:rPr>
        <w:t>50]</w:t>
      </w:r>
      <w:r>
        <w:rPr>
          <w:rFonts w:ascii="Times New Roman" w:hAnsi="Times New Roman" w:cs="Times New Roman"/>
          <w:sz w:val="28"/>
          <w:szCs w:val="28"/>
        </w:rPr>
        <w:t>.</w:t>
      </w:r>
    </w:p>
    <w:p w14:paraId="4B16D8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Ключовим елементом корпоративного управління в приватних медичних підприємствах є наявність ради директорів або наглядової ради, яка формує стратегію розвитку, затверджує бюджет, контролює ризики та відповідає за відповідність діяльності нормативним вимогам. У разі великих медичних холдингів цей орган часто складається з незалежних експертів, що забезпечує неупередженість і професійний підхід до управління. Для середніх і малих підприємств оптимальним є створення консультативних рад або залучення зовнішніх фахівців для аудиту діяльності.</w:t>
      </w:r>
    </w:p>
    <w:p w14:paraId="468F0B9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Лідерство у сфері охорони здоров’я вимагає поєднання професійної компетентності, управлінських навичок і високої етичної відповідальності. Керівник приватного медичного підприємства повинен бути не лише організатором бізнес-процесів, а й мотиватором колективу, ініціатором інновацій, захисником інтересів пацієнтів та персоналу. Світова практика </w:t>
      </w:r>
      <w:r>
        <w:rPr>
          <w:rFonts w:ascii="Times New Roman" w:hAnsi="Times New Roman" w:cs="Times New Roman"/>
          <w:sz w:val="28"/>
          <w:szCs w:val="28"/>
        </w:rPr>
        <w:lastRenderedPageBreak/>
        <w:t>показує, що ефективні лідери в медицині вкладають значні ресурси у розвиток корпоративної культури, формують прозорі системи комунікації, стимулюють професійний розвиток співробітників і створюють атмосферу довіри.</w:t>
      </w:r>
    </w:p>
    <w:p w14:paraId="78BBB99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Стратегічне планування — основа стабільного розвитку приватного медичного підприємства. Воно включає визначення місії, візії, довгострокових цілей, а також аналіз внутрішніх і зовнішніх факторів, які впливають на діяльність. При цьому важливо враховувати швидкі зміни в медичній сфері, технологічні новації, демографічні тренди і конкурентне середовище. Розробка стратегії має бути інтегрованою з фінансовим плануванням, маркетингом і кадровою політикою. У світі широко використовуються методи SWOT-аналізу, сценарного планування, ключових показників ефективності (KPI), що дає змогу оперативно коригувати напрямки розвитку</w:t>
      </w:r>
      <w:r w:rsidR="002774BD">
        <w:rPr>
          <w:rFonts w:ascii="Times New Roman" w:hAnsi="Times New Roman" w:cs="Times New Roman"/>
          <w:sz w:val="28"/>
          <w:szCs w:val="28"/>
        </w:rPr>
        <w:t xml:space="preserve"> </w:t>
      </w:r>
      <w:r w:rsidR="001E59AD">
        <w:rPr>
          <w:rFonts w:ascii="Times New Roman" w:hAnsi="Times New Roman" w:cs="Times New Roman"/>
          <w:sz w:val="28"/>
          <w:szCs w:val="28"/>
        </w:rPr>
        <w:t>[</w:t>
      </w:r>
      <w:r w:rsidR="00521CC6">
        <w:rPr>
          <w:rFonts w:ascii="Times New Roman" w:hAnsi="Times New Roman" w:cs="Times New Roman"/>
          <w:sz w:val="28"/>
          <w:szCs w:val="28"/>
        </w:rPr>
        <w:t>7; 57</w:t>
      </w:r>
      <w:r w:rsidR="001E59AD">
        <w:rPr>
          <w:rFonts w:ascii="Times New Roman" w:hAnsi="Times New Roman" w:cs="Times New Roman"/>
          <w:sz w:val="28"/>
          <w:szCs w:val="28"/>
        </w:rPr>
        <w:t>]</w:t>
      </w:r>
      <w:r>
        <w:rPr>
          <w:rFonts w:ascii="Times New Roman" w:hAnsi="Times New Roman" w:cs="Times New Roman"/>
          <w:sz w:val="28"/>
          <w:szCs w:val="28"/>
        </w:rPr>
        <w:t>.</w:t>
      </w:r>
    </w:p>
    <w:p w14:paraId="54CB3EE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Управління якістю послуг в приватних медичних підприємствах сьогодні є однією із головних конкурентних переваг. Світові стандарти передбачають впровадження систем менеджменту якості за моделями ISO, Joint Commission International (JCI) та іншими акредитуючими організаціями. Це забезпечує не лише дотримання клінічних протоколів і безпеки пацієнтів, а й підвищення задоволеності клієнтів, покращення репутації та зростання лояльності. В Україні поки що далеко не всі приватні заклади мають акредитації або сертифікати якості, що обмежує їхній потенціал на внутрішньому і зовнішньому ринках [</w:t>
      </w:r>
      <w:r w:rsidR="00521CC6">
        <w:rPr>
          <w:rFonts w:ascii="Times New Roman" w:hAnsi="Times New Roman" w:cs="Times New Roman"/>
          <w:sz w:val="28"/>
          <w:szCs w:val="28"/>
        </w:rPr>
        <w:t>9</w:t>
      </w:r>
      <w:r>
        <w:rPr>
          <w:rFonts w:ascii="Times New Roman" w:hAnsi="Times New Roman" w:cs="Times New Roman"/>
          <w:sz w:val="28"/>
          <w:szCs w:val="28"/>
        </w:rPr>
        <w:t>].</w:t>
      </w:r>
    </w:p>
    <w:p w14:paraId="1439F42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Впровадження сучасних підходів до корпоративного управління, лідерства, стратегічного планування і управління якістю вимагає зміцнення кадрового потенціалу. Необхідні спеціальні освітні програми для управлінців медичної сфери, тренінги з управління проектами, фінансової грамотності, стратегічного мислення. Крім того, важливо формувати мережі обміну досвідом між приватними підприємствами, підтримувати ініціативи професійних асоціацій і залучати міжнародних консультантів.</w:t>
      </w:r>
    </w:p>
    <w:p w14:paraId="0E5723E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Для України важливо взяти за основу світові практики корпоративного управління, при цьому адаптувати їх до місцевих умов: регуляторної бази, ринкових механізмів, рівня розвитку інфраструктури і культури підприємництва. Приватні медичні підприємства, які успішно застосовують ці принципи, зможуть не лише підвищити власну ефективність, а й внести вагомий внесок у модернізацію всієї системи охорони здоров’я.</w:t>
      </w:r>
    </w:p>
    <w:p w14:paraId="400A0CB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Сучасне управління приватними підприємствами в галузі охорони здоров’я неможливе без широкого впровадження інформаційних технологій, що дозволяють автоматизувати бізнес-процеси, підвищувати якість прийняття рішень та покращувати взаємодію з пацієнтами. Найбільш поширеними інструментами цифрової трансформації є системи ERP (Enterprise Resource Planning), CRM (Customer Relationship Management), а також передові технології штучного інтелекту (ШI) і аналізу великих даних (Big Data)</w:t>
      </w:r>
      <w:r w:rsidR="00521CC6">
        <w:rPr>
          <w:rFonts w:ascii="Times New Roman" w:hAnsi="Times New Roman" w:cs="Times New Roman"/>
          <w:sz w:val="28"/>
          <w:szCs w:val="28"/>
        </w:rPr>
        <w:t xml:space="preserve"> [5; 24; 26; 60]</w:t>
      </w:r>
      <w:r>
        <w:rPr>
          <w:rFonts w:ascii="Times New Roman" w:hAnsi="Times New Roman" w:cs="Times New Roman"/>
          <w:sz w:val="28"/>
          <w:szCs w:val="28"/>
        </w:rPr>
        <w:t>.</w:t>
      </w:r>
    </w:p>
    <w:p w14:paraId="5C95DB1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ERP-системи в медичному бізнесі виконують функцію інтеграції різних напрямків діяльності, зокрема фінансового обліку, управління запасами, логістики, кадрового менеджменту, а також планування ресурсів. Вони забезпечують єдину платформу для збору, зберігання і обробки інформації, що знижує ризики помилок, дублювання даних і затримок у прийнятті управлінських рішень. В умовах приватної медицини це особливо важливо для контролю за фінансовою стабільністю підприємства, оптимізації витрат на закупівлі медикаментів та обладнання, а також для планування графіків роботи персоналу.</w:t>
      </w:r>
    </w:p>
    <w:p w14:paraId="7C02AD5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CRM-системи, з іншого боку, фокусуються на взаємодії з пацієнтами, управлінні базою клієнтів і маркетингових активностях. Вони дозволяють автоматизувати запис на прийом, нагадування про візити, опитування задоволеності, обробку звернень і рекламацій. В результаті підвищується якість сервісу, лояльність пацієнтів і зростає повторне звернення. CRM допомагає також аналізувати демографічні та поведінкові характеристики клієнтів, що дає можливість персоналізувати пропозиції і впроваджувати </w:t>
      </w:r>
      <w:r>
        <w:rPr>
          <w:rFonts w:ascii="Times New Roman" w:hAnsi="Times New Roman" w:cs="Times New Roman"/>
          <w:sz w:val="28"/>
          <w:szCs w:val="28"/>
        </w:rPr>
        <w:lastRenderedPageBreak/>
        <w:t>програми лояльності.</w:t>
      </w:r>
    </w:p>
    <w:p w14:paraId="0DC0ADF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Штучний інтелект у сфері управління охороною здоров’я відкриває нові горизонти. Застосування ШI дозволяє оптимізувати розподіл ресурсів, прогнозувати попит на послуги, автоматизувати обробку медичної документації та підтримувати прийняття клінічних рішень. Наприклад, системи на базі ШI можуть аналізувати історії хвороби пацієнтів, виявляти ризики ускладнень, допомагати у постановці діагнозів або навіть рекомендувати індивідуальні плани лікування. Для управлінців такі інструменти надають можливість проводити глибокий аналіз ефективності роботи підрозділів і впливу нових технологій.</w:t>
      </w:r>
    </w:p>
    <w:p w14:paraId="33DF6C3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Великі дані (Big Data) у приватній медицині дозволяють збирати, обробляти і аналізувати масиви інформації з різних джерел — електронні медичні картки, результати лабораторних досліджень, статистичні показники, соціальні мережі, пристрої моніторингу стану здоров’я (wearables). Аналіз великих даних сприяє виявленню тенденцій, розробці прогнозів і прийняттю стратегічних рішень на основі об’єктивної інформації. Це дає змогу підвищити якість послуг, знизити витрати і розробити більш ефективні моделі взаємодії з пацієнтами.</w:t>
      </w:r>
    </w:p>
    <w:p w14:paraId="1D46973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незважаючи на поступове впровадження цифрових технологій, рівень автоматизації приватних медичних підприємств поки що є недостатнім. Основними перешкодами залишаються фінансові обмеження, брак кваліфікованих IT-фахівців, низька культура використання даних, а також відсутність єдиних стандартів і нормативної бази для медичних інформаційних систем. Тому для успішного впровадження технологій необхідна комплексна стратегія, яка передбачає інвестиції у модернізацію інфраструктури, навчання персоналу, адаптацію міжнародних стандартів безпеки і сумісності.</w:t>
      </w:r>
    </w:p>
    <w:p w14:paraId="3824567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світовий досвід свідчить, що інтеграція ERP, CRM, AI та Big Data створює синергетичний ефект, що дозволяє приватним медичним підприємствам не лише ефективно управляти, а й пропонувати інноваційні </w:t>
      </w:r>
      <w:r>
        <w:rPr>
          <w:rFonts w:ascii="Times New Roman" w:hAnsi="Times New Roman" w:cs="Times New Roman"/>
          <w:sz w:val="28"/>
          <w:szCs w:val="28"/>
        </w:rPr>
        <w:lastRenderedPageBreak/>
        <w:t>послуги, швидко реагувати на зміни ринку і підвищувати конкурентоспроможність</w:t>
      </w:r>
      <w:r w:rsidR="00521CC6">
        <w:rPr>
          <w:rFonts w:ascii="Times New Roman" w:hAnsi="Times New Roman" w:cs="Times New Roman"/>
          <w:sz w:val="28"/>
          <w:szCs w:val="28"/>
        </w:rPr>
        <w:t xml:space="preserve"> [5; 24; 26; 60]</w:t>
      </w:r>
      <w:r>
        <w:rPr>
          <w:rFonts w:ascii="Times New Roman" w:hAnsi="Times New Roman" w:cs="Times New Roman"/>
          <w:sz w:val="28"/>
          <w:szCs w:val="28"/>
        </w:rPr>
        <w:t>. Українському бізнесу варто орієнтуватися на ці технології, одночасно враховуючи національні особливості, для створення сучасної, прозорої і клієнтоорієнтованої системи управління.</w:t>
      </w:r>
    </w:p>
    <w:p w14:paraId="651647F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сфері приватної охорони здоров’я маркетинг та брендинг відіграють визначальну роль у формуванні конкурентних переваг і залученні пацієнтів. У сучасних умовах ринку медичних послуг пацієнт перестав бути лише отримувачем допомоги — він стає активним споживачем із високими очікуваннями щодо якості, сервісу і комунікації. Тому успішні приватні медичні підприємства вкладають значні ресурси у створення впізнаваного бренду, формування довіри і побудову тривалих взаємин із клієнтами</w:t>
      </w:r>
      <w:r w:rsidR="00521CC6">
        <w:rPr>
          <w:rFonts w:ascii="Times New Roman" w:hAnsi="Times New Roman" w:cs="Times New Roman"/>
          <w:sz w:val="28"/>
          <w:szCs w:val="28"/>
        </w:rPr>
        <w:t xml:space="preserve"> [24]</w:t>
      </w:r>
      <w:r>
        <w:rPr>
          <w:rFonts w:ascii="Times New Roman" w:hAnsi="Times New Roman" w:cs="Times New Roman"/>
          <w:sz w:val="28"/>
          <w:szCs w:val="28"/>
        </w:rPr>
        <w:t>.</w:t>
      </w:r>
    </w:p>
    <w:p w14:paraId="22D3605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Світова практика демонструє, що ключовими елементами маркетингу в медицині є сегментація ринку, персоналізація пропозицій, використання цифрових каналів комунікації та постійний моніторинг задоволеності пацієнтів. Сегментація дозволяє краще розуміти потреби різних груп споживачів — за віком, станом здоров’я, соціальним статусом — і розробляти спеціалізовані послуги. Персоналізація допомагає адаптувати пропозиції під індивідуальні запити, що значно підвищує рівень лояльності.</w:t>
      </w:r>
    </w:p>
    <w:p w14:paraId="2223B76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інтернет-маркетингу, соціальних мереж, мобільних застосунків і чат-ботів сьогодні є стандартом для ефективної взаємодії з пацієнтами. Ці інструменти дозволяють не лише інформувати про послуги і акції, а й надавати консультації, організовувати запис на прийом, збирати зворотній зв’язок та проводити освітні кампанії. Наприклад, впровадження систем онлайн-консультацій значно розширює географію обслуговування та підвищує комфорт клієнтів [</w:t>
      </w:r>
      <w:r w:rsidR="00521CC6">
        <w:rPr>
          <w:rFonts w:ascii="Times New Roman" w:hAnsi="Times New Roman" w:cs="Times New Roman"/>
          <w:sz w:val="28"/>
          <w:szCs w:val="28"/>
        </w:rPr>
        <w:t>65</w:t>
      </w:r>
      <w:r>
        <w:rPr>
          <w:rFonts w:ascii="Times New Roman" w:hAnsi="Times New Roman" w:cs="Times New Roman"/>
          <w:sz w:val="28"/>
          <w:szCs w:val="28"/>
        </w:rPr>
        <w:t>].</w:t>
      </w:r>
    </w:p>
    <w:p w14:paraId="4F3EF2E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Брендинг у приватній медицині — це не лише логотип чи стиль, а передусім комплекс унікальних цінностей, які відчуває пацієнт. Це гарантія якості, професіоналізму персоналу, інноваційних методів лікування та уважного ставлення. Відомі світові бренди медичних послуг будуються на </w:t>
      </w:r>
      <w:r>
        <w:rPr>
          <w:rFonts w:ascii="Times New Roman" w:hAnsi="Times New Roman" w:cs="Times New Roman"/>
          <w:sz w:val="28"/>
          <w:szCs w:val="28"/>
        </w:rPr>
        <w:lastRenderedPageBreak/>
        <w:t>сильній репутації, яка підтримується через постійне вдосконалення сервісу, прозорість і відкритість комунікацій. Задля цього застосовуються різноманітні PR-активності, партнерства з лідерами думок, участь у соціальних проектах</w:t>
      </w:r>
      <w:r w:rsidR="00521CC6">
        <w:rPr>
          <w:rFonts w:ascii="Times New Roman" w:hAnsi="Times New Roman" w:cs="Times New Roman"/>
          <w:sz w:val="28"/>
          <w:szCs w:val="28"/>
        </w:rPr>
        <w:t xml:space="preserve"> [24]</w:t>
      </w:r>
      <w:r>
        <w:rPr>
          <w:rFonts w:ascii="Times New Roman" w:hAnsi="Times New Roman" w:cs="Times New Roman"/>
          <w:sz w:val="28"/>
          <w:szCs w:val="28"/>
        </w:rPr>
        <w:t>.</w:t>
      </w:r>
    </w:p>
    <w:p w14:paraId="3CF992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приватний медичний маркетинг тільки набирає обертів. Багато підприємств обмежуються базовими інструментами — сайтом, оголошеннями та прямою рекламою. Проте ринок стрімко змінюється: пацієнти все частіше шукають інформацію онлайн, читають відгуки, порівнюють ціни і якість послуг. Тому інвестиції у професійний маркетинг і формування сильного бренду є необхідністю для тих, хто прагне лідирувати. Важливо також враховувати особливості регіональних ринків, менталітет клієнтів і рівень конкуренції [</w:t>
      </w:r>
      <w:r w:rsidR="00521CC6">
        <w:rPr>
          <w:rFonts w:ascii="Times New Roman" w:hAnsi="Times New Roman" w:cs="Times New Roman"/>
          <w:sz w:val="28"/>
          <w:szCs w:val="28"/>
        </w:rPr>
        <w:t>4</w:t>
      </w:r>
      <w:r>
        <w:rPr>
          <w:rFonts w:ascii="Times New Roman" w:hAnsi="Times New Roman" w:cs="Times New Roman"/>
          <w:sz w:val="28"/>
          <w:szCs w:val="28"/>
        </w:rPr>
        <w:t>].</w:t>
      </w:r>
    </w:p>
    <w:p w14:paraId="4D88AC2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Взаємодія з пацієнтами у приватній медицині базується на принципах клієнтоорієнтованості — уважного ставлення, швидкої реакції на запити, прозорості інформації та забезпечення комфортних умов. Світовий досвід підкреслює важливість зворотного зв’язку через опитування, фокус-групи та соціальні мережі, що дозволяє вчасно виявляти проблеми і коригувати діяльність. В Україні такі практики тільки починають впроваджуватися, але їхня популярність зростає разом із підвищенням конкуренції.</w:t>
      </w:r>
    </w:p>
    <w:p w14:paraId="0F424A5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підсумку, впровадження сучасних маркетингових стратегій і брендингу в приватних медичних підприємствах України сприятиме підвищенню їхньої впізнаваності, залученню нових клієнтів і формуванню довготривалих довірчих відносин. Це не лише підвищить прибутковість бізнесу, а й покращить загальну якість медичних послуг у країні.</w:t>
      </w:r>
    </w:p>
    <w:p w14:paraId="7D2B899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Запровадження світового досвіду управління приватним підприємством у галузі охорони здоров’я в Україні є важливим кроком на шляху до модернізації системи охорони здоров’я і підвищення якості медичних послуг. Однак адаптація іноземних моделей і практик потребує врахування особливостей українського контексту, що включає соціально-економічні умови, законодавчу базу, рівень розвитку інфраструктури, культурні традиції </w:t>
      </w:r>
      <w:r>
        <w:rPr>
          <w:rFonts w:ascii="Times New Roman" w:hAnsi="Times New Roman" w:cs="Times New Roman"/>
          <w:sz w:val="28"/>
          <w:szCs w:val="28"/>
        </w:rPr>
        <w:lastRenderedPageBreak/>
        <w:t>та ринкові реалії.</w:t>
      </w:r>
    </w:p>
    <w:p w14:paraId="0A4AE58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 за все, необхідно розуміти, що пряме копіювання закордонних моделей часто не дає бажаного ефекту. Українська система охорони здоров’я має свої унікальні проблеми, серед яких низьке фінансування, недостатня матеріально-технічна база, дефіцит кваліфікованих кадрів і складна бюрократична система. Тому будь-яка імплементація іноземних практик має супроводжуватися їх адаптацією, що передбачає зміну або доопрацювання елементів під місцеві реалії.</w:t>
      </w:r>
    </w:p>
    <w:p w14:paraId="7653A32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ключових викликів є законодавча невизначеність. Часто нормативні акти не відповідають сучасним потребам приватного сектору, містять суперечності або є надмірно складними. Для ефективного управління необхідне створення прозорих правил гри, які б стимулювали інвестиції, захищали права власників і пацієнтів, а також сприяли розвитку конкуренції та інновацій [</w:t>
      </w:r>
      <w:r w:rsidR="00521CC6">
        <w:rPr>
          <w:rFonts w:ascii="Times New Roman" w:hAnsi="Times New Roman" w:cs="Times New Roman"/>
          <w:sz w:val="28"/>
          <w:szCs w:val="28"/>
        </w:rPr>
        <w:t>9; 11</w:t>
      </w:r>
      <w:r>
        <w:rPr>
          <w:rFonts w:ascii="Times New Roman" w:hAnsi="Times New Roman" w:cs="Times New Roman"/>
          <w:sz w:val="28"/>
          <w:szCs w:val="28"/>
        </w:rPr>
        <w:t>].</w:t>
      </w:r>
    </w:p>
    <w:p w14:paraId="01A659A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Культурні особливості також відіграють важливу роль. В Україні ще поширена недовіра до приватних медичних установ, що пов’язано з історією системи охорони здоров’я та недостатньою інформованістю населення. Тому важливо не лише покращувати якість послуг, а й вести активну інформаційну роботу, формувати позитивний імідж і залучати пацієнтів до партнерських відносин.</w:t>
      </w:r>
    </w:p>
    <w:p w14:paraId="65CADAF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один виклик — кадровий потенціал. Українські приватні медичні підприємства часто стикаються з нестачею кваліфікованих менеджерів і фахівців з новітніх технологій управління. Для успішної адаптації світового досвіду потрібні цільові програми підготовки та перепідготовки кадрів, міжнародні стажування, а також підтримка професійних спільнот і асоціацій.</w:t>
      </w:r>
    </w:p>
    <w:p w14:paraId="323E705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Фінансові обмеження є суттєвою перепоною для широкого впровадження інноваційних управлінських практик і технологій. Багато приватних підприємств мають обмежені ресурси для інвестицій у цифрові платформи, навчання персоналу чи маркетингові кампанії. Тому важливо розробляти поетапні стратегії модернізації, залучати зовнішні інвестиції, а </w:t>
      </w:r>
      <w:r>
        <w:rPr>
          <w:rFonts w:ascii="Times New Roman" w:hAnsi="Times New Roman" w:cs="Times New Roman"/>
          <w:sz w:val="28"/>
          <w:szCs w:val="28"/>
        </w:rPr>
        <w:lastRenderedPageBreak/>
        <w:t>також використовувати державні та міжнародні програми підтримки [26].</w:t>
      </w:r>
    </w:p>
    <w:p w14:paraId="2068E3F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незважаючи на ці виклики, існують і значні можливості. Зростаючий попит населення на якісні медичні послуги, активізація інвестиційного клімату, розвиток інформаційних технологій і глобальна інтеграція відкривають нові перспективи для приватного сектору. Крім того, успішні кейси впровадження світових практик в окремих регіонах України свідчать про можливість позитивних змін за умови системного підходу [19].</w:t>
      </w:r>
    </w:p>
    <w:p w14:paraId="72FF630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адаптація світового досвіду в управлінні приватними медичними підприємствами в Україні — це складний, але необхідний процес, що потребує системної роботи на рівні держави, бізнесу і суспільства. Впровадження передових управлінських моделей дозволить не лише підвищити ефективність приватних підприємств, а й сприятиме загальному розвитку національної системи охорони здоров’я, підвищенню якості життя і здоров’я громадян.</w:t>
      </w:r>
    </w:p>
    <w:p w14:paraId="4A8823D8" w14:textId="77777777" w:rsidR="006B79F7" w:rsidRDefault="006B79F7">
      <w:pPr>
        <w:widowControl w:val="0"/>
        <w:spacing w:after="0" w:line="360" w:lineRule="auto"/>
        <w:ind w:firstLine="709"/>
        <w:jc w:val="both"/>
        <w:rPr>
          <w:rFonts w:ascii="Times New Roman" w:hAnsi="Times New Roman" w:cs="Times New Roman"/>
          <w:sz w:val="28"/>
          <w:szCs w:val="28"/>
          <w:highlight w:val="yellow"/>
        </w:rPr>
      </w:pPr>
    </w:p>
    <w:p w14:paraId="63D3F6CC"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 до розділу 2</w:t>
      </w:r>
    </w:p>
    <w:p w14:paraId="55AFEE7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Розділ присвячений комплексному аналізу механізмів управління діяльністю медичних установ у сучасних умовах, зокрема в період воєнного стану, а також вивченню можливостей адаптації світового досвіду управління приватними медичними підприємствами в Україні. Проведене дослідження дозволило системно охарактеризувати трансформації нормативно-правового поля, зміни у механізмах державного управління, особливості функціонування приватних медичних структур, розвиток механізмів державно-приватного партнерства та перспективи впровадження інноваційних управлінських моделей у сфері охорони здоров’я.</w:t>
      </w:r>
    </w:p>
    <w:p w14:paraId="595B21F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воєнний період система охорони здоров’я України зазнала масштабних структурних, організаційних і управлінських змін. Аналіз документів, нормативних актів та управлінських рішень (Наказ МОЗ № 374, зміни до Програми медичних гарантій, регламенти роботи кластерних та надкластерних закладів) свідчить про те, що: </w:t>
      </w:r>
      <w:r>
        <w:rPr>
          <w:rStyle w:val="a5"/>
          <w:rFonts w:ascii="Times New Roman" w:hAnsi="Times New Roman" w:cs="Times New Roman"/>
          <w:b w:val="0"/>
          <w:sz w:val="28"/>
          <w:szCs w:val="28"/>
        </w:rPr>
        <w:t xml:space="preserve">законодавча парадигма </w:t>
      </w:r>
      <w:r>
        <w:rPr>
          <w:rStyle w:val="a5"/>
          <w:rFonts w:ascii="Times New Roman" w:hAnsi="Times New Roman" w:cs="Times New Roman"/>
          <w:b w:val="0"/>
          <w:sz w:val="28"/>
          <w:szCs w:val="28"/>
        </w:rPr>
        <w:lastRenderedPageBreak/>
        <w:t>управління змінилася в бік оперативності, гнучкості та мобільності</w:t>
      </w:r>
      <w:r>
        <w:rPr>
          <w:rFonts w:ascii="Times New Roman" w:hAnsi="Times New Roman" w:cs="Times New Roman"/>
          <w:sz w:val="28"/>
          <w:szCs w:val="28"/>
        </w:rPr>
        <w:t xml:space="preserve">, що спрямовано на підтримку безперервності надання медичної допомоги за надзвичайних умов; </w:t>
      </w:r>
      <w:r>
        <w:rPr>
          <w:rStyle w:val="a5"/>
          <w:rFonts w:ascii="Times New Roman" w:hAnsi="Times New Roman" w:cs="Times New Roman"/>
          <w:b w:val="0"/>
          <w:sz w:val="28"/>
          <w:szCs w:val="28"/>
        </w:rPr>
        <w:t>відбулося переформатування ролі окремих суб’єктів</w:t>
      </w:r>
      <w:r>
        <w:rPr>
          <w:rFonts w:ascii="Times New Roman" w:hAnsi="Times New Roman" w:cs="Times New Roman"/>
          <w:sz w:val="28"/>
          <w:szCs w:val="28"/>
        </w:rPr>
        <w:t xml:space="preserve">, зокрема МОЗ, НСЗУ та органів місцевого самоврядування, які стали координаторами фінансових, логістичних і персональних потоків у системі охорони здоров’я; реалізовано </w:t>
      </w:r>
      <w:r>
        <w:rPr>
          <w:rStyle w:val="a5"/>
          <w:rFonts w:ascii="Times New Roman" w:hAnsi="Times New Roman" w:cs="Times New Roman"/>
          <w:b w:val="0"/>
          <w:sz w:val="28"/>
          <w:szCs w:val="28"/>
        </w:rPr>
        <w:t>механізм стабілізаційного фінансування</w:t>
      </w:r>
      <w:r>
        <w:rPr>
          <w:rFonts w:ascii="Times New Roman" w:hAnsi="Times New Roman" w:cs="Times New Roman"/>
          <w:sz w:val="28"/>
          <w:szCs w:val="28"/>
        </w:rPr>
        <w:t xml:space="preserve"> закладів охорони здоров’я (фіксовані виплати, збереження контрактів НСЗУ, додаткове фінансування екстреної медичної допомоги); суттєво розширено </w:t>
      </w:r>
      <w:r>
        <w:rPr>
          <w:rStyle w:val="a5"/>
          <w:rFonts w:ascii="Times New Roman" w:hAnsi="Times New Roman" w:cs="Times New Roman"/>
          <w:b w:val="0"/>
          <w:sz w:val="28"/>
          <w:szCs w:val="28"/>
        </w:rPr>
        <w:t>можливості залучення іноземних лікарів</w:t>
      </w:r>
      <w:r>
        <w:rPr>
          <w:rFonts w:ascii="Times New Roman" w:hAnsi="Times New Roman" w:cs="Times New Roman"/>
          <w:sz w:val="28"/>
          <w:szCs w:val="28"/>
        </w:rPr>
        <w:t xml:space="preserve"> та міжнародної медичної допомоги, що є важливим у контексті кадрового дефіциту та необхідності спеціалізованого лікування постраждалих; оновлені підходи до логістики, телемедицини та медико-соціальної експертизи засвідчили перехід системи до </w:t>
      </w:r>
      <w:r>
        <w:rPr>
          <w:rStyle w:val="a5"/>
          <w:rFonts w:ascii="Times New Roman" w:hAnsi="Times New Roman" w:cs="Times New Roman"/>
          <w:b w:val="0"/>
          <w:sz w:val="28"/>
          <w:szCs w:val="28"/>
        </w:rPr>
        <w:t>нової моделі адаптивного медичного управління</w:t>
      </w:r>
      <w:r>
        <w:rPr>
          <w:rFonts w:ascii="Times New Roman" w:hAnsi="Times New Roman" w:cs="Times New Roman"/>
          <w:sz w:val="28"/>
          <w:szCs w:val="28"/>
        </w:rPr>
        <w:t>.</w:t>
      </w:r>
    </w:p>
    <w:p w14:paraId="1832F4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воєнний стан став каталізатором для глибокого переосмислення та модернізації управлінських механізмів у галузі охорони здоров’я, підвищивши їхню гнучкість та ефективність.</w:t>
      </w:r>
    </w:p>
    <w:p w14:paraId="75D7981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розділі охарактеризовано ключові механізми управління (державний, економічний, організаційний, інформаційний, технічний, структурний, адміністративний) та визначено їхню вагу до початку війни й під час воєнних дій. Порівняльний аналіз свідчить про такі тенденції:</w:t>
      </w:r>
    </w:p>
    <w:p w14:paraId="6AF2A7C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Підвищення ролі державного та інформаційного механізмів</w:t>
      </w:r>
      <w:r>
        <w:rPr>
          <w:rFonts w:ascii="Times New Roman" w:hAnsi="Times New Roman" w:cs="Times New Roman"/>
          <w:sz w:val="28"/>
          <w:szCs w:val="28"/>
        </w:rPr>
        <w:t xml:space="preserve"> (до 25 %) у зв’язку з необхідністю централізованого реагування, кризового менеджменту та оперативного поширення актуальної інформації.</w:t>
      </w:r>
    </w:p>
    <w:p w14:paraId="7A1BA68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Зростання значущості технічного механізму</w:t>
      </w:r>
      <w:r>
        <w:rPr>
          <w:rFonts w:ascii="Times New Roman" w:hAnsi="Times New Roman" w:cs="Times New Roman"/>
          <w:sz w:val="28"/>
          <w:szCs w:val="28"/>
        </w:rPr>
        <w:t>, що пояснюється цифровізацією, використанням телемедицини, електронних систем, інтерактивних форм моніторингу.</w:t>
      </w:r>
    </w:p>
    <w:p w14:paraId="11D17C0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Меншою стала роль структурного та адміністративного механізмів</w:t>
      </w:r>
      <w:r>
        <w:rPr>
          <w:rFonts w:ascii="Times New Roman" w:hAnsi="Times New Roman" w:cs="Times New Roman"/>
          <w:sz w:val="28"/>
          <w:szCs w:val="28"/>
        </w:rPr>
        <w:t>, що свідчить про зниження ефективності жорстких бюрократичних моделей управління в умовах нестабільності.</w:t>
      </w:r>
    </w:p>
    <w:p w14:paraId="2C8F649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медичні заклади поступово переходять від вертикально-</w:t>
      </w:r>
      <w:r>
        <w:rPr>
          <w:rFonts w:ascii="Times New Roman" w:hAnsi="Times New Roman" w:cs="Times New Roman"/>
          <w:sz w:val="28"/>
          <w:szCs w:val="28"/>
        </w:rPr>
        <w:lastRenderedPageBreak/>
        <w:t xml:space="preserve">адміністративної моделі до </w:t>
      </w:r>
      <w:r>
        <w:rPr>
          <w:rStyle w:val="a5"/>
          <w:rFonts w:ascii="Times New Roman" w:hAnsi="Times New Roman" w:cs="Times New Roman"/>
          <w:b w:val="0"/>
          <w:sz w:val="28"/>
          <w:szCs w:val="28"/>
        </w:rPr>
        <w:t>гнучкої, децентралізованої, кризової моделі управління</w:t>
      </w:r>
      <w:r>
        <w:rPr>
          <w:rFonts w:ascii="Times New Roman" w:hAnsi="Times New Roman" w:cs="Times New Roman"/>
          <w:sz w:val="28"/>
          <w:szCs w:val="28"/>
        </w:rPr>
        <w:t>, заснованої на інформаційній підтримці, цифрових рішеннях та партнерській взаємодії.</w:t>
      </w:r>
    </w:p>
    <w:p w14:paraId="1413DFF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Приватна медицина продемонструвала високу адаптивність до змін та здатність швидко реагувати на виклики. Аналіз дозволив виокремити такі ключові характеристики функціонування приватних медичних підприємств:</w:t>
      </w:r>
    </w:p>
    <w:p w14:paraId="59839CA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стратегічне управління</w:t>
      </w:r>
      <w:r>
        <w:rPr>
          <w:rFonts w:ascii="Times New Roman" w:hAnsi="Times New Roman" w:cs="Times New Roman"/>
          <w:sz w:val="28"/>
          <w:szCs w:val="28"/>
        </w:rPr>
        <w:t xml:space="preserve"> стає базисом розвитку приватних клінік, що включає місію, бачення, аналіз ринку та конкурентні стратегії;</w:t>
      </w:r>
    </w:p>
    <w:p w14:paraId="291EC7E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управлінські процеси поступово набувають ознак </w:t>
      </w:r>
      <w:r>
        <w:rPr>
          <w:rStyle w:val="a5"/>
          <w:rFonts w:ascii="Times New Roman" w:hAnsi="Times New Roman" w:cs="Times New Roman"/>
          <w:b w:val="0"/>
          <w:sz w:val="28"/>
          <w:szCs w:val="28"/>
        </w:rPr>
        <w:t>професіоналізації</w:t>
      </w:r>
      <w:r>
        <w:rPr>
          <w:rFonts w:ascii="Times New Roman" w:hAnsi="Times New Roman" w:cs="Times New Roman"/>
          <w:sz w:val="28"/>
          <w:szCs w:val="28"/>
        </w:rPr>
        <w:t xml:space="preserve"> — адміністрування більше не є додатком до роботи лікаря, а виконується менеджерами з відповідною підготовкою;</w:t>
      </w:r>
    </w:p>
    <w:p w14:paraId="1CE6E89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функціонування підприємств залежить від </w:t>
      </w:r>
      <w:r>
        <w:rPr>
          <w:rStyle w:val="a5"/>
          <w:rFonts w:ascii="Times New Roman" w:hAnsi="Times New Roman" w:cs="Times New Roman"/>
          <w:b w:val="0"/>
          <w:sz w:val="28"/>
          <w:szCs w:val="28"/>
        </w:rPr>
        <w:t>економічних механізмів</w:t>
      </w:r>
      <w:r>
        <w:rPr>
          <w:rFonts w:ascii="Times New Roman" w:hAnsi="Times New Roman" w:cs="Times New Roman"/>
          <w:sz w:val="28"/>
          <w:szCs w:val="28"/>
        </w:rPr>
        <w:t>, зокрема управління витратами, ціноутворення, залучення інвестицій та фінансового планування;</w:t>
      </w:r>
    </w:p>
    <w:p w14:paraId="6174D6B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застосування </w:t>
      </w:r>
      <w:r>
        <w:rPr>
          <w:rStyle w:val="a5"/>
          <w:rFonts w:ascii="Times New Roman" w:hAnsi="Times New Roman" w:cs="Times New Roman"/>
          <w:b w:val="0"/>
          <w:sz w:val="28"/>
          <w:szCs w:val="28"/>
        </w:rPr>
        <w:t>інформаційно-аналітичних механізмів</w:t>
      </w:r>
      <w:r>
        <w:rPr>
          <w:rFonts w:ascii="Times New Roman" w:hAnsi="Times New Roman" w:cs="Times New Roman"/>
          <w:sz w:val="28"/>
          <w:szCs w:val="28"/>
        </w:rPr>
        <w:t xml:space="preserve"> стає базовою умовою для підвищення ефективності та якості послуг;</w:t>
      </w:r>
    </w:p>
    <w:p w14:paraId="5A5F2F9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приватний сектор виявляє </w:t>
      </w:r>
      <w:r>
        <w:rPr>
          <w:rStyle w:val="a5"/>
          <w:rFonts w:ascii="Times New Roman" w:hAnsi="Times New Roman" w:cs="Times New Roman"/>
          <w:b w:val="0"/>
          <w:sz w:val="28"/>
          <w:szCs w:val="28"/>
        </w:rPr>
        <w:t>високий потенціал до інновацій</w:t>
      </w:r>
      <w:r>
        <w:rPr>
          <w:rFonts w:ascii="Times New Roman" w:hAnsi="Times New Roman" w:cs="Times New Roman"/>
          <w:sz w:val="28"/>
          <w:szCs w:val="28"/>
        </w:rPr>
        <w:t>, що стосується як цифровізації, так і впровадження сучасного медичного обладнання та технологій.</w:t>
      </w:r>
    </w:p>
    <w:p w14:paraId="10B14AF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управління приватними медичними установами дедалі більше наближається до сучасних міжнародних бізнес-практик.</w:t>
      </w:r>
    </w:p>
    <w:p w14:paraId="7C948A9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ДПП розглядається як один із найважливіших механізмів реформування української медицини. Аналіз моделей, запропонованих ВООЗ та МФК, дозволив сформулювати такі висновки:</w:t>
      </w:r>
    </w:p>
    <w:p w14:paraId="6994AB0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ДПП відкриває шлях до модернізації інфраструктури, залучення інвестицій, підвищення ефективності клінічного та адміністративного менеджменту.</w:t>
      </w:r>
    </w:p>
    <w:p w14:paraId="0772EB9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П’ять базових моделей партнерства (послуги з управління обладнанням, договори управління, спеціалізовані клінічні послуги, інфраструктурні моделі, інтегровані моделі) дозволяють адаптувати формат </w:t>
      </w:r>
      <w:r>
        <w:rPr>
          <w:rFonts w:ascii="Times New Roman" w:hAnsi="Times New Roman" w:cs="Times New Roman"/>
          <w:sz w:val="28"/>
          <w:szCs w:val="28"/>
        </w:rPr>
        <w:lastRenderedPageBreak/>
        <w:t>співпраці до потреб конкретного регіону й медичної установи.</w:t>
      </w:r>
    </w:p>
    <w:p w14:paraId="5EC3C4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 Україні вже реалізовано значну кількість міжнародних партнерств, що свідчить про позитивну динаміку співпраці приватного сектору та держави.</w:t>
      </w:r>
    </w:p>
    <w:p w14:paraId="1768D0F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Водночас наявні </w:t>
      </w:r>
      <w:r>
        <w:rPr>
          <w:rStyle w:val="a5"/>
          <w:rFonts w:ascii="Times New Roman" w:hAnsi="Times New Roman" w:cs="Times New Roman"/>
          <w:b w:val="0"/>
          <w:sz w:val="28"/>
          <w:szCs w:val="28"/>
        </w:rPr>
        <w:t>ризики та бар’єри</w:t>
      </w:r>
      <w:r>
        <w:rPr>
          <w:rFonts w:ascii="Times New Roman" w:hAnsi="Times New Roman" w:cs="Times New Roman"/>
          <w:sz w:val="28"/>
          <w:szCs w:val="28"/>
        </w:rPr>
        <w:t xml:space="preserve"> (недосконалість фіскального законодавства, управлінські ризики, відсутність гарантій для інвесторів, соціальні диспропорції у доступі до медичних послуг).</w:t>
      </w:r>
    </w:p>
    <w:p w14:paraId="2B24556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ДПП в українській медицині має великий потенціал, проте вимагає системної підтримки держави, удосконалення нормативної бази та впровадження прозорих механізмів контролю.</w:t>
      </w:r>
    </w:p>
    <w:p w14:paraId="2BED8F4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досвіду Нідерландів, Ізраїлю та інших країн дозволив сформувати перелік найбільш релевантних для України управлінських практик: </w:t>
      </w:r>
      <w:r>
        <w:rPr>
          <w:rStyle w:val="a5"/>
          <w:rFonts w:ascii="Times New Roman" w:hAnsi="Times New Roman" w:cs="Times New Roman"/>
          <w:b w:val="0"/>
          <w:sz w:val="28"/>
          <w:szCs w:val="28"/>
        </w:rPr>
        <w:t>професіоналізоване корпоративне управління</w:t>
      </w:r>
      <w:r>
        <w:rPr>
          <w:rFonts w:ascii="Times New Roman" w:hAnsi="Times New Roman" w:cs="Times New Roman"/>
          <w:sz w:val="28"/>
          <w:szCs w:val="28"/>
        </w:rPr>
        <w:t xml:space="preserve">, розмежування управлінських та клінічних функцій; системи </w:t>
      </w:r>
      <w:r>
        <w:rPr>
          <w:rStyle w:val="a5"/>
          <w:rFonts w:ascii="Times New Roman" w:hAnsi="Times New Roman" w:cs="Times New Roman"/>
          <w:b w:val="0"/>
          <w:sz w:val="28"/>
          <w:szCs w:val="28"/>
        </w:rPr>
        <w:t>управління якістю</w:t>
      </w:r>
      <w:r>
        <w:rPr>
          <w:rFonts w:ascii="Times New Roman" w:hAnsi="Times New Roman" w:cs="Times New Roman"/>
          <w:sz w:val="28"/>
          <w:szCs w:val="28"/>
        </w:rPr>
        <w:t xml:space="preserve"> (ISO, JCI), стандартизація процесів; розвиток </w:t>
      </w:r>
      <w:r>
        <w:rPr>
          <w:rStyle w:val="a5"/>
          <w:rFonts w:ascii="Times New Roman" w:hAnsi="Times New Roman" w:cs="Times New Roman"/>
          <w:b w:val="0"/>
          <w:sz w:val="28"/>
          <w:szCs w:val="28"/>
        </w:rPr>
        <w:t>корпоративної культури</w:t>
      </w:r>
      <w:r>
        <w:rPr>
          <w:rFonts w:ascii="Times New Roman" w:hAnsi="Times New Roman" w:cs="Times New Roman"/>
          <w:sz w:val="28"/>
          <w:szCs w:val="28"/>
        </w:rPr>
        <w:t xml:space="preserve">, орієнтованої на інновації та командну взаємодію; впровадження </w:t>
      </w:r>
      <w:r>
        <w:rPr>
          <w:rStyle w:val="a5"/>
          <w:rFonts w:ascii="Times New Roman" w:hAnsi="Times New Roman" w:cs="Times New Roman"/>
          <w:b w:val="0"/>
          <w:sz w:val="28"/>
          <w:szCs w:val="28"/>
        </w:rPr>
        <w:t>ERP-, CRM-, AI-, Big Data-технологій</w:t>
      </w:r>
      <w:r>
        <w:rPr>
          <w:rFonts w:ascii="Times New Roman" w:hAnsi="Times New Roman" w:cs="Times New Roman"/>
          <w:sz w:val="28"/>
          <w:szCs w:val="28"/>
        </w:rPr>
        <w:t>, що дозволяє підвищувати ефективність, прозорість та клієнтоорієнтованість бізнесу; активний розвиток маркетингу та брендингу для формування довіри і лояльності пацієнтів.</w:t>
      </w:r>
    </w:p>
    <w:p w14:paraId="539DC95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цьому тлі було визначено й ключові умови, необхідні для успішної адаптації світових практик в Україні: оновлення законодавства, зміцнення кадрового потенціалу, розвиток цифрової інфраструктури, формування культури довіри до приватної медицини та забезпечення фінансової стійкості підприємств.</w:t>
      </w:r>
    </w:p>
    <w:p w14:paraId="674109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Синтезуючи проведене дослідження, можна зробити такі узагальнення:</w:t>
      </w:r>
    </w:p>
    <w:p w14:paraId="450EF03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Система управління охороною здоров’я України переходить у фазу глибокої трансформації</w:t>
      </w:r>
      <w:r>
        <w:rPr>
          <w:rFonts w:ascii="Times New Roman" w:hAnsi="Times New Roman" w:cs="Times New Roman"/>
          <w:sz w:val="28"/>
          <w:szCs w:val="28"/>
        </w:rPr>
        <w:t>, де ключову роль відіграють адаптивність, цифровізація та партнерська взаємодія.</w:t>
      </w:r>
    </w:p>
    <w:p w14:paraId="692269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Приватні медичні підприємства стають важливою складовою розвитку медичного ринку</w:t>
      </w:r>
      <w:r>
        <w:rPr>
          <w:rFonts w:ascii="Times New Roman" w:hAnsi="Times New Roman" w:cs="Times New Roman"/>
          <w:sz w:val="28"/>
          <w:szCs w:val="28"/>
        </w:rPr>
        <w:t xml:space="preserve">, оскільки демонструють гнучкість, здатність до </w:t>
      </w:r>
      <w:r>
        <w:rPr>
          <w:rFonts w:ascii="Times New Roman" w:hAnsi="Times New Roman" w:cs="Times New Roman"/>
          <w:sz w:val="28"/>
          <w:szCs w:val="28"/>
        </w:rPr>
        <w:lastRenderedPageBreak/>
        <w:t>впровадження інновацій і високий рівень клієнтоорієнтованості.</w:t>
      </w:r>
    </w:p>
    <w:p w14:paraId="6848D9F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Державно-приватне партнерство є стратегічним інструментом модернізації системи охорони здоров’я</w:t>
      </w:r>
      <w:r>
        <w:rPr>
          <w:rFonts w:ascii="Times New Roman" w:hAnsi="Times New Roman" w:cs="Times New Roman"/>
          <w:sz w:val="28"/>
          <w:szCs w:val="28"/>
        </w:rPr>
        <w:t>, здатним забезпечити оновлення інфраструктури, впровадження сучасних технологій і покращення якості послуг.</w:t>
      </w:r>
    </w:p>
    <w:p w14:paraId="4DDF98E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Міжнародний досвід доводить</w:t>
      </w:r>
      <w:r>
        <w:rPr>
          <w:rFonts w:ascii="Times New Roman" w:hAnsi="Times New Roman" w:cs="Times New Roman"/>
          <w:sz w:val="28"/>
          <w:szCs w:val="28"/>
        </w:rPr>
        <w:t>, що ефективне управління медичними підприємствами ґрунтується на професійному менеджменті, стандартах якості, цифровій трансформації та розвитку людського капіталу.</w:t>
      </w:r>
    </w:p>
    <w:p w14:paraId="15F98F2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Для України актуальною є </w:t>
      </w:r>
      <w:r>
        <w:rPr>
          <w:rStyle w:val="a5"/>
          <w:rFonts w:ascii="Times New Roman" w:hAnsi="Times New Roman" w:cs="Times New Roman"/>
          <w:b w:val="0"/>
          <w:sz w:val="28"/>
          <w:szCs w:val="28"/>
        </w:rPr>
        <w:t>потреба в поєднанні національних особливостей та світових управлінських моделей</w:t>
      </w:r>
      <w:r>
        <w:rPr>
          <w:rFonts w:ascii="Times New Roman" w:hAnsi="Times New Roman" w:cs="Times New Roman"/>
          <w:sz w:val="28"/>
          <w:szCs w:val="28"/>
        </w:rPr>
        <w:t>, що дозволить створити конкурентоспроможну, стійку та інноваційну систему приватної медицини.</w:t>
      </w:r>
    </w:p>
    <w:p w14:paraId="21F60F68" w14:textId="77777777" w:rsidR="006B79F7" w:rsidRDefault="006B79F7">
      <w:pPr>
        <w:widowControl w:val="0"/>
        <w:rPr>
          <w:rFonts w:ascii="Times New Roman" w:hAnsi="Times New Roman" w:cs="Times New Roman"/>
          <w:sz w:val="28"/>
          <w:szCs w:val="28"/>
        </w:rPr>
      </w:pPr>
    </w:p>
    <w:p w14:paraId="77B9D7C1" w14:textId="77777777" w:rsidR="006B79F7" w:rsidRDefault="0017149C">
      <w:pPr>
        <w:widowControl w:val="0"/>
        <w:rPr>
          <w:rFonts w:ascii="Times New Roman" w:hAnsi="Times New Roman" w:cs="Times New Roman"/>
          <w:sz w:val="28"/>
          <w:szCs w:val="28"/>
        </w:rPr>
      </w:pPr>
      <w:r>
        <w:rPr>
          <w:rFonts w:ascii="Times New Roman" w:hAnsi="Times New Roman" w:cs="Times New Roman"/>
          <w:sz w:val="28"/>
          <w:szCs w:val="28"/>
        </w:rPr>
        <w:br w:type="page"/>
      </w:r>
    </w:p>
    <w:p w14:paraId="2F96F230"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3. </w:t>
      </w:r>
    </w:p>
    <w:p w14:paraId="4CD5E4A4"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ВДОСКОНАЛЕННЯ УПРАВЛІННЯ ПРИВАТНИМ ПІДПРИЄМНИЦТВОМ У ГАЛУЗІ ОХОРОНИ ЗДОРОВ’Я</w:t>
      </w:r>
    </w:p>
    <w:p w14:paraId="44B1532D" w14:textId="77777777" w:rsidR="006B79F7" w:rsidRDefault="006B79F7">
      <w:pPr>
        <w:widowControl w:val="0"/>
        <w:spacing w:after="0" w:line="360" w:lineRule="auto"/>
        <w:ind w:firstLine="709"/>
        <w:jc w:val="both"/>
        <w:rPr>
          <w:rFonts w:ascii="Times New Roman" w:hAnsi="Times New Roman" w:cs="Times New Roman"/>
          <w:sz w:val="28"/>
          <w:szCs w:val="28"/>
        </w:rPr>
      </w:pPr>
    </w:p>
    <w:p w14:paraId="61D0B8E4"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3.1. Особливості підприємницької діяльності у галузі охорони здоров’я на прикладі Центру реконструктивної та відновної медицини (Університетської клініки) ОНМедУ</w:t>
      </w:r>
    </w:p>
    <w:p w14:paraId="1F51F0F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сучасних умовах функціонування медичних установ в Україні зростає значення ефективного управління підприємницькою діяльністю у сфері охорони здоров’я. Особливої актуальності це питання набуває для державних закладів, які, окрім лікувально-діагностичних функцій, виконують також освітню та наукову місії. Центр реконструктивної та відновної медицини ОНМедУ (далі - Центр) виступає прикладом установи, яка вдало поєднує класичні бюджетні функції з елементами підприємництва, реалізуючи інноваційну модель управління у сфері публічної медицини</w:t>
      </w:r>
      <w:r w:rsidR="009E4237">
        <w:rPr>
          <w:rFonts w:ascii="Times New Roman" w:hAnsi="Times New Roman" w:cs="Times New Roman"/>
          <w:sz w:val="28"/>
          <w:szCs w:val="28"/>
        </w:rPr>
        <w:t xml:space="preserve"> [54]</w:t>
      </w:r>
      <w:r>
        <w:rPr>
          <w:rFonts w:ascii="Times New Roman" w:hAnsi="Times New Roman" w:cs="Times New Roman"/>
          <w:sz w:val="28"/>
          <w:szCs w:val="28"/>
        </w:rPr>
        <w:t>.</w:t>
      </w:r>
    </w:p>
    <w:p w14:paraId="25965AB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Організаційно-правовий статус Центру як відокремленого структурного підрозділу Одеського національного медичного університету надає йому певну автономію у прийнятті управлінських рішень. Центр може виступати самостійним учасником публічних закупівель, підписувати угоди з НСЗУ та впроваджувати внутрішні економічні програми. </w:t>
      </w:r>
    </w:p>
    <w:p w14:paraId="1424268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Стратегічне планування діяльності Центру здійснюється на основі аналізу потреб населення, фінансових ресурсів, кадрового потенціалу та тенденцій розвитку медичного ринку. Значна увага приділяється розширенню спектру послуг, модернізації медичного обладнання та впровадженню цифрових технологій у процеси управління.</w:t>
      </w:r>
    </w:p>
    <w:p w14:paraId="49E609E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Фінансове управління в Центрі поєднує використання бюджетних коштів, коштів за договорами з НСЗУ та власних надходжень від підприємницької діяльності. До останніх належать кошти, отримані за платні медичні послуги, оренду майна, надання додаткових послуг (наприклад, лабораторних або стоматологічних), а також цільові надходження з фондів, </w:t>
      </w:r>
      <w:r>
        <w:rPr>
          <w:rFonts w:ascii="Times New Roman" w:hAnsi="Times New Roman" w:cs="Times New Roman"/>
          <w:sz w:val="28"/>
          <w:szCs w:val="28"/>
        </w:rPr>
        <w:lastRenderedPageBreak/>
        <w:t>програм міжнародної допомоги, благодійних організацій. Центр має досвід участі в міжнародних проєктах, що дозволяє не лише фінансово зміцнити установу, а й залучити сучасні технології та навчання персоналу.</w:t>
      </w:r>
    </w:p>
    <w:p w14:paraId="191640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Особливу увагу в механізмах управління приділено системі управління якістю. Центр сертифікований відповідно до міжнародних стандартів ISO 9001:2015, що забезпечує постійний контроль за наданням медичних послуг, стандартизацію процесів і прозорість управлінських процедур. Це позитивно впливає як на довіру пацієнтів, так і на позиціонування закладу серед конкурентів.</w:t>
      </w:r>
    </w:p>
    <w:p w14:paraId="05ADA6F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Невід’ємною складовою підприємницької активності є маркетингова стратегія. Центр реалізує заходи, спрямовані на підвищення впізнаваності, зокрема — онлайн-присутність, співпрацю з громадськими організаціями, участь у профілактичних програмах та інформаційних кампаніях. В умовах конкурентного середовища, в якому діють потужні приватні клініки («Одрекс», «Into-Sana», «Оксфорд Медікал»), формування позитивного іміджу та активна комунікація з населенням є критично важливими.</w:t>
      </w:r>
    </w:p>
    <w:p w14:paraId="71EAEEC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Ключовим ресурсом будь-якої медичної установи є персонал. У цьому контексті Центр впроваджує системну політику управління кадрами: добір фахівців, розвиток кадрового резерву, адаптація молодих працівників, підвищення кваліфікації, мотиваційні програми. З огляду на загальнонаціональну тенденцію до зниження укомплектованості штатів, важливим завданням є утримання та розвиток висококваліфікованих медичних працівників</w:t>
      </w:r>
      <w:r w:rsidR="009E4237">
        <w:rPr>
          <w:rFonts w:ascii="Times New Roman" w:hAnsi="Times New Roman" w:cs="Times New Roman"/>
          <w:sz w:val="28"/>
          <w:szCs w:val="28"/>
        </w:rPr>
        <w:t xml:space="preserve"> [50]</w:t>
      </w:r>
      <w:r>
        <w:rPr>
          <w:rFonts w:ascii="Times New Roman" w:hAnsi="Times New Roman" w:cs="Times New Roman"/>
          <w:sz w:val="28"/>
          <w:szCs w:val="28"/>
        </w:rPr>
        <w:t>.</w:t>
      </w:r>
    </w:p>
    <w:p w14:paraId="5CD81A9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варто відзначити роль Центру як осередку інноваційної діяльності. Тут реалізуються наукові дослідження, впроваджуються нові методики лікування та реабілітації, відбувається трансфер технологій з наукової сфери у практичну медицину. Така діяльність має як соціальну, так і підприємницьку складову, адже дозволяє установі бути серед лідерів у впровадженні сучасних рішень, що підвищує її конкурентоспроможність.</w:t>
      </w:r>
    </w:p>
    <w:p w14:paraId="6981174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Центр стикається з низкою викликів: кадровий дефіцит, </w:t>
      </w:r>
      <w:r>
        <w:rPr>
          <w:rFonts w:ascii="Times New Roman" w:hAnsi="Times New Roman" w:cs="Times New Roman"/>
          <w:sz w:val="28"/>
          <w:szCs w:val="28"/>
        </w:rPr>
        <w:lastRenderedPageBreak/>
        <w:t>потреба в оновленні обладнання, конкуренція з боку приватного сектора, залежність від державного фінансування. З огляду на це, доцільно посилити аналітичну функцію управління, впроваджувати нові комерційні напрями послуг, активізувати грантову діяльність, а також підвищити гнучкість управлінських рішень. Розвиток партнерських зв’язків, міжнародна співпраця та інтеграція у глобальні освітньо-медичні мережі також можуть стати джерелом підприємницького зростання.</w:t>
      </w:r>
    </w:p>
    <w:p w14:paraId="1865F0E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Центр реконструктивної та відновної медицини ОНМедУ демонструє можливість ефективного поєднання соціальних та підприємницьких цілей у межах державного медичного закладу. Сформована модель управління дозволяє не лише забезпечувати стабільне функціонування в умовах реформування галузі, а й створювати додану вартість за рахунок інновацій, маркетингу, якості та кадрового потенціалу. Подальший розвиток механізмів управління підприємницькою діяльністю сприятиме зростанню фінансової автономії, підвищенню рівня послуг та стійкому розвитку системи охорони здоров’я загалом.</w:t>
      </w:r>
    </w:p>
    <w:p w14:paraId="19D6C08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Центр надає широкий спектр медичних послуг, що охоплюють практично весь цикл лікування – від первинної консультації до післяопераційної реабілітації. До ключових напрямків належить амбулаторно-поліклінічна допомога, яка включає первинний прийом пацієнтів, профілактичні огляди, консультації лікарів вузької спеціалізації та амбулаторне лікування. Це забезпечує стабільний потік пацієнтів і може стати основою для формування корпоративних пропозицій (наприклад, пакети профоглядів для підприємств). </w:t>
      </w:r>
    </w:p>
    <w:p w14:paraId="5EA4DE3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Перспективним є впровадження систем онлайн-запису та цифрової комунікації з пацієнтами, що підвищить доступність та зручність користування послугами.</w:t>
      </w:r>
    </w:p>
    <w:p w14:paraId="75EF039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Стаціонарна допомога надається у відділеннях внутрішньої медицини, неврології, хірургії, а також інтенсивної терапії. Це дозволяє Центру здійснювати як планове, так і ургентне лікування з використанням сучасних </w:t>
      </w:r>
      <w:r>
        <w:rPr>
          <w:rFonts w:ascii="Times New Roman" w:hAnsi="Times New Roman" w:cs="Times New Roman"/>
          <w:sz w:val="28"/>
          <w:szCs w:val="28"/>
        </w:rPr>
        <w:lastRenderedPageBreak/>
        <w:t>хірургічних та терапевтичних методик. Окрему роль відіграє операційний блок, що забезпечує проведення оперативних втручань різної складності. Цей напрям має високий потенціал для комерціалізації шляхом впровадження платних пакетів перебування, страхових програм та сервісів підвищеного комфорту.</w:t>
      </w:r>
    </w:p>
    <w:p w14:paraId="6D6A40A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Діагностичний напрям охоплює лабораторні, функціональні, ультразвукові, ендоскопічні, променеві та морфологічні дослідження. Потужна діагностична база забезпечує швидке та точне виявлення патологій, що значно підвищує ефективність лікування. Розвиток цього напрямку можливий за рахунок надання діагностичних послуг стороннім організаціям, запуску скринінгових програм та створення програм профілактичної медицини (check-up пакети).</w:t>
      </w:r>
    </w:p>
    <w:p w14:paraId="203F1D8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Особливої уваги заслуговує діяльність відділення медичної реабілітації та фізіотерапії, яке забезпечує повноцінне відновлення пацієнтів після операцій, травм, інсультів та хронічних захворювань. Високий соціальний запит на такі послуги дозволяє розглядати їх як пріоритетний напрям розвитку підприємницької діяльності. Цей напрям може бути представлений у вигляді спеціалізованих реабілітаційних програм для спортсменів, літніх осіб, військовослужбовців та осіб з інвалідністю. Створення окремих підрозділів, що працюватимуть за принципами соціального підприємництва, може поєднати економічну доцільність з реалізацією соціальної місії установи.</w:t>
      </w:r>
    </w:p>
    <w:p w14:paraId="305BF22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Стоматологічні послуги, що надаються клінікою, включають лікувальні, профілактичні та ортопедичні втручання. Стоматологія має високий потенціал як джерело стабільного доходу завдяки сталому попиту серед різних вікових груп. Розширення спектру, впровадження естетичних послуг та створення окремих підрозділів дитячої стоматології може суттєво посилити підприємницьку складову установи.</w:t>
      </w:r>
    </w:p>
    <w:p w14:paraId="5265613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Крім медичних послуг, Центр виконує освітню функцію як клінічна база для кафедр ОНМедУ. Це створює умови для комерціалізації наукових </w:t>
      </w:r>
      <w:r>
        <w:rPr>
          <w:rFonts w:ascii="Times New Roman" w:hAnsi="Times New Roman" w:cs="Times New Roman"/>
          <w:sz w:val="28"/>
          <w:szCs w:val="28"/>
        </w:rPr>
        <w:lastRenderedPageBreak/>
        <w:t>розробок, впровадження новітніх медичних технологій та реалізації програм підвищення кваліфікації медичних працівників. Проведення платних стажувань, симуляційних тренінгів, міжнародних обмінів та курсів із використанням сучасних навчальних методик може стати вагомим джерелом додаткового доходу.</w:t>
      </w:r>
    </w:p>
    <w:p w14:paraId="164E4FE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проведеного аналізу можна виокремити кілька ключових напрямків, які мають найбільший потенціал для розвитку підприємницької діяльності. </w:t>
      </w:r>
    </w:p>
    <w:p w14:paraId="555CD04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Розширення спектру платних медичних послуг та програм реабілітації має високу комерційну та соціальну віддачу. </w:t>
      </w:r>
    </w:p>
    <w:p w14:paraId="64AEE87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Впровадження телемедичних сервісів, цифрової платформи взаємодії з пацієнтами, мобільного застосунку та CRM-системи сприятиме зростанню клієнтоорієнтованості та оптимізації процесів. </w:t>
      </w:r>
    </w:p>
    <w:p w14:paraId="251911A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пріоритетів має стати залучення зовнішнього фінансування через гранти, партнерства та програми соціального інвестування, що дозволить зменшити навантаження на власний бюджет Центру.</w:t>
      </w:r>
    </w:p>
    <w:p w14:paraId="4DC7B14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особливо актуальним є розвиток кадрового потенціалу через створення системи мотивації, наставництва, професійного зростання та збереження кадрів у межах установи. Це не лише сприятиме якості послуг, але й забезпечить стабільність у довгостроковій перспективі.</w:t>
      </w:r>
    </w:p>
    <w:p w14:paraId="00E9AB3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підприємницька модель розвитку Центру реконструктивної та відновної медицини ОНМедУ повинна ґрунтуватися на комплексному підході, що охоплює диверсифікацію медичних послуг, впровадження цифрових рішень, розвиток персоналу, активну роботу з клієнтами та комерціалізацію наукового потенціалу. </w:t>
      </w:r>
    </w:p>
    <w:p w14:paraId="1F5956F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Збалансоване поєднання цих складових дозволить забезпечити не лише фінансову ефективність діяльності, а й стійке позиціонування Центру як сучасної, науково обґрунтованої та соціально відповідальної медичної установи нового покоління.</w:t>
      </w:r>
    </w:p>
    <w:p w14:paraId="4168EA63" w14:textId="77777777" w:rsidR="006B79F7" w:rsidRDefault="006B79F7">
      <w:pPr>
        <w:widowControl w:val="0"/>
        <w:spacing w:after="0" w:line="360" w:lineRule="auto"/>
        <w:ind w:firstLine="709"/>
        <w:jc w:val="both"/>
        <w:rPr>
          <w:rFonts w:ascii="Times New Roman" w:hAnsi="Times New Roman" w:cs="Times New Roman"/>
          <w:b/>
          <w:sz w:val="28"/>
          <w:szCs w:val="28"/>
        </w:rPr>
      </w:pPr>
    </w:p>
    <w:p w14:paraId="70F4BBF4"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3.2. Пріоритетні напрямки подальшого розвитку підприємництва у галузі охорони здоров’я на прикладі Центру реконструктивної та відновної медицини (Університетської клініки) ОНМедУ</w:t>
      </w:r>
    </w:p>
    <w:p w14:paraId="77DB7C0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сучасному світі медична галузь дедалі більше трансформується з традиційно бюджетної сфери в гнучке середовище з активним використанням ринкових механізмів, серед яких особливу роль відіграє приватне підприємництво. Це явище передбачає розвиток автономії медичних установ, розширення джерел фінансування, диверсифікацію послуг, активну участь у конкурентному ринку охорони здоров’я. Прикладом сучасної державної установи, яка успішно адаптує окремі елементи приватно-підприємницької моделі, є Центр реконструктивної та відновної медицини (Університетська клініка) Одеського національного медичного університету.</w:t>
      </w:r>
    </w:p>
    <w:p w14:paraId="3A31B9B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Незважаючи на те, що Центр формально належить до державної системи охорони здоров’я, його діяльність має багато характеристик підприємницької моделі: надання платних послуг, участь у тендерах, укладання договорів з НСЗУ, отримання прибутків від господарської діяльності, комерціалізація окремих послуг, оренда приміщень, а також реалізація науково-медичних інновацій. У цьому контексті важливо окреслити стратегічні пріоритети подальшого розвитку такої гібридної, змішаної моделі, яка поєднує державну стабільність із гнучкістю та ініціативністю підприємництва.</w:t>
      </w:r>
    </w:p>
    <w:p w14:paraId="20AF4D1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пріоритетним напрямком є розширення та оптимізація спектру медичних послуг. Зокрема, Центру доцільно розвивати ті напрями, які мають високий соціальний попит і комерційну привабливість: геріатричну реабілітацію, спортивну медицину, післятравматичну та післяопераційну фізичну терапію, послуги з психосоціальної підтримки військовослужбовців та ветеранів, відновне лікування осіб з інвалідністю. Надання комплексних пакетів платних послуг на засадах добровільного медичного страхування або індивідуальних контрактів зможе забезпечити додатковий дохід для </w:t>
      </w:r>
      <w:r>
        <w:rPr>
          <w:rFonts w:ascii="Times New Roman" w:hAnsi="Times New Roman" w:cs="Times New Roman"/>
          <w:sz w:val="28"/>
          <w:szCs w:val="28"/>
        </w:rPr>
        <w:lastRenderedPageBreak/>
        <w:t>установи, а також вищу якість сервісу.</w:t>
      </w:r>
    </w:p>
    <w:p w14:paraId="002E605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Другою стратегічною віссю розвитку є диференціація джерел фінансування. У сучасних умовах медична установа повинна не лише покладатися на бюджетні ресурси, а й активно залучати зовнішнє фінансування. Це може включати участь у міжнародних грантах (ЄС, USAID, Глобального фонду), реалізацію науково-дослідних проектів за контрактами, партнерство з приватними фондами та спонсорами, створення власних платних програм для пацієнтів з підвищеним рівнем сервісу. Одним із перспективних кроків може бути створення благодійного фонду при Центрі для акумуляції пожертв і спрямування їх на розвиток медичної інфраструктури.</w:t>
      </w:r>
    </w:p>
    <w:p w14:paraId="0E33181E" w14:textId="77777777" w:rsidR="006B79F7" w:rsidRDefault="003F3F1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w:t>
      </w:r>
      <w:r w:rsidR="0017149C">
        <w:rPr>
          <w:rFonts w:ascii="Times New Roman" w:hAnsi="Times New Roman" w:cs="Times New Roman"/>
          <w:sz w:val="28"/>
          <w:szCs w:val="28"/>
        </w:rPr>
        <w:t>, важливу роль у розвитку підприємницької моделі відіграє цифровізація управління та надання послуг. Подальше впровадження електронного документообігу, автоматизованих систем обліку, телемедичних платформ для дистанційних консультацій та супроводу пацієнтів відкриє можливості як для економії ресурсів, так і для розширення клієнтської бази. Наприклад, Центр міг би створити окрему цифрову платформу або мобільний застосунок, що забезпечить зручний доступ до послуг, запису, розкладу лікарів, оплат та рекомендацій.</w:t>
      </w:r>
    </w:p>
    <w:p w14:paraId="5930EBF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Четвертий напрям пов’язаний із кадровим оновленням та розвитком людського капіталу. Якісне надання медичних послуг неможливе без висококваліфікованого персоналу. У зв’язку з відтоком кадрів у приватний сектор або за кордон, Центр повинен впроваджувати внутрішні програми стимулювання: професійне зростання, наукові стажування, підтримку ініціатив, участь у міжнародних конференціях, а також формування менторських програм для молодих фахівців. Розвиток лояльного, мотивованого та мобільного колективу є критично важливим для успіху будь-якого підприємства, зокрема й у сфері охорони здоров’я.</w:t>
      </w:r>
    </w:p>
    <w:p w14:paraId="44D8A23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В-п’ятих, особливу увагу слід приділити інноваційній діяльності. Центр функціонує у тісному зв’язку з науковими структурами ОНМедУ, що </w:t>
      </w:r>
      <w:r>
        <w:rPr>
          <w:rFonts w:ascii="Times New Roman" w:hAnsi="Times New Roman" w:cs="Times New Roman"/>
          <w:sz w:val="28"/>
          <w:szCs w:val="28"/>
        </w:rPr>
        <w:lastRenderedPageBreak/>
        <w:t>відкриває перед ним унікальні можливості для трансферу інновацій. Наприклад, результати досліджень можуть бути комерціалізовані у вигляді нових медичних технологій, реабілітаційних методик, навчальних програм для лікарів. Створення структур на зразок інкубаторів медичних стартапів, реабілітаційних центрів нового покоління чи партнерських клініко-дослідних лабораторій дозволить не лише залучати інвестиції, а й підвищити престиж установи.</w:t>
      </w:r>
    </w:p>
    <w:p w14:paraId="45D3512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шостих, не можна ігнорувати питання брендування та маркетингу. Центр, як конкурент у середовищі з потужними приватними гравцями, має активно працювати над створенням стійкого публічного іміджу — клініки з доступною, якісною, науково обґрунтованою медициною. Це передбачає ведення офіційних сторінок у соціальних мережах, створення відеоконтенту, просування через партнерів, публікацію відгуків та історій успішного лікування. Орієнтація на довіру, прозорість і відкритість має стати основою маркетингової політики.</w:t>
      </w:r>
    </w:p>
    <w:p w14:paraId="56DDEC3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реалізація підприємницьких підходів не повинна суперечити основному принципу — забезпеченню соціальної доступності медичних послуг. Важливо підтримувати баланс між отриманням доходу та збереженням місії: надання високоякісної медичної допомоги всім верствам населення, зокрема незахищеним категоріям. Для цього доцільно впровадити диференційовані підходи до оплати, пільгові пакети послуг, підтримку через програми соціального партнерства.</w:t>
      </w:r>
    </w:p>
    <w:p w14:paraId="1ABC9F2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подальший розвиток підприємницької діяльності в Центрі реконструктивної та відновної медицини (Університетська клініка) ОНМедУ може бути реалізований через такі пріоритетні напрями: послугову та сервісну диверсифікацію, багатоканальне фінансування, цифровізацію, розвиток персоналу, інноваційність, маркетинг і соціальну відповідальність. Усі ці вектори взаємопов’язані й мають формувати єдину стратегічну модель гнучкої, динамічної та конкурентоспроможної медичної установи нового покоління, орієнтованої на сталий розвиток у постреформеному середовищі </w:t>
      </w:r>
      <w:r>
        <w:rPr>
          <w:rFonts w:ascii="Times New Roman" w:hAnsi="Times New Roman" w:cs="Times New Roman"/>
          <w:sz w:val="28"/>
          <w:szCs w:val="28"/>
        </w:rPr>
        <w:lastRenderedPageBreak/>
        <w:t>української охорони здоров’я (табл. 3.1).</w:t>
      </w:r>
    </w:p>
    <w:p w14:paraId="513351F8" w14:textId="77777777" w:rsidR="006B79F7" w:rsidRDefault="0017149C">
      <w:pPr>
        <w:widowControl w:val="0"/>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 3.1</w:t>
      </w:r>
    </w:p>
    <w:p w14:paraId="38DC8204" w14:textId="77777777" w:rsidR="006B79F7" w:rsidRDefault="0017149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Оцінка пріоритетних напрямків розвитку підприємницької діяльності Центру реконструктивної та відновної медицини ОНМедУ</w:t>
      </w:r>
    </w:p>
    <w:tbl>
      <w:tblPr>
        <w:tblStyle w:val="ad"/>
        <w:tblW w:w="5000" w:type="pct"/>
        <w:tblLayout w:type="fixed"/>
        <w:tblLook w:val="04A0" w:firstRow="1" w:lastRow="0" w:firstColumn="1" w:lastColumn="0" w:noHBand="0" w:noVBand="1"/>
      </w:tblPr>
      <w:tblGrid>
        <w:gridCol w:w="468"/>
        <w:gridCol w:w="1886"/>
        <w:gridCol w:w="1729"/>
        <w:gridCol w:w="1215"/>
        <w:gridCol w:w="2271"/>
        <w:gridCol w:w="1775"/>
      </w:tblGrid>
      <w:tr w:rsidR="006B79F7" w14:paraId="29F60BD9" w14:textId="77777777">
        <w:tc>
          <w:tcPr>
            <w:tcW w:w="251" w:type="pct"/>
          </w:tcPr>
          <w:p w14:paraId="7E74B502"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w:t>
            </w:r>
          </w:p>
        </w:tc>
        <w:tc>
          <w:tcPr>
            <w:tcW w:w="1009" w:type="pct"/>
          </w:tcPr>
          <w:p w14:paraId="5E50FA99"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Напрямок розвитку</w:t>
            </w:r>
          </w:p>
        </w:tc>
        <w:tc>
          <w:tcPr>
            <w:tcW w:w="924" w:type="pct"/>
          </w:tcPr>
          <w:p w14:paraId="63AA9692"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Орієнтовна вартість впровад-ження</w:t>
            </w:r>
          </w:p>
        </w:tc>
        <w:tc>
          <w:tcPr>
            <w:tcW w:w="650" w:type="pct"/>
          </w:tcPr>
          <w:p w14:paraId="225F5AD3"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Строк реалі-зації</w:t>
            </w:r>
          </w:p>
        </w:tc>
        <w:tc>
          <w:tcPr>
            <w:tcW w:w="1214" w:type="pct"/>
          </w:tcPr>
          <w:p w14:paraId="3F2C06D3"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Очікувані результати</w:t>
            </w:r>
          </w:p>
        </w:tc>
        <w:tc>
          <w:tcPr>
            <w:tcW w:w="949" w:type="pct"/>
          </w:tcPr>
          <w:p w14:paraId="170EB302" w14:textId="77777777" w:rsidR="006B79F7" w:rsidRDefault="0017149C">
            <w:pPr>
              <w:widowControl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Рівень очікуваної ефектив-ності</w:t>
            </w:r>
          </w:p>
        </w:tc>
      </w:tr>
      <w:tr w:rsidR="006B79F7" w14:paraId="5323B1E7" w14:textId="77777777">
        <w:tc>
          <w:tcPr>
            <w:tcW w:w="251" w:type="pct"/>
          </w:tcPr>
          <w:p w14:paraId="5F315F8B"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009" w:type="pct"/>
          </w:tcPr>
          <w:p w14:paraId="042B3DED"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Розширення спектру медичних послуг</w:t>
            </w:r>
          </w:p>
        </w:tc>
        <w:tc>
          <w:tcPr>
            <w:tcW w:w="924" w:type="pct"/>
          </w:tcPr>
          <w:p w14:paraId="09F36C31"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2–4 млн. грн.</w:t>
            </w:r>
          </w:p>
        </w:tc>
        <w:tc>
          <w:tcPr>
            <w:tcW w:w="650" w:type="pct"/>
          </w:tcPr>
          <w:p w14:paraId="5A8A4507"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6–12 місяців</w:t>
            </w:r>
          </w:p>
        </w:tc>
        <w:tc>
          <w:tcPr>
            <w:tcW w:w="1214" w:type="pct"/>
          </w:tcPr>
          <w:p w14:paraId="05870459"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Залучення нових пацієнтів, збільшення прибутку на 20–30 %</w:t>
            </w:r>
          </w:p>
        </w:tc>
        <w:tc>
          <w:tcPr>
            <w:tcW w:w="949" w:type="pct"/>
          </w:tcPr>
          <w:p w14:paraId="27BE85E7"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r>
      <w:tr w:rsidR="006B79F7" w14:paraId="3C267DC6" w14:textId="77777777">
        <w:tc>
          <w:tcPr>
            <w:tcW w:w="251" w:type="pct"/>
          </w:tcPr>
          <w:p w14:paraId="1B6CD398"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009" w:type="pct"/>
          </w:tcPr>
          <w:p w14:paraId="38FE3E8B"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Впроваджен-ня телемедицини</w:t>
            </w:r>
          </w:p>
        </w:tc>
        <w:tc>
          <w:tcPr>
            <w:tcW w:w="924" w:type="pct"/>
          </w:tcPr>
          <w:p w14:paraId="0CB2298D"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1,5–2 млн. грн.</w:t>
            </w:r>
          </w:p>
        </w:tc>
        <w:tc>
          <w:tcPr>
            <w:tcW w:w="650" w:type="pct"/>
          </w:tcPr>
          <w:p w14:paraId="29F0AB8A"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6 місяців</w:t>
            </w:r>
          </w:p>
        </w:tc>
        <w:tc>
          <w:tcPr>
            <w:tcW w:w="1214" w:type="pct"/>
          </w:tcPr>
          <w:p w14:paraId="10F19225"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Охоплення віддалених пацієнтів, зниження навантаження на персонал</w:t>
            </w:r>
          </w:p>
        </w:tc>
        <w:tc>
          <w:tcPr>
            <w:tcW w:w="949" w:type="pct"/>
          </w:tcPr>
          <w:p w14:paraId="1E805415"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r w:rsidR="006B79F7" w14:paraId="5703A818" w14:textId="77777777">
        <w:tc>
          <w:tcPr>
            <w:tcW w:w="251" w:type="pct"/>
          </w:tcPr>
          <w:p w14:paraId="2BB3EE19"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009" w:type="pct"/>
          </w:tcPr>
          <w:p w14:paraId="30C1EE67"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Модернізація матеріально-технічної бази</w:t>
            </w:r>
          </w:p>
        </w:tc>
        <w:tc>
          <w:tcPr>
            <w:tcW w:w="924" w:type="pct"/>
          </w:tcPr>
          <w:p w14:paraId="1AE3BD89"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8–10 млн. грн.</w:t>
            </w:r>
          </w:p>
        </w:tc>
        <w:tc>
          <w:tcPr>
            <w:tcW w:w="650" w:type="pct"/>
          </w:tcPr>
          <w:p w14:paraId="2DEAFBA0"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12–18 місяців</w:t>
            </w:r>
          </w:p>
        </w:tc>
        <w:tc>
          <w:tcPr>
            <w:tcW w:w="1214" w:type="pct"/>
          </w:tcPr>
          <w:p w14:paraId="2AC3EE36"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Підвищення якості діагностики та лікування, зростання довіри до клініки</w:t>
            </w:r>
          </w:p>
        </w:tc>
        <w:tc>
          <w:tcPr>
            <w:tcW w:w="949" w:type="pct"/>
          </w:tcPr>
          <w:p w14:paraId="3996533A"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r>
      <w:tr w:rsidR="006B79F7" w14:paraId="7D9F2F97" w14:textId="77777777">
        <w:tc>
          <w:tcPr>
            <w:tcW w:w="251" w:type="pct"/>
          </w:tcPr>
          <w:p w14:paraId="42547A42"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009" w:type="pct"/>
          </w:tcPr>
          <w:p w14:paraId="3DE31224"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Маркетингова стратегія та ребрендинг</w:t>
            </w:r>
          </w:p>
        </w:tc>
        <w:tc>
          <w:tcPr>
            <w:tcW w:w="924" w:type="pct"/>
          </w:tcPr>
          <w:p w14:paraId="4B3BB297"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500–700 тис. грн.</w:t>
            </w:r>
          </w:p>
        </w:tc>
        <w:tc>
          <w:tcPr>
            <w:tcW w:w="650" w:type="pct"/>
          </w:tcPr>
          <w:p w14:paraId="4C3F1795"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3–6 місяців</w:t>
            </w:r>
          </w:p>
        </w:tc>
        <w:tc>
          <w:tcPr>
            <w:tcW w:w="1214" w:type="pct"/>
          </w:tcPr>
          <w:p w14:paraId="2B7888F8"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Збільшення впізнаваності, приріст клієнтів на 10–15 %</w:t>
            </w:r>
          </w:p>
        </w:tc>
        <w:tc>
          <w:tcPr>
            <w:tcW w:w="949" w:type="pct"/>
          </w:tcPr>
          <w:p w14:paraId="4A2B63C4"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r w:rsidR="006B79F7" w14:paraId="548D162D" w14:textId="77777777">
        <w:tc>
          <w:tcPr>
            <w:tcW w:w="251" w:type="pct"/>
          </w:tcPr>
          <w:p w14:paraId="5EF1A871"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009" w:type="pct"/>
          </w:tcPr>
          <w:p w14:paraId="77D7E92A"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Залучення зовнішніх джерел фінансування</w:t>
            </w:r>
          </w:p>
        </w:tc>
        <w:tc>
          <w:tcPr>
            <w:tcW w:w="924" w:type="pct"/>
          </w:tcPr>
          <w:p w14:paraId="3118E29A"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0,3–0,5 млн грн. (на розробку заявок, адміністрування)</w:t>
            </w:r>
          </w:p>
        </w:tc>
        <w:tc>
          <w:tcPr>
            <w:tcW w:w="650" w:type="pct"/>
          </w:tcPr>
          <w:p w14:paraId="22B9E89E"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6–9 місяців</w:t>
            </w:r>
          </w:p>
        </w:tc>
        <w:tc>
          <w:tcPr>
            <w:tcW w:w="1214" w:type="pct"/>
          </w:tcPr>
          <w:p w14:paraId="511DB17D"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Отримання грантів на суму до 10 млн. грн., покращення фінансової стабільності</w:t>
            </w:r>
          </w:p>
        </w:tc>
        <w:tc>
          <w:tcPr>
            <w:tcW w:w="949" w:type="pct"/>
          </w:tcPr>
          <w:p w14:paraId="7B2EFC2C"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r>
      <w:tr w:rsidR="006B79F7" w14:paraId="4B3BA4B9" w14:textId="77777777">
        <w:tc>
          <w:tcPr>
            <w:tcW w:w="251" w:type="pct"/>
          </w:tcPr>
          <w:p w14:paraId="43988F4B"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009" w:type="pct"/>
          </w:tcPr>
          <w:p w14:paraId="4EBE0D02"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Кадрова політика: стимулюван-ня, навчання, резерв</w:t>
            </w:r>
          </w:p>
        </w:tc>
        <w:tc>
          <w:tcPr>
            <w:tcW w:w="924" w:type="pct"/>
          </w:tcPr>
          <w:p w14:paraId="6C05DA9E"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1–2 млн. грн. / рік</w:t>
            </w:r>
          </w:p>
        </w:tc>
        <w:tc>
          <w:tcPr>
            <w:tcW w:w="650" w:type="pct"/>
          </w:tcPr>
          <w:p w14:paraId="37A0D7E2"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Постій-но</w:t>
            </w:r>
          </w:p>
        </w:tc>
        <w:tc>
          <w:tcPr>
            <w:tcW w:w="1214" w:type="pct"/>
          </w:tcPr>
          <w:p w14:paraId="3086D5F0"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Підвищення мотивації, зниження плинності кадрів на 15–20 %</w:t>
            </w:r>
          </w:p>
        </w:tc>
        <w:tc>
          <w:tcPr>
            <w:tcW w:w="949" w:type="pct"/>
          </w:tcPr>
          <w:p w14:paraId="3FCA340D"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Високий</w:t>
            </w:r>
          </w:p>
        </w:tc>
      </w:tr>
    </w:tbl>
    <w:p w14:paraId="4A2B2A6B"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br w:type="page"/>
      </w:r>
    </w:p>
    <w:p w14:paraId="75072335" w14:textId="77777777" w:rsidR="006B79F7" w:rsidRDefault="0017149C">
      <w:pPr>
        <w:widowControl w:val="0"/>
        <w:spacing w:after="0" w:line="240" w:lineRule="auto"/>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3.1</w:t>
      </w:r>
    </w:p>
    <w:p w14:paraId="2DDEAE61" w14:textId="77777777" w:rsidR="006B79F7" w:rsidRDefault="006B79F7">
      <w:pPr>
        <w:widowControl w:val="0"/>
        <w:spacing w:after="0" w:line="240" w:lineRule="auto"/>
        <w:jc w:val="both"/>
        <w:rPr>
          <w:rFonts w:ascii="Times New Roman" w:hAnsi="Times New Roman" w:cs="Times New Roman"/>
          <w:sz w:val="28"/>
          <w:szCs w:val="28"/>
        </w:rPr>
      </w:pPr>
    </w:p>
    <w:tbl>
      <w:tblPr>
        <w:tblStyle w:val="ad"/>
        <w:tblW w:w="5000" w:type="pct"/>
        <w:tblLayout w:type="fixed"/>
        <w:tblLook w:val="04A0" w:firstRow="1" w:lastRow="0" w:firstColumn="1" w:lastColumn="0" w:noHBand="0" w:noVBand="1"/>
      </w:tblPr>
      <w:tblGrid>
        <w:gridCol w:w="468"/>
        <w:gridCol w:w="1886"/>
        <w:gridCol w:w="1729"/>
        <w:gridCol w:w="1215"/>
        <w:gridCol w:w="2271"/>
        <w:gridCol w:w="1775"/>
      </w:tblGrid>
      <w:tr w:rsidR="006B79F7" w14:paraId="6AB2D72E" w14:textId="77777777">
        <w:tc>
          <w:tcPr>
            <w:tcW w:w="251" w:type="pct"/>
          </w:tcPr>
          <w:p w14:paraId="52D4781C"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009" w:type="pct"/>
          </w:tcPr>
          <w:p w14:paraId="3C109ED7"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Комерціалізація наукових розробок</w:t>
            </w:r>
          </w:p>
        </w:tc>
        <w:tc>
          <w:tcPr>
            <w:tcW w:w="924" w:type="pct"/>
          </w:tcPr>
          <w:p w14:paraId="64AA81AF"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0,5–1 млн. грн.</w:t>
            </w:r>
          </w:p>
        </w:tc>
        <w:tc>
          <w:tcPr>
            <w:tcW w:w="650" w:type="pct"/>
          </w:tcPr>
          <w:p w14:paraId="7C3DFFC5"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12–24 місяці</w:t>
            </w:r>
          </w:p>
        </w:tc>
        <w:tc>
          <w:tcPr>
            <w:tcW w:w="1214" w:type="pct"/>
          </w:tcPr>
          <w:p w14:paraId="718A29AA"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Отримання доходів від інноваційних продуктів, посилення репутації</w:t>
            </w:r>
          </w:p>
        </w:tc>
        <w:tc>
          <w:tcPr>
            <w:tcW w:w="949" w:type="pct"/>
          </w:tcPr>
          <w:p w14:paraId="5C6D5DC3"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Потенційно високий</w:t>
            </w:r>
          </w:p>
        </w:tc>
      </w:tr>
      <w:tr w:rsidR="006B79F7" w14:paraId="69BA5D4A" w14:textId="77777777">
        <w:tc>
          <w:tcPr>
            <w:tcW w:w="251" w:type="pct"/>
          </w:tcPr>
          <w:p w14:paraId="69F5FBA4" w14:textId="77777777" w:rsidR="006B79F7" w:rsidRDefault="0017149C">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1009" w:type="pct"/>
          </w:tcPr>
          <w:p w14:paraId="1CC3AD0E"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Соціальні програми та послуги на основі партнерства</w:t>
            </w:r>
          </w:p>
        </w:tc>
        <w:tc>
          <w:tcPr>
            <w:tcW w:w="924" w:type="pct"/>
          </w:tcPr>
          <w:p w14:paraId="19D2A9D6"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200–300 тис. грн.</w:t>
            </w:r>
          </w:p>
        </w:tc>
        <w:tc>
          <w:tcPr>
            <w:tcW w:w="650" w:type="pct"/>
          </w:tcPr>
          <w:p w14:paraId="41CA2F9D"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6–9 місяців</w:t>
            </w:r>
          </w:p>
        </w:tc>
        <w:tc>
          <w:tcPr>
            <w:tcW w:w="1214" w:type="pct"/>
          </w:tcPr>
          <w:p w14:paraId="04916EB5"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Розширення доступу до послуг, залучення громадськості та підтримка іміджу</w:t>
            </w:r>
          </w:p>
        </w:tc>
        <w:tc>
          <w:tcPr>
            <w:tcW w:w="949" w:type="pct"/>
          </w:tcPr>
          <w:p w14:paraId="5A50D2F8" w14:textId="77777777" w:rsidR="006B79F7" w:rsidRDefault="0017149C">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Середній</w:t>
            </w:r>
          </w:p>
        </w:tc>
      </w:tr>
    </w:tbl>
    <w:p w14:paraId="2D99E0FC" w14:textId="77777777" w:rsidR="006B79F7" w:rsidRDefault="006B79F7">
      <w:pPr>
        <w:widowControl w:val="0"/>
        <w:spacing w:after="0" w:line="360" w:lineRule="auto"/>
        <w:jc w:val="both"/>
        <w:rPr>
          <w:rFonts w:ascii="Times New Roman" w:hAnsi="Times New Roman" w:cs="Times New Roman"/>
          <w:sz w:val="28"/>
          <w:szCs w:val="28"/>
        </w:rPr>
      </w:pPr>
    </w:p>
    <w:p w14:paraId="0358FC1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усіх проєктів, які розглядаються як стратегічно важливі, особливо вирізняються ті, що передбачають швидкий або гарантований приріст доходу. Зокрема, розширення спектру медичних послуг, з урахуванням поточних потреб населення та ринкової кон’юнктури, є одним із найбільш вигідних напрямів. Впровадження нових послуг, таких як геріатрична реабілітація, спортивна медицина або психосоціальна підтримка, може сприяти збільшенню прибутку Центру на 20–30 % протягом першого року після впровадження, за умови відповідного кадрового й технічного забезпечення. Витрати на реалізацію цього напряму залишаються помірними, а період окупності — коротким.</w:t>
      </w:r>
    </w:p>
    <w:p w14:paraId="07CCB2D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високий потенціал має залучення зовнішніх джерел фінансування, зокрема міжнародних грантів, державних і муніципальних програм підтримки медичних закладів, а також благодійної допомоги. Вартість адміністрування та підготовки таких проєктів є незначною, однак очікувана вигода може перевищити базові вкладення в десятки разів. Це дає змогу покрити витрати на інші напрямки розвитку, знизити залежність від бюджетного фінансування та водночас забезпечити зростання інституційної автономії Центру.</w:t>
      </w:r>
    </w:p>
    <w:p w14:paraId="52F58E7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Цифровізація медичних та управлінських процесів є ще одним важливим напрямом. Телемедицина, електронні карти пацієнтів, онлайн-</w:t>
      </w:r>
      <w:r>
        <w:rPr>
          <w:rFonts w:ascii="Times New Roman" w:hAnsi="Times New Roman" w:cs="Times New Roman"/>
          <w:sz w:val="28"/>
          <w:szCs w:val="28"/>
        </w:rPr>
        <w:lastRenderedPageBreak/>
        <w:t>запис, аналітичні модулі для моніторингу ефективності — все це сприяє підвищенню якості послуг, оптимізації навантаження на персонал і зростанню прозорості внутрішніх процесів. Ефективність цього напряму тісно пов’язана з цифровою грамотністю персоналу та готовністю пацієнтів до використання електронних сервісів.</w:t>
      </w:r>
    </w:p>
    <w:p w14:paraId="3167331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Водночас напрямки, пов’язані з маркетингом, брендингом та соціальними програмами, не мають прямої економічної віддачі, проте виконують підтримувальну роль у загальній стратегії. Вони сприяють зміцненню репутації закладу, підвищенню його публічної впізнаваності, формуванню позитивного іміджу як сучасної, к</w:t>
      </w:r>
      <w:r w:rsidR="00C52462">
        <w:rPr>
          <w:rFonts w:ascii="Times New Roman" w:hAnsi="Times New Roman" w:cs="Times New Roman"/>
          <w:sz w:val="28"/>
          <w:szCs w:val="28"/>
        </w:rPr>
        <w:t>лієнтоорієнтованої установи</w:t>
      </w:r>
      <w:r>
        <w:rPr>
          <w:rFonts w:ascii="Times New Roman" w:hAnsi="Times New Roman" w:cs="Times New Roman"/>
          <w:sz w:val="28"/>
          <w:szCs w:val="28"/>
        </w:rPr>
        <w:t>.</w:t>
      </w:r>
    </w:p>
    <w:p w14:paraId="5F1FB43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на основі проведеного аналізу, найбільш доцільними для пріоритетного впровадження є напрями, які мають водночас високу ефективність, відносно помірні інвестиції та короткий строк реалізації. До них належать розширення спектру медичних послуг, залучення зовнішнього фінансування та вдосконалення кадрової політики. </w:t>
      </w:r>
    </w:p>
    <w:p w14:paraId="5E52CC3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середньостроковій перспективі варто інвестувати в технічну модернізацію, цифровізацію та розвиток наукової комерціалізації, які забезпечать довготривалу конкурентоспроможність. </w:t>
      </w:r>
    </w:p>
    <w:p w14:paraId="2972744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Збалансоване впровадження зазначених ініціатив дозволить Центру не лише зміцнити фінансову самостійність, а й виступати прикладом інноваційної та соціально відповідальної установи нового типу у сфері охорони здоров’я України.</w:t>
      </w:r>
    </w:p>
    <w:p w14:paraId="26E407D6" w14:textId="77777777" w:rsidR="006B79F7" w:rsidRDefault="006B79F7">
      <w:pPr>
        <w:widowControl w:val="0"/>
        <w:spacing w:after="0" w:line="360" w:lineRule="auto"/>
        <w:ind w:firstLine="709"/>
        <w:jc w:val="both"/>
        <w:rPr>
          <w:rFonts w:ascii="Times New Roman" w:hAnsi="Times New Roman" w:cs="Times New Roman"/>
          <w:sz w:val="28"/>
          <w:szCs w:val="28"/>
        </w:rPr>
      </w:pPr>
    </w:p>
    <w:p w14:paraId="150D6520" w14:textId="77777777" w:rsidR="006B79F7" w:rsidRDefault="0017149C">
      <w:pPr>
        <w:widowControl w:val="0"/>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3.3. Пропозиції щодо удосконалення управління підприємництвом у галузі охорони здоров’я на прикладі Центру реконструктивної та відновної медицини (Університетської клініки) ОНМедУ</w:t>
      </w:r>
    </w:p>
    <w:p w14:paraId="3DED41E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проведеного аналізу діяльності Центру реконструктивної та відновної медицини ОНМедУ, оцінки пріоритетних напрямів розвитку та виявлених проблем (кадровий дефіцит, потреба в модернізації обладнання, недостатня цифровізація, конкуренція з боку приватних клінік, недостатня </w:t>
      </w:r>
      <w:r>
        <w:rPr>
          <w:rFonts w:ascii="Times New Roman" w:hAnsi="Times New Roman" w:cs="Times New Roman"/>
          <w:sz w:val="28"/>
          <w:szCs w:val="28"/>
        </w:rPr>
        <w:lastRenderedPageBreak/>
        <w:t>диверсифікація платних послуг), доцільним є формування комплексу управлінських пропозицій, спрямованих на зміцнення підприємницького потенціалу та підвищення фінансової автономії Центру.</w:t>
      </w:r>
    </w:p>
    <w:p w14:paraId="52074856" w14:textId="77777777" w:rsidR="006B79F7" w:rsidRDefault="0017149C">
      <w:pPr>
        <w:widowControl w:val="0"/>
        <w:spacing w:after="0" w:line="360" w:lineRule="auto"/>
        <w:ind w:firstLine="709"/>
        <w:jc w:val="both"/>
        <w:rPr>
          <w:rFonts w:ascii="Times New Roman" w:hAnsi="Times New Roman" w:cs="Times New Roman"/>
          <w:bCs/>
          <w:sz w:val="28"/>
          <w:szCs w:val="28"/>
        </w:rPr>
      </w:pPr>
      <w:r>
        <w:rPr>
          <w:rStyle w:val="a5"/>
          <w:rFonts w:ascii="Times New Roman" w:hAnsi="Times New Roman" w:cs="Times New Roman"/>
          <w:b w:val="0"/>
          <w:bCs w:val="0"/>
          <w:sz w:val="28"/>
          <w:szCs w:val="28"/>
        </w:rPr>
        <w:t>1. Удосконалення стратегічного управління та бізнес-моделі Центру.</w:t>
      </w:r>
    </w:p>
    <w:p w14:paraId="7C6EF543" w14:textId="77777777" w:rsidR="006B79F7" w:rsidRDefault="0017149C">
      <w:pPr>
        <w:pStyle w:val="ac"/>
        <w:widowControl w:val="0"/>
        <w:numPr>
          <w:ilvl w:val="0"/>
          <w:numId w:val="8"/>
        </w:numPr>
        <w:spacing w:before="0" w:beforeAutospacing="0" w:after="0" w:afterAutospacing="0" w:line="360" w:lineRule="auto"/>
        <w:jc w:val="both"/>
        <w:rPr>
          <w:sz w:val="28"/>
          <w:szCs w:val="28"/>
          <w:lang w:val="uk-UA"/>
        </w:rPr>
      </w:pPr>
      <w:r>
        <w:rPr>
          <w:rStyle w:val="a5"/>
          <w:b w:val="0"/>
          <w:sz w:val="28"/>
          <w:szCs w:val="28"/>
          <w:lang w:val="uk-UA"/>
        </w:rPr>
        <w:t>Запровадження сучасної бізнес-моделі типу “державне підприємництво + інноваційні сервіси”: ч</w:t>
      </w:r>
      <w:r>
        <w:rPr>
          <w:sz w:val="28"/>
          <w:szCs w:val="28"/>
          <w:lang w:val="uk-UA"/>
        </w:rPr>
        <w:t>іткий поділ напрямів на комерційні та соціально-орієнтовані; впровадження сервісів підвищеної комфортності (палати+, оплата хірургічних пакетів, страхові договори).</w:t>
      </w:r>
    </w:p>
    <w:p w14:paraId="47C40C5E" w14:textId="77777777" w:rsidR="006B79F7" w:rsidRDefault="0017149C">
      <w:pPr>
        <w:pStyle w:val="ac"/>
        <w:widowControl w:val="0"/>
        <w:numPr>
          <w:ilvl w:val="0"/>
          <w:numId w:val="8"/>
        </w:numPr>
        <w:spacing w:before="0" w:beforeAutospacing="0" w:after="0" w:afterAutospacing="0" w:line="360" w:lineRule="auto"/>
        <w:jc w:val="both"/>
        <w:rPr>
          <w:sz w:val="28"/>
          <w:szCs w:val="28"/>
          <w:lang w:val="uk-UA"/>
        </w:rPr>
      </w:pPr>
      <w:r>
        <w:rPr>
          <w:rStyle w:val="a5"/>
          <w:b w:val="0"/>
          <w:sz w:val="28"/>
          <w:szCs w:val="28"/>
          <w:lang w:val="uk-UA"/>
        </w:rPr>
        <w:t>Створення довгострокового інвестиційного плану (3–5 років): в</w:t>
      </w:r>
      <w:r>
        <w:rPr>
          <w:sz w:val="28"/>
          <w:szCs w:val="28"/>
          <w:lang w:val="uk-UA"/>
        </w:rPr>
        <w:t>рахування витрат на модернізацію обладнання, цифрові платформи, розвиток наукової комерціалізації; формування пулу проєктів для подання на грантові програми (EU4Health, Horizon Europe, USAID Health).</w:t>
      </w:r>
    </w:p>
    <w:p w14:paraId="471B43E5" w14:textId="77777777" w:rsidR="006B79F7" w:rsidRDefault="0017149C">
      <w:pPr>
        <w:pStyle w:val="ac"/>
        <w:widowControl w:val="0"/>
        <w:numPr>
          <w:ilvl w:val="0"/>
          <w:numId w:val="8"/>
        </w:numPr>
        <w:spacing w:before="0" w:beforeAutospacing="0" w:after="0" w:afterAutospacing="0" w:line="360" w:lineRule="auto"/>
        <w:jc w:val="both"/>
        <w:rPr>
          <w:sz w:val="28"/>
          <w:szCs w:val="28"/>
          <w:lang w:val="uk-UA"/>
        </w:rPr>
      </w:pPr>
      <w:r>
        <w:rPr>
          <w:rStyle w:val="a5"/>
          <w:b w:val="0"/>
          <w:sz w:val="28"/>
          <w:szCs w:val="28"/>
          <w:lang w:val="uk-UA"/>
        </w:rPr>
        <w:t xml:space="preserve">Запровадження системи KPI для керівників структурних підрозділів: </w:t>
      </w:r>
      <w:r>
        <w:rPr>
          <w:sz w:val="28"/>
          <w:szCs w:val="28"/>
          <w:lang w:val="uk-UA"/>
        </w:rPr>
        <w:t>KPI щодо фінансових результатів, кількості пацієнтів, рівня задоволеності, швидкості обслуговування, ефективності використання обладнання.</w:t>
      </w:r>
    </w:p>
    <w:p w14:paraId="7C08888C" w14:textId="77777777" w:rsidR="006B79F7" w:rsidRDefault="0017149C">
      <w:pPr>
        <w:pStyle w:val="2"/>
        <w:keepNext w:val="0"/>
        <w:keepLines w:val="0"/>
        <w:widowControl w:val="0"/>
        <w:spacing w:before="0" w:line="360" w:lineRule="auto"/>
        <w:ind w:firstLine="708"/>
        <w:jc w:val="both"/>
        <w:rPr>
          <w:rStyle w:val="a5"/>
          <w:rFonts w:ascii="Times New Roman" w:hAnsi="Times New Roman" w:cs="Times New Roman"/>
          <w:bCs/>
          <w:color w:val="auto"/>
          <w:sz w:val="28"/>
          <w:szCs w:val="28"/>
        </w:rPr>
      </w:pPr>
      <w:r>
        <w:rPr>
          <w:rStyle w:val="a5"/>
          <w:rFonts w:ascii="Times New Roman" w:hAnsi="Times New Roman" w:cs="Times New Roman"/>
          <w:bCs/>
          <w:color w:val="auto"/>
          <w:sz w:val="28"/>
          <w:szCs w:val="28"/>
        </w:rPr>
        <w:t>2. Розширення спектру платних медичних послуг.</w:t>
      </w:r>
    </w:p>
    <w:p w14:paraId="6E6B5353"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Виходячи з високої ефективності цього напрямку, доцільно:</w:t>
      </w:r>
    </w:p>
    <w:p w14:paraId="266889B8" w14:textId="77777777" w:rsidR="006B79F7" w:rsidRDefault="0017149C">
      <w:pPr>
        <w:pStyle w:val="ac"/>
        <w:widowControl w:val="0"/>
        <w:numPr>
          <w:ilvl w:val="0"/>
          <w:numId w:val="9"/>
        </w:numPr>
        <w:spacing w:before="0" w:beforeAutospacing="0" w:after="0" w:afterAutospacing="0" w:line="360" w:lineRule="auto"/>
        <w:jc w:val="both"/>
        <w:rPr>
          <w:sz w:val="28"/>
          <w:szCs w:val="28"/>
          <w:lang w:val="uk-UA"/>
        </w:rPr>
      </w:pPr>
      <w:r>
        <w:rPr>
          <w:rStyle w:val="a5"/>
          <w:b w:val="0"/>
          <w:sz w:val="28"/>
          <w:szCs w:val="28"/>
          <w:lang w:val="uk-UA"/>
        </w:rPr>
        <w:t>Впровадити нові види платних медичних послуг</w:t>
      </w:r>
      <w:r>
        <w:rPr>
          <w:sz w:val="28"/>
          <w:szCs w:val="28"/>
          <w:lang w:val="uk-UA"/>
        </w:rPr>
        <w:t>, а саме: пакети профілактичних оглядів для підприємств і навчальних закладів; спеціалізовані реабілітаційні програми (післяопераційні, неврологічні, кардіореабілітація); програми “second opinion”, розширені консультаційні пакети; комплексні хірургічні пакети з “усі включено”.</w:t>
      </w:r>
    </w:p>
    <w:p w14:paraId="13782759" w14:textId="77777777" w:rsidR="006B79F7" w:rsidRDefault="0017149C">
      <w:pPr>
        <w:pStyle w:val="ac"/>
        <w:widowControl w:val="0"/>
        <w:numPr>
          <w:ilvl w:val="0"/>
          <w:numId w:val="9"/>
        </w:numPr>
        <w:spacing w:before="0" w:beforeAutospacing="0" w:after="0" w:afterAutospacing="0" w:line="360" w:lineRule="auto"/>
        <w:jc w:val="both"/>
        <w:rPr>
          <w:sz w:val="28"/>
          <w:szCs w:val="28"/>
          <w:lang w:val="uk-UA"/>
        </w:rPr>
      </w:pPr>
      <w:r>
        <w:rPr>
          <w:rStyle w:val="a5"/>
          <w:b w:val="0"/>
          <w:sz w:val="28"/>
          <w:szCs w:val="28"/>
          <w:lang w:val="uk-UA"/>
        </w:rPr>
        <w:t xml:space="preserve">Розвиток стаціонару на принципах підприємництва: </w:t>
      </w:r>
      <w:r>
        <w:rPr>
          <w:sz w:val="28"/>
          <w:szCs w:val="28"/>
          <w:lang w:val="uk-UA"/>
        </w:rPr>
        <w:t xml:space="preserve">впровадження палат підвищеного комфорту; комплексні пакети післяопераційного догляду. </w:t>
      </w:r>
    </w:p>
    <w:p w14:paraId="038A2A19" w14:textId="77777777" w:rsidR="006B79F7" w:rsidRDefault="0017149C">
      <w:pPr>
        <w:pStyle w:val="ac"/>
        <w:widowControl w:val="0"/>
        <w:numPr>
          <w:ilvl w:val="0"/>
          <w:numId w:val="9"/>
        </w:numPr>
        <w:spacing w:before="0" w:beforeAutospacing="0" w:after="0" w:afterAutospacing="0" w:line="360" w:lineRule="auto"/>
        <w:jc w:val="both"/>
        <w:rPr>
          <w:sz w:val="28"/>
          <w:szCs w:val="28"/>
          <w:lang w:val="uk-UA"/>
        </w:rPr>
      </w:pPr>
      <w:r>
        <w:rPr>
          <w:rStyle w:val="a5"/>
          <w:b w:val="0"/>
          <w:sz w:val="28"/>
          <w:szCs w:val="28"/>
          <w:lang w:val="uk-UA"/>
        </w:rPr>
        <w:t xml:space="preserve">Розвиток корпоративної медицини: </w:t>
      </w:r>
      <w:r>
        <w:rPr>
          <w:sz w:val="28"/>
          <w:szCs w:val="28"/>
          <w:lang w:val="uk-UA"/>
        </w:rPr>
        <w:t>оформлення довгострокових договорів з підприємствами, страховими компаніями та університетами; запуск програми річного медичного супроводу для студентів ОНМедУ.</w:t>
      </w:r>
    </w:p>
    <w:p w14:paraId="667DAD5D" w14:textId="77777777" w:rsidR="006B79F7" w:rsidRDefault="0017149C">
      <w:pPr>
        <w:pStyle w:val="2"/>
        <w:keepNext w:val="0"/>
        <w:keepLines w:val="0"/>
        <w:widowControl w:val="0"/>
        <w:spacing w:before="0" w:line="360" w:lineRule="auto"/>
        <w:ind w:firstLine="708"/>
        <w:jc w:val="both"/>
        <w:rPr>
          <w:rStyle w:val="a5"/>
          <w:rFonts w:ascii="Times New Roman" w:hAnsi="Times New Roman" w:cs="Times New Roman"/>
          <w:bCs/>
          <w:color w:val="auto"/>
          <w:sz w:val="28"/>
          <w:szCs w:val="28"/>
        </w:rPr>
      </w:pPr>
      <w:r>
        <w:rPr>
          <w:rStyle w:val="a5"/>
          <w:rFonts w:ascii="Times New Roman" w:hAnsi="Times New Roman" w:cs="Times New Roman"/>
          <w:bCs/>
          <w:color w:val="auto"/>
          <w:sz w:val="28"/>
          <w:szCs w:val="28"/>
        </w:rPr>
        <w:t>3. Цифровізація як ключовий елемент підприємницького розвитку.</w:t>
      </w:r>
    </w:p>
    <w:p w14:paraId="7E70B008"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 xml:space="preserve">Цифрові інструменти підвищують доступність, зручність та конкурентоспроможність послуг Центру. </w:t>
      </w:r>
      <w:r>
        <w:rPr>
          <w:rStyle w:val="a5"/>
          <w:rFonts w:ascii="Times New Roman" w:hAnsi="Times New Roman" w:cs="Times New Roman"/>
          <w:bCs/>
          <w:color w:val="auto"/>
          <w:sz w:val="28"/>
          <w:szCs w:val="28"/>
        </w:rPr>
        <w:t>Рекомендовано до впровадження:</w:t>
      </w:r>
    </w:p>
    <w:p w14:paraId="441E2EA6" w14:textId="77777777" w:rsidR="006B79F7" w:rsidRDefault="0017149C">
      <w:pPr>
        <w:pStyle w:val="ac"/>
        <w:widowControl w:val="0"/>
        <w:numPr>
          <w:ilvl w:val="0"/>
          <w:numId w:val="10"/>
        </w:numPr>
        <w:spacing w:before="0" w:beforeAutospacing="0" w:after="0" w:afterAutospacing="0" w:line="360" w:lineRule="auto"/>
        <w:jc w:val="both"/>
        <w:rPr>
          <w:sz w:val="28"/>
          <w:szCs w:val="28"/>
          <w:lang w:val="uk-UA"/>
        </w:rPr>
      </w:pPr>
      <w:r>
        <w:rPr>
          <w:rStyle w:val="a5"/>
          <w:b w:val="0"/>
          <w:sz w:val="28"/>
          <w:szCs w:val="28"/>
          <w:lang w:val="uk-UA"/>
        </w:rPr>
        <w:lastRenderedPageBreak/>
        <w:t>Онлайн-платформа єдиного циклу обслуговування</w:t>
      </w:r>
      <w:r>
        <w:rPr>
          <w:sz w:val="28"/>
          <w:szCs w:val="28"/>
          <w:lang w:val="uk-UA"/>
        </w:rPr>
        <w:t>: онлайн-запис; електронна оплата; персональний кабінет пацієнта; чат з лікарем; телемедичні консультації.</w:t>
      </w:r>
    </w:p>
    <w:p w14:paraId="54F06700" w14:textId="77777777" w:rsidR="006B79F7" w:rsidRDefault="0017149C">
      <w:pPr>
        <w:pStyle w:val="ac"/>
        <w:widowControl w:val="0"/>
        <w:numPr>
          <w:ilvl w:val="0"/>
          <w:numId w:val="10"/>
        </w:numPr>
        <w:spacing w:before="0" w:beforeAutospacing="0" w:after="0" w:afterAutospacing="0" w:line="360" w:lineRule="auto"/>
        <w:jc w:val="both"/>
        <w:rPr>
          <w:sz w:val="28"/>
          <w:szCs w:val="28"/>
          <w:lang w:val="uk-UA"/>
        </w:rPr>
      </w:pPr>
      <w:r>
        <w:rPr>
          <w:rStyle w:val="a5"/>
          <w:b w:val="0"/>
          <w:sz w:val="28"/>
          <w:szCs w:val="28"/>
          <w:lang w:val="uk-UA"/>
        </w:rPr>
        <w:t xml:space="preserve">CRM-система для управління взаємовідносинами з пацієнтами: </w:t>
      </w:r>
      <w:r>
        <w:rPr>
          <w:sz w:val="28"/>
          <w:szCs w:val="28"/>
          <w:lang w:val="uk-UA"/>
        </w:rPr>
        <w:t>нагадування про візити; відстеження історії звернень; сегментація пацієнтів; автоматизація маркетингових кампаній.</w:t>
      </w:r>
    </w:p>
    <w:p w14:paraId="25AC5CE5" w14:textId="77777777" w:rsidR="006B79F7" w:rsidRDefault="0017149C">
      <w:pPr>
        <w:pStyle w:val="ac"/>
        <w:widowControl w:val="0"/>
        <w:numPr>
          <w:ilvl w:val="0"/>
          <w:numId w:val="10"/>
        </w:numPr>
        <w:spacing w:before="0" w:beforeAutospacing="0" w:after="0" w:afterAutospacing="0" w:line="360" w:lineRule="auto"/>
        <w:jc w:val="both"/>
        <w:rPr>
          <w:sz w:val="28"/>
          <w:szCs w:val="28"/>
          <w:lang w:val="uk-UA"/>
        </w:rPr>
      </w:pPr>
      <w:r>
        <w:rPr>
          <w:rStyle w:val="a5"/>
          <w:b w:val="0"/>
          <w:sz w:val="28"/>
          <w:szCs w:val="28"/>
          <w:lang w:val="uk-UA"/>
        </w:rPr>
        <w:t xml:space="preserve">Підключення штучного інтелекту для аналізу потоку пацієнтів і завантаження відділень: </w:t>
      </w:r>
      <w:r>
        <w:rPr>
          <w:sz w:val="28"/>
          <w:szCs w:val="28"/>
          <w:lang w:val="uk-UA"/>
        </w:rPr>
        <w:t>оптимізація графіків лікарів; скорочення часу очікування; прогнозування попиту на послуги.</w:t>
      </w:r>
    </w:p>
    <w:p w14:paraId="60747443" w14:textId="77777777" w:rsidR="006B79F7" w:rsidRDefault="0017149C">
      <w:pPr>
        <w:pStyle w:val="2"/>
        <w:keepNext w:val="0"/>
        <w:keepLines w:val="0"/>
        <w:widowControl w:val="0"/>
        <w:spacing w:before="0" w:line="360" w:lineRule="auto"/>
        <w:ind w:firstLine="708"/>
        <w:jc w:val="both"/>
        <w:rPr>
          <w:rStyle w:val="a5"/>
          <w:rFonts w:ascii="Times New Roman" w:hAnsi="Times New Roman" w:cs="Times New Roman"/>
          <w:bCs/>
          <w:color w:val="auto"/>
          <w:sz w:val="28"/>
          <w:szCs w:val="28"/>
        </w:rPr>
      </w:pPr>
      <w:r>
        <w:rPr>
          <w:rStyle w:val="a5"/>
          <w:rFonts w:ascii="Times New Roman" w:hAnsi="Times New Roman" w:cs="Times New Roman"/>
          <w:bCs/>
          <w:color w:val="auto"/>
          <w:sz w:val="28"/>
          <w:szCs w:val="28"/>
        </w:rPr>
        <w:t>4. Посилення кадрової політики та системи мотивації.</w:t>
      </w:r>
    </w:p>
    <w:p w14:paraId="6E9D1B95"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Оскільки кадровий дефіцит визначено одним з головних викликів, необхідно:</w:t>
      </w:r>
    </w:p>
    <w:p w14:paraId="1C381CE4" w14:textId="77777777" w:rsidR="006B79F7" w:rsidRDefault="0017149C">
      <w:pPr>
        <w:pStyle w:val="ac"/>
        <w:widowControl w:val="0"/>
        <w:numPr>
          <w:ilvl w:val="0"/>
          <w:numId w:val="11"/>
        </w:numPr>
        <w:spacing w:before="0" w:beforeAutospacing="0" w:after="0" w:afterAutospacing="0" w:line="360" w:lineRule="auto"/>
        <w:jc w:val="both"/>
        <w:rPr>
          <w:sz w:val="28"/>
          <w:szCs w:val="28"/>
          <w:lang w:val="uk-UA"/>
        </w:rPr>
      </w:pPr>
      <w:r>
        <w:rPr>
          <w:rStyle w:val="a5"/>
          <w:b w:val="0"/>
          <w:sz w:val="28"/>
          <w:szCs w:val="28"/>
          <w:lang w:val="uk-UA"/>
        </w:rPr>
        <w:t xml:space="preserve">Створити інтегровану систему професійного розвитку: </w:t>
      </w:r>
      <w:r>
        <w:rPr>
          <w:sz w:val="28"/>
          <w:szCs w:val="28"/>
          <w:lang w:val="uk-UA"/>
        </w:rPr>
        <w:t>внутрішні курси та тренінги; наставництво для молодих лікарів; оплачувані стажування у партнерських лікарнях ЄС.</w:t>
      </w:r>
    </w:p>
    <w:p w14:paraId="2FB910C0" w14:textId="77777777" w:rsidR="006B79F7" w:rsidRDefault="0017149C">
      <w:pPr>
        <w:pStyle w:val="ac"/>
        <w:widowControl w:val="0"/>
        <w:numPr>
          <w:ilvl w:val="0"/>
          <w:numId w:val="11"/>
        </w:numPr>
        <w:spacing w:before="0" w:beforeAutospacing="0" w:after="0" w:afterAutospacing="0" w:line="360" w:lineRule="auto"/>
        <w:jc w:val="both"/>
        <w:rPr>
          <w:sz w:val="28"/>
          <w:szCs w:val="28"/>
          <w:lang w:val="uk-UA"/>
        </w:rPr>
      </w:pPr>
      <w:r>
        <w:rPr>
          <w:rStyle w:val="a5"/>
          <w:b w:val="0"/>
          <w:sz w:val="28"/>
          <w:szCs w:val="28"/>
          <w:lang w:val="uk-UA"/>
        </w:rPr>
        <w:t xml:space="preserve">Запровадити гнучку систему мотивації персоналу: </w:t>
      </w:r>
      <w:r>
        <w:rPr>
          <w:sz w:val="28"/>
          <w:szCs w:val="28"/>
          <w:lang w:val="uk-UA"/>
        </w:rPr>
        <w:t>надбавки за результатами KPI; участь у прибутку від комерційних напрямів; премії за залучення нових пацієнтів (за етичними правилами).</w:t>
      </w:r>
    </w:p>
    <w:p w14:paraId="69C458E2" w14:textId="77777777" w:rsidR="006B79F7" w:rsidRDefault="0017149C">
      <w:pPr>
        <w:pStyle w:val="ac"/>
        <w:widowControl w:val="0"/>
        <w:numPr>
          <w:ilvl w:val="0"/>
          <w:numId w:val="11"/>
        </w:numPr>
        <w:spacing w:before="0" w:beforeAutospacing="0" w:after="0" w:afterAutospacing="0" w:line="360" w:lineRule="auto"/>
        <w:jc w:val="both"/>
        <w:rPr>
          <w:sz w:val="28"/>
          <w:szCs w:val="28"/>
          <w:lang w:val="uk-UA"/>
        </w:rPr>
      </w:pPr>
      <w:r>
        <w:rPr>
          <w:rStyle w:val="a5"/>
          <w:b w:val="0"/>
          <w:sz w:val="28"/>
          <w:szCs w:val="28"/>
          <w:lang w:val="uk-UA"/>
        </w:rPr>
        <w:t xml:space="preserve">Формування кадрового резерву для ключових посад: </w:t>
      </w:r>
      <w:r>
        <w:rPr>
          <w:sz w:val="28"/>
          <w:szCs w:val="28"/>
          <w:lang w:val="uk-UA"/>
        </w:rPr>
        <w:t>підготовка майбутніх керівників з числа працівників Центру; спеціалізовані управлінські програми.</w:t>
      </w:r>
    </w:p>
    <w:p w14:paraId="2C92CCB7"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Style w:val="a5"/>
          <w:rFonts w:ascii="Times New Roman" w:hAnsi="Times New Roman" w:cs="Times New Roman"/>
          <w:bCs/>
          <w:color w:val="auto"/>
          <w:sz w:val="28"/>
          <w:szCs w:val="28"/>
        </w:rPr>
        <w:t>5. Активізація маркетингової діяльності та брендингу.</w:t>
      </w:r>
    </w:p>
    <w:p w14:paraId="16C45090" w14:textId="77777777" w:rsidR="006B79F7" w:rsidRDefault="0017149C">
      <w:pPr>
        <w:pStyle w:val="ac"/>
        <w:widowControl w:val="0"/>
        <w:numPr>
          <w:ilvl w:val="0"/>
          <w:numId w:val="12"/>
        </w:numPr>
        <w:spacing w:before="0" w:beforeAutospacing="0" w:after="0" w:afterAutospacing="0" w:line="360" w:lineRule="auto"/>
        <w:jc w:val="both"/>
        <w:rPr>
          <w:sz w:val="28"/>
          <w:szCs w:val="28"/>
          <w:lang w:val="uk-UA"/>
        </w:rPr>
      </w:pPr>
      <w:r>
        <w:rPr>
          <w:rStyle w:val="a5"/>
          <w:b w:val="0"/>
          <w:sz w:val="28"/>
          <w:szCs w:val="28"/>
          <w:lang w:val="uk-UA"/>
        </w:rPr>
        <w:t xml:space="preserve">Ребрендинг Центру як медичної установи нового типу: </w:t>
      </w:r>
      <w:r>
        <w:rPr>
          <w:sz w:val="28"/>
          <w:szCs w:val="28"/>
          <w:lang w:val="uk-UA"/>
        </w:rPr>
        <w:t>акцент на поєднанні науки, медицини та інновацій.</w:t>
      </w:r>
    </w:p>
    <w:p w14:paraId="0453741D" w14:textId="77777777" w:rsidR="006B79F7" w:rsidRDefault="0017149C">
      <w:pPr>
        <w:pStyle w:val="ac"/>
        <w:widowControl w:val="0"/>
        <w:numPr>
          <w:ilvl w:val="0"/>
          <w:numId w:val="12"/>
        </w:numPr>
        <w:spacing w:before="0" w:beforeAutospacing="0" w:after="0" w:afterAutospacing="0" w:line="360" w:lineRule="auto"/>
        <w:jc w:val="both"/>
        <w:rPr>
          <w:sz w:val="28"/>
          <w:szCs w:val="28"/>
          <w:lang w:val="uk-UA"/>
        </w:rPr>
      </w:pPr>
      <w:r>
        <w:rPr>
          <w:rStyle w:val="a5"/>
          <w:b w:val="0"/>
          <w:sz w:val="28"/>
          <w:szCs w:val="28"/>
          <w:lang w:val="uk-UA"/>
        </w:rPr>
        <w:t xml:space="preserve">Побудова сучасної маркетингової платформи: </w:t>
      </w:r>
      <w:r>
        <w:rPr>
          <w:sz w:val="28"/>
          <w:szCs w:val="28"/>
          <w:lang w:val="uk-UA"/>
        </w:rPr>
        <w:t xml:space="preserve"> SEO та SMM просування; регулярне інформування про нові послуги; відеоконтент “лікар пояснює”, “реабілітація: історії пацієнтів”.</w:t>
      </w:r>
    </w:p>
    <w:p w14:paraId="109A412C" w14:textId="77777777" w:rsidR="006B79F7" w:rsidRDefault="0017149C">
      <w:pPr>
        <w:pStyle w:val="ac"/>
        <w:widowControl w:val="0"/>
        <w:numPr>
          <w:ilvl w:val="0"/>
          <w:numId w:val="12"/>
        </w:numPr>
        <w:spacing w:before="0" w:beforeAutospacing="0" w:after="0" w:afterAutospacing="0" w:line="360" w:lineRule="auto"/>
        <w:jc w:val="both"/>
        <w:rPr>
          <w:sz w:val="28"/>
          <w:szCs w:val="28"/>
          <w:lang w:val="uk-UA"/>
        </w:rPr>
      </w:pPr>
      <w:r>
        <w:rPr>
          <w:rStyle w:val="a5"/>
          <w:b w:val="0"/>
          <w:sz w:val="28"/>
          <w:szCs w:val="28"/>
          <w:lang w:val="uk-UA"/>
        </w:rPr>
        <w:t xml:space="preserve">Підсилення позиціонування як університетської клініки: </w:t>
      </w:r>
      <w:r>
        <w:rPr>
          <w:sz w:val="28"/>
          <w:szCs w:val="28"/>
          <w:lang w:val="uk-UA"/>
        </w:rPr>
        <w:t>акцент на унікальних можливостях: доступ до наукових розробок, участь у клінічних випробуваннях, високий рівень фахівців.</w:t>
      </w:r>
    </w:p>
    <w:p w14:paraId="08C2F726" w14:textId="77777777" w:rsidR="006B79F7" w:rsidRDefault="0017149C">
      <w:pPr>
        <w:pStyle w:val="2"/>
        <w:keepNext w:val="0"/>
        <w:keepLines w:val="0"/>
        <w:widowControl w:val="0"/>
        <w:spacing w:before="0" w:line="360" w:lineRule="auto"/>
        <w:ind w:firstLine="708"/>
        <w:jc w:val="both"/>
        <w:rPr>
          <w:rStyle w:val="a5"/>
          <w:rFonts w:ascii="Times New Roman" w:hAnsi="Times New Roman" w:cs="Times New Roman"/>
          <w:bCs/>
          <w:color w:val="auto"/>
          <w:sz w:val="28"/>
          <w:szCs w:val="28"/>
        </w:rPr>
      </w:pPr>
      <w:r>
        <w:rPr>
          <w:rStyle w:val="a5"/>
          <w:rFonts w:ascii="Times New Roman" w:hAnsi="Times New Roman" w:cs="Times New Roman"/>
          <w:bCs/>
          <w:color w:val="auto"/>
          <w:sz w:val="28"/>
          <w:szCs w:val="28"/>
        </w:rPr>
        <w:lastRenderedPageBreak/>
        <w:t>6. Комерціалізація наукових розробок ОНМедУ.</w:t>
      </w:r>
    </w:p>
    <w:p w14:paraId="3A902F31"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Згідно з аналізом, цей напрям має високу довгострокову ефективність. Пропозиції:</w:t>
      </w:r>
    </w:p>
    <w:p w14:paraId="486F4218" w14:textId="77777777" w:rsidR="006B79F7" w:rsidRDefault="0017149C">
      <w:pPr>
        <w:pStyle w:val="ac"/>
        <w:widowControl w:val="0"/>
        <w:numPr>
          <w:ilvl w:val="0"/>
          <w:numId w:val="13"/>
        </w:numPr>
        <w:spacing w:before="0" w:beforeAutospacing="0" w:after="0" w:afterAutospacing="0" w:line="360" w:lineRule="auto"/>
        <w:jc w:val="both"/>
        <w:rPr>
          <w:sz w:val="28"/>
          <w:szCs w:val="28"/>
          <w:lang w:val="uk-UA"/>
        </w:rPr>
      </w:pPr>
      <w:r>
        <w:rPr>
          <w:rStyle w:val="a5"/>
          <w:b w:val="0"/>
          <w:sz w:val="28"/>
          <w:szCs w:val="28"/>
          <w:lang w:val="uk-UA"/>
        </w:rPr>
        <w:t xml:space="preserve">Створення науково-медичного інноваційного офісу при Центрі: </w:t>
      </w:r>
      <w:r>
        <w:rPr>
          <w:sz w:val="28"/>
          <w:szCs w:val="28"/>
          <w:lang w:val="uk-UA"/>
        </w:rPr>
        <w:t>супровід патентування; виведення розробок на ринок; переговори з фармацевтичними компаніями.</w:t>
      </w:r>
    </w:p>
    <w:p w14:paraId="6F475DA5" w14:textId="77777777" w:rsidR="006B79F7" w:rsidRDefault="0017149C">
      <w:pPr>
        <w:pStyle w:val="ac"/>
        <w:widowControl w:val="0"/>
        <w:numPr>
          <w:ilvl w:val="0"/>
          <w:numId w:val="13"/>
        </w:numPr>
        <w:spacing w:before="0" w:beforeAutospacing="0" w:after="0" w:afterAutospacing="0" w:line="360" w:lineRule="auto"/>
        <w:jc w:val="both"/>
        <w:rPr>
          <w:sz w:val="28"/>
          <w:szCs w:val="28"/>
          <w:lang w:val="uk-UA"/>
        </w:rPr>
      </w:pPr>
      <w:r>
        <w:rPr>
          <w:rStyle w:val="a5"/>
          <w:b w:val="0"/>
          <w:sz w:val="28"/>
          <w:szCs w:val="28"/>
          <w:lang w:val="uk-UA"/>
        </w:rPr>
        <w:t xml:space="preserve">Запуск клінічних досліджень як джерела фінансування: </w:t>
      </w:r>
      <w:r>
        <w:rPr>
          <w:sz w:val="28"/>
          <w:szCs w:val="28"/>
          <w:lang w:val="uk-UA"/>
        </w:rPr>
        <w:t>співпраця з міжнародними CRO; створення платформи для досліджень.</w:t>
      </w:r>
    </w:p>
    <w:p w14:paraId="1FE0755C" w14:textId="77777777" w:rsidR="006B79F7" w:rsidRDefault="0017149C">
      <w:pPr>
        <w:pStyle w:val="2"/>
        <w:keepNext w:val="0"/>
        <w:keepLines w:val="0"/>
        <w:widowControl w:val="0"/>
        <w:spacing w:before="0" w:line="360" w:lineRule="auto"/>
        <w:ind w:firstLine="708"/>
        <w:jc w:val="both"/>
        <w:rPr>
          <w:rStyle w:val="a5"/>
          <w:rFonts w:ascii="Times New Roman" w:hAnsi="Times New Roman" w:cs="Times New Roman"/>
          <w:bCs/>
          <w:color w:val="auto"/>
          <w:sz w:val="28"/>
          <w:szCs w:val="28"/>
        </w:rPr>
      </w:pPr>
      <w:r>
        <w:rPr>
          <w:rStyle w:val="a5"/>
          <w:rFonts w:ascii="Times New Roman" w:hAnsi="Times New Roman" w:cs="Times New Roman"/>
          <w:bCs/>
          <w:color w:val="auto"/>
          <w:sz w:val="28"/>
          <w:szCs w:val="28"/>
        </w:rPr>
        <w:t>7. Залучення зовнішніх джерел фінансування.</w:t>
      </w:r>
    </w:p>
    <w:p w14:paraId="01030BFD"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Fonts w:ascii="Times New Roman" w:hAnsi="Times New Roman" w:cs="Times New Roman"/>
          <w:b w:val="0"/>
          <w:color w:val="auto"/>
          <w:sz w:val="28"/>
          <w:szCs w:val="28"/>
        </w:rPr>
        <w:t>Оскільки Центр має обмежені власні фінансові ресурси, слід розширити канали надходжень:</w:t>
      </w:r>
    </w:p>
    <w:p w14:paraId="6CEF99E9" w14:textId="77777777" w:rsidR="006B79F7" w:rsidRDefault="0017149C">
      <w:pPr>
        <w:pStyle w:val="ac"/>
        <w:widowControl w:val="0"/>
        <w:numPr>
          <w:ilvl w:val="0"/>
          <w:numId w:val="14"/>
        </w:numPr>
        <w:spacing w:before="0" w:beforeAutospacing="0" w:after="0" w:afterAutospacing="0" w:line="360" w:lineRule="auto"/>
        <w:jc w:val="both"/>
        <w:rPr>
          <w:sz w:val="28"/>
          <w:szCs w:val="28"/>
          <w:lang w:val="uk-UA"/>
        </w:rPr>
      </w:pPr>
      <w:r>
        <w:rPr>
          <w:rStyle w:val="a5"/>
          <w:b w:val="0"/>
          <w:sz w:val="28"/>
          <w:szCs w:val="28"/>
          <w:lang w:val="uk-UA"/>
        </w:rPr>
        <w:t>Участь у міжнародних грантових програмах</w:t>
      </w:r>
      <w:r>
        <w:rPr>
          <w:sz w:val="28"/>
          <w:szCs w:val="28"/>
          <w:lang w:val="uk-UA"/>
        </w:rPr>
        <w:t xml:space="preserve"> (EU4Health, USAID, WHO, UHNDP).</w:t>
      </w:r>
    </w:p>
    <w:p w14:paraId="3EF077E8" w14:textId="77777777" w:rsidR="006B79F7" w:rsidRDefault="0017149C">
      <w:pPr>
        <w:pStyle w:val="ac"/>
        <w:widowControl w:val="0"/>
        <w:numPr>
          <w:ilvl w:val="0"/>
          <w:numId w:val="14"/>
        </w:numPr>
        <w:spacing w:before="0" w:beforeAutospacing="0" w:after="0" w:afterAutospacing="0" w:line="360" w:lineRule="auto"/>
        <w:jc w:val="both"/>
        <w:rPr>
          <w:sz w:val="28"/>
          <w:szCs w:val="28"/>
          <w:lang w:val="uk-UA"/>
        </w:rPr>
      </w:pPr>
      <w:r>
        <w:rPr>
          <w:rStyle w:val="a5"/>
          <w:b w:val="0"/>
          <w:sz w:val="28"/>
          <w:szCs w:val="28"/>
          <w:lang w:val="uk-UA"/>
        </w:rPr>
        <w:t xml:space="preserve">Партнерство з бізнесом (МРТ / КТ центри, лабораторії): </w:t>
      </w:r>
      <w:r>
        <w:rPr>
          <w:sz w:val="28"/>
          <w:szCs w:val="28"/>
          <w:lang w:val="uk-UA"/>
        </w:rPr>
        <w:t>модель “shared revenue” (розподіл доходів).</w:t>
      </w:r>
    </w:p>
    <w:p w14:paraId="2A34D2D4" w14:textId="77777777" w:rsidR="006B79F7" w:rsidRDefault="0017149C">
      <w:pPr>
        <w:pStyle w:val="ac"/>
        <w:widowControl w:val="0"/>
        <w:numPr>
          <w:ilvl w:val="0"/>
          <w:numId w:val="14"/>
        </w:numPr>
        <w:spacing w:before="0" w:beforeAutospacing="0" w:after="0" w:afterAutospacing="0" w:line="360" w:lineRule="auto"/>
        <w:jc w:val="both"/>
        <w:rPr>
          <w:sz w:val="28"/>
          <w:szCs w:val="28"/>
          <w:lang w:val="uk-UA"/>
        </w:rPr>
      </w:pPr>
      <w:r>
        <w:rPr>
          <w:rStyle w:val="a5"/>
          <w:b w:val="0"/>
          <w:sz w:val="28"/>
          <w:szCs w:val="28"/>
          <w:lang w:val="uk-UA"/>
        </w:rPr>
        <w:t xml:space="preserve">Створення благодійного фонду при Центрі: </w:t>
      </w:r>
      <w:r>
        <w:rPr>
          <w:sz w:val="28"/>
          <w:szCs w:val="28"/>
          <w:lang w:val="uk-UA"/>
        </w:rPr>
        <w:t>залучення коштів на обладнання, реабілітаційні програми, підтримку пацієнтів.</w:t>
      </w:r>
    </w:p>
    <w:p w14:paraId="4788D6CC" w14:textId="77777777" w:rsidR="006B79F7" w:rsidRDefault="0017149C">
      <w:pPr>
        <w:pStyle w:val="2"/>
        <w:keepNext w:val="0"/>
        <w:keepLines w:val="0"/>
        <w:widowControl w:val="0"/>
        <w:spacing w:before="0" w:line="360" w:lineRule="auto"/>
        <w:ind w:firstLine="708"/>
        <w:jc w:val="both"/>
        <w:rPr>
          <w:rFonts w:ascii="Times New Roman" w:hAnsi="Times New Roman" w:cs="Times New Roman"/>
          <w:b w:val="0"/>
          <w:color w:val="auto"/>
          <w:sz w:val="28"/>
          <w:szCs w:val="28"/>
        </w:rPr>
      </w:pPr>
      <w:r>
        <w:rPr>
          <w:rStyle w:val="a5"/>
          <w:rFonts w:ascii="Times New Roman" w:hAnsi="Times New Roman" w:cs="Times New Roman"/>
          <w:bCs/>
          <w:color w:val="auto"/>
          <w:sz w:val="28"/>
          <w:szCs w:val="28"/>
        </w:rPr>
        <w:t>8. Оптимізація внутрішніх управлінських процесів.</w:t>
      </w:r>
    </w:p>
    <w:p w14:paraId="67A52A65" w14:textId="77777777" w:rsidR="006B79F7" w:rsidRDefault="0017149C">
      <w:pPr>
        <w:pStyle w:val="ac"/>
        <w:widowControl w:val="0"/>
        <w:numPr>
          <w:ilvl w:val="0"/>
          <w:numId w:val="15"/>
        </w:numPr>
        <w:spacing w:before="0" w:beforeAutospacing="0" w:after="0" w:afterAutospacing="0" w:line="360" w:lineRule="auto"/>
        <w:jc w:val="both"/>
        <w:rPr>
          <w:sz w:val="28"/>
          <w:szCs w:val="28"/>
          <w:lang w:val="uk-UA"/>
        </w:rPr>
      </w:pPr>
      <w:r>
        <w:rPr>
          <w:rStyle w:val="a5"/>
          <w:b w:val="0"/>
          <w:sz w:val="28"/>
          <w:szCs w:val="28"/>
          <w:lang w:val="uk-UA"/>
        </w:rPr>
        <w:t xml:space="preserve">Впровадження системи внутрішнього аудиту: </w:t>
      </w:r>
      <w:r>
        <w:rPr>
          <w:sz w:val="28"/>
          <w:szCs w:val="28"/>
          <w:lang w:val="uk-UA"/>
        </w:rPr>
        <w:t>аналіз витрат; ефективність використання обладнання; оптимізація логістики пацієнтів.</w:t>
      </w:r>
    </w:p>
    <w:p w14:paraId="4658602C" w14:textId="77777777" w:rsidR="006B79F7" w:rsidRDefault="0017149C">
      <w:pPr>
        <w:pStyle w:val="ac"/>
        <w:widowControl w:val="0"/>
        <w:numPr>
          <w:ilvl w:val="0"/>
          <w:numId w:val="15"/>
        </w:numPr>
        <w:spacing w:before="0" w:beforeAutospacing="0" w:after="0" w:afterAutospacing="0" w:line="360" w:lineRule="auto"/>
        <w:jc w:val="both"/>
        <w:rPr>
          <w:sz w:val="28"/>
          <w:szCs w:val="28"/>
          <w:lang w:val="uk-UA"/>
        </w:rPr>
      </w:pPr>
      <w:r>
        <w:rPr>
          <w:rStyle w:val="a5"/>
          <w:b w:val="0"/>
          <w:sz w:val="28"/>
          <w:szCs w:val="28"/>
          <w:lang w:val="uk-UA"/>
        </w:rPr>
        <w:t xml:space="preserve">Перехід на бюджетування, орієнтоване на результат: </w:t>
      </w:r>
      <w:r>
        <w:rPr>
          <w:sz w:val="28"/>
          <w:szCs w:val="28"/>
          <w:lang w:val="uk-UA"/>
        </w:rPr>
        <w:t>планування витрат за напрямками; прив’язка до KPI.</w:t>
      </w:r>
    </w:p>
    <w:p w14:paraId="476E5F03" w14:textId="77777777" w:rsidR="006B79F7" w:rsidRDefault="0017149C">
      <w:pPr>
        <w:pStyle w:val="ac"/>
        <w:widowControl w:val="0"/>
        <w:numPr>
          <w:ilvl w:val="0"/>
          <w:numId w:val="15"/>
        </w:numPr>
        <w:spacing w:before="0" w:beforeAutospacing="0" w:after="0" w:afterAutospacing="0" w:line="360" w:lineRule="auto"/>
        <w:jc w:val="both"/>
        <w:rPr>
          <w:sz w:val="28"/>
          <w:szCs w:val="28"/>
          <w:lang w:val="uk-UA"/>
        </w:rPr>
      </w:pPr>
      <w:r>
        <w:rPr>
          <w:rStyle w:val="a5"/>
          <w:b w:val="0"/>
          <w:sz w:val="28"/>
          <w:szCs w:val="28"/>
          <w:lang w:val="uk-UA"/>
        </w:rPr>
        <w:t xml:space="preserve">Удосконалення документообігу через цифрові системи: </w:t>
      </w:r>
      <w:r>
        <w:rPr>
          <w:sz w:val="28"/>
          <w:szCs w:val="28"/>
          <w:lang w:val="uk-UA"/>
        </w:rPr>
        <w:t>скорочення часу на прийом; мінімізація людських помилок; прозорість фінансових операцій.</w:t>
      </w:r>
    </w:p>
    <w:p w14:paraId="703FC68F" w14:textId="77777777" w:rsidR="006B79F7" w:rsidRDefault="0017149C">
      <w:pPr>
        <w:pStyle w:val="ac"/>
        <w:widowControl w:val="0"/>
        <w:spacing w:before="0" w:beforeAutospacing="0" w:after="0" w:afterAutospacing="0" w:line="360" w:lineRule="auto"/>
        <w:ind w:firstLine="708"/>
        <w:jc w:val="both"/>
        <w:rPr>
          <w:sz w:val="28"/>
          <w:szCs w:val="28"/>
          <w:lang w:val="uk-UA"/>
        </w:rPr>
      </w:pPr>
      <w:r>
        <w:rPr>
          <w:sz w:val="28"/>
          <w:szCs w:val="28"/>
          <w:lang w:val="uk-UA"/>
        </w:rPr>
        <w:t xml:space="preserve">Реалізація запропонованих заходів дозволить Центру реконструктивної та відновної медицини ОНМедУ: зміцнити фінансову автономію; підвищити привабливість для пацієнтів і партнерів; модернізувати внутрішні бізнес-процеси; покращити якість і доступність медичних послуг; сформувати конкурентні переваги у регіональному медичному ринку; перетворитися на </w:t>
      </w:r>
      <w:r>
        <w:rPr>
          <w:sz w:val="28"/>
          <w:szCs w:val="28"/>
          <w:lang w:val="uk-UA"/>
        </w:rPr>
        <w:lastRenderedPageBreak/>
        <w:t>інноваційну та стійку університетську клініку нового покоління (табл. 3.2).</w:t>
      </w:r>
    </w:p>
    <w:p w14:paraId="59B15F4C" w14:textId="77777777" w:rsidR="006B79F7" w:rsidRDefault="0017149C">
      <w:pPr>
        <w:pStyle w:val="1"/>
        <w:keepNext w:val="0"/>
        <w:keepLines w:val="0"/>
        <w:widowControl w:val="0"/>
        <w:spacing w:before="0" w:line="360" w:lineRule="auto"/>
        <w:jc w:val="right"/>
        <w:rPr>
          <w:rStyle w:val="a5"/>
          <w:rFonts w:ascii="Times New Roman" w:hAnsi="Times New Roman" w:cs="Times New Roman"/>
          <w:bCs w:val="0"/>
          <w:color w:val="auto"/>
          <w:sz w:val="28"/>
          <w:szCs w:val="28"/>
        </w:rPr>
      </w:pPr>
      <w:r>
        <w:rPr>
          <w:rStyle w:val="a5"/>
          <w:rFonts w:ascii="Times New Roman" w:hAnsi="Times New Roman" w:cs="Times New Roman"/>
          <w:bCs w:val="0"/>
          <w:color w:val="auto"/>
          <w:sz w:val="28"/>
          <w:szCs w:val="28"/>
        </w:rPr>
        <w:t>Таблиця 3.2</w:t>
      </w:r>
    </w:p>
    <w:p w14:paraId="04A1D07D" w14:textId="77777777" w:rsidR="006B79F7" w:rsidRDefault="0017149C">
      <w:pPr>
        <w:pStyle w:val="1"/>
        <w:keepNext w:val="0"/>
        <w:keepLines w:val="0"/>
        <w:widowControl w:val="0"/>
        <w:spacing w:before="0" w:line="360" w:lineRule="auto"/>
        <w:jc w:val="center"/>
        <w:rPr>
          <w:rFonts w:ascii="Times New Roman" w:hAnsi="Times New Roman" w:cs="Times New Roman"/>
          <w:color w:val="auto"/>
          <w:sz w:val="28"/>
          <w:szCs w:val="28"/>
        </w:rPr>
      </w:pPr>
      <w:r>
        <w:rPr>
          <w:rStyle w:val="a5"/>
          <w:rFonts w:ascii="Times New Roman" w:hAnsi="Times New Roman" w:cs="Times New Roman"/>
          <w:bCs w:val="0"/>
          <w:color w:val="auto"/>
          <w:sz w:val="28"/>
          <w:szCs w:val="28"/>
        </w:rPr>
        <w:t>Модель удосконалення управління Центром реконструктивної та відновної медицини (Університетська клініка)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77"/>
        <w:gridCol w:w="2096"/>
        <w:gridCol w:w="2799"/>
        <w:gridCol w:w="2572"/>
      </w:tblGrid>
      <w:tr w:rsidR="006B79F7" w14:paraId="370398FB" w14:textId="77777777">
        <w:trPr>
          <w:tblHeader/>
          <w:tblCellSpacing w:w="15" w:type="dxa"/>
        </w:trPr>
        <w:tc>
          <w:tcPr>
            <w:tcW w:w="981" w:type="pct"/>
            <w:vAlign w:val="center"/>
          </w:tcPr>
          <w:p w14:paraId="4EC7F1C6" w14:textId="77777777" w:rsidR="006B79F7" w:rsidRDefault="006B79F7">
            <w:pPr>
              <w:widowControl w:val="0"/>
              <w:spacing w:after="0" w:line="240" w:lineRule="auto"/>
              <w:jc w:val="center"/>
              <w:rPr>
                <w:rStyle w:val="a5"/>
                <w:rFonts w:ascii="Times New Roman" w:hAnsi="Times New Roman" w:cs="Times New Roman"/>
                <w:sz w:val="24"/>
                <w:szCs w:val="24"/>
              </w:rPr>
            </w:pPr>
          </w:p>
          <w:p w14:paraId="679312C4" w14:textId="77777777" w:rsidR="006B79F7" w:rsidRDefault="0017149C">
            <w:pPr>
              <w:widowControl w:val="0"/>
              <w:spacing w:after="0" w:line="240" w:lineRule="auto"/>
              <w:jc w:val="center"/>
              <w:rPr>
                <w:rStyle w:val="a5"/>
                <w:rFonts w:ascii="Times New Roman" w:hAnsi="Times New Roman" w:cs="Times New Roman"/>
                <w:sz w:val="24"/>
                <w:szCs w:val="24"/>
              </w:rPr>
            </w:pPr>
            <w:r>
              <w:rPr>
                <w:rStyle w:val="a5"/>
                <w:rFonts w:ascii="Times New Roman" w:hAnsi="Times New Roman" w:cs="Times New Roman"/>
                <w:sz w:val="24"/>
                <w:szCs w:val="24"/>
              </w:rPr>
              <w:t>Компонент управління</w:t>
            </w:r>
          </w:p>
          <w:p w14:paraId="1043E13E" w14:textId="77777777" w:rsidR="006B79F7" w:rsidRDefault="006B79F7">
            <w:pPr>
              <w:widowControl w:val="0"/>
              <w:spacing w:after="0" w:line="240" w:lineRule="auto"/>
              <w:jc w:val="center"/>
              <w:rPr>
                <w:rFonts w:ascii="Times New Roman" w:hAnsi="Times New Roman" w:cs="Times New Roman"/>
                <w:b/>
                <w:bCs/>
                <w:sz w:val="24"/>
                <w:szCs w:val="24"/>
              </w:rPr>
            </w:pPr>
          </w:p>
        </w:tc>
        <w:tc>
          <w:tcPr>
            <w:tcW w:w="1106" w:type="pct"/>
            <w:vAlign w:val="center"/>
          </w:tcPr>
          <w:p w14:paraId="1724BA8D" w14:textId="77777777" w:rsidR="006B79F7" w:rsidRDefault="006B79F7">
            <w:pPr>
              <w:widowControl w:val="0"/>
              <w:spacing w:after="0" w:line="240" w:lineRule="auto"/>
              <w:jc w:val="center"/>
              <w:rPr>
                <w:rStyle w:val="a5"/>
                <w:rFonts w:ascii="Times New Roman" w:hAnsi="Times New Roman" w:cs="Times New Roman"/>
                <w:sz w:val="24"/>
                <w:szCs w:val="24"/>
              </w:rPr>
            </w:pPr>
          </w:p>
          <w:p w14:paraId="77158172" w14:textId="77777777" w:rsidR="006B79F7" w:rsidRDefault="0017149C">
            <w:pPr>
              <w:widowControl w:val="0"/>
              <w:spacing w:after="0" w:line="240" w:lineRule="auto"/>
              <w:jc w:val="center"/>
              <w:rPr>
                <w:rStyle w:val="a5"/>
                <w:rFonts w:ascii="Times New Roman" w:hAnsi="Times New Roman" w:cs="Times New Roman"/>
                <w:sz w:val="24"/>
                <w:szCs w:val="24"/>
              </w:rPr>
            </w:pPr>
            <w:r>
              <w:rPr>
                <w:rStyle w:val="a5"/>
                <w:rFonts w:ascii="Times New Roman" w:hAnsi="Times New Roman" w:cs="Times New Roman"/>
                <w:sz w:val="24"/>
                <w:szCs w:val="24"/>
              </w:rPr>
              <w:t>Поточний стан / проблеми</w:t>
            </w:r>
          </w:p>
          <w:p w14:paraId="0F13E488" w14:textId="77777777" w:rsidR="006B79F7" w:rsidRDefault="006B79F7">
            <w:pPr>
              <w:widowControl w:val="0"/>
              <w:spacing w:after="0" w:line="240" w:lineRule="auto"/>
              <w:jc w:val="center"/>
              <w:rPr>
                <w:rFonts w:ascii="Times New Roman" w:hAnsi="Times New Roman" w:cs="Times New Roman"/>
                <w:b/>
                <w:bCs/>
                <w:sz w:val="24"/>
                <w:szCs w:val="24"/>
              </w:rPr>
            </w:pPr>
          </w:p>
        </w:tc>
        <w:tc>
          <w:tcPr>
            <w:tcW w:w="1482" w:type="pct"/>
            <w:vAlign w:val="center"/>
          </w:tcPr>
          <w:p w14:paraId="09330176" w14:textId="77777777" w:rsidR="006B79F7" w:rsidRDefault="006B79F7">
            <w:pPr>
              <w:widowControl w:val="0"/>
              <w:spacing w:after="0" w:line="240" w:lineRule="auto"/>
              <w:jc w:val="center"/>
              <w:rPr>
                <w:rStyle w:val="a5"/>
                <w:rFonts w:ascii="Times New Roman" w:hAnsi="Times New Roman" w:cs="Times New Roman"/>
                <w:sz w:val="24"/>
                <w:szCs w:val="24"/>
              </w:rPr>
            </w:pPr>
          </w:p>
          <w:p w14:paraId="04CBCD5C" w14:textId="77777777" w:rsidR="006B79F7" w:rsidRDefault="0017149C">
            <w:pPr>
              <w:widowControl w:val="0"/>
              <w:spacing w:after="0" w:line="240" w:lineRule="auto"/>
              <w:jc w:val="center"/>
              <w:rPr>
                <w:rStyle w:val="a5"/>
                <w:rFonts w:ascii="Times New Roman" w:hAnsi="Times New Roman" w:cs="Times New Roman"/>
                <w:sz w:val="24"/>
                <w:szCs w:val="24"/>
              </w:rPr>
            </w:pPr>
            <w:r>
              <w:rPr>
                <w:rStyle w:val="a5"/>
                <w:rFonts w:ascii="Times New Roman" w:hAnsi="Times New Roman" w:cs="Times New Roman"/>
                <w:sz w:val="24"/>
                <w:szCs w:val="24"/>
              </w:rPr>
              <w:t>Запропоновані удосконалення</w:t>
            </w:r>
          </w:p>
          <w:p w14:paraId="1991EC76" w14:textId="77777777" w:rsidR="006B79F7" w:rsidRDefault="006B79F7">
            <w:pPr>
              <w:widowControl w:val="0"/>
              <w:spacing w:after="0" w:line="240" w:lineRule="auto"/>
              <w:jc w:val="center"/>
              <w:rPr>
                <w:rFonts w:ascii="Times New Roman" w:hAnsi="Times New Roman" w:cs="Times New Roman"/>
                <w:b/>
                <w:bCs/>
                <w:sz w:val="24"/>
                <w:szCs w:val="24"/>
              </w:rPr>
            </w:pPr>
          </w:p>
        </w:tc>
        <w:tc>
          <w:tcPr>
            <w:tcW w:w="1352" w:type="pct"/>
            <w:vAlign w:val="center"/>
          </w:tcPr>
          <w:p w14:paraId="0E291A86" w14:textId="77777777" w:rsidR="006B79F7" w:rsidRDefault="006B79F7">
            <w:pPr>
              <w:widowControl w:val="0"/>
              <w:spacing w:after="0" w:line="240" w:lineRule="auto"/>
              <w:jc w:val="center"/>
              <w:rPr>
                <w:rStyle w:val="a5"/>
                <w:rFonts w:ascii="Times New Roman" w:hAnsi="Times New Roman" w:cs="Times New Roman"/>
                <w:sz w:val="24"/>
                <w:szCs w:val="24"/>
              </w:rPr>
            </w:pPr>
          </w:p>
          <w:p w14:paraId="59EB4E3C" w14:textId="77777777" w:rsidR="006B79F7" w:rsidRDefault="0017149C">
            <w:pPr>
              <w:widowControl w:val="0"/>
              <w:spacing w:after="0" w:line="240" w:lineRule="auto"/>
              <w:jc w:val="center"/>
              <w:rPr>
                <w:rStyle w:val="a5"/>
                <w:rFonts w:ascii="Times New Roman" w:hAnsi="Times New Roman" w:cs="Times New Roman"/>
                <w:sz w:val="24"/>
                <w:szCs w:val="24"/>
              </w:rPr>
            </w:pPr>
            <w:r>
              <w:rPr>
                <w:rStyle w:val="a5"/>
                <w:rFonts w:ascii="Times New Roman" w:hAnsi="Times New Roman" w:cs="Times New Roman"/>
                <w:sz w:val="24"/>
                <w:szCs w:val="24"/>
              </w:rPr>
              <w:t>Очікувані результати та ефекти</w:t>
            </w:r>
          </w:p>
          <w:p w14:paraId="33253F8B" w14:textId="77777777" w:rsidR="006B79F7" w:rsidRDefault="006B79F7">
            <w:pPr>
              <w:widowControl w:val="0"/>
              <w:spacing w:after="0" w:line="240" w:lineRule="auto"/>
              <w:jc w:val="center"/>
              <w:rPr>
                <w:rFonts w:ascii="Times New Roman" w:hAnsi="Times New Roman" w:cs="Times New Roman"/>
                <w:b/>
                <w:bCs/>
                <w:sz w:val="24"/>
                <w:szCs w:val="24"/>
              </w:rPr>
            </w:pPr>
          </w:p>
        </w:tc>
      </w:tr>
      <w:tr w:rsidR="006B79F7" w14:paraId="57ECD429" w14:textId="77777777">
        <w:trPr>
          <w:tblCellSpacing w:w="15" w:type="dxa"/>
        </w:trPr>
        <w:tc>
          <w:tcPr>
            <w:tcW w:w="981" w:type="pct"/>
            <w:vAlign w:val="center"/>
          </w:tcPr>
          <w:p w14:paraId="201094BA"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Організаційна структура</w:t>
            </w:r>
          </w:p>
        </w:tc>
        <w:tc>
          <w:tcPr>
            <w:tcW w:w="1106" w:type="pct"/>
          </w:tcPr>
          <w:p w14:paraId="3726583F"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Фрагментарність управління; нечіткий розподіл функцій між підрозділами; дублювання адміністративних функцій.</w:t>
            </w:r>
          </w:p>
        </w:tc>
        <w:tc>
          <w:tcPr>
            <w:tcW w:w="1482" w:type="pct"/>
          </w:tcPr>
          <w:p w14:paraId="551436F6" w14:textId="77777777" w:rsidR="006B79F7" w:rsidRDefault="0017149C">
            <w:pPr>
              <w:pStyle w:val="ae"/>
              <w:widowControl w:val="0"/>
              <w:numPr>
                <w:ilvl w:val="0"/>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Впровадження матричної структури управління</w:t>
            </w:r>
          </w:p>
          <w:p w14:paraId="038D5F8D" w14:textId="77777777" w:rsidR="006B79F7" w:rsidRDefault="0017149C">
            <w:pPr>
              <w:pStyle w:val="ae"/>
              <w:widowControl w:val="0"/>
              <w:numPr>
                <w:ilvl w:val="0"/>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Чіткий розподіл повноважень та відповідальності</w:t>
            </w:r>
          </w:p>
          <w:p w14:paraId="61975214" w14:textId="77777777" w:rsidR="006B79F7" w:rsidRDefault="0017149C">
            <w:pPr>
              <w:pStyle w:val="ae"/>
              <w:widowControl w:val="0"/>
              <w:numPr>
                <w:ilvl w:val="0"/>
                <w:numId w:val="16"/>
              </w:numPr>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офісу стратегічного розвитку</w:t>
            </w:r>
          </w:p>
        </w:tc>
        <w:tc>
          <w:tcPr>
            <w:tcW w:w="1352" w:type="pct"/>
          </w:tcPr>
          <w:p w14:paraId="0534A967" w14:textId="77777777" w:rsidR="006B79F7" w:rsidRDefault="0017149C">
            <w:pPr>
              <w:pStyle w:val="ae"/>
              <w:widowControl w:val="0"/>
              <w:numPr>
                <w:ilvl w:val="0"/>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керованості Центру</w:t>
            </w:r>
          </w:p>
          <w:p w14:paraId="5053899E" w14:textId="77777777" w:rsidR="006B79F7" w:rsidRDefault="0017149C">
            <w:pPr>
              <w:pStyle w:val="ae"/>
              <w:widowControl w:val="0"/>
              <w:numPr>
                <w:ilvl w:val="0"/>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Скорочення бюрократії</w:t>
            </w:r>
          </w:p>
          <w:p w14:paraId="2FD34AE4" w14:textId="77777777" w:rsidR="006B79F7" w:rsidRDefault="0017149C">
            <w:pPr>
              <w:pStyle w:val="ae"/>
              <w:widowControl w:val="0"/>
              <w:numPr>
                <w:ilvl w:val="0"/>
                <w:numId w:val="17"/>
              </w:numPr>
              <w:spacing w:after="0" w:line="240" w:lineRule="auto"/>
              <w:rPr>
                <w:rFonts w:ascii="Times New Roman" w:hAnsi="Times New Roman" w:cs="Times New Roman"/>
                <w:sz w:val="24"/>
                <w:szCs w:val="24"/>
              </w:rPr>
            </w:pPr>
            <w:r>
              <w:rPr>
                <w:rFonts w:ascii="Times New Roman" w:hAnsi="Times New Roman" w:cs="Times New Roman"/>
                <w:sz w:val="24"/>
                <w:szCs w:val="24"/>
              </w:rPr>
              <w:t>Прискорення ухвалення рішень</w:t>
            </w:r>
          </w:p>
        </w:tc>
      </w:tr>
      <w:tr w:rsidR="006B79F7" w14:paraId="294734BF" w14:textId="77777777">
        <w:trPr>
          <w:tblCellSpacing w:w="15" w:type="dxa"/>
        </w:trPr>
        <w:tc>
          <w:tcPr>
            <w:tcW w:w="981" w:type="pct"/>
            <w:vAlign w:val="center"/>
          </w:tcPr>
          <w:p w14:paraId="3393FFBD"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Стратегічне планування</w:t>
            </w:r>
          </w:p>
        </w:tc>
        <w:tc>
          <w:tcPr>
            <w:tcW w:w="1106" w:type="pct"/>
          </w:tcPr>
          <w:p w14:paraId="4FC6BD24"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Відсутність довгострокових стратегічних документів; переважання оперативного управління.</w:t>
            </w:r>
          </w:p>
        </w:tc>
        <w:tc>
          <w:tcPr>
            <w:tcW w:w="1482" w:type="pct"/>
          </w:tcPr>
          <w:p w14:paraId="1652F2DC" w14:textId="77777777" w:rsidR="006B79F7" w:rsidRDefault="0017149C">
            <w:pPr>
              <w:pStyle w:val="ae"/>
              <w:widowControl w:val="0"/>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Розробка стратегічного плану розвитку на 5 років</w:t>
            </w:r>
          </w:p>
          <w:p w14:paraId="073BA12A" w14:textId="77777777" w:rsidR="006B79F7" w:rsidRDefault="0017149C">
            <w:pPr>
              <w:pStyle w:val="ae"/>
              <w:widowControl w:val="0"/>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Визначення KPI для кожного напрямку</w:t>
            </w:r>
          </w:p>
          <w:p w14:paraId="15A2876D" w14:textId="77777777" w:rsidR="006B79F7" w:rsidRDefault="0017149C">
            <w:pPr>
              <w:pStyle w:val="ae"/>
              <w:widowControl w:val="0"/>
              <w:numPr>
                <w:ilvl w:val="0"/>
                <w:numId w:val="18"/>
              </w:numPr>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системи регулярного моніторингу виконання</w:t>
            </w:r>
          </w:p>
        </w:tc>
        <w:tc>
          <w:tcPr>
            <w:tcW w:w="1352" w:type="pct"/>
          </w:tcPr>
          <w:p w14:paraId="173218CC" w14:textId="77777777" w:rsidR="006B79F7" w:rsidRDefault="0017149C">
            <w:pPr>
              <w:pStyle w:val="ae"/>
              <w:widowControl w:val="0"/>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Прозорість управління</w:t>
            </w:r>
          </w:p>
          <w:p w14:paraId="77EE066C" w14:textId="77777777" w:rsidR="006B79F7" w:rsidRDefault="0017149C">
            <w:pPr>
              <w:pStyle w:val="ae"/>
              <w:widowControl w:val="0"/>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Посилення конкурентоспроможності</w:t>
            </w:r>
          </w:p>
          <w:p w14:paraId="017965E8" w14:textId="77777777" w:rsidR="006B79F7" w:rsidRDefault="0017149C">
            <w:pPr>
              <w:pStyle w:val="ae"/>
              <w:widowControl w:val="0"/>
              <w:numPr>
                <w:ilvl w:val="0"/>
                <w:numId w:val="19"/>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інвестиційної привабливості</w:t>
            </w:r>
          </w:p>
        </w:tc>
      </w:tr>
      <w:tr w:rsidR="006B79F7" w14:paraId="20FC2596" w14:textId="77777777">
        <w:trPr>
          <w:tblCellSpacing w:w="15" w:type="dxa"/>
        </w:trPr>
        <w:tc>
          <w:tcPr>
            <w:tcW w:w="981" w:type="pct"/>
            <w:vAlign w:val="center"/>
          </w:tcPr>
          <w:p w14:paraId="2BBF5776"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Фінансовий менеджмент</w:t>
            </w:r>
          </w:p>
        </w:tc>
        <w:tc>
          <w:tcPr>
            <w:tcW w:w="1106" w:type="pct"/>
          </w:tcPr>
          <w:p w14:paraId="668B0133"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Обмежені джерела фінансування; залежність від бюджету університету; низький рівень диверсифікації доходів.</w:t>
            </w:r>
          </w:p>
        </w:tc>
        <w:tc>
          <w:tcPr>
            <w:tcW w:w="1482" w:type="pct"/>
          </w:tcPr>
          <w:p w14:paraId="7DB9F3FA" w14:textId="77777777" w:rsidR="006B79F7" w:rsidRDefault="0017149C">
            <w:pPr>
              <w:pStyle w:val="ae"/>
              <w:widowControl w:val="0"/>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Запровадження моделі державно-приватного партнерства</w:t>
            </w:r>
          </w:p>
          <w:p w14:paraId="61D1BC4C" w14:textId="77777777" w:rsidR="006B79F7" w:rsidRDefault="0017149C">
            <w:pPr>
              <w:pStyle w:val="ae"/>
              <w:widowControl w:val="0"/>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Залучення грантів, інвестицій, програм міжнародних організацій</w:t>
            </w:r>
          </w:p>
          <w:p w14:paraId="4631A0D3" w14:textId="77777777" w:rsidR="006B79F7" w:rsidRDefault="0017149C">
            <w:pPr>
              <w:pStyle w:val="ae"/>
              <w:widowControl w:val="0"/>
              <w:numPr>
                <w:ilvl w:val="0"/>
                <w:numId w:val="20"/>
              </w:numPr>
              <w:spacing w:after="0" w:line="240" w:lineRule="auto"/>
              <w:rPr>
                <w:rFonts w:ascii="Times New Roman" w:hAnsi="Times New Roman" w:cs="Times New Roman"/>
                <w:sz w:val="24"/>
                <w:szCs w:val="24"/>
              </w:rPr>
            </w:pPr>
            <w:r>
              <w:rPr>
                <w:rFonts w:ascii="Times New Roman" w:hAnsi="Times New Roman" w:cs="Times New Roman"/>
                <w:sz w:val="24"/>
                <w:szCs w:val="24"/>
              </w:rPr>
              <w:t>Розширення спектру платних послуг.</w:t>
            </w:r>
          </w:p>
        </w:tc>
        <w:tc>
          <w:tcPr>
            <w:tcW w:w="1352" w:type="pct"/>
          </w:tcPr>
          <w:p w14:paraId="78F3AA19" w14:textId="77777777" w:rsidR="006B79F7" w:rsidRDefault="0017149C">
            <w:pPr>
              <w:pStyle w:val="ae"/>
              <w:widowControl w:val="0"/>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Зростання фінансової стабільності</w:t>
            </w:r>
          </w:p>
          <w:p w14:paraId="36D16D0E" w14:textId="77777777" w:rsidR="006B79F7" w:rsidRDefault="0017149C">
            <w:pPr>
              <w:pStyle w:val="ae"/>
              <w:widowControl w:val="0"/>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Модернізація інфраструктури без бюджетних витрат</w:t>
            </w:r>
          </w:p>
          <w:p w14:paraId="1B518230" w14:textId="77777777" w:rsidR="006B79F7" w:rsidRDefault="0017149C">
            <w:pPr>
              <w:pStyle w:val="ae"/>
              <w:widowControl w:val="0"/>
              <w:numPr>
                <w:ilvl w:val="0"/>
                <w:numId w:val="21"/>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автономії Центру</w:t>
            </w:r>
          </w:p>
        </w:tc>
      </w:tr>
      <w:tr w:rsidR="006B79F7" w14:paraId="108C7340" w14:textId="77777777">
        <w:trPr>
          <w:tblCellSpacing w:w="15" w:type="dxa"/>
        </w:trPr>
        <w:tc>
          <w:tcPr>
            <w:tcW w:w="981" w:type="pct"/>
            <w:vAlign w:val="center"/>
          </w:tcPr>
          <w:p w14:paraId="043A9D2C"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Якість медичних послуг</w:t>
            </w:r>
          </w:p>
        </w:tc>
        <w:tc>
          <w:tcPr>
            <w:tcW w:w="1106" w:type="pct"/>
          </w:tcPr>
          <w:p w14:paraId="57AC64DE"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Нерівномірний рівень якості між підрозділами; недостатня стандартизація процесів.</w:t>
            </w:r>
          </w:p>
        </w:tc>
        <w:tc>
          <w:tcPr>
            <w:tcW w:w="1482" w:type="pct"/>
          </w:tcPr>
          <w:p w14:paraId="0BA68838" w14:textId="77777777" w:rsidR="006B79F7" w:rsidRDefault="0017149C">
            <w:pPr>
              <w:pStyle w:val="ae"/>
              <w:widowControl w:val="0"/>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Впровадження міжнародних стандартів (Evidence-based protocols)</w:t>
            </w:r>
          </w:p>
          <w:p w14:paraId="0EC49195" w14:textId="77777777" w:rsidR="006B79F7" w:rsidRDefault="0017149C">
            <w:pPr>
              <w:pStyle w:val="ae"/>
              <w:widowControl w:val="0"/>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Розробка клінічних маршрутів пацієнтів</w:t>
            </w:r>
          </w:p>
          <w:p w14:paraId="2611AE50" w14:textId="77777777" w:rsidR="006B79F7" w:rsidRDefault="0017149C">
            <w:pPr>
              <w:pStyle w:val="ae"/>
              <w:widowControl w:val="0"/>
              <w:numPr>
                <w:ilvl w:val="0"/>
                <w:numId w:val="22"/>
              </w:numPr>
              <w:spacing w:after="0" w:line="240" w:lineRule="auto"/>
              <w:rPr>
                <w:rFonts w:ascii="Times New Roman" w:hAnsi="Times New Roman" w:cs="Times New Roman"/>
                <w:sz w:val="24"/>
                <w:szCs w:val="24"/>
              </w:rPr>
            </w:pPr>
            <w:r>
              <w:rPr>
                <w:rFonts w:ascii="Times New Roman" w:hAnsi="Times New Roman" w:cs="Times New Roman"/>
                <w:sz w:val="24"/>
                <w:szCs w:val="24"/>
              </w:rPr>
              <w:t>Регулярний внутрішній аудит якості</w:t>
            </w:r>
          </w:p>
        </w:tc>
        <w:tc>
          <w:tcPr>
            <w:tcW w:w="1352" w:type="pct"/>
          </w:tcPr>
          <w:p w14:paraId="0F58FAD9" w14:textId="77777777" w:rsidR="006B79F7" w:rsidRDefault="0017149C">
            <w:pPr>
              <w:pStyle w:val="ae"/>
              <w:widowControl w:val="0"/>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безпеки пацієнтів</w:t>
            </w:r>
          </w:p>
          <w:p w14:paraId="639C0AC1" w14:textId="77777777" w:rsidR="006B79F7" w:rsidRDefault="0017149C">
            <w:pPr>
              <w:pStyle w:val="ae"/>
              <w:widowControl w:val="0"/>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Уніфікація процесів</w:t>
            </w:r>
          </w:p>
          <w:p w14:paraId="74558998" w14:textId="77777777" w:rsidR="006B79F7" w:rsidRDefault="0017149C">
            <w:pPr>
              <w:pStyle w:val="ae"/>
              <w:widowControl w:val="0"/>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Поліпшення репутації та довіри пацієнтів</w:t>
            </w:r>
          </w:p>
        </w:tc>
      </w:tr>
    </w:tbl>
    <w:p w14:paraId="772E086E" w14:textId="77777777" w:rsidR="006B79F7" w:rsidRDefault="0017149C">
      <w:r>
        <w:br w:type="page"/>
      </w:r>
    </w:p>
    <w:p w14:paraId="3C066E47" w14:textId="77777777" w:rsidR="006B79F7" w:rsidRDefault="0017149C">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3.2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877"/>
        <w:gridCol w:w="2096"/>
        <w:gridCol w:w="2799"/>
        <w:gridCol w:w="2572"/>
      </w:tblGrid>
      <w:tr w:rsidR="006B79F7" w14:paraId="7F11C6D7" w14:textId="77777777">
        <w:trPr>
          <w:tblCellSpacing w:w="15" w:type="dxa"/>
        </w:trPr>
        <w:tc>
          <w:tcPr>
            <w:tcW w:w="981" w:type="pct"/>
            <w:vAlign w:val="center"/>
          </w:tcPr>
          <w:p w14:paraId="5DC17F9E"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Цифрова трансформація</w:t>
            </w:r>
          </w:p>
        </w:tc>
        <w:tc>
          <w:tcPr>
            <w:tcW w:w="1106" w:type="pct"/>
          </w:tcPr>
          <w:p w14:paraId="6349CAD4"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Часткова цифровізація; недостатнє використання еHealth, CRM і телемедицини; ручні процеси адміністрування.</w:t>
            </w:r>
          </w:p>
        </w:tc>
        <w:tc>
          <w:tcPr>
            <w:tcW w:w="1482" w:type="pct"/>
          </w:tcPr>
          <w:p w14:paraId="20F71F94" w14:textId="77777777" w:rsidR="006B79F7" w:rsidRDefault="0017149C">
            <w:pPr>
              <w:pStyle w:val="ae"/>
              <w:widowControl w:val="0"/>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Повна інтеграція з eHealth</w:t>
            </w:r>
          </w:p>
          <w:p w14:paraId="43832E35" w14:textId="77777777" w:rsidR="006B79F7" w:rsidRDefault="0017149C">
            <w:pPr>
              <w:pStyle w:val="ae"/>
              <w:widowControl w:val="0"/>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Запровадження сучасної МІС/CRM</w:t>
            </w:r>
          </w:p>
          <w:p w14:paraId="1A907EFF" w14:textId="77777777" w:rsidR="006B79F7" w:rsidRDefault="0017149C">
            <w:pPr>
              <w:pStyle w:val="ae"/>
              <w:widowControl w:val="0"/>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телемедичного відділу</w:t>
            </w:r>
          </w:p>
          <w:p w14:paraId="3464CB03" w14:textId="77777777" w:rsidR="006B79F7" w:rsidRDefault="0017149C">
            <w:pPr>
              <w:pStyle w:val="ae"/>
              <w:widowControl w:val="0"/>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Автоматизація документообігу</w:t>
            </w:r>
          </w:p>
        </w:tc>
        <w:tc>
          <w:tcPr>
            <w:tcW w:w="1352" w:type="pct"/>
          </w:tcPr>
          <w:p w14:paraId="19CD0BC8" w14:textId="77777777" w:rsidR="006B79F7" w:rsidRDefault="0017149C">
            <w:pPr>
              <w:pStyle w:val="ae"/>
              <w:widowControl w:val="0"/>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Скорочення витрат часу</w:t>
            </w:r>
          </w:p>
          <w:p w14:paraId="6A49BB64" w14:textId="77777777" w:rsidR="006B79F7" w:rsidRDefault="0017149C">
            <w:pPr>
              <w:pStyle w:val="ae"/>
              <w:widowControl w:val="0"/>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Прозорість управління</w:t>
            </w:r>
          </w:p>
          <w:p w14:paraId="29A6CCF6" w14:textId="77777777" w:rsidR="006B79F7" w:rsidRDefault="0017149C">
            <w:pPr>
              <w:pStyle w:val="ae"/>
              <w:widowControl w:val="0"/>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доступності послуг</w:t>
            </w:r>
          </w:p>
        </w:tc>
      </w:tr>
      <w:tr w:rsidR="006B79F7" w14:paraId="33EC39ED" w14:textId="77777777">
        <w:trPr>
          <w:tblCellSpacing w:w="15" w:type="dxa"/>
        </w:trPr>
        <w:tc>
          <w:tcPr>
            <w:tcW w:w="981" w:type="pct"/>
            <w:vAlign w:val="center"/>
          </w:tcPr>
          <w:p w14:paraId="68061F43"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Кадрове забезпечення</w:t>
            </w:r>
          </w:p>
        </w:tc>
        <w:tc>
          <w:tcPr>
            <w:tcW w:w="1106" w:type="pct"/>
          </w:tcPr>
          <w:p w14:paraId="4DEA429A"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Висока плинність кадрів; нестача фахівців деяких спеціальностей; недостатній розвиток HR-політики.</w:t>
            </w:r>
          </w:p>
        </w:tc>
        <w:tc>
          <w:tcPr>
            <w:tcW w:w="1482" w:type="pct"/>
          </w:tcPr>
          <w:p w14:paraId="2F09F20D" w14:textId="77777777" w:rsidR="006B79F7" w:rsidRDefault="0017149C">
            <w:pPr>
              <w:pStyle w:val="ae"/>
              <w:widowControl w:val="0"/>
              <w:numPr>
                <w:ilvl w:val="0"/>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системи мотивації (матеріальної та нематеріальної)</w:t>
            </w:r>
          </w:p>
          <w:p w14:paraId="2B97A9FA" w14:textId="77777777" w:rsidR="006B79F7" w:rsidRDefault="0017149C">
            <w:pPr>
              <w:pStyle w:val="ae"/>
              <w:widowControl w:val="0"/>
              <w:numPr>
                <w:ilvl w:val="0"/>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Впровадження кадрового резерву</w:t>
            </w:r>
          </w:p>
          <w:p w14:paraId="746099B5" w14:textId="77777777" w:rsidR="006B79F7" w:rsidRDefault="0017149C">
            <w:pPr>
              <w:pStyle w:val="ae"/>
              <w:widowControl w:val="0"/>
              <w:numPr>
                <w:ilvl w:val="0"/>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внутрішнього навчального центру</w:t>
            </w:r>
          </w:p>
        </w:tc>
        <w:tc>
          <w:tcPr>
            <w:tcW w:w="1352" w:type="pct"/>
          </w:tcPr>
          <w:p w14:paraId="38F5B64E" w14:textId="77777777" w:rsidR="006B79F7" w:rsidRDefault="0017149C">
            <w:pPr>
              <w:pStyle w:val="ae"/>
              <w:widowControl w:val="0"/>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Стабільність кадрового складу</w:t>
            </w:r>
          </w:p>
          <w:p w14:paraId="455FAA6C" w14:textId="77777777" w:rsidR="006B79F7" w:rsidRDefault="0017149C">
            <w:pPr>
              <w:pStyle w:val="ae"/>
              <w:widowControl w:val="0"/>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Зростання професійного рівня персоналу</w:t>
            </w:r>
          </w:p>
          <w:p w14:paraId="0219D425" w14:textId="77777777" w:rsidR="006B79F7" w:rsidRDefault="0017149C">
            <w:pPr>
              <w:pStyle w:val="ae"/>
              <w:widowControl w:val="0"/>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ефективності роботи</w:t>
            </w:r>
          </w:p>
        </w:tc>
      </w:tr>
      <w:tr w:rsidR="006B79F7" w14:paraId="5520D9F8" w14:textId="77777777">
        <w:trPr>
          <w:tblCellSpacing w:w="15" w:type="dxa"/>
        </w:trPr>
        <w:tc>
          <w:tcPr>
            <w:tcW w:w="981" w:type="pct"/>
            <w:vAlign w:val="center"/>
          </w:tcPr>
          <w:p w14:paraId="08771291"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Пацієнтоорієнтованість</w:t>
            </w:r>
          </w:p>
        </w:tc>
        <w:tc>
          <w:tcPr>
            <w:tcW w:w="1106" w:type="pct"/>
          </w:tcPr>
          <w:p w14:paraId="5B100A82"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Недостатній рівень комунікацій; слабкий зворотний зв’язок; відсутність омбудсмена пацієнта.</w:t>
            </w:r>
          </w:p>
        </w:tc>
        <w:tc>
          <w:tcPr>
            <w:tcW w:w="1482" w:type="pct"/>
          </w:tcPr>
          <w:p w14:paraId="11700228" w14:textId="77777777" w:rsidR="006B79F7" w:rsidRDefault="0017149C">
            <w:pPr>
              <w:pStyle w:val="ae"/>
              <w:widowControl w:val="0"/>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Впровадження системи оцінювання задоволеності пацієнтів</w:t>
            </w:r>
          </w:p>
          <w:p w14:paraId="110F85B6" w14:textId="77777777" w:rsidR="006B79F7" w:rsidRDefault="0017149C">
            <w:pPr>
              <w:pStyle w:val="ae"/>
              <w:widowControl w:val="0"/>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Запуск кол-центру та онлайн-порталу</w:t>
            </w:r>
          </w:p>
          <w:p w14:paraId="1B894E0B" w14:textId="77777777" w:rsidR="006B79F7" w:rsidRDefault="0017149C">
            <w:pPr>
              <w:pStyle w:val="ae"/>
              <w:widowControl w:val="0"/>
              <w:numPr>
                <w:ilvl w:val="0"/>
                <w:numId w:val="28"/>
              </w:numPr>
              <w:spacing w:after="0" w:line="240" w:lineRule="auto"/>
              <w:rPr>
                <w:rFonts w:ascii="Times New Roman" w:hAnsi="Times New Roman" w:cs="Times New Roman"/>
                <w:sz w:val="24"/>
                <w:szCs w:val="24"/>
              </w:rPr>
            </w:pPr>
            <w:r>
              <w:rPr>
                <w:rFonts w:ascii="Times New Roman" w:hAnsi="Times New Roman" w:cs="Times New Roman"/>
                <w:sz w:val="24"/>
                <w:szCs w:val="24"/>
              </w:rPr>
              <w:t>Призначення координатора пацієнтів</w:t>
            </w:r>
          </w:p>
        </w:tc>
        <w:tc>
          <w:tcPr>
            <w:tcW w:w="1352" w:type="pct"/>
          </w:tcPr>
          <w:p w14:paraId="7D83B4F0" w14:textId="77777777" w:rsidR="006B79F7" w:rsidRDefault="0017149C">
            <w:pPr>
              <w:pStyle w:val="ae"/>
              <w:widowControl w:val="0"/>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Покращення досвіду пацієнтів (patient experience)</w:t>
            </w:r>
          </w:p>
          <w:p w14:paraId="40C15D30" w14:textId="77777777" w:rsidR="006B79F7" w:rsidRDefault="0017149C">
            <w:pPr>
              <w:pStyle w:val="ae"/>
              <w:widowControl w:val="0"/>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лояльності та популярності Центру</w:t>
            </w:r>
          </w:p>
        </w:tc>
      </w:tr>
      <w:tr w:rsidR="006B79F7" w14:paraId="0C5EAED9" w14:textId="77777777">
        <w:trPr>
          <w:tblCellSpacing w:w="15" w:type="dxa"/>
        </w:trPr>
        <w:tc>
          <w:tcPr>
            <w:tcW w:w="981" w:type="pct"/>
            <w:vAlign w:val="center"/>
          </w:tcPr>
          <w:p w14:paraId="6856EFA2"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Партнерство та співпраця</w:t>
            </w:r>
          </w:p>
        </w:tc>
        <w:tc>
          <w:tcPr>
            <w:tcW w:w="1106" w:type="pct"/>
          </w:tcPr>
          <w:p w14:paraId="6A34134F"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Обмежена участь у міжнародних проєктах; слабка взаємодія з приватними інвесторами.</w:t>
            </w:r>
          </w:p>
        </w:tc>
        <w:tc>
          <w:tcPr>
            <w:tcW w:w="1482" w:type="pct"/>
          </w:tcPr>
          <w:p w14:paraId="6AD5A865" w14:textId="77777777" w:rsidR="006B79F7" w:rsidRDefault="0017149C">
            <w:pPr>
              <w:pStyle w:val="ae"/>
              <w:widowControl w:val="0"/>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Розвиток державно-приватного партнерства</w:t>
            </w:r>
          </w:p>
          <w:p w14:paraId="21AA1DB5" w14:textId="77777777" w:rsidR="006B79F7" w:rsidRDefault="0017149C">
            <w:pPr>
              <w:pStyle w:val="ae"/>
              <w:widowControl w:val="0"/>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Участь у програмах Horizon Europe, USAID, WHO</w:t>
            </w:r>
          </w:p>
          <w:p w14:paraId="16427BB4" w14:textId="77777777" w:rsidR="006B79F7" w:rsidRDefault="0017149C">
            <w:pPr>
              <w:pStyle w:val="ae"/>
              <w:widowControl w:val="0"/>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Партнерство з приватними клініками та лабораторіями</w:t>
            </w:r>
          </w:p>
        </w:tc>
        <w:tc>
          <w:tcPr>
            <w:tcW w:w="1352" w:type="pct"/>
          </w:tcPr>
          <w:p w14:paraId="0F905ECB" w14:textId="77777777" w:rsidR="006B79F7" w:rsidRDefault="0017149C">
            <w:pPr>
              <w:pStyle w:val="ae"/>
              <w:widowControl w:val="0"/>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Нові інвестиції</w:t>
            </w:r>
          </w:p>
          <w:p w14:paraId="30914047" w14:textId="77777777" w:rsidR="006B79F7" w:rsidRDefault="0017149C">
            <w:pPr>
              <w:pStyle w:val="ae"/>
              <w:widowControl w:val="0"/>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наукової та клінічної спроможності</w:t>
            </w:r>
          </w:p>
          <w:p w14:paraId="4F5BB5EA" w14:textId="77777777" w:rsidR="006B79F7" w:rsidRDefault="0017149C">
            <w:pPr>
              <w:pStyle w:val="ae"/>
              <w:widowControl w:val="0"/>
              <w:numPr>
                <w:ilvl w:val="0"/>
                <w:numId w:val="31"/>
              </w:numPr>
              <w:spacing w:after="0" w:line="240" w:lineRule="auto"/>
              <w:rPr>
                <w:rFonts w:ascii="Times New Roman" w:hAnsi="Times New Roman" w:cs="Times New Roman"/>
                <w:sz w:val="24"/>
                <w:szCs w:val="24"/>
              </w:rPr>
            </w:pPr>
            <w:r>
              <w:rPr>
                <w:rFonts w:ascii="Times New Roman" w:hAnsi="Times New Roman" w:cs="Times New Roman"/>
                <w:sz w:val="24"/>
                <w:szCs w:val="24"/>
              </w:rPr>
              <w:t>Розширення спектру послуг</w:t>
            </w:r>
          </w:p>
        </w:tc>
      </w:tr>
    </w:tbl>
    <w:p w14:paraId="27667055" w14:textId="77777777" w:rsidR="006B79F7" w:rsidRDefault="006B79F7">
      <w:pPr>
        <w:widowControl w:val="0"/>
        <w:spacing w:after="0" w:line="360" w:lineRule="auto"/>
        <w:rPr>
          <w:rFonts w:ascii="Times New Roman" w:hAnsi="Times New Roman" w:cs="Times New Roman"/>
          <w:sz w:val="28"/>
          <w:szCs w:val="28"/>
        </w:rPr>
      </w:pPr>
    </w:p>
    <w:p w14:paraId="1FF03AE2" w14:textId="77777777" w:rsidR="006B79F7" w:rsidRDefault="0017149C">
      <w:pPr>
        <w:widowControl w:val="0"/>
        <w:spacing w:after="0" w:line="360" w:lineRule="auto"/>
        <w:ind w:firstLine="709"/>
        <w:jc w:val="both"/>
        <w:rPr>
          <w:rStyle w:val="a5"/>
          <w:rFonts w:ascii="Times New Roman" w:hAnsi="Times New Roman" w:cs="Times New Roman"/>
          <w:b w:val="0"/>
          <w:bCs w:val="0"/>
          <w:sz w:val="28"/>
          <w:szCs w:val="28"/>
        </w:rPr>
      </w:pPr>
      <w:r>
        <w:rPr>
          <w:rStyle w:val="a5"/>
          <w:rFonts w:ascii="Times New Roman" w:hAnsi="Times New Roman" w:cs="Times New Roman"/>
          <w:b w:val="0"/>
          <w:bCs w:val="0"/>
          <w:sz w:val="28"/>
          <w:szCs w:val="28"/>
        </w:rPr>
        <w:t>Пропозиції розвитку Центру на основі державно-приватного партнерства наступні.</w:t>
      </w:r>
    </w:p>
    <w:p w14:paraId="5E0FA6F3"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1. Створення спільних діагностичних центрів у форматі ДПП </w:t>
      </w:r>
      <w:r>
        <w:rPr>
          <w:rFonts w:ascii="Times New Roman" w:hAnsi="Times New Roman" w:cs="Times New Roman"/>
          <w:sz w:val="28"/>
          <w:szCs w:val="28"/>
        </w:rPr>
        <w:t xml:space="preserve">(модель ВООЗ: </w:t>
      </w:r>
      <w:r>
        <w:rPr>
          <w:rStyle w:val="a3"/>
          <w:rFonts w:ascii="Times New Roman" w:hAnsi="Times New Roman" w:cs="Times New Roman"/>
          <w:i w:val="0"/>
          <w:sz w:val="28"/>
          <w:szCs w:val="28"/>
        </w:rPr>
        <w:t>“specialized clinical services PPP”</w:t>
      </w:r>
      <w:r>
        <w:rPr>
          <w:rFonts w:ascii="Times New Roman" w:hAnsi="Times New Roman" w:cs="Times New Roman"/>
          <w:sz w:val="28"/>
          <w:szCs w:val="28"/>
        </w:rPr>
        <w:t>).</w:t>
      </w:r>
    </w:p>
    <w:p w14:paraId="1984909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Сутність: Партнерство з приватними діагностичними мережами (лабораторії, МРТ-/КТ-центри) для: оновлення обладнання; підвищення якості діагностики; розширення спектру платних послуг.</w:t>
      </w:r>
    </w:p>
    <w:p w14:paraId="0DACDD2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Можливий формат: приватний партнер інвестує у обладнання; Центр надає приміщення, персонал, інфраструктуру; прибуток розподіляється за моделлю </w:t>
      </w:r>
      <w:r>
        <w:rPr>
          <w:rStyle w:val="a5"/>
          <w:rFonts w:ascii="Times New Roman" w:hAnsi="Times New Roman" w:cs="Times New Roman"/>
          <w:b w:val="0"/>
          <w:sz w:val="28"/>
          <w:szCs w:val="28"/>
        </w:rPr>
        <w:t>shared-revenue</w:t>
      </w:r>
      <w:r>
        <w:rPr>
          <w:rFonts w:ascii="Times New Roman" w:hAnsi="Times New Roman" w:cs="Times New Roman"/>
          <w:sz w:val="28"/>
          <w:szCs w:val="28"/>
        </w:rPr>
        <w:t>.</w:t>
      </w:r>
    </w:p>
    <w:p w14:paraId="3BAD269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Очікуваний ефект: зменшення фінансового навантаження на Центр; доступ до сучасної техніки без капітальних витрат; збільшення кількості пацієнтів та доходів.</w:t>
      </w:r>
    </w:p>
    <w:p w14:paraId="7CAF4221"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2. Партнерство для розвитку спеціалізованих клінічних відділень </w:t>
      </w:r>
      <w:r>
        <w:rPr>
          <w:rFonts w:ascii="Times New Roman" w:hAnsi="Times New Roman" w:cs="Times New Roman"/>
          <w:sz w:val="28"/>
          <w:szCs w:val="28"/>
        </w:rPr>
        <w:t xml:space="preserve">(модель: </w:t>
      </w:r>
      <w:r>
        <w:rPr>
          <w:rStyle w:val="a3"/>
          <w:rFonts w:ascii="Times New Roman" w:hAnsi="Times New Roman" w:cs="Times New Roman"/>
          <w:i w:val="0"/>
          <w:sz w:val="28"/>
          <w:szCs w:val="28"/>
        </w:rPr>
        <w:t>“clinical services PPP”</w:t>
      </w:r>
      <w:r>
        <w:rPr>
          <w:rFonts w:ascii="Times New Roman" w:hAnsi="Times New Roman" w:cs="Times New Roman"/>
          <w:sz w:val="28"/>
          <w:szCs w:val="28"/>
        </w:rPr>
        <w:t>).</w:t>
      </w:r>
    </w:p>
    <w:p w14:paraId="6A88D7C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Варіанти відділень: відновна медицина й реабілітація після поранень; неврологічна та ортопедична реабілітація; кардіореабілітація; мініінвазивна хірургія; центр лікування болю.</w:t>
      </w:r>
    </w:p>
    <w:p w14:paraId="1ECC08B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Можливий формат: приватний партнер забезпечує інвестиції, обладнання і навчання персоналу; Центр — клінічну базу, ліцензію, інтеграцію з НСЗУ.</w:t>
      </w:r>
    </w:p>
    <w:p w14:paraId="147789F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Переваги: зростання кількості високоспеціалізованих послуг; підвищення наукового потенціалу університетської клініки; можливість отримання міжнародних грантів.</w:t>
      </w:r>
    </w:p>
    <w:p w14:paraId="48F4534C"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3. Інфраструктурні проєкти модернізації будівель та оснащення </w:t>
      </w:r>
      <w:r>
        <w:rPr>
          <w:rFonts w:ascii="Times New Roman" w:hAnsi="Times New Roman" w:cs="Times New Roman"/>
          <w:sz w:val="28"/>
          <w:szCs w:val="28"/>
        </w:rPr>
        <w:t xml:space="preserve">(модель МФК: </w:t>
      </w:r>
      <w:r>
        <w:rPr>
          <w:rStyle w:val="a3"/>
          <w:rFonts w:ascii="Times New Roman" w:hAnsi="Times New Roman" w:cs="Times New Roman"/>
          <w:i w:val="0"/>
          <w:sz w:val="28"/>
          <w:szCs w:val="28"/>
        </w:rPr>
        <w:t>“facility PPP”</w:t>
      </w:r>
      <w:r>
        <w:rPr>
          <w:rFonts w:ascii="Times New Roman" w:hAnsi="Times New Roman" w:cs="Times New Roman"/>
          <w:sz w:val="28"/>
          <w:szCs w:val="28"/>
        </w:rPr>
        <w:t>).</w:t>
      </w:r>
    </w:p>
    <w:p w14:paraId="602C558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може бути включено: енергомодернізація будівель (сонячні панелі, теплоізоляція); створення відділення інтенсивної реабілітації; модернізація операційного блоку; створення Smart-Hospital інфраструктури.</w:t>
      </w:r>
    </w:p>
    <w:p w14:paraId="1FDA5B3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Університетські лікарні часто отримують підтримку ЄС, USAID, UNDP у проектах модернізації, але лише за наявності приватного партнера.</w:t>
      </w:r>
    </w:p>
    <w:p w14:paraId="16E901ED"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4. Створення телемедичної платформи на умовах ДПП </w:t>
      </w:r>
      <w:r>
        <w:rPr>
          <w:rFonts w:ascii="Times New Roman" w:hAnsi="Times New Roman" w:cs="Times New Roman"/>
          <w:sz w:val="28"/>
          <w:szCs w:val="28"/>
        </w:rPr>
        <w:t xml:space="preserve">(модель: </w:t>
      </w:r>
      <w:r>
        <w:rPr>
          <w:rStyle w:val="a3"/>
          <w:rFonts w:ascii="Times New Roman" w:hAnsi="Times New Roman" w:cs="Times New Roman"/>
          <w:i w:val="0"/>
          <w:sz w:val="28"/>
          <w:szCs w:val="28"/>
        </w:rPr>
        <w:t>“non-clinical support PPP”</w:t>
      </w:r>
      <w:r>
        <w:rPr>
          <w:rFonts w:ascii="Times New Roman" w:hAnsi="Times New Roman" w:cs="Times New Roman"/>
          <w:sz w:val="28"/>
          <w:szCs w:val="28"/>
        </w:rPr>
        <w:t>).</w:t>
      </w:r>
    </w:p>
    <w:p w14:paraId="03FBB18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Можливості: онлайн-консультації; телереабілітація; цифровий моніторинг пацієнтів після операцій; інтеграція зі студентськими освітніми програмами.</w:t>
      </w:r>
    </w:p>
    <w:p w14:paraId="69D52B2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Можливий формат: приватний ІТ-партнер створює платформу; Центр </w:t>
      </w:r>
      <w:r>
        <w:rPr>
          <w:rFonts w:ascii="Times New Roman" w:hAnsi="Times New Roman" w:cs="Times New Roman"/>
          <w:sz w:val="28"/>
          <w:szCs w:val="28"/>
        </w:rPr>
        <w:lastRenderedPageBreak/>
        <w:t>забезпечує медичний контент, персонал і доступ до пацієнтів.</w:t>
      </w:r>
    </w:p>
    <w:p w14:paraId="31E5651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зросла доступність послуг; позиціонування як інноваційної університетської клініки; додаткові джерела доходу.</w:t>
      </w:r>
    </w:p>
    <w:p w14:paraId="4863E8BD"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5. Запуск спільних освітньо-наукових центрів (клінік - симуляторів) </w:t>
      </w:r>
      <w:r>
        <w:rPr>
          <w:rFonts w:ascii="Times New Roman" w:hAnsi="Times New Roman" w:cs="Times New Roman"/>
          <w:sz w:val="28"/>
          <w:szCs w:val="28"/>
        </w:rPr>
        <w:t xml:space="preserve">(модель: </w:t>
      </w:r>
      <w:r>
        <w:rPr>
          <w:rStyle w:val="a3"/>
          <w:rFonts w:ascii="Times New Roman" w:hAnsi="Times New Roman" w:cs="Times New Roman"/>
          <w:i w:val="0"/>
          <w:sz w:val="28"/>
          <w:szCs w:val="28"/>
        </w:rPr>
        <w:t>“knowledge-sharing PPP”</w:t>
      </w:r>
      <w:r>
        <w:rPr>
          <w:rFonts w:ascii="Times New Roman" w:hAnsi="Times New Roman" w:cs="Times New Roman"/>
          <w:sz w:val="28"/>
          <w:szCs w:val="28"/>
        </w:rPr>
        <w:t>).</w:t>
      </w:r>
    </w:p>
    <w:p w14:paraId="3BE47C2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Можливості: симуляційний центр для лікарів і студентів; навчання роботизованій та ендоскопічній хірургії; створення VR/AR-навчальних модулів.</w:t>
      </w:r>
    </w:p>
    <w:p w14:paraId="477B56F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Партнери: медичні компанії; університети ЄС; виробники обладнання (Zimmer, Medtronic, Storz).</w:t>
      </w:r>
    </w:p>
    <w:p w14:paraId="61C4B63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Переваги: підвищення кваліфікації персоналу; підсилення статусу як університетської клініки; можливість комерціалізації навчальних програм.</w:t>
      </w:r>
    </w:p>
    <w:p w14:paraId="528F76C8" w14:textId="77777777" w:rsidR="006B79F7" w:rsidRDefault="0017149C">
      <w:pPr>
        <w:widowControl w:val="0"/>
        <w:spacing w:after="0" w:line="360" w:lineRule="auto"/>
        <w:ind w:firstLine="709"/>
        <w:jc w:val="both"/>
        <w:rPr>
          <w:rStyle w:val="a5"/>
          <w:rFonts w:ascii="Times New Roman" w:hAnsi="Times New Roman" w:cs="Times New Roman"/>
          <w:b w:val="0"/>
          <w:bCs w:val="0"/>
          <w:sz w:val="28"/>
          <w:szCs w:val="28"/>
        </w:rPr>
      </w:pPr>
      <w:r>
        <w:rPr>
          <w:rStyle w:val="a5"/>
          <w:rFonts w:ascii="Times New Roman" w:hAnsi="Times New Roman" w:cs="Times New Roman"/>
          <w:b w:val="0"/>
          <w:bCs w:val="0"/>
          <w:sz w:val="28"/>
          <w:szCs w:val="28"/>
        </w:rPr>
        <w:t>6. Моделі фінансування через ДПП для розвитку наукових інновацій.</w:t>
      </w:r>
    </w:p>
    <w:p w14:paraId="64CCBAD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Варіанти напрямів: комерціалізація наукових розробок медичного факультету ОНМедУ; створення лабораторій тканинної інженерії; дослідницькі центри регенеративної медицини; підготовка проєктів для Horizon Europe.</w:t>
      </w:r>
    </w:p>
    <w:p w14:paraId="1D2877F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Можливий формат: партнерство з фармацевтичними компаніями; біотехнологічними стартапами; міжнародними дослідницькими консорціумами. </w:t>
      </w:r>
    </w:p>
    <w:p w14:paraId="348EF88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залучення довгострокових інвестицій; розвиток наукової репутації Центру; нові комерційні продукти та технології.</w:t>
      </w:r>
    </w:p>
    <w:p w14:paraId="6BE0220F" w14:textId="77777777" w:rsidR="006B79F7" w:rsidRDefault="0017149C">
      <w:pPr>
        <w:widowControl w:val="0"/>
        <w:spacing w:after="0" w:line="360" w:lineRule="auto"/>
        <w:ind w:firstLine="709"/>
        <w:jc w:val="both"/>
        <w:rPr>
          <w:rFonts w:ascii="Times New Roman" w:hAnsi="Times New Roman" w:cs="Times New Roman"/>
          <w:sz w:val="28"/>
          <w:szCs w:val="28"/>
        </w:rPr>
      </w:pPr>
      <w:r>
        <w:rPr>
          <w:rStyle w:val="a5"/>
          <w:rFonts w:ascii="Times New Roman" w:hAnsi="Times New Roman" w:cs="Times New Roman"/>
          <w:b w:val="0"/>
          <w:bCs w:val="0"/>
          <w:sz w:val="28"/>
          <w:szCs w:val="28"/>
        </w:rPr>
        <w:t xml:space="preserve">7. Створення Центру медичного туризму на базі клініки </w:t>
      </w:r>
      <w:r>
        <w:rPr>
          <w:rFonts w:ascii="Times New Roman" w:hAnsi="Times New Roman" w:cs="Times New Roman"/>
          <w:sz w:val="28"/>
          <w:szCs w:val="28"/>
        </w:rPr>
        <w:t xml:space="preserve">(модель: </w:t>
      </w:r>
      <w:r>
        <w:rPr>
          <w:rStyle w:val="a3"/>
          <w:rFonts w:ascii="Times New Roman" w:hAnsi="Times New Roman" w:cs="Times New Roman"/>
          <w:i w:val="0"/>
          <w:sz w:val="28"/>
          <w:szCs w:val="28"/>
        </w:rPr>
        <w:t>“integrated PPP”</w:t>
      </w:r>
      <w:r>
        <w:rPr>
          <w:rFonts w:ascii="Times New Roman" w:hAnsi="Times New Roman" w:cs="Times New Roman"/>
          <w:sz w:val="28"/>
          <w:szCs w:val="28"/>
        </w:rPr>
        <w:t>).</w:t>
      </w:r>
    </w:p>
    <w:p w14:paraId="1087984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Одеса — один із найперспективніших регіонів України для медичного туризму. Напрями: пластична та реконструктивна хірургія; ортопедія; реабілітація; стоматологія; реабілітація після травм та поранень.</w:t>
      </w:r>
    </w:p>
    <w:p w14:paraId="3CEAAFB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Можливий формат: приватний партнер забезпечує маркетинг, логістику, сервіс; Центр — медичну частину, клінічну інфраструктуру.</w:t>
      </w:r>
    </w:p>
    <w:p w14:paraId="1264E9D6" w14:textId="77777777" w:rsidR="006B79F7" w:rsidRDefault="0017149C">
      <w:pPr>
        <w:widowControl w:val="0"/>
        <w:spacing w:after="0" w:line="360" w:lineRule="auto"/>
        <w:ind w:firstLine="709"/>
        <w:jc w:val="both"/>
        <w:rPr>
          <w:rStyle w:val="a5"/>
          <w:rFonts w:ascii="Times New Roman" w:hAnsi="Times New Roman" w:cs="Times New Roman"/>
          <w:b w:val="0"/>
          <w:bCs w:val="0"/>
          <w:sz w:val="28"/>
          <w:szCs w:val="28"/>
        </w:rPr>
      </w:pPr>
      <w:r>
        <w:rPr>
          <w:rStyle w:val="a5"/>
          <w:rFonts w:ascii="Times New Roman" w:hAnsi="Times New Roman" w:cs="Times New Roman"/>
          <w:b w:val="0"/>
          <w:bCs w:val="0"/>
          <w:sz w:val="28"/>
          <w:szCs w:val="28"/>
        </w:rPr>
        <w:t>8. Партнерство у сфері реабілітації ветеранів та військових.</w:t>
      </w:r>
    </w:p>
    <w:p w14:paraId="446B7A1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Запит на реабілітацію після бойових травм буде зростати протягом наступних 20+ років.</w:t>
      </w:r>
    </w:p>
    <w:p w14:paraId="6A381C9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Можливості: створення реабілітаційного центру для захисників на умовах ДПП; фінансування обладнання за рахунок міжнародних фондів (UHNDP, USAID, WHO), українських фондів (Повернись живим, Сергія Притули), приватних спонсорів.</w:t>
      </w:r>
    </w:p>
    <w:p w14:paraId="05ADFBAB"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можливості державно-приватного партнерства дозволяють Центру реконструктивної та відновної медицини ОНМедУ:</w:t>
      </w:r>
    </w:p>
    <w:p w14:paraId="7E9C79AD"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модернізувати інфраструктуру без значних бюджетних витрат;</w:t>
      </w:r>
    </w:p>
    <w:p w14:paraId="53F4E8A5"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отримати доступ до новітнього обладнання та технологій;</w:t>
      </w:r>
    </w:p>
    <w:p w14:paraId="758DD316"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розширити спектр медичних і реабілітаційних послуг;</w:t>
      </w:r>
    </w:p>
    <w:p w14:paraId="5CE7E854"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підвищити конкурентоспроможність на ринку;</w:t>
      </w:r>
    </w:p>
    <w:p w14:paraId="47C8C9BD"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збільшити фінансову автономію;</w:t>
      </w:r>
    </w:p>
    <w:p w14:paraId="7CF02EB9" w14:textId="77777777" w:rsidR="006B79F7" w:rsidRDefault="0017149C">
      <w:pPr>
        <w:pStyle w:val="ae"/>
        <w:widowControl w:val="0"/>
        <w:numPr>
          <w:ilvl w:val="0"/>
          <w:numId w:val="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посилити науково-освітню складову університетської клініки.</w:t>
      </w:r>
    </w:p>
    <w:p w14:paraId="253D71F5" w14:textId="77777777" w:rsidR="006B79F7" w:rsidRDefault="0017149C">
      <w:pPr>
        <w:widowControl w:val="0"/>
        <w:spacing w:after="0" w:line="360" w:lineRule="auto"/>
        <w:ind w:firstLine="708"/>
        <w:jc w:val="both"/>
        <w:rPr>
          <w:rStyle w:val="a5"/>
          <w:rFonts w:ascii="Times New Roman" w:hAnsi="Times New Roman" w:cs="Times New Roman"/>
          <w:b w:val="0"/>
          <w:sz w:val="28"/>
          <w:szCs w:val="28"/>
        </w:rPr>
      </w:pPr>
      <w:r>
        <w:rPr>
          <w:rStyle w:val="a5"/>
          <w:rFonts w:ascii="Times New Roman" w:hAnsi="Times New Roman" w:cs="Times New Roman"/>
          <w:b w:val="0"/>
          <w:sz w:val="28"/>
          <w:szCs w:val="28"/>
        </w:rPr>
        <w:t>Потенційні моделі державно-приватного партнерства (ДПП), їх ризики та очікувані ефекти для Центру надані в табл. 3.3.</w:t>
      </w:r>
    </w:p>
    <w:p w14:paraId="41499C7F" w14:textId="77777777" w:rsidR="006B79F7" w:rsidRDefault="0017149C">
      <w:pPr>
        <w:widowControl w:val="0"/>
        <w:spacing w:after="0" w:line="360" w:lineRule="auto"/>
        <w:ind w:firstLine="708"/>
        <w:jc w:val="right"/>
        <w:rPr>
          <w:rStyle w:val="a5"/>
          <w:rFonts w:ascii="Times New Roman" w:hAnsi="Times New Roman" w:cs="Times New Roman"/>
          <w:bCs w:val="0"/>
          <w:sz w:val="28"/>
          <w:szCs w:val="28"/>
        </w:rPr>
      </w:pPr>
      <w:r>
        <w:rPr>
          <w:rStyle w:val="a5"/>
          <w:rFonts w:ascii="Times New Roman" w:hAnsi="Times New Roman" w:cs="Times New Roman"/>
          <w:bCs w:val="0"/>
          <w:sz w:val="28"/>
          <w:szCs w:val="28"/>
        </w:rPr>
        <w:t>Таблиця 3.3</w:t>
      </w:r>
    </w:p>
    <w:p w14:paraId="40057B78" w14:textId="77777777" w:rsidR="006B79F7" w:rsidRDefault="0017149C">
      <w:pPr>
        <w:widowControl w:val="0"/>
        <w:spacing w:after="0" w:line="360" w:lineRule="auto"/>
        <w:jc w:val="center"/>
        <w:rPr>
          <w:rFonts w:ascii="Times New Roman" w:hAnsi="Times New Roman" w:cs="Times New Roman"/>
          <w:bCs/>
          <w:sz w:val="28"/>
          <w:szCs w:val="28"/>
        </w:rPr>
      </w:pPr>
      <w:r>
        <w:rPr>
          <w:rStyle w:val="a5"/>
          <w:rFonts w:ascii="Times New Roman" w:hAnsi="Times New Roman" w:cs="Times New Roman"/>
          <w:bCs w:val="0"/>
          <w:sz w:val="28"/>
          <w:szCs w:val="28"/>
        </w:rPr>
        <w:t>Потенційні моделі ДПП для розвитку Центру реконструктивної та відновної медицини (Університетської клініки) ОНМедУ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15"/>
        <w:gridCol w:w="2340"/>
        <w:gridCol w:w="2378"/>
        <w:gridCol w:w="2711"/>
      </w:tblGrid>
      <w:tr w:rsidR="006B79F7" w14:paraId="29959F83" w14:textId="77777777">
        <w:trPr>
          <w:tblHeader/>
          <w:tblCellSpacing w:w="15" w:type="dxa"/>
        </w:trPr>
        <w:tc>
          <w:tcPr>
            <w:tcW w:w="1001" w:type="pct"/>
            <w:vAlign w:val="center"/>
          </w:tcPr>
          <w:p w14:paraId="2D5E8170" w14:textId="77777777" w:rsidR="006B79F7" w:rsidRDefault="0017149C">
            <w:pPr>
              <w:widowControl w:val="0"/>
              <w:spacing w:after="0" w:line="240" w:lineRule="auto"/>
              <w:jc w:val="center"/>
              <w:rPr>
                <w:rFonts w:ascii="Times New Roman" w:hAnsi="Times New Roman" w:cs="Times New Roman"/>
                <w:b/>
                <w:bCs/>
                <w:sz w:val="24"/>
                <w:szCs w:val="24"/>
              </w:rPr>
            </w:pPr>
            <w:r>
              <w:rPr>
                <w:rStyle w:val="a5"/>
                <w:rFonts w:ascii="Times New Roman" w:hAnsi="Times New Roman" w:cs="Times New Roman"/>
                <w:sz w:val="24"/>
                <w:szCs w:val="24"/>
              </w:rPr>
              <w:t>Модель державно-приватного партнерства</w:t>
            </w:r>
          </w:p>
        </w:tc>
        <w:tc>
          <w:tcPr>
            <w:tcW w:w="1236" w:type="pct"/>
            <w:vAlign w:val="center"/>
          </w:tcPr>
          <w:p w14:paraId="1D986D2C" w14:textId="77777777" w:rsidR="006B79F7" w:rsidRDefault="0017149C">
            <w:pPr>
              <w:widowControl w:val="0"/>
              <w:spacing w:after="0" w:line="240" w:lineRule="auto"/>
              <w:jc w:val="center"/>
              <w:rPr>
                <w:rFonts w:ascii="Times New Roman" w:hAnsi="Times New Roman" w:cs="Times New Roman"/>
                <w:b/>
                <w:bCs/>
                <w:sz w:val="24"/>
                <w:szCs w:val="24"/>
              </w:rPr>
            </w:pPr>
            <w:r>
              <w:rPr>
                <w:rStyle w:val="a5"/>
                <w:rFonts w:ascii="Times New Roman" w:hAnsi="Times New Roman" w:cs="Times New Roman"/>
                <w:sz w:val="24"/>
                <w:szCs w:val="24"/>
              </w:rPr>
              <w:t>Сутність та можливості для Центру</w:t>
            </w:r>
          </w:p>
        </w:tc>
        <w:tc>
          <w:tcPr>
            <w:tcW w:w="1257" w:type="pct"/>
            <w:vAlign w:val="center"/>
          </w:tcPr>
          <w:p w14:paraId="7BA0EF65" w14:textId="77777777" w:rsidR="006B79F7" w:rsidRDefault="0017149C">
            <w:pPr>
              <w:widowControl w:val="0"/>
              <w:spacing w:after="0" w:line="240" w:lineRule="auto"/>
              <w:jc w:val="center"/>
              <w:rPr>
                <w:rFonts w:ascii="Times New Roman" w:hAnsi="Times New Roman" w:cs="Times New Roman"/>
                <w:b/>
                <w:bCs/>
                <w:sz w:val="24"/>
                <w:szCs w:val="24"/>
              </w:rPr>
            </w:pPr>
            <w:r>
              <w:rPr>
                <w:rStyle w:val="a5"/>
                <w:rFonts w:ascii="Times New Roman" w:hAnsi="Times New Roman" w:cs="Times New Roman"/>
                <w:sz w:val="24"/>
                <w:szCs w:val="24"/>
              </w:rPr>
              <w:t>Основні ризики</w:t>
            </w:r>
          </w:p>
        </w:tc>
        <w:tc>
          <w:tcPr>
            <w:tcW w:w="1427" w:type="pct"/>
            <w:vAlign w:val="center"/>
          </w:tcPr>
          <w:p w14:paraId="680D01A8" w14:textId="77777777" w:rsidR="006B79F7" w:rsidRDefault="0017149C">
            <w:pPr>
              <w:widowControl w:val="0"/>
              <w:spacing w:after="0" w:line="240" w:lineRule="auto"/>
              <w:jc w:val="center"/>
              <w:rPr>
                <w:rStyle w:val="a5"/>
                <w:rFonts w:ascii="Times New Roman" w:hAnsi="Times New Roman" w:cs="Times New Roman"/>
                <w:sz w:val="24"/>
                <w:szCs w:val="24"/>
              </w:rPr>
            </w:pPr>
            <w:r>
              <w:rPr>
                <w:rStyle w:val="a5"/>
                <w:rFonts w:ascii="Times New Roman" w:hAnsi="Times New Roman" w:cs="Times New Roman"/>
                <w:sz w:val="24"/>
                <w:szCs w:val="24"/>
              </w:rPr>
              <w:t xml:space="preserve">Очікувані ефекти </w:t>
            </w:r>
          </w:p>
          <w:p w14:paraId="56056F8F" w14:textId="77777777" w:rsidR="006B79F7" w:rsidRDefault="0017149C">
            <w:pPr>
              <w:widowControl w:val="0"/>
              <w:spacing w:after="0" w:line="240" w:lineRule="auto"/>
              <w:jc w:val="center"/>
              <w:rPr>
                <w:rFonts w:ascii="Times New Roman" w:hAnsi="Times New Roman" w:cs="Times New Roman"/>
                <w:b/>
                <w:bCs/>
                <w:sz w:val="24"/>
                <w:szCs w:val="24"/>
              </w:rPr>
            </w:pPr>
            <w:r>
              <w:rPr>
                <w:rStyle w:val="a5"/>
                <w:rFonts w:ascii="Times New Roman" w:hAnsi="Times New Roman" w:cs="Times New Roman"/>
                <w:sz w:val="24"/>
                <w:szCs w:val="24"/>
              </w:rPr>
              <w:t>(для Центру, університету, пацієнтів)</w:t>
            </w:r>
          </w:p>
        </w:tc>
      </w:tr>
      <w:tr w:rsidR="006B79F7" w14:paraId="0AFF1C96" w14:textId="77777777">
        <w:trPr>
          <w:tblCellSpacing w:w="15" w:type="dxa"/>
        </w:trPr>
        <w:tc>
          <w:tcPr>
            <w:tcW w:w="1001" w:type="pct"/>
            <w:vAlign w:val="center"/>
          </w:tcPr>
          <w:p w14:paraId="6C1520E8"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1. Клінічне партнерство (Clinical PPP)</w:t>
            </w:r>
          </w:p>
        </w:tc>
        <w:tc>
          <w:tcPr>
            <w:tcW w:w="1236" w:type="pct"/>
          </w:tcPr>
          <w:p w14:paraId="019C4697"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спільних відділень: реабілітації, мініінвазивної хірургії, неврології, кардіореабілітації. Приватний партнер забезпечує обладнання, технології, навчання персоналу.</w:t>
            </w:r>
          </w:p>
        </w:tc>
        <w:tc>
          <w:tcPr>
            <w:tcW w:w="1257" w:type="pct"/>
          </w:tcPr>
          <w:p w14:paraId="634CCE51"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Ризик залежності від приватного партнера; можливий конфлікт інтересів; складність узгодження цінової політики.</w:t>
            </w:r>
          </w:p>
        </w:tc>
        <w:tc>
          <w:tcPr>
            <w:tcW w:w="1427" w:type="pct"/>
          </w:tcPr>
          <w:p w14:paraId="1493F3DD"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Покращення доступності високоспеціалізованої допомоги; модернізація клініки без великих витрат; зростання кількості пацієнтів; збільшення надходжень.</w:t>
            </w:r>
          </w:p>
        </w:tc>
      </w:tr>
    </w:tbl>
    <w:p w14:paraId="77F85BEA" w14:textId="77777777" w:rsidR="006B79F7" w:rsidRDefault="0017149C">
      <w:r>
        <w:br w:type="page"/>
      </w:r>
    </w:p>
    <w:p w14:paraId="0DEB0D68" w14:textId="77777777" w:rsidR="006B79F7" w:rsidRDefault="0017149C">
      <w:pPr>
        <w:jc w:val="right"/>
        <w:rPr>
          <w:rFonts w:ascii="Times New Roman" w:hAnsi="Times New Roman" w:cs="Times New Roman"/>
          <w:sz w:val="28"/>
          <w:szCs w:val="28"/>
        </w:rPr>
      </w:pPr>
      <w:r>
        <w:rPr>
          <w:rFonts w:ascii="Times New Roman" w:hAnsi="Times New Roman" w:cs="Times New Roman"/>
          <w:sz w:val="28"/>
          <w:szCs w:val="28"/>
        </w:rPr>
        <w:lastRenderedPageBreak/>
        <w:t>Продовження табл. 3.3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39"/>
        <w:gridCol w:w="2332"/>
        <w:gridCol w:w="2370"/>
        <w:gridCol w:w="2703"/>
      </w:tblGrid>
      <w:tr w:rsidR="006B79F7" w14:paraId="0A20D57C" w14:textId="77777777">
        <w:trPr>
          <w:tblCellSpacing w:w="15" w:type="dxa"/>
        </w:trPr>
        <w:tc>
          <w:tcPr>
            <w:tcW w:w="1001" w:type="pct"/>
            <w:vAlign w:val="center"/>
          </w:tcPr>
          <w:p w14:paraId="0D6E09C1"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2. Діагностичне ДПП (lab &amp; imaging PPP)</w:t>
            </w:r>
          </w:p>
        </w:tc>
        <w:tc>
          <w:tcPr>
            <w:tcW w:w="1236" w:type="pct"/>
          </w:tcPr>
          <w:p w14:paraId="5178E2B7"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Спільні лабораторії, МРТ/КТ-центри, цифрова діагностика. Обладнання — приватний інвестор; приміщення і персонал — Центр.</w:t>
            </w:r>
          </w:p>
        </w:tc>
        <w:tc>
          <w:tcPr>
            <w:tcW w:w="1257" w:type="pct"/>
          </w:tcPr>
          <w:p w14:paraId="259E69C3"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Ризик монополізації; залежність від комерційної моделі партнера; вимоги до інформаційної сумісності.</w:t>
            </w:r>
          </w:p>
        </w:tc>
        <w:tc>
          <w:tcPr>
            <w:tcW w:w="1427" w:type="pct"/>
          </w:tcPr>
          <w:p w14:paraId="494C2B2A"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якості діагностики; доступ до сучасної техніки; скорочення витрат; додатковий прибуток від обслуговування сторонніх клієнтів.</w:t>
            </w:r>
          </w:p>
        </w:tc>
      </w:tr>
      <w:tr w:rsidR="006B79F7" w14:paraId="0C5E7E86" w14:textId="77777777">
        <w:trPr>
          <w:tblCellSpacing w:w="15" w:type="dxa"/>
        </w:trPr>
        <w:tc>
          <w:tcPr>
            <w:tcW w:w="1001" w:type="pct"/>
            <w:vAlign w:val="center"/>
          </w:tcPr>
          <w:p w14:paraId="28AAA6C1"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3. ІТ-партнерство (Digital Health PPP)</w:t>
            </w:r>
          </w:p>
        </w:tc>
        <w:tc>
          <w:tcPr>
            <w:tcW w:w="1236" w:type="pct"/>
          </w:tcPr>
          <w:p w14:paraId="35CBF023"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Запуск телемедицини, е-регістратури, дистанційної реабілітації, ІТ-платформ для моніторингу пацієнтів.</w:t>
            </w:r>
          </w:p>
        </w:tc>
        <w:tc>
          <w:tcPr>
            <w:tcW w:w="1257" w:type="pct"/>
          </w:tcPr>
          <w:p w14:paraId="6BC84721"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Кіберризики; невідповідність ІТ-стандартам МОЗ; потреба в тривалому технічному супроводі.</w:t>
            </w:r>
          </w:p>
        </w:tc>
        <w:tc>
          <w:tcPr>
            <w:tcW w:w="1427" w:type="pct"/>
          </w:tcPr>
          <w:p w14:paraId="7D5DA3B6"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доступності послуг; автоматизація менеджменту; збільшення кількості пацієнтів; формування іміджу інноваційної клініки.</w:t>
            </w:r>
          </w:p>
        </w:tc>
      </w:tr>
      <w:tr w:rsidR="006B79F7" w14:paraId="419F37CA" w14:textId="77777777">
        <w:trPr>
          <w:tblCellSpacing w:w="15" w:type="dxa"/>
        </w:trPr>
        <w:tc>
          <w:tcPr>
            <w:tcW w:w="1001" w:type="pct"/>
            <w:vAlign w:val="center"/>
          </w:tcPr>
          <w:p w14:paraId="20288278"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4. Інфраструктурні проєкти (Facility PPP)</w:t>
            </w:r>
          </w:p>
        </w:tc>
        <w:tc>
          <w:tcPr>
            <w:tcW w:w="1236" w:type="pct"/>
          </w:tcPr>
          <w:p w14:paraId="4D21FA61"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Реконструкція будівель, енергомодернізація, створення Smart Hospital, оновлення операційного блоку.</w:t>
            </w:r>
          </w:p>
        </w:tc>
        <w:tc>
          <w:tcPr>
            <w:tcW w:w="1257" w:type="pct"/>
          </w:tcPr>
          <w:p w14:paraId="2B8F2B57"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Високі капітальні ризики; довгострокові контракти; залежність від політичної ситуації.</w:t>
            </w:r>
          </w:p>
        </w:tc>
        <w:tc>
          <w:tcPr>
            <w:tcW w:w="1427" w:type="pct"/>
          </w:tcPr>
          <w:p w14:paraId="2E7E62C0"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Підвищення енергоефективності; зниження витрат; створення комфортних умов лікування та навчання; залучення інвесторів ЄС та USAID.</w:t>
            </w:r>
          </w:p>
        </w:tc>
      </w:tr>
      <w:tr w:rsidR="006B79F7" w14:paraId="3E1AE40B" w14:textId="77777777">
        <w:trPr>
          <w:tblCellSpacing w:w="15" w:type="dxa"/>
        </w:trPr>
        <w:tc>
          <w:tcPr>
            <w:tcW w:w="1001" w:type="pct"/>
            <w:vAlign w:val="center"/>
          </w:tcPr>
          <w:p w14:paraId="142C2AA2"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5. Освітньо-наукове партнерство (Education &amp; R&amp;D PPP)</w:t>
            </w:r>
          </w:p>
        </w:tc>
        <w:tc>
          <w:tcPr>
            <w:tcW w:w="1236" w:type="pct"/>
          </w:tcPr>
          <w:p w14:paraId="7D6C520E"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симуляційного центру, спільні лабораторії, участь у міжнародних грантах, комерціалізація наукових розробок.</w:t>
            </w:r>
          </w:p>
        </w:tc>
        <w:tc>
          <w:tcPr>
            <w:tcW w:w="1257" w:type="pct"/>
          </w:tcPr>
          <w:p w14:paraId="3F94CEAF"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Потреба в координації інтелектуальних прав; кадрові ризики; вимога високої кваліфікації персоналу.</w:t>
            </w:r>
          </w:p>
        </w:tc>
        <w:tc>
          <w:tcPr>
            <w:tcW w:w="1427" w:type="pct"/>
          </w:tcPr>
          <w:p w14:paraId="4AC9E31E"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Розвиток наукового потенціалу; зростання рейтингів університету; створення нових програм навчання; залучення фінансування від грантів.</w:t>
            </w:r>
          </w:p>
        </w:tc>
      </w:tr>
      <w:tr w:rsidR="006B79F7" w14:paraId="6073E69F" w14:textId="77777777">
        <w:trPr>
          <w:tblCellSpacing w:w="15" w:type="dxa"/>
        </w:trPr>
        <w:tc>
          <w:tcPr>
            <w:tcW w:w="1001" w:type="pct"/>
            <w:vAlign w:val="center"/>
          </w:tcPr>
          <w:p w14:paraId="28AB5449"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6. Партнерство у реабілітації ветеранів (Veteran care PPP)</w:t>
            </w:r>
          </w:p>
        </w:tc>
        <w:tc>
          <w:tcPr>
            <w:tcW w:w="1236" w:type="pct"/>
          </w:tcPr>
          <w:p w14:paraId="4FCD49A3"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Створення відділення реабілітації військових із допомогою фондів, приватних інвесторів, міжнародних програм.</w:t>
            </w:r>
          </w:p>
        </w:tc>
        <w:tc>
          <w:tcPr>
            <w:tcW w:w="1257" w:type="pct"/>
          </w:tcPr>
          <w:p w14:paraId="118ED93F"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Нерегулярність грантових надходжень; висока конкуренція серед реабілітаційних центрів; емоційне навантаження на персонал.</w:t>
            </w:r>
          </w:p>
        </w:tc>
        <w:tc>
          <w:tcPr>
            <w:tcW w:w="1427" w:type="pct"/>
          </w:tcPr>
          <w:p w14:paraId="3030EFFF"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Соціальний ефект; збільшення державного фінансування; зміцнення репутації клініки; довгостроковий попит на послуги.</w:t>
            </w:r>
          </w:p>
        </w:tc>
      </w:tr>
      <w:tr w:rsidR="006B79F7" w14:paraId="3B661F06" w14:textId="77777777">
        <w:trPr>
          <w:tblCellSpacing w:w="15" w:type="dxa"/>
        </w:trPr>
        <w:tc>
          <w:tcPr>
            <w:tcW w:w="1001" w:type="pct"/>
            <w:vAlign w:val="center"/>
          </w:tcPr>
          <w:p w14:paraId="59634B8F" w14:textId="77777777" w:rsidR="006B79F7" w:rsidRDefault="0017149C">
            <w:pPr>
              <w:widowControl w:val="0"/>
              <w:spacing w:after="0" w:line="240" w:lineRule="auto"/>
              <w:rPr>
                <w:rFonts w:ascii="Times New Roman" w:hAnsi="Times New Roman" w:cs="Times New Roman"/>
                <w:sz w:val="24"/>
                <w:szCs w:val="24"/>
              </w:rPr>
            </w:pPr>
            <w:r>
              <w:rPr>
                <w:rStyle w:val="a5"/>
                <w:rFonts w:ascii="Times New Roman" w:hAnsi="Times New Roman" w:cs="Times New Roman"/>
                <w:sz w:val="24"/>
                <w:szCs w:val="24"/>
              </w:rPr>
              <w:t>7. Центр медичного туризму (Medical Tourism PPP)</w:t>
            </w:r>
          </w:p>
        </w:tc>
        <w:tc>
          <w:tcPr>
            <w:tcW w:w="1236" w:type="pct"/>
          </w:tcPr>
          <w:p w14:paraId="51569912"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Партнерство для залучення пацієнтів з Європи, Азії, Близького Сходу (пластична, реконструктивна хірургія, реабілітація).</w:t>
            </w:r>
          </w:p>
        </w:tc>
        <w:tc>
          <w:tcPr>
            <w:tcW w:w="1257" w:type="pct"/>
          </w:tcPr>
          <w:p w14:paraId="023B2581"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Геополітичні ризики; необхідність маркетингових інвестицій; високі стандарти сервісу.</w:t>
            </w:r>
          </w:p>
        </w:tc>
        <w:tc>
          <w:tcPr>
            <w:tcW w:w="1427" w:type="pct"/>
          </w:tcPr>
          <w:p w14:paraId="321A70CC" w14:textId="77777777" w:rsidR="006B79F7" w:rsidRDefault="0017149C">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Значне зростання доходів; міжнародне визнання; розвиток спеціалізованих напрямів; зміцнення кадрового потенціалу.</w:t>
            </w:r>
          </w:p>
        </w:tc>
      </w:tr>
    </w:tbl>
    <w:p w14:paraId="57C0FCA6" w14:textId="77777777" w:rsidR="006B79F7" w:rsidRDefault="006B79F7">
      <w:pPr>
        <w:widowControl w:val="0"/>
        <w:spacing w:after="0" w:line="360" w:lineRule="auto"/>
        <w:ind w:firstLine="708"/>
        <w:jc w:val="both"/>
        <w:rPr>
          <w:rFonts w:ascii="Times New Roman" w:hAnsi="Times New Roman" w:cs="Times New Roman"/>
          <w:sz w:val="28"/>
          <w:szCs w:val="28"/>
        </w:rPr>
      </w:pPr>
    </w:p>
    <w:p w14:paraId="21A9537C" w14:textId="77777777" w:rsidR="006B79F7" w:rsidRDefault="0017149C">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Схема «Стратегія розвитку </w:t>
      </w:r>
      <w:r>
        <w:rPr>
          <w:rStyle w:val="a5"/>
          <w:rFonts w:ascii="Times New Roman" w:hAnsi="Times New Roman" w:cs="Times New Roman"/>
          <w:b w:val="0"/>
          <w:bCs w:val="0"/>
          <w:sz w:val="28"/>
          <w:szCs w:val="28"/>
        </w:rPr>
        <w:t xml:space="preserve">Центру реконструктивної та відновної медицини ОНМедУ </w:t>
      </w:r>
      <w:r>
        <w:rPr>
          <w:rFonts w:ascii="Times New Roman" w:hAnsi="Times New Roman" w:cs="Times New Roman"/>
          <w:sz w:val="28"/>
          <w:szCs w:val="28"/>
        </w:rPr>
        <w:t>через ДПП» надана у Додатку 3.</w:t>
      </w:r>
    </w:p>
    <w:p w14:paraId="77F47417"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Висновки до розділу 3</w:t>
      </w:r>
    </w:p>
    <w:p w14:paraId="78169176"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У третьому розділі було здійснено комплексний аналіз можливостей удосконалення управління підприємницькою діяльністю в державному закладі охорони здоров’я — Центрі реконструктивної та відновної медицини (Університетській клініці) ОНМедУ. Розділ дав змогу виявити ключові проблеми, визначити стратегічні напрями розвитку підприємництва, сформувати модель удосконалення управління та запропонувати конкретні механізми трансформації, включаючи використання потенціалу державно-приватного партнерства (ДПП). На основі отриманих результатів можна зробити такі узагальнені висновки.</w:t>
      </w:r>
    </w:p>
    <w:p w14:paraId="14D7467E"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Передусім встановлено, що діяльність Центру має змішаний — державний та підприємницький — характер, що створює унікальне середовище для впровадження сучасних управлінських підходів. Центр зберігає статус структурного підрозділу університету та виконує соціальну, лікувальну, освітню й наукову функції, однак водночас активно розвиває напрями комерційної діяльності: надання платних послуг, участь у програмах НСЗУ, укладання господарських договорів, здача приміщень в оренду, реалізація освітніх та наукових ініціатив. Така гібридна модель доводить можливість ефективного функціонування державної установи на ринкових засадах за умови правильно вибудованої системи управління.</w:t>
      </w:r>
    </w:p>
    <w:p w14:paraId="21B81589"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У ході аналізу було визначено особливості підприємницької діяльності Центру, серед яких головними є: існування широкої мережі стаціонарних, амбулаторних, діагностичних, реабілітаційних та стоматологічних підрозділів; висока залежність від кадрового потенціалу; значний рівень конкуренції з боку приватних медичних закладів; потреба в модернізації обладнання; недостатній рівень цифровізації; зростання соціального запиту на якісну та доступну медичну допомогу. Разом ці фактори формують потребу у впровадженні більш системного та гнучкого підходу до управління підприємництвом у межах Центру.</w:t>
      </w:r>
    </w:p>
    <w:p w14:paraId="2E1EE05E"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 xml:space="preserve">Проведена оцінка підприємницької діяльності дала змогу виокремити </w:t>
      </w:r>
      <w:r>
        <w:rPr>
          <w:rFonts w:ascii="Times New Roman" w:eastAsia="Times New Roman" w:hAnsi="Times New Roman" w:cs="Times New Roman"/>
          <w:sz w:val="28"/>
          <w:szCs w:val="28"/>
          <w:lang w:eastAsia="ru-RU"/>
        </w:rPr>
        <w:lastRenderedPageBreak/>
        <w:t>пріоритетні напрями розвитку, що мають найбільшу економічну, організаційну та соціальну доцільність. До них належать: розширення спектру платних медичних та реабілітаційних послуг; впровадження телемедицини та цифрових платформ; модернізація матеріально-технічної бази; реалізація сучасної маркетингової стратегії; залучення грантів і зовнішнього фінансування; розвиток внутрішнього кадрового потенціалу; комерціалізація наукових розробок. Для кожного напряму було визначено орієнтовні витрати, строк реалізації, очікуваний ефект і рівень ефективності, що дозволяє застосовувати їх як основу для подальшого стратегічного планування.</w:t>
      </w:r>
    </w:p>
    <w:p w14:paraId="71924771"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На основі отриманих даних розроблено комплексну модель удосконалення управління Центром, яка охоплює дев'ять ключових управлінських компонентів: організаційну структуру, стратегічне планування, фінансовий менеджмент, якість медичних послуг, цифрову трансформацію, кадрову політику, пацієнтоорієнтованість, партнерство та міжнародну співпрацю. У межах кожного компонента визначено проблеми, оптимізаційні рішення та очікувані результати. Встановлено, що впровадження такої моделі дозволяє забезпечити підвищення ефективності управління, зменшення внутрішніх витрат, покращення координації підрозділів, підвищення мотивації персоналу, зростання фінансової стійкості та конкурентоспроможності Центру.</w:t>
      </w:r>
    </w:p>
    <w:p w14:paraId="13CBBD54"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 xml:space="preserve">Окрему увагу в розділі приділено аналізу перспектив державно-приватного партнерства, яке визначено одним із найефективніших інструментів стабільного розвитку Центру. На відміну від класичного бюджетного фінансування, ДПП дозволяє залучити значні інвестиції без перевищення бюджетного навантаження, забезпечує доступ до сучасних технологій і підвищує здатність установи конкурувати з приватними медичними закладами. Запропоновані моделі ДПП включають: створення спільних діагностичних центрів; партнерства у клінічних відділеннях; інфраструктурні проєкти модернізації будівель; телемедичні ІТ-проєкти; </w:t>
      </w:r>
      <w:r>
        <w:rPr>
          <w:rFonts w:ascii="Times New Roman" w:eastAsia="Times New Roman" w:hAnsi="Times New Roman" w:cs="Times New Roman"/>
          <w:sz w:val="28"/>
          <w:szCs w:val="28"/>
          <w:lang w:eastAsia="ru-RU"/>
        </w:rPr>
        <w:lastRenderedPageBreak/>
        <w:t>освітньо-наукові ініціативи; програми реабілітації ветеранів; формування центру медичного туризму. Для кожної моделі визначено потенційні ризики, очікувані ефекти та можливості для Центру. Це дає змогу застосовувати різні партнерські механізми залежно від конкретних потреб та інвестиційних перспектив.</w:t>
      </w:r>
    </w:p>
    <w:p w14:paraId="0A2AFBFD"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Результати аналізу демонструють, що використання ДПП є високоефективним інструментом підвищення фінансової автономії, модернізації інфраструктури, покращення доступу до новітнього обладнання та розширення переліку послуг. Такий підхід також сприяє зміцненню позицій Центру як університетської клініки, здатної поєднувати лікувальну, наукову й навчальну діяльність у межах сучасної інноваційної моделі.</w:t>
      </w:r>
    </w:p>
    <w:p w14:paraId="2E11BC6D"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Узагальнюючи результати, можна стверджувати, що стратегічний розвиток Центру має ґрунтуватися на поєднанні трьох ключових блоків: (1) оптимізації внутрішніх процесів, організації та управління; (2) розширенні підприємницьких напрямів через диверсифікацію послуг, цифровізацію та комерціалізацію інновацій; (3) залученні зовнішнього фінансування й партнерських ресурсів, насамперед через ДПП. Такий інтегрований підхід дозволить Центру не тільки підвищити якість медичних послуг, а й сформувати стійку економічну базу, здатну забезпечити конкурентні переваги, інноваційність і стабільний розвиток у довгостроковій перспективі.</w:t>
      </w:r>
    </w:p>
    <w:p w14:paraId="79767F2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Таким чином, запропоновані в розділі управлінські рішення та моделі розвитку забезпечують системну основу для трансформації Центру в інноваційний, підприємницьки орієнтований медичний заклад нового покоління. Реалізація цих заходів сприятиме підвищенню ефективності управління, зміцненню кадрового потенціалу, розширенню спектру послуг, формуванню позитивного іміджу, модернізації технічної бази та залученню нових фінансових ресурсів. Усвідомлене стратегічне планування та гнучке управління підприємницькою діяльністю створюють передумови для стійкого розвитку Центру в умовах сучасних реформ охорони здоров’я України.</w:t>
      </w:r>
      <w:r>
        <w:rPr>
          <w:rFonts w:ascii="Times New Roman" w:hAnsi="Times New Roman" w:cs="Times New Roman"/>
          <w:sz w:val="28"/>
          <w:szCs w:val="28"/>
        </w:rPr>
        <w:br w:type="page"/>
      </w:r>
    </w:p>
    <w:p w14:paraId="51FA02E4"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14:paraId="7F4DD657" w14:textId="77777777" w:rsidR="006B79F7" w:rsidRDefault="006B79F7">
      <w:pPr>
        <w:widowControl w:val="0"/>
        <w:spacing w:after="0" w:line="360" w:lineRule="auto"/>
        <w:ind w:firstLine="709"/>
        <w:rPr>
          <w:rFonts w:ascii="Times New Roman" w:hAnsi="Times New Roman" w:cs="Times New Roman"/>
          <w:sz w:val="28"/>
          <w:szCs w:val="28"/>
        </w:rPr>
      </w:pPr>
    </w:p>
    <w:p w14:paraId="6824CEED"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Проведений комплексний теоретичний аналіз особливостей функціонування приватного сектора охорони здоров’я України дозволяє зробити низку важливих узагальнень щодо його місця, ролі та перспектив у сучасній національній системі охорони здоров’я. У межах першого розділу кваліфікаційної роботи розкрито сутність тенденцій розвитку приватної медицини, специфіку її інноваційно-інвестиційної діяльності, а також визначено ключові переваги, недоліки та чинники, що впливають на ефективність управління приватними медичними підприємствами. Узагальнення отриманих результатів дає підстави для формування комплексного бачення сутності та закономірностей управління приватним підприємством у сфері охорони здоров’я.</w:t>
      </w:r>
    </w:p>
    <w:p w14:paraId="672335B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Приватні медичні заклади виконують як медичні, так і соціально значущі функції — від надання допомоги пацієнтам у критичних умовах до участі у благодійних програмах, особливо під час війни. Це свідчить про те, що приватна медицина перестала бути виключно комерційним сегментом і дедалі більше бере участь у розв’язанні загальнонаціональних завдань.</w:t>
      </w:r>
    </w:p>
    <w:p w14:paraId="4CD14CC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Особливої ваги набуло державно-приватне партнерство, яке дозволяє ефективно поєднувати інвестиційні можливості приватних компаній і стратегічний контроль держави. Така модель управління є перспективною для регіонального розвитку, розбудови діагностичних центрів та модернізації медичних закладів, особливо у післявоєнний період. Таким чином, інновації та інвестиції формують нову якість приватної медицини, роблячи її не альтернативою, а повноцінним партнером державної системи охорони здоров’я.</w:t>
      </w:r>
    </w:p>
    <w:p w14:paraId="147A71B1"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першому розділі узагальнено основні сильні сторони приватного сектора: висока якість сервісу та гнучкість управління; швидке впровадження новітніх технологій; ефективна мотиваційна система персоналу; здатність працювати в кризових умовах (пандемія, війна); участь у соціальних </w:t>
      </w:r>
      <w:r>
        <w:rPr>
          <w:rFonts w:ascii="Times New Roman" w:hAnsi="Times New Roman" w:cs="Times New Roman"/>
          <w:sz w:val="28"/>
          <w:szCs w:val="28"/>
        </w:rPr>
        <w:lastRenderedPageBreak/>
        <w:t>ініціативах та гуманітарних проєктах; позитивний внесок у працевлаштування й розвиток ринку праці. Однак поряд з перевагами існують і системні недоліки, що стримують розвиток: соціальна нерівність у доступі до послуг; висока вартість лікування в окремих приватних клініках; нестабільність і недосконалість нормативно-правової бази; складність ліцензування і надмірна бюрократизація; залежність від фінансових ризиків та коливань економічної ситуації; недостатній розвиток медичного страхування; нерівномірність територіального розподілу приватних закладів. Зазначені переваги та недоліки формують складний контекст, у якому приватні медичні заклади вимушені шукати оптимальні управлінські моделі. Це потребує від керівництва високого рівня стратегічної компетентності, адаптивності та здатності оперативно реагувати на зовнішні загрози.</w:t>
      </w:r>
    </w:p>
    <w:p w14:paraId="3868442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Подальший розвиток приватного сектора потребує: удосконалення державного регулювання; створення прозорих правил для інвесторів; розширення державно-приватних партнерств; впровадження медичного страхування; підтримки цифрових інновацій; стимулювання кадрового потенціалу; забезпечення доступності послуг для населення.</w:t>
      </w:r>
    </w:p>
    <w:p w14:paraId="130B767F"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результати теоретичного аналізу, викладені у першому розділі, переконливо свідчать, що приватні медичні підприємства займають дедалі важливіше місце у системі охорони здоров’я України. Сектор характеризується високими темпами розвитку, значним інноваційним потенціалом, здатністю до адаптації та вагомим соціальним внеском.</w:t>
      </w:r>
    </w:p>
    <w:p w14:paraId="39CD8FF3"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Приватна медицина сьогодні є не лише альтернативою державній, а й потужним партнером та драйвером змін. Водночас ефективне управління приватним підприємством у сфері охорони здоров’я потребує врахування складної системи регуляторних, фінансових, соціальних та технологічних чинників, що визначають специфіку його функціонування. Подальший розвиток приватної медицини залежить від здатності держави та бізнесу діяти синергійно, забезпечуючи сталість та ефективність усієї системи охорони здоров’я.</w:t>
      </w:r>
    </w:p>
    <w:p w14:paraId="1E181E6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Другий розділ присвячений комплексному аналізу механізмів управління діяльністю медичних установ у сучасних умовах, зокрема в період воєнного стану, а також вивченню можливостей адаптації світового досвіду управління приватними медичними підприємствами в Україні. Проведене дослідження дозволило системно охарактеризувати трансформації нормативно-правового поля, зміни у механізмах державного управління, особливості функціонування приватних медичних структур, розвиток механізмів державно-приватного партнерства та перспективи впровадження інноваційних управлінських моделей у сфері охорони здоров’я.</w:t>
      </w:r>
    </w:p>
    <w:p w14:paraId="1E52B640"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розділі охарактеризовано ключові механізми управління (державний, економічний, організаційний, інформаційний, технічний, структурний, адміністративний) та визначено їхню вагу до початку війни й під час воєнних дій. Порівняльний аналіз свідчить про такі тенденції:</w:t>
      </w:r>
    </w:p>
    <w:p w14:paraId="6626798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Підвищення ролі державного та інформаційного механізмів</w:t>
      </w:r>
      <w:r>
        <w:rPr>
          <w:rFonts w:ascii="Times New Roman" w:hAnsi="Times New Roman" w:cs="Times New Roman"/>
          <w:sz w:val="28"/>
          <w:szCs w:val="28"/>
        </w:rPr>
        <w:t xml:space="preserve"> (до 25%) у зв’язку з необхідністю централізованого реагування, кризового менеджменту та оперативного поширення актуальної інформації.</w:t>
      </w:r>
    </w:p>
    <w:p w14:paraId="6D105C4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Зростання значущості технічного механізму</w:t>
      </w:r>
      <w:r>
        <w:rPr>
          <w:rFonts w:ascii="Times New Roman" w:hAnsi="Times New Roman" w:cs="Times New Roman"/>
          <w:sz w:val="28"/>
          <w:szCs w:val="28"/>
        </w:rPr>
        <w:t>, що пояснюється цифровізацією, використанням телемедицини, електронних систем, інтерактивних форм моніторингу.</w:t>
      </w:r>
    </w:p>
    <w:p w14:paraId="27B0C0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Меншою стала роль структурного та адміністративного механізмів</w:t>
      </w:r>
      <w:r>
        <w:rPr>
          <w:rFonts w:ascii="Times New Roman" w:hAnsi="Times New Roman" w:cs="Times New Roman"/>
          <w:sz w:val="28"/>
          <w:szCs w:val="28"/>
        </w:rPr>
        <w:t>, що свідчить про зниження ефективності жорстких бюрократичних моделей управління в умовах нестабільності.</w:t>
      </w:r>
    </w:p>
    <w:p w14:paraId="42D2C4BA"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медичні заклади поступово переходять від вертикально-адміністративної моделі до </w:t>
      </w:r>
      <w:r>
        <w:rPr>
          <w:rStyle w:val="a5"/>
          <w:rFonts w:ascii="Times New Roman" w:hAnsi="Times New Roman" w:cs="Times New Roman"/>
          <w:b w:val="0"/>
          <w:sz w:val="28"/>
          <w:szCs w:val="28"/>
        </w:rPr>
        <w:t>гнучкої, децентралізованої, кризової моделі управління</w:t>
      </w:r>
      <w:r>
        <w:rPr>
          <w:rFonts w:ascii="Times New Roman" w:hAnsi="Times New Roman" w:cs="Times New Roman"/>
          <w:sz w:val="28"/>
          <w:szCs w:val="28"/>
        </w:rPr>
        <w:t>, заснованої на інформаційній підтримці, цифрових рішеннях та партнерській взаємодії.</w:t>
      </w:r>
    </w:p>
    <w:p w14:paraId="2AD1F71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ДПП розглядається як один із найважливіших механізмів реформування української медицини. Аналіз моделей, запропонованих ВООЗ та МФК, дозволив сформулювати такі висновки:</w:t>
      </w:r>
    </w:p>
    <w:p w14:paraId="54007622"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ДПП відкриває шлях до модернізації інфраструктури, залучення </w:t>
      </w:r>
      <w:r>
        <w:rPr>
          <w:rFonts w:ascii="Times New Roman" w:hAnsi="Times New Roman" w:cs="Times New Roman"/>
          <w:sz w:val="28"/>
          <w:szCs w:val="28"/>
        </w:rPr>
        <w:lastRenderedPageBreak/>
        <w:t>інвестицій, підвищення ефективності клінічного та адміністративного менеджменту.</w:t>
      </w:r>
    </w:p>
    <w:p w14:paraId="30C0D53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П’ять базових моделей партнерства (послуги з управління обладнанням, договори управління, спеціалізовані клінічні послуги, інфраструктурні моделі, інтегровані моделі) дозволяють адаптувати формат співпраці до потреб конкретного регіону й медичної установи.</w:t>
      </w:r>
    </w:p>
    <w:p w14:paraId="70C050CE"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В Україні вже реалізовано значну кількість міжнародних партнерств, що свідчить про позитивну динаміку співпраці приватного сектору та держави.</w:t>
      </w:r>
    </w:p>
    <w:p w14:paraId="1CE8E706"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Водночас наявні </w:t>
      </w:r>
      <w:r>
        <w:rPr>
          <w:rStyle w:val="a5"/>
          <w:rFonts w:ascii="Times New Roman" w:hAnsi="Times New Roman" w:cs="Times New Roman"/>
          <w:b w:val="0"/>
          <w:sz w:val="28"/>
          <w:szCs w:val="28"/>
        </w:rPr>
        <w:t>ризики та бар’єри</w:t>
      </w:r>
      <w:r>
        <w:rPr>
          <w:rFonts w:ascii="Times New Roman" w:hAnsi="Times New Roman" w:cs="Times New Roman"/>
          <w:sz w:val="28"/>
          <w:szCs w:val="28"/>
        </w:rPr>
        <w:t xml:space="preserve"> (недосконалість фіскального законодавства, управлінські ризики, відсутність гарантій для інвесторів, соціальні диспропорції у доступі до медичних послуг).</w:t>
      </w:r>
    </w:p>
    <w:p w14:paraId="2DF3922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Синтезуючи проведене дослідження, можна зробити такі узагальнення:</w:t>
      </w:r>
    </w:p>
    <w:p w14:paraId="743A5B6C"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Система управління охороною здоров’я України переходить у фазу глибокої трансформації</w:t>
      </w:r>
      <w:r>
        <w:rPr>
          <w:rFonts w:ascii="Times New Roman" w:hAnsi="Times New Roman" w:cs="Times New Roman"/>
          <w:sz w:val="28"/>
          <w:szCs w:val="28"/>
        </w:rPr>
        <w:t>, де ключову роль відіграють адаптивність, цифровізація та партнерська взаємодія.</w:t>
      </w:r>
    </w:p>
    <w:p w14:paraId="7DD23119"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Приватні медичні підприємства стають важливою складовою розвитку медичного ринку</w:t>
      </w:r>
      <w:r>
        <w:rPr>
          <w:rFonts w:ascii="Times New Roman" w:hAnsi="Times New Roman" w:cs="Times New Roman"/>
          <w:sz w:val="28"/>
          <w:szCs w:val="28"/>
        </w:rPr>
        <w:t>, оскільки демонструють гнучкість, здатність до впровадження інновацій і високий рівень клієнтоорієнтованості.</w:t>
      </w:r>
    </w:p>
    <w:p w14:paraId="03B27775"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Державно-приватне партнерство є стратегічним інструментом модернізації системи охорони здоров’я</w:t>
      </w:r>
      <w:r>
        <w:rPr>
          <w:rFonts w:ascii="Times New Roman" w:hAnsi="Times New Roman" w:cs="Times New Roman"/>
          <w:sz w:val="28"/>
          <w:szCs w:val="28"/>
        </w:rPr>
        <w:t>, здатним забезпечити оновлення інфраструктури, впровадження сучасних технологій і покращення якості послуг.</w:t>
      </w:r>
    </w:p>
    <w:p w14:paraId="709D8237"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Pr>
          <w:rStyle w:val="a5"/>
          <w:rFonts w:ascii="Times New Roman" w:hAnsi="Times New Roman" w:cs="Times New Roman"/>
          <w:b w:val="0"/>
          <w:sz w:val="28"/>
          <w:szCs w:val="28"/>
        </w:rPr>
        <w:t>Міжнародний досвід доводить</w:t>
      </w:r>
      <w:r>
        <w:rPr>
          <w:rFonts w:ascii="Times New Roman" w:hAnsi="Times New Roman" w:cs="Times New Roman"/>
          <w:sz w:val="28"/>
          <w:szCs w:val="28"/>
        </w:rPr>
        <w:t>, що ефективне управління медичними підприємствами ґрунтується на професійному менеджменті, стандартах якості, цифровій трансформації та розвитку людського капіталу.</w:t>
      </w:r>
    </w:p>
    <w:p w14:paraId="65997974"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Для України актуальною є </w:t>
      </w:r>
      <w:r>
        <w:rPr>
          <w:rStyle w:val="a5"/>
          <w:rFonts w:ascii="Times New Roman" w:hAnsi="Times New Roman" w:cs="Times New Roman"/>
          <w:b w:val="0"/>
          <w:sz w:val="28"/>
          <w:szCs w:val="28"/>
        </w:rPr>
        <w:t>потреба в поєднанні національних особливостей та світових управлінських моделей</w:t>
      </w:r>
      <w:r>
        <w:rPr>
          <w:rFonts w:ascii="Times New Roman" w:hAnsi="Times New Roman" w:cs="Times New Roman"/>
          <w:sz w:val="28"/>
          <w:szCs w:val="28"/>
        </w:rPr>
        <w:t>, що дозволить створити конкурентоспроможну, стійку та інноваційну систему приватної медицини.</w:t>
      </w:r>
    </w:p>
    <w:p w14:paraId="4BD5528C"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 xml:space="preserve">У третьому розділі було здійснено комплексний аналіз можливостей </w:t>
      </w:r>
      <w:r>
        <w:rPr>
          <w:rFonts w:ascii="Times New Roman" w:eastAsia="Times New Roman" w:hAnsi="Times New Roman" w:cs="Times New Roman"/>
          <w:sz w:val="28"/>
          <w:szCs w:val="28"/>
          <w:lang w:eastAsia="ru-RU"/>
        </w:rPr>
        <w:lastRenderedPageBreak/>
        <w:t>удосконалення управління підприємницькою діяльністю в державному закладі охорони здоров’я — Центрі реконструктивної та відновної медицини (Університетській клініці) ОНМедУ. Розділ дав змогу виявити ключові проблеми, визначити стратегічні напрями розвитку підприємництва, сформувати модель удосконалення управління та запропонувати конкретні механізми трансформації, включаючи використання потенціалу ДПП. На основі отриманих результатів можна зробити такі узагальнені висновки.</w:t>
      </w:r>
    </w:p>
    <w:p w14:paraId="51CCA4EB"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Передусім встановлено, що діяльність Центру має змішаний — державний та підприємницький — характер, що створює унікальне середовище для впровадження сучасних управлінських підходів. Центр зберігає статус структурного підрозділу університету та виконує соціальну, лікувальну, освітню й наукову функції, однак водночас активно розвиває напрями комерційної діяльності: надання платних послуг, участь у програмах НСЗУ, укладання господарських договорів, здача приміщень в оренду, реалізація освітніх та наукових ініціатив. Така гібридна модель доводить можливість ефективного функціонування державної установи на ринкових засадах за умови правильно вибудованої системи управління.</w:t>
      </w:r>
    </w:p>
    <w:p w14:paraId="32DF9FF7"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У ході аналізу було визначено особливості підприємницької діяльності Центру, серед яких головними є: існування широкої мережі стаціонарних, амбулаторних, діагностичних, реабілітаційних та стоматологічних підрозділів; висока залежність від кадрового потенціалу; значний рівень конкуренції з боку приватних медичних закладів; потреба в модернізації обладнання; недостатній рівень цифровізації; зростання соціального запиту на якісну та доступну медичну допомогу. Разом ці фактори формують потребу у впровадженні більш системного та гнучкого підходу до управління підприємництвом у межах Центру.</w:t>
      </w:r>
    </w:p>
    <w:p w14:paraId="4808A357"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 xml:space="preserve">Проведена оцінка підприємницької діяльності дала змогу виокремити пріоритетні напрями розвитку, що мають найбільшу економічну, організаційну та соціальну доцільність. До них належать: розширення спектру платних медичних та реабілітаційних послуг; впровадження </w:t>
      </w:r>
      <w:r>
        <w:rPr>
          <w:rFonts w:ascii="Times New Roman" w:eastAsia="Times New Roman" w:hAnsi="Times New Roman" w:cs="Times New Roman"/>
          <w:sz w:val="28"/>
          <w:szCs w:val="28"/>
          <w:lang w:eastAsia="ru-RU"/>
        </w:rPr>
        <w:lastRenderedPageBreak/>
        <w:t>телемедицини та цифрових платформ; модернізація матеріально-технічної бази; реалізація сучасної маркетингової стратегії; залучення грантів і зовнішнього фінансування; розвиток внутрішнього кадрового потенціалу; комерціалізація наукових розробок. Для кожного напряму було визначено орієнтовні витрати, строк реалізації, очікуваний ефект і рівень ефективності, що дозволяє застосовувати їх як основу для подальшого стратегічного планування.</w:t>
      </w:r>
    </w:p>
    <w:p w14:paraId="0E6F2DEE"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На основі отриманих даних розроблено комплексну модель удосконалення управління Центром, яка охоплює дев'ять ключових управлінських компонентів: організаційну структуру, стратегічне планування, фінансовий менеджмент, якість медичних послуг, цифрову трансформацію, кадрову політику, пацієнтоорієнтованість, партнерство та міжнародну співпрацю. У межах кожного компонента визначено проблеми, оптимізаційні рішення та очікувані результати. Встановлено, що впровадження такої моделі дозволяє забезпечити підвищення ефективності управління, зменшення внутрішніх витрат, покращення координації підрозділів, підвищення мотивації персоналу, зростання фінансової стійкості та конкурентоспроможності Центру.</w:t>
      </w:r>
    </w:p>
    <w:p w14:paraId="5A41B776"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 xml:space="preserve">Окрему увагу в розділі приділено аналізу перспектив державно-приватного партнерства, яке визначено одним із найефективніших інструментів стабільного розвитку Центру. На відміну від класичного бюджетного фінансування, ДПП дозволяє залучити значні інвестиції без перевищення бюджетного навантаження, забезпечує доступ до сучасних технологій і підвищує здатність установи конкурувати з приватними медичними закладами. Запропоновані моделі ДПП включають: створення спільних діагностичних центрів; партнерства у клінічних відділеннях; інфраструктурні проєкти модернізації будівель; телемедичні ІТ-проєкти; освітньо-наукові ініціативи; програми реабілітації ветеранів; формування центру медичного туризму. Для кожної моделі визначено потенційні ризики, очікувані ефекти та можливості для Центру. Це дає змогу застосовувати різні </w:t>
      </w:r>
      <w:r>
        <w:rPr>
          <w:rFonts w:ascii="Times New Roman" w:eastAsia="Times New Roman" w:hAnsi="Times New Roman" w:cs="Times New Roman"/>
          <w:sz w:val="28"/>
          <w:szCs w:val="28"/>
          <w:lang w:eastAsia="ru-RU"/>
        </w:rPr>
        <w:lastRenderedPageBreak/>
        <w:t>партнерські механізми залежно від конкретних потреб та інвестиційних перспектив.</w:t>
      </w:r>
    </w:p>
    <w:p w14:paraId="262805F5"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Результати аналізу демонструють, що використання ДПП є високоефективним інструментом підвищення фінансової автономії, модернізації інфраструктури, покращення доступу до новітнього обладнання та розширення переліку послуг. Такий підхід також сприяє зміцненню позицій Центру як університетської клініки, здатної поєднувати лікувальну, наукову й навчальну діяльність у межах сучасної інноваційної моделі.</w:t>
      </w:r>
    </w:p>
    <w:p w14:paraId="6879448B" w14:textId="77777777" w:rsidR="006B79F7" w:rsidRDefault="0017149C">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sz w:val="28"/>
          <w:szCs w:val="28"/>
          <w:lang w:eastAsia="ru-RU"/>
        </w:rPr>
        <w:t>Узагальнюючи результати, можна стверджувати, що стратегічний розвиток Центру має ґрунтуватися на поєднанні трьох ключових блоків: (1) оптимізації внутрішніх процесів, організації та управління; (2) розширенні підприємницьких напрямів через диверсифікацію послуг, цифровізацію та комерціалізацію інновацій; (3) залученні зовнішнього фінансування й партнерських ресурсів, насамперед через ДПП. Такий інтегрований підхід дозволить Центру не тільки підвищити якість медичних послуг, а й сформувати стійку економічну базу, здатну забезпечити конкурентні переваги, інноваційність і стабільний розвиток у довгостроковій перспективі.</w:t>
      </w:r>
    </w:p>
    <w:p w14:paraId="0F477FB6" w14:textId="77777777" w:rsidR="006B79F7" w:rsidRDefault="0017149C">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запропоновані в розділі управлінські рішення та моделі розвитку забезпечують системну основу для трансформації Центру в інноваційний, підприємницьки орієнтований медичний заклад нового покоління. Реалізація цих заходів сприятиме підвищенню ефективності управління, зміцненню кадрового потенціалу, розширенню спектру послуг, формуванню позитивного іміджу, модернізації технічної бази та залученню нових фінансових ресурсів. Усвідомлене стратегічне планування та гнучке управління підприємницькою діяльністю створюють передумови для стійкого розвитку Центру в умовах сучасних реформ охорони здоров’я України.</w:t>
      </w:r>
    </w:p>
    <w:p w14:paraId="44FB1C38" w14:textId="77777777" w:rsidR="006B79F7" w:rsidRDefault="0017149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70766589"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ЛІТЕРАТУРИ</w:t>
      </w:r>
    </w:p>
    <w:p w14:paraId="092226C5" w14:textId="77777777" w:rsidR="006B79F7" w:rsidRDefault="006B79F7">
      <w:pPr>
        <w:widowControl w:val="0"/>
        <w:spacing w:after="0" w:line="360" w:lineRule="auto"/>
        <w:ind w:firstLine="709"/>
        <w:jc w:val="both"/>
        <w:rPr>
          <w:rFonts w:ascii="Times New Roman" w:hAnsi="Times New Roman" w:cs="Times New Roman"/>
          <w:sz w:val="28"/>
          <w:szCs w:val="28"/>
        </w:rPr>
      </w:pPr>
    </w:p>
    <w:p w14:paraId="7E35F98D"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Аналіз ринку медичних послуг (державний та приватний сектор) в Україні. URL: https://pro-consulting.ua/ua/issledovanie-rynka/analiz-rynka-medicinskih-uslug-v-ukraine-2017-god</w:t>
      </w:r>
    </w:p>
    <w:p w14:paraId="77B399F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Аналіз ринку недержавних медичних послуг в Україні. URL: file:///C:/Users/User/Downloads/20636-Article%20Text-42648-1-10-20231117.PDF</w:t>
      </w:r>
    </w:p>
    <w:p w14:paraId="4025BF57"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Аналіз ринку приватних медичних центрів України. URL: https://pro-consulting.ua/ua/issledovanie-rynka/analiz-rynka-chastnyh-medicinskih-centrov-v-ukraine-2023-god</w:t>
      </w:r>
    </w:p>
    <w:p w14:paraId="032A5223"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Аналітична компанія Pro-Consulting. </w:t>
      </w:r>
      <w:r>
        <w:rPr>
          <w:rFonts w:ascii="Times New Roman" w:hAnsi="Times New Roman" w:cs="Times New Roman"/>
          <w:sz w:val="28"/>
          <w:szCs w:val="28"/>
          <w:shd w:val="clear" w:color="auto" w:fill="FFFFFF"/>
        </w:rPr>
        <w:t xml:space="preserve">URL: </w:t>
      </w:r>
      <w:hyperlink r:id="rId21" w:history="1">
        <w:r>
          <w:rPr>
            <w:rStyle w:val="a4"/>
            <w:rFonts w:ascii="Times New Roman" w:hAnsi="Times New Roman" w:cs="Times New Roman"/>
            <w:color w:val="auto"/>
            <w:sz w:val="28"/>
            <w:szCs w:val="28"/>
            <w:u w:val="none"/>
            <w:shd w:val="clear" w:color="auto" w:fill="FFFFFF"/>
          </w:rPr>
          <w:t>https://pro-consulting.ua/ua/</w:t>
        </w:r>
      </w:hyperlink>
    </w:p>
    <w:p w14:paraId="099DC0EA"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Аналітичний прогноз PwC (2025). </w:t>
      </w:r>
      <w:r>
        <w:rPr>
          <w:rFonts w:ascii="Times New Roman" w:hAnsi="Times New Roman" w:cs="Times New Roman"/>
          <w:sz w:val="28"/>
          <w:szCs w:val="28"/>
          <w:shd w:val="clear" w:color="auto" w:fill="FFFFFF"/>
        </w:rPr>
        <w:t xml:space="preserve">URL: </w:t>
      </w:r>
      <w:hyperlink r:id="rId22" w:history="1">
        <w:r>
          <w:rPr>
            <w:rStyle w:val="a4"/>
            <w:rFonts w:ascii="Times New Roman" w:hAnsi="Times New Roman" w:cs="Times New Roman"/>
            <w:color w:val="auto"/>
            <w:sz w:val="28"/>
            <w:szCs w:val="28"/>
            <w:u w:val="none"/>
            <w:shd w:val="clear" w:color="auto" w:fill="FFFFFF"/>
          </w:rPr>
          <w:t>https://www.pwc.com/ua/uk/survey/2024/ai-predictions.html</w:t>
        </w:r>
      </w:hyperlink>
      <w:r>
        <w:rPr>
          <w:rFonts w:ascii="Times New Roman" w:hAnsi="Times New Roman" w:cs="Times New Roman"/>
          <w:sz w:val="28"/>
          <w:szCs w:val="28"/>
          <w:shd w:val="clear" w:color="auto" w:fill="FFFFFF"/>
        </w:rPr>
        <w:t xml:space="preserve"> </w:t>
      </w:r>
    </w:p>
    <w:p w14:paraId="03FE8D55"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Байрак А. О. Особливості державно-приватного партнерства в медичній сфері в умовах забезпечення сталого розвитку. </w:t>
      </w:r>
      <w:r>
        <w:rPr>
          <w:rFonts w:ascii="Times New Roman" w:hAnsi="Times New Roman" w:cs="Times New Roman"/>
          <w:i/>
          <w:iCs/>
          <w:sz w:val="28"/>
          <w:szCs w:val="28"/>
        </w:rPr>
        <w:t>Наукові праці Донецького національного технічного університету. Серія: Економіка.</w:t>
      </w:r>
      <w:r>
        <w:rPr>
          <w:rFonts w:ascii="Times New Roman" w:hAnsi="Times New Roman" w:cs="Times New Roman"/>
          <w:sz w:val="28"/>
          <w:szCs w:val="28"/>
        </w:rPr>
        <w:t xml:space="preserve"> 2020. № 1(22). С. 58–65.</w:t>
      </w:r>
    </w:p>
    <w:p w14:paraId="5780A273" w14:textId="77777777" w:rsidR="00814388" w:rsidRDefault="00814388">
      <w:pPr>
        <w:pStyle w:val="ae"/>
        <w:widowControl w:val="0"/>
        <w:numPr>
          <w:ilvl w:val="0"/>
          <w:numId w:val="32"/>
        </w:numPr>
        <w:spacing w:line="360" w:lineRule="auto"/>
        <w:jc w:val="both"/>
        <w:rPr>
          <w:rFonts w:ascii="Times New Roman" w:hAnsi="Times New Roman" w:cs="Times New Roman"/>
          <w:sz w:val="28"/>
          <w:szCs w:val="28"/>
        </w:rPr>
      </w:pPr>
      <w:r w:rsidRPr="00814388">
        <w:rPr>
          <w:rFonts w:ascii="Times New Roman" w:hAnsi="Times New Roman" w:cs="Times New Roman"/>
          <w:sz w:val="28"/>
          <w:szCs w:val="28"/>
        </w:rPr>
        <w:t>Борщ В. І. Управління закладами охорони здоров’я: монографія. Херсон : ОЛДІ-ПЛЮС, 2020. 392 с.</w:t>
      </w:r>
    </w:p>
    <w:p w14:paraId="7CE509A4"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shd w:val="clear" w:color="auto" w:fill="FFFFFF"/>
        </w:rPr>
        <w:t xml:space="preserve">Борщ В. І., </w:t>
      </w:r>
      <w:r>
        <w:rPr>
          <w:rFonts w:ascii="Times New Roman" w:hAnsi="Times New Roman" w:cs="Times New Roman"/>
          <w:bCs/>
          <w:sz w:val="28"/>
          <w:szCs w:val="28"/>
          <w:shd w:val="clear" w:color="auto" w:fill="FFFFFF"/>
        </w:rPr>
        <w:t>Рудінська О. В.</w:t>
      </w:r>
      <w:r>
        <w:rPr>
          <w:rFonts w:ascii="Times New Roman" w:hAnsi="Times New Roman" w:cs="Times New Roman"/>
          <w:sz w:val="28"/>
          <w:szCs w:val="28"/>
          <w:shd w:val="clear" w:color="auto" w:fill="FFFFFF"/>
        </w:rPr>
        <w:t xml:space="preserve">, Кусик Н. Л. Менеджмент та маркетинг в охороні здоров’я: навчальний посібник. Херсон : Олді+, 2022. 264 с. </w:t>
      </w:r>
    </w:p>
    <w:p w14:paraId="79AFD927"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Бурцева О. Є. Державно-приватне партнерство як дієвий інструмент регулювання ринку медичних послуг. </w:t>
      </w:r>
      <w:r>
        <w:rPr>
          <w:rFonts w:ascii="Times New Roman" w:hAnsi="Times New Roman" w:cs="Times New Roman"/>
          <w:i/>
          <w:iCs/>
          <w:sz w:val="28"/>
          <w:szCs w:val="28"/>
        </w:rPr>
        <w:t>Ефективна економіка.</w:t>
      </w:r>
      <w:r>
        <w:rPr>
          <w:rFonts w:ascii="Times New Roman" w:hAnsi="Times New Roman" w:cs="Times New Roman"/>
          <w:sz w:val="28"/>
          <w:szCs w:val="28"/>
        </w:rPr>
        <w:t xml:space="preserve"> 2020. № 7. URL: </w:t>
      </w:r>
      <w:hyperlink r:id="rId23" w:history="1">
        <w:r>
          <w:rPr>
            <w:rStyle w:val="a4"/>
            <w:rFonts w:ascii="Times New Roman" w:hAnsi="Times New Roman" w:cs="Times New Roman"/>
            <w:color w:val="auto"/>
            <w:sz w:val="28"/>
            <w:szCs w:val="28"/>
            <w:u w:val="none"/>
          </w:rPr>
          <w:t>http://www.economy.nayka.com.ua/pdf/7_2020/74.pdf</w:t>
        </w:r>
      </w:hyperlink>
    </w:p>
    <w:p w14:paraId="6A2AA1AE"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Валах В., Рудінська О., Бусел С., Князькова В. Управління якістю медичних послуг в Україні в контексті міжнародного досвіду. </w:t>
      </w:r>
      <w:r>
        <w:rPr>
          <w:rFonts w:ascii="Times New Roman" w:hAnsi="Times New Roman" w:cs="Times New Roman"/>
          <w:i/>
          <w:sz w:val="28"/>
          <w:szCs w:val="28"/>
        </w:rPr>
        <w:t>Економічний аналіз</w:t>
      </w:r>
      <w:r>
        <w:rPr>
          <w:rFonts w:ascii="Times New Roman" w:hAnsi="Times New Roman" w:cs="Times New Roman"/>
          <w:sz w:val="28"/>
          <w:szCs w:val="28"/>
        </w:rPr>
        <w:t>. Тернопіль. 2024. Том № 34. № 2 (2024). С. 94-105.</w:t>
      </w:r>
    </w:p>
    <w:p w14:paraId="00897B70"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Гомон Д. О., Денисова А. В. Зарубіжний досвід організації забезпечення охорони здоров’я. </w:t>
      </w:r>
      <w:r>
        <w:rPr>
          <w:rFonts w:ascii="Times New Roman" w:hAnsi="Times New Roman" w:cs="Times New Roman"/>
          <w:i/>
          <w:iCs/>
          <w:sz w:val="28"/>
          <w:szCs w:val="28"/>
        </w:rPr>
        <w:t xml:space="preserve">Науковий вісник Херсонського державного </w:t>
      </w:r>
      <w:r>
        <w:rPr>
          <w:rFonts w:ascii="Times New Roman" w:hAnsi="Times New Roman" w:cs="Times New Roman"/>
          <w:i/>
          <w:iCs/>
          <w:sz w:val="28"/>
          <w:szCs w:val="28"/>
        </w:rPr>
        <w:lastRenderedPageBreak/>
        <w:t>університету. Серія : Юридичні науки</w:t>
      </w:r>
      <w:r>
        <w:rPr>
          <w:rFonts w:ascii="Times New Roman" w:hAnsi="Times New Roman" w:cs="Times New Roman"/>
          <w:sz w:val="28"/>
          <w:szCs w:val="28"/>
        </w:rPr>
        <w:t>. 2016. № 4. С. 123.</w:t>
      </w:r>
    </w:p>
    <w:p w14:paraId="35512864"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Гойда Н. Г., Курділ Н. В., Вороненко В. В. Нормативно-правове забезпечення державно-приватного партнерства в охороні здоров’я України. </w:t>
      </w:r>
      <w:r>
        <w:rPr>
          <w:rFonts w:ascii="Times New Roman" w:hAnsi="Times New Roman" w:cs="Times New Roman"/>
          <w:i/>
          <w:iCs/>
          <w:sz w:val="28"/>
          <w:szCs w:val="28"/>
        </w:rPr>
        <w:t>Запорізький медичний журнал.</w:t>
      </w:r>
      <w:r>
        <w:rPr>
          <w:rFonts w:ascii="Times New Roman" w:hAnsi="Times New Roman" w:cs="Times New Roman"/>
          <w:sz w:val="28"/>
          <w:szCs w:val="28"/>
        </w:rPr>
        <w:t xml:space="preserve"> 2013. № 5. С. 104–108.</w:t>
      </w:r>
    </w:p>
    <w:p w14:paraId="058760B8"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Грицько О. М., Пеканець С. Р. Моделі та тенденції розвитку державно-приватного партнерства в охороні здоров’я. </w:t>
      </w:r>
      <w:r>
        <w:rPr>
          <w:rFonts w:ascii="Times New Roman" w:hAnsi="Times New Roman" w:cs="Times New Roman"/>
          <w:i/>
          <w:iCs/>
          <w:sz w:val="28"/>
          <w:szCs w:val="28"/>
        </w:rPr>
        <w:t>Наукові записки В.І. Вернадського Таврійського Національний університет ім. Серія: Державне управління та адміністрування.</w:t>
      </w:r>
      <w:r>
        <w:rPr>
          <w:rFonts w:ascii="Times New Roman" w:hAnsi="Times New Roman" w:cs="Times New Roman"/>
          <w:sz w:val="28"/>
          <w:szCs w:val="28"/>
        </w:rPr>
        <w:t xml:space="preserve"> 2022. № 33(72)(3). С. 46–53.</w:t>
      </w:r>
    </w:p>
    <w:p w14:paraId="35963066"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Г</w:t>
      </w:r>
      <w:r>
        <w:rPr>
          <w:rFonts w:ascii="Times New Roman" w:eastAsia="Times New Roman" w:hAnsi="Times New Roman" w:cs="Times New Roman"/>
          <w:sz w:val="28"/>
          <w:szCs w:val="28"/>
          <w:lang w:eastAsia="ru-RU"/>
        </w:rPr>
        <w:t xml:space="preserve">лобальний звіт KPMG (2023). </w:t>
      </w:r>
      <w:r>
        <w:rPr>
          <w:rFonts w:ascii="Times New Roman" w:hAnsi="Times New Roman" w:cs="Times New Roman"/>
          <w:sz w:val="28"/>
          <w:szCs w:val="28"/>
          <w:shd w:val="clear" w:color="auto" w:fill="FFFFFF"/>
        </w:rPr>
        <w:t xml:space="preserve">URL: </w:t>
      </w:r>
      <w:hyperlink r:id="rId24" w:history="1">
        <w:r>
          <w:rPr>
            <w:rStyle w:val="a4"/>
            <w:rFonts w:ascii="Times New Roman" w:hAnsi="Times New Roman" w:cs="Times New Roman"/>
            <w:color w:val="auto"/>
            <w:sz w:val="28"/>
            <w:szCs w:val="28"/>
            <w:u w:val="none"/>
            <w:shd w:val="clear" w:color="auto" w:fill="FFFFFF"/>
          </w:rPr>
          <w:t>https://kpmg.com/ua/uk/home/insights/2024/09/2023-transparency-report.html</w:t>
        </w:r>
      </w:hyperlink>
      <w:r>
        <w:rPr>
          <w:rFonts w:ascii="Times New Roman" w:hAnsi="Times New Roman" w:cs="Times New Roman"/>
          <w:sz w:val="28"/>
          <w:szCs w:val="28"/>
          <w:shd w:val="clear" w:color="auto" w:fill="FFFFFF"/>
        </w:rPr>
        <w:t xml:space="preserve"> </w:t>
      </w:r>
    </w:p>
    <w:p w14:paraId="5DCB8811"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Деякі питання організації здійснення державно-приватного партнерства : Постанова Кабінету Міністрів України від 11 квітня 2011 р. № 384. Офіційний вісник України. 2011. № 28. С. 1168. </w:t>
      </w:r>
    </w:p>
    <w:p w14:paraId="642FCF96"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Електронна система e-Stock. </w:t>
      </w:r>
      <w:r>
        <w:rPr>
          <w:rFonts w:ascii="Times New Roman" w:hAnsi="Times New Roman" w:cs="Times New Roman"/>
          <w:sz w:val="28"/>
          <w:szCs w:val="28"/>
          <w:shd w:val="clear" w:color="auto" w:fill="FFFFFF"/>
        </w:rPr>
        <w:t>URL: https://moz.gov.ua/uk/e-stock</w:t>
      </w:r>
    </w:p>
    <w:p w14:paraId="193B9E69"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Інформаційна система епідеміологічного нагляду (ЕСЕН). </w:t>
      </w:r>
      <w:r>
        <w:rPr>
          <w:rFonts w:ascii="Times New Roman" w:hAnsi="Times New Roman" w:cs="Times New Roman"/>
          <w:sz w:val="28"/>
          <w:szCs w:val="28"/>
          <w:shd w:val="clear" w:color="auto" w:fill="FFFFFF"/>
        </w:rPr>
        <w:t>URL:</w:t>
      </w:r>
      <w:r>
        <w:t xml:space="preserve"> </w:t>
      </w:r>
      <w:hyperlink r:id="rId25" w:history="1">
        <w:r>
          <w:rPr>
            <w:rStyle w:val="a4"/>
            <w:rFonts w:ascii="Times New Roman" w:hAnsi="Times New Roman" w:cs="Times New Roman"/>
            <w:color w:val="auto"/>
            <w:sz w:val="28"/>
            <w:szCs w:val="28"/>
            <w:u w:val="none"/>
            <w:shd w:val="clear" w:color="auto" w:fill="FFFFFF"/>
          </w:rPr>
          <w:t>https://moz.gov.ua/uk/elektronna-sistema-epidemiologichnogo-naglyadu-esen</w:t>
        </w:r>
      </w:hyperlink>
      <w:r>
        <w:rPr>
          <w:rFonts w:ascii="Times New Roman" w:hAnsi="Times New Roman" w:cs="Times New Roman"/>
          <w:sz w:val="28"/>
          <w:szCs w:val="28"/>
          <w:shd w:val="clear" w:color="auto" w:fill="FFFFFF"/>
        </w:rPr>
        <w:t xml:space="preserve"> </w:t>
      </w:r>
    </w:p>
    <w:p w14:paraId="1F38F1B9"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Карпенко Л. Розробка фінансового механізму забезпечення державних гарантій медичного обслуговування населення: зарубіжна практика. </w:t>
      </w:r>
      <w:r>
        <w:rPr>
          <w:rFonts w:ascii="Times New Roman" w:hAnsi="Times New Roman" w:cs="Times New Roman"/>
          <w:i/>
          <w:iCs/>
          <w:sz w:val="28"/>
          <w:szCs w:val="28"/>
        </w:rPr>
        <w:t>Вісник Хмельницького національного університету</w:t>
      </w:r>
      <w:r>
        <w:rPr>
          <w:rFonts w:ascii="Times New Roman" w:hAnsi="Times New Roman" w:cs="Times New Roman"/>
          <w:sz w:val="28"/>
          <w:szCs w:val="28"/>
        </w:rPr>
        <w:t xml:space="preserve">. 2022. URL: </w:t>
      </w:r>
      <w:hyperlink r:id="rId26" w:history="1">
        <w:r>
          <w:rPr>
            <w:rStyle w:val="a4"/>
            <w:rFonts w:ascii="Times New Roman" w:hAnsi="Times New Roman" w:cs="Times New Roman"/>
            <w:color w:val="auto"/>
            <w:sz w:val="28"/>
            <w:szCs w:val="28"/>
            <w:u w:val="none"/>
          </w:rPr>
          <w:t>http://journals.khnu.km.ua/vestnik/?p=11561</w:t>
        </w:r>
      </w:hyperlink>
      <w:r>
        <w:rPr>
          <w:rFonts w:ascii="Times New Roman" w:hAnsi="Times New Roman" w:cs="Times New Roman"/>
          <w:sz w:val="28"/>
          <w:szCs w:val="28"/>
        </w:rPr>
        <w:t>.</w:t>
      </w:r>
    </w:p>
    <w:p w14:paraId="669DF5EF"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Клименко О.Ю. Залучення досвіду відкритих та закритих  моделей  управління  у  підвищенні  стійкості сфери  охорони  здоров'я  України  до  викликів війни. </w:t>
      </w:r>
      <w:r>
        <w:rPr>
          <w:rFonts w:ascii="Times New Roman" w:hAnsi="Times New Roman" w:cs="Times New Roman"/>
          <w:i/>
          <w:sz w:val="28"/>
          <w:szCs w:val="28"/>
          <w:shd w:val="clear" w:color="auto" w:fill="FFFFFF"/>
        </w:rPr>
        <w:t>Вчені записки Таврійського національного університету імені В.І. Вернадського.</w:t>
      </w:r>
      <w:r>
        <w:rPr>
          <w:rFonts w:ascii="Times New Roman" w:hAnsi="Times New Roman" w:cs="Times New Roman"/>
          <w:sz w:val="28"/>
          <w:szCs w:val="28"/>
          <w:shd w:val="clear" w:color="auto" w:fill="FFFFFF"/>
        </w:rPr>
        <w:t xml:space="preserve"> 2024. Том 35 (74). No 5. С. 16-21.</w:t>
      </w:r>
    </w:p>
    <w:p w14:paraId="54F0C6B6"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Кузьменко Г. О. Зарубіжний досвід публічного управління у сфері охорони здоров’я. </w:t>
      </w:r>
      <w:r>
        <w:rPr>
          <w:rFonts w:ascii="Times New Roman" w:hAnsi="Times New Roman" w:cs="Times New Roman"/>
          <w:i/>
          <w:sz w:val="28"/>
          <w:szCs w:val="28"/>
          <w:shd w:val="clear" w:color="auto" w:fill="FFFFFF"/>
        </w:rPr>
        <w:t>Вчені записки ТНУ імені В.І. Вернадського. Серія: Публічне управління та адміністрування.</w:t>
      </w:r>
      <w:r>
        <w:rPr>
          <w:rFonts w:ascii="Times New Roman" w:hAnsi="Times New Roman" w:cs="Times New Roman"/>
          <w:sz w:val="28"/>
          <w:szCs w:val="28"/>
          <w:shd w:val="clear" w:color="auto" w:fill="FFFFFF"/>
        </w:rPr>
        <w:t xml:space="preserve"> 2022. Том 33 (72). № 3. URL: </w:t>
      </w:r>
      <w:hyperlink r:id="rId27" w:history="1">
        <w:r>
          <w:rPr>
            <w:rStyle w:val="a4"/>
            <w:rFonts w:ascii="Times New Roman" w:hAnsi="Times New Roman" w:cs="Times New Roman"/>
            <w:color w:val="auto"/>
            <w:sz w:val="28"/>
            <w:szCs w:val="28"/>
            <w:u w:val="none"/>
            <w:shd w:val="clear" w:color="auto" w:fill="FFFFFF"/>
          </w:rPr>
          <w:t>http://www.pubadm.vernadskyjournals.in.ua/journals/2022/3_2022/19.pdf</w:t>
        </w:r>
      </w:hyperlink>
      <w:r>
        <w:rPr>
          <w:rFonts w:ascii="Times New Roman" w:hAnsi="Times New Roman" w:cs="Times New Roman"/>
          <w:sz w:val="28"/>
          <w:szCs w:val="28"/>
          <w:shd w:val="clear" w:color="auto" w:fill="FFFFFF"/>
        </w:rPr>
        <w:t>.</w:t>
      </w:r>
    </w:p>
    <w:p w14:paraId="34041BBE" w14:textId="77777777" w:rsidR="006B79F7" w:rsidRDefault="0017149C">
      <w:pPr>
        <w:pStyle w:val="ae"/>
        <w:widowControl w:val="0"/>
        <w:numPr>
          <w:ilvl w:val="0"/>
          <w:numId w:val="32"/>
        </w:numPr>
        <w:spacing w:after="0" w:line="360" w:lineRule="auto"/>
        <w:jc w:val="both"/>
        <w:rPr>
          <w:rStyle w:val="a4"/>
          <w:rFonts w:ascii="Times New Roman" w:eastAsia="Times New Roman" w:hAnsi="Times New Roman" w:cs="Times New Roman"/>
          <w:color w:val="auto"/>
          <w:sz w:val="28"/>
          <w:szCs w:val="28"/>
          <w:u w:val="none"/>
          <w:lang w:eastAsia="ru-RU"/>
        </w:rPr>
      </w:pPr>
      <w:r>
        <w:rPr>
          <w:rFonts w:ascii="Times New Roman" w:hAnsi="Times New Roman" w:cs="Times New Roman"/>
          <w:sz w:val="28"/>
          <w:szCs w:val="28"/>
          <w:shd w:val="clear" w:color="auto" w:fill="FFFFFF"/>
        </w:rPr>
        <w:t xml:space="preserve">Куценко А. О. Зарубіжний досвід публічного управління сферою охорони здоров’я. </w:t>
      </w:r>
      <w:r>
        <w:rPr>
          <w:rFonts w:ascii="Times New Roman" w:hAnsi="Times New Roman" w:cs="Times New Roman"/>
          <w:i/>
          <w:iCs/>
          <w:sz w:val="28"/>
          <w:szCs w:val="28"/>
          <w:shd w:val="clear" w:color="auto" w:fill="FFFFFF"/>
        </w:rPr>
        <w:t xml:space="preserve">Проблеми сучасних трансформацій. Серія: право, публічне </w:t>
      </w:r>
      <w:r>
        <w:rPr>
          <w:rFonts w:ascii="Times New Roman" w:hAnsi="Times New Roman" w:cs="Times New Roman"/>
          <w:i/>
          <w:iCs/>
          <w:sz w:val="28"/>
          <w:szCs w:val="28"/>
          <w:shd w:val="clear" w:color="auto" w:fill="FFFFFF"/>
        </w:rPr>
        <w:lastRenderedPageBreak/>
        <w:t xml:space="preserve">управління та адміністрування. </w:t>
      </w:r>
      <w:r>
        <w:rPr>
          <w:rFonts w:ascii="Times New Roman" w:hAnsi="Times New Roman" w:cs="Times New Roman"/>
          <w:sz w:val="28"/>
          <w:szCs w:val="28"/>
          <w:shd w:val="clear" w:color="auto" w:fill="FFFFFF"/>
        </w:rPr>
        <w:t xml:space="preserve">2025. № 16. URL: </w:t>
      </w:r>
      <w:hyperlink r:id="rId28" w:history="1">
        <w:r>
          <w:rPr>
            <w:rStyle w:val="a4"/>
            <w:rFonts w:ascii="Times New Roman" w:hAnsi="Times New Roman" w:cs="Times New Roman"/>
            <w:color w:val="auto"/>
            <w:sz w:val="28"/>
            <w:szCs w:val="28"/>
            <w:u w:val="none"/>
            <w:shd w:val="clear" w:color="auto" w:fill="FFFFFF"/>
          </w:rPr>
          <w:t>https://doi.org/10.54929/2786-5746-2025-16-02-20</w:t>
        </w:r>
      </w:hyperlink>
      <w:r>
        <w:rPr>
          <w:rStyle w:val="a4"/>
          <w:rFonts w:ascii="Times New Roman" w:hAnsi="Times New Roman" w:cs="Times New Roman"/>
          <w:color w:val="auto"/>
          <w:sz w:val="28"/>
          <w:szCs w:val="28"/>
          <w:u w:val="none"/>
          <w:shd w:val="clear" w:color="auto" w:fill="FFFFFF"/>
        </w:rPr>
        <w:t>.</w:t>
      </w:r>
    </w:p>
    <w:p w14:paraId="1CA929E2"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Куплю здоров'я: ТОП приватних медичних закладів України. URL: https://youcontrol.com.ua/dataresearch/kupliu-zdorovia-top-pryvatnykh-medychnykh-zakladiv-ukrayiny/ </w:t>
      </w:r>
    </w:p>
    <w:p w14:paraId="20B87F1F"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Кризіна Н. П. Державна політика України в галузі охорони здоров’я : механізми формування та реалізації: автореферат дисертації на здобуття наукового ступеня доктора наук з державного управління 25.00.02. механізми державного управління. Київ, 2008. 32 с. </w:t>
      </w:r>
    </w:p>
    <w:p w14:paraId="60F18EB1"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Лаврентій Д. С. Напрями вдосконалення публічно-приватного партнерства у сфері охорони здоров’я України. URL: http://www.dy.nayka.com.ua/pdf/7_2018/102.pdf</w:t>
      </w:r>
    </w:p>
    <w:p w14:paraId="2DFC129D"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Маркетингові дослідження та бізнес-консалтинг. URL: https://pro-consulting.ua/ua </w:t>
      </w:r>
    </w:p>
    <w:p w14:paraId="3A62E39B"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Мартякова О. В. Механізм реалізації державно-приватного партнерства у сфері охорони здоров‘я. </w:t>
      </w:r>
      <w:r>
        <w:rPr>
          <w:rFonts w:ascii="Times New Roman" w:hAnsi="Times New Roman" w:cs="Times New Roman"/>
          <w:i/>
          <w:iCs/>
          <w:sz w:val="28"/>
          <w:szCs w:val="28"/>
        </w:rPr>
        <w:t>Часопис економічних рефор</w:t>
      </w:r>
      <w:r>
        <w:rPr>
          <w:rFonts w:ascii="Times New Roman" w:hAnsi="Times New Roman" w:cs="Times New Roman"/>
          <w:sz w:val="28"/>
          <w:szCs w:val="28"/>
        </w:rPr>
        <w:t>м. 2013. № 4. С. 33–39.</w:t>
      </w:r>
    </w:p>
    <w:p w14:paraId="7EC29197" w14:textId="77777777" w:rsidR="006B79F7" w:rsidRDefault="0017149C">
      <w:pPr>
        <w:pStyle w:val="ae"/>
        <w:widowControl w:val="0"/>
        <w:numPr>
          <w:ilvl w:val="0"/>
          <w:numId w:val="32"/>
        </w:numPr>
        <w:spacing w:after="0" w:line="360" w:lineRule="auto"/>
        <w:jc w:val="both"/>
        <w:rPr>
          <w:rStyle w:val="a4"/>
          <w:rFonts w:ascii="Times New Roman" w:eastAsia="Times New Roman" w:hAnsi="Times New Roman" w:cs="Times New Roman"/>
          <w:color w:val="auto"/>
          <w:sz w:val="28"/>
          <w:szCs w:val="28"/>
          <w:u w:val="none"/>
          <w:lang w:eastAsia="ru-RU"/>
        </w:rPr>
      </w:pPr>
      <w:r>
        <w:rPr>
          <w:rFonts w:ascii="Times New Roman" w:hAnsi="Times New Roman" w:cs="Times New Roman"/>
          <w:sz w:val="28"/>
          <w:szCs w:val="28"/>
        </w:rPr>
        <w:t xml:space="preserve">Мартинюк О. А., Кусик Н. Л., Рудінська О. В., Криленко В. І. Формування організаційно-економічного механізму управління закладом охорони здоров’я в сучасній парадигмі розвитку. </w:t>
      </w:r>
      <w:r>
        <w:rPr>
          <w:rFonts w:ascii="Times New Roman" w:hAnsi="Times New Roman" w:cs="Times New Roman"/>
          <w:i/>
          <w:iCs/>
          <w:sz w:val="28"/>
          <w:szCs w:val="28"/>
        </w:rPr>
        <w:t>Економіка та суспільство.</w:t>
      </w:r>
      <w:r>
        <w:rPr>
          <w:rFonts w:ascii="Times New Roman" w:hAnsi="Times New Roman" w:cs="Times New Roman"/>
          <w:sz w:val="28"/>
          <w:szCs w:val="28"/>
        </w:rPr>
        <w:t xml:space="preserve"> 2024. Вип. 64. DOI: </w:t>
      </w:r>
      <w:hyperlink r:id="rId29" w:history="1">
        <w:r>
          <w:rPr>
            <w:rStyle w:val="a4"/>
            <w:rFonts w:ascii="Times New Roman" w:hAnsi="Times New Roman" w:cs="Times New Roman"/>
            <w:color w:val="auto"/>
            <w:sz w:val="28"/>
            <w:szCs w:val="28"/>
            <w:u w:val="none"/>
          </w:rPr>
          <w:t>https://doi.org/10.32782/2524-0072/2024-64-56</w:t>
        </w:r>
      </w:hyperlink>
      <w:r>
        <w:rPr>
          <w:rStyle w:val="a4"/>
          <w:rFonts w:ascii="Times New Roman" w:hAnsi="Times New Roman" w:cs="Times New Roman"/>
          <w:color w:val="auto"/>
          <w:sz w:val="28"/>
          <w:szCs w:val="28"/>
          <w:u w:val="none"/>
        </w:rPr>
        <w:t>.</w:t>
      </w:r>
    </w:p>
    <w:p w14:paraId="0958375C"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Мартинюк</w:t>
      </w:r>
      <w:r>
        <w:rPr>
          <w:rFonts w:ascii="Times New Roman" w:hAnsi="Times New Roman" w:cs="Times New Roman"/>
          <w:sz w:val="28"/>
          <w:szCs w:val="28"/>
        </w:rPr>
        <w:t xml:space="preserve"> О. А., Борщ В. І.</w:t>
      </w:r>
      <w:r>
        <w:rPr>
          <w:rFonts w:ascii="Times New Roman" w:hAnsi="Times New Roman" w:cs="Times New Roman"/>
          <w:bCs/>
          <w:sz w:val="28"/>
          <w:szCs w:val="28"/>
        </w:rPr>
        <w:t>,</w:t>
      </w:r>
      <w:r>
        <w:rPr>
          <w:rFonts w:ascii="Times New Roman" w:hAnsi="Times New Roman" w:cs="Times New Roman"/>
          <w:sz w:val="28"/>
          <w:szCs w:val="28"/>
        </w:rPr>
        <w:t xml:space="preserve"> Рудінська О. В., Данилко М. В. Трансформаційні процеси розвитку менеджменту у галузі охорони здоров’я. </w:t>
      </w:r>
      <w:r>
        <w:rPr>
          <w:rFonts w:ascii="Times New Roman" w:hAnsi="Times New Roman" w:cs="Times New Roman"/>
          <w:i/>
          <w:sz w:val="28"/>
          <w:szCs w:val="28"/>
        </w:rPr>
        <w:t>Ринкова економіка: сучасна теорія та практика управління</w:t>
      </w:r>
      <w:r>
        <w:rPr>
          <w:rFonts w:ascii="Times New Roman" w:hAnsi="Times New Roman" w:cs="Times New Roman"/>
          <w:sz w:val="28"/>
          <w:szCs w:val="28"/>
        </w:rPr>
        <w:t xml:space="preserve">. 2021. Т. 20. Вип. 3 (49). С. 46-60. DOI: </w:t>
      </w:r>
      <w:hyperlink r:id="rId30" w:history="1">
        <w:r>
          <w:rPr>
            <w:rStyle w:val="a4"/>
            <w:rFonts w:ascii="Times New Roman" w:hAnsi="Times New Roman" w:cs="Times New Roman"/>
            <w:color w:val="auto"/>
            <w:sz w:val="28"/>
            <w:szCs w:val="28"/>
            <w:u w:val="none"/>
          </w:rPr>
          <w:t>https://doi.org/10.18524/2413-9998.2021.3(49).266244</w:t>
        </w:r>
      </w:hyperlink>
    </w:p>
    <w:p w14:paraId="18506E4F"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Медична мережа «Добробут». </w:t>
      </w:r>
      <w:r>
        <w:rPr>
          <w:rFonts w:ascii="Times New Roman" w:hAnsi="Times New Roman" w:cs="Times New Roman"/>
          <w:sz w:val="28"/>
          <w:szCs w:val="28"/>
          <w:shd w:val="clear" w:color="auto" w:fill="FFFFFF"/>
        </w:rPr>
        <w:t>URL: https://dobrobut.com/ua</w:t>
      </w:r>
    </w:p>
    <w:p w14:paraId="60A494C7"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Міжнародна фінансова корпорація в Україні. </w:t>
      </w:r>
      <w:r>
        <w:rPr>
          <w:rFonts w:ascii="Times New Roman" w:hAnsi="Times New Roman" w:cs="Times New Roman"/>
          <w:sz w:val="28"/>
          <w:szCs w:val="28"/>
          <w:shd w:val="clear" w:color="auto" w:fill="FFFFFF"/>
        </w:rPr>
        <w:t>URL: https://www.ifc.org/en/where-we-work/country/ukraine</w:t>
      </w:r>
    </w:p>
    <w:p w14:paraId="24EC8C75"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Мотайло О. В. Зарубіжний досвід державного управління у сфері охорони </w:t>
      </w:r>
      <w:r>
        <w:rPr>
          <w:rFonts w:ascii="Times New Roman" w:hAnsi="Times New Roman" w:cs="Times New Roman"/>
          <w:sz w:val="28"/>
          <w:szCs w:val="28"/>
          <w:shd w:val="clear" w:color="auto" w:fill="FFFFFF"/>
        </w:rPr>
        <w:lastRenderedPageBreak/>
        <w:t xml:space="preserve">здоров’я. </w:t>
      </w:r>
      <w:r>
        <w:rPr>
          <w:rFonts w:ascii="Times New Roman" w:hAnsi="Times New Roman" w:cs="Times New Roman"/>
          <w:i/>
          <w:iCs/>
          <w:sz w:val="28"/>
          <w:szCs w:val="28"/>
          <w:shd w:val="clear" w:color="auto" w:fill="FFFFFF"/>
        </w:rPr>
        <w:t>Державне управління: удосконалення та розвиток</w:t>
      </w:r>
      <w:r>
        <w:rPr>
          <w:rFonts w:ascii="Times New Roman" w:hAnsi="Times New Roman" w:cs="Times New Roman"/>
          <w:sz w:val="28"/>
          <w:szCs w:val="28"/>
          <w:shd w:val="clear" w:color="auto" w:fill="FFFFFF"/>
        </w:rPr>
        <w:t xml:space="preserve">. 2020. № 9. DOI: </w:t>
      </w:r>
      <w:hyperlink r:id="rId31" w:tgtFrame="_blank" w:history="1">
        <w:r>
          <w:rPr>
            <w:rStyle w:val="a4"/>
            <w:rFonts w:ascii="Times New Roman" w:hAnsi="Times New Roman" w:cs="Times New Roman"/>
            <w:color w:val="auto"/>
            <w:sz w:val="28"/>
            <w:szCs w:val="28"/>
            <w:u w:val="none"/>
            <w:shd w:val="clear" w:color="auto" w:fill="FFFFFF"/>
          </w:rPr>
          <w:t>10.32702/2307-2156-2020.9.58</w:t>
        </w:r>
      </w:hyperlink>
      <w:r>
        <w:rPr>
          <w:rStyle w:val="a4"/>
          <w:rFonts w:ascii="Times New Roman" w:hAnsi="Times New Roman" w:cs="Times New Roman"/>
          <w:color w:val="auto"/>
          <w:sz w:val="28"/>
          <w:szCs w:val="28"/>
          <w:u w:val="none"/>
          <w:shd w:val="clear" w:color="auto" w:fill="FFFFFF"/>
        </w:rPr>
        <w:t>.</w:t>
      </w:r>
    </w:p>
    <w:p w14:paraId="21D52924"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shd w:val="clear" w:color="auto" w:fill="FFFFFF"/>
        </w:rPr>
        <w:t xml:space="preserve">Муляр Г. Зарубіжний досвід функціонування системи охорони здоров’я в контексті забезпечення реалізації права на охорону здоров’я. </w:t>
      </w:r>
      <w:r>
        <w:rPr>
          <w:rFonts w:ascii="Times New Roman" w:hAnsi="Times New Roman" w:cs="Times New Roman"/>
          <w:i/>
          <w:iCs/>
          <w:sz w:val="28"/>
          <w:szCs w:val="28"/>
          <w:shd w:val="clear" w:color="auto" w:fill="FFFFFF"/>
        </w:rPr>
        <w:t xml:space="preserve">Вісник АПСВТ. </w:t>
      </w:r>
      <w:r>
        <w:rPr>
          <w:rFonts w:ascii="Times New Roman" w:hAnsi="Times New Roman" w:cs="Times New Roman"/>
          <w:sz w:val="28"/>
          <w:szCs w:val="28"/>
          <w:shd w:val="clear" w:color="auto" w:fill="FFFFFF"/>
        </w:rPr>
        <w:t>2020. № 1–2. C. 7-11.</w:t>
      </w:r>
    </w:p>
    <w:p w14:paraId="09980C3E"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НСЗУ. Аналітичні панелі. URL: </w:t>
      </w:r>
      <w:hyperlink r:id="rId32" w:history="1">
        <w:r>
          <w:rPr>
            <w:rStyle w:val="a4"/>
            <w:rFonts w:ascii="Times New Roman" w:hAnsi="Times New Roman" w:cs="Times New Roman"/>
            <w:color w:val="auto"/>
            <w:sz w:val="28"/>
            <w:szCs w:val="28"/>
            <w:u w:val="none"/>
          </w:rPr>
          <w:t>https://www.nszu.gov.ua/novini/dashbordinszu-vidkriti-dani-120</w:t>
        </w:r>
      </w:hyperlink>
      <w:r>
        <w:rPr>
          <w:rStyle w:val="a4"/>
          <w:rFonts w:ascii="Times New Roman" w:hAnsi="Times New Roman" w:cs="Times New Roman"/>
          <w:color w:val="auto"/>
          <w:sz w:val="28"/>
          <w:szCs w:val="28"/>
          <w:u w:val="none"/>
        </w:rPr>
        <w:t>.</w:t>
      </w:r>
    </w:p>
    <w:p w14:paraId="291A68E9"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Ніколюк О., Бондар В., Цвєткова Н. Напрями удосконалення системи державного управління розвитком у сфері охорони здоров’я України. URL: https://doi. org/10.15673/fie.v13i3.2137</w:t>
      </w:r>
    </w:p>
    <w:p w14:paraId="753789EF"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Основи законодавства України про охорону здоров’я</w:t>
      </w:r>
      <w:r>
        <w:rPr>
          <w:rFonts w:ascii="Times New Roman" w:hAnsi="Times New Roman" w:cs="Times New Roman"/>
          <w:bCs/>
          <w:sz w:val="28"/>
          <w:szCs w:val="28"/>
        </w:rPr>
        <w:t xml:space="preserve"> </w:t>
      </w:r>
      <w:r>
        <w:rPr>
          <w:rFonts w:ascii="Times New Roman" w:hAnsi="Times New Roman" w:cs="Times New Roman"/>
          <w:sz w:val="28"/>
          <w:szCs w:val="28"/>
        </w:rPr>
        <w:t xml:space="preserve">: Закон України від 19 листопада 1992 року № 2801-XII. </w:t>
      </w:r>
      <w:r>
        <w:rPr>
          <w:rFonts w:ascii="Times New Roman" w:hAnsi="Times New Roman" w:cs="Times New Roman"/>
          <w:iCs/>
          <w:sz w:val="28"/>
          <w:szCs w:val="28"/>
        </w:rPr>
        <w:t>Відомості Верховної Ради України</w:t>
      </w:r>
      <w:r>
        <w:rPr>
          <w:rFonts w:ascii="Times New Roman" w:hAnsi="Times New Roman" w:cs="Times New Roman"/>
          <w:sz w:val="28"/>
          <w:szCs w:val="28"/>
        </w:rPr>
        <w:t xml:space="preserve">. 1993. URL: </w:t>
      </w:r>
      <w:hyperlink r:id="rId33" w:history="1">
        <w:r>
          <w:rPr>
            <w:rStyle w:val="a4"/>
            <w:rFonts w:ascii="Times New Roman" w:hAnsi="Times New Roman" w:cs="Times New Roman"/>
            <w:color w:val="auto"/>
            <w:sz w:val="28"/>
            <w:szCs w:val="28"/>
            <w:u w:val="none"/>
          </w:rPr>
          <w:t>https://zakon.rada.gov.ua/laws/show/2801-12#</w:t>
        </w:r>
      </w:hyperlink>
    </w:p>
    <w:p w14:paraId="6EB3871D" w14:textId="77777777" w:rsidR="006B79F7" w:rsidRDefault="00000000">
      <w:pPr>
        <w:pStyle w:val="ae"/>
        <w:widowControl w:val="0"/>
        <w:numPr>
          <w:ilvl w:val="0"/>
          <w:numId w:val="32"/>
        </w:numPr>
        <w:spacing w:after="0" w:line="360" w:lineRule="auto"/>
        <w:jc w:val="both"/>
        <w:rPr>
          <w:rFonts w:ascii="Times New Roman" w:hAnsi="Times New Roman" w:cs="Times New Roman"/>
          <w:sz w:val="28"/>
          <w:szCs w:val="28"/>
        </w:rPr>
      </w:pPr>
      <w:hyperlink r:id="rId34" w:history="1">
        <w:r w:rsidR="0017149C">
          <w:rPr>
            <w:rStyle w:val="a4"/>
            <w:rFonts w:ascii="Times New Roman" w:hAnsi="Times New Roman" w:cs="Times New Roman"/>
            <w:color w:val="auto"/>
            <w:sz w:val="28"/>
            <w:szCs w:val="28"/>
            <w:u w:val="none"/>
          </w:rPr>
          <w:t>Основи менеджменту та маркетингу в медицині: навчальний посібник</w:t>
        </w:r>
      </w:hyperlink>
      <w:r w:rsidR="0017149C">
        <w:rPr>
          <w:rFonts w:ascii="Times New Roman" w:hAnsi="Times New Roman" w:cs="Times New Roman"/>
          <w:sz w:val="28"/>
          <w:szCs w:val="28"/>
        </w:rPr>
        <w:t xml:space="preserve"> / В. Г. Шутурмінський, Н. Л. Кусик</w:t>
      </w:r>
      <w:r w:rsidR="0017149C">
        <w:rPr>
          <w:rFonts w:ascii="Times New Roman" w:hAnsi="Times New Roman" w:cs="Times New Roman"/>
          <w:bCs/>
          <w:sz w:val="28"/>
          <w:szCs w:val="28"/>
        </w:rPr>
        <w:t>,</w:t>
      </w:r>
      <w:r w:rsidR="0017149C">
        <w:rPr>
          <w:rFonts w:ascii="Times New Roman" w:hAnsi="Times New Roman" w:cs="Times New Roman"/>
          <w:sz w:val="28"/>
          <w:szCs w:val="28"/>
        </w:rPr>
        <w:t xml:space="preserve"> </w:t>
      </w:r>
      <w:r w:rsidR="0017149C">
        <w:rPr>
          <w:rFonts w:ascii="Times New Roman" w:hAnsi="Times New Roman" w:cs="Times New Roman"/>
          <w:bCs/>
          <w:sz w:val="28"/>
          <w:szCs w:val="28"/>
        </w:rPr>
        <w:t>О. В. Рудінська</w:t>
      </w:r>
      <w:r w:rsidR="0017149C">
        <w:rPr>
          <w:rFonts w:ascii="Times New Roman" w:hAnsi="Times New Roman" w:cs="Times New Roman"/>
          <w:sz w:val="28"/>
          <w:szCs w:val="28"/>
        </w:rPr>
        <w:t xml:space="preserve">. Одеса: Видавничій дім «Гельветика», 2020. 176 с. </w:t>
      </w:r>
    </w:p>
    <w:p w14:paraId="785355F3"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затвердження переліків закладів охорони здоров’я, лікарських, провізорських посад та посад молодших спеціалістів з фармацевтичною освітою у закладах охорони здоров’я: Наказ МОЗ України. URL: </w:t>
      </w:r>
      <w:hyperlink r:id="rId35" w:history="1">
        <w:r>
          <w:rPr>
            <w:rStyle w:val="a4"/>
            <w:rFonts w:ascii="Times New Roman" w:hAnsi="Times New Roman" w:cs="Times New Roman"/>
            <w:color w:val="auto"/>
            <w:sz w:val="28"/>
            <w:szCs w:val="28"/>
            <w:u w:val="none"/>
          </w:rPr>
          <w:t>https://zakon.rada.gov.ua/laws/show/z0892-02#</w:t>
        </w:r>
      </w:hyperlink>
    </w:p>
    <w:p w14:paraId="30153334"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затвердження Порядку проведення судово-психіатричної експертизи: Наказ МОЗ України. URL: </w:t>
      </w:r>
      <w:hyperlink r:id="rId36" w:history="1">
        <w:r>
          <w:rPr>
            <w:rStyle w:val="a4"/>
            <w:rFonts w:ascii="Times New Roman" w:hAnsi="Times New Roman" w:cs="Times New Roman"/>
            <w:color w:val="auto"/>
            <w:sz w:val="28"/>
            <w:szCs w:val="28"/>
            <w:u w:val="none"/>
          </w:rPr>
          <w:t>https://zakon.rada.gov.ua/laws/show/z0719-18#</w:t>
        </w:r>
      </w:hyperlink>
    </w:p>
    <w:p w14:paraId="385A2955" w14:textId="77777777" w:rsidR="006B79F7" w:rsidRDefault="0017149C">
      <w:pPr>
        <w:pStyle w:val="ae"/>
        <w:widowControl w:val="0"/>
        <w:numPr>
          <w:ilvl w:val="0"/>
          <w:numId w:val="32"/>
        </w:numPr>
        <w:spacing w:after="0" w:line="360" w:lineRule="auto"/>
        <w:jc w:val="both"/>
        <w:rPr>
          <w:rStyle w:val="a4"/>
          <w:rFonts w:ascii="Times New Roman" w:eastAsia="Times New Roman" w:hAnsi="Times New Roman" w:cs="Times New Roman"/>
          <w:color w:val="auto"/>
          <w:sz w:val="28"/>
          <w:szCs w:val="28"/>
          <w:u w:val="none"/>
          <w:lang w:eastAsia="ru-RU"/>
        </w:rPr>
      </w:pPr>
      <w:r>
        <w:rPr>
          <w:rFonts w:ascii="Times New Roman" w:hAnsi="Times New Roman" w:cs="Times New Roman"/>
          <w:sz w:val="28"/>
          <w:szCs w:val="28"/>
          <w:shd w:val="clear" w:color="auto" w:fill="FFFFFF"/>
        </w:rPr>
        <w:t xml:space="preserve">Паршикова А. Міжнародний досвід реформування системи охорони здоров’я (досвід країн Європейського Союзу). Інформаційна довідка, підготовлена Європейським інформаційно-дослідницьким центром на запит народного депутата України. URL: </w:t>
      </w:r>
      <w:hyperlink r:id="rId37" w:history="1">
        <w:r>
          <w:rPr>
            <w:rStyle w:val="a4"/>
            <w:rFonts w:ascii="Times New Roman" w:hAnsi="Times New Roman" w:cs="Times New Roman"/>
            <w:color w:val="auto"/>
            <w:sz w:val="28"/>
            <w:szCs w:val="28"/>
            <w:u w:val="none"/>
            <w:shd w:val="clear" w:color="auto" w:fill="FFFFFF"/>
          </w:rPr>
          <w:t>http://euinfocenter.rada.gov.ua/uploads/documents/29185.pdf</w:t>
        </w:r>
      </w:hyperlink>
      <w:r>
        <w:rPr>
          <w:rFonts w:ascii="Times New Roman" w:hAnsi="Times New Roman" w:cs="Times New Roman"/>
          <w:sz w:val="28"/>
          <w:szCs w:val="28"/>
          <w:shd w:val="clear" w:color="auto" w:fill="FFFFFF"/>
        </w:rPr>
        <w:t>.</w:t>
      </w:r>
    </w:p>
    <w:p w14:paraId="75F07ABE"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Петрик С. Аналіз передумов розвитку державно-приватного партнерства як інструменту вдосконалення державної політики в сфері охорони здоров’я. URL: https://doi.org/10.33108/galicianvisnyk_tntu2020.03</w:t>
      </w:r>
    </w:p>
    <w:p w14:paraId="25A1B533"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Положення про бюро судово-медичної експертизи управлінь охорони здоров’я обласних виконавчих комітетів та республіканське бюро. URL: </w:t>
      </w:r>
      <w:hyperlink r:id="rId38" w:history="1">
        <w:r>
          <w:rPr>
            <w:rStyle w:val="a4"/>
            <w:rFonts w:ascii="Times New Roman" w:hAnsi="Times New Roman" w:cs="Times New Roman"/>
            <w:color w:val="auto"/>
            <w:sz w:val="28"/>
            <w:szCs w:val="28"/>
            <w:u w:val="none"/>
          </w:rPr>
          <w:t>https://zakon.rada.gov.ua/laws/show/z0258-95#</w:t>
        </w:r>
      </w:hyperlink>
    </w:p>
    <w:p w14:paraId="47B127D7"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Про державні фінансові гарантії медичного обслуговування населення : Закон України від 19 жовтня 2017 р. № 2168-VIII. </w:t>
      </w:r>
      <w:r>
        <w:rPr>
          <w:rFonts w:ascii="Times New Roman" w:hAnsi="Times New Roman" w:cs="Times New Roman"/>
          <w:iCs/>
          <w:sz w:val="28"/>
          <w:szCs w:val="28"/>
        </w:rPr>
        <w:t>Голос України</w:t>
      </w:r>
      <w:r>
        <w:rPr>
          <w:rFonts w:ascii="Times New Roman" w:hAnsi="Times New Roman" w:cs="Times New Roman"/>
          <w:sz w:val="28"/>
          <w:szCs w:val="28"/>
        </w:rPr>
        <w:t>. 2017. № 200.</w:t>
      </w:r>
    </w:p>
    <w:p w14:paraId="7252336D"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 введення воєнного стану в Україні: Указ Президента України № 64 від 24 лютого 2022 року. </w:t>
      </w:r>
      <w:r>
        <w:rPr>
          <w:rFonts w:ascii="Times New Roman" w:hAnsi="Times New Roman" w:cs="Times New Roman"/>
          <w:sz w:val="28"/>
          <w:szCs w:val="28"/>
          <w:shd w:val="clear" w:color="auto" w:fill="FFFFFF"/>
        </w:rPr>
        <w:t xml:space="preserve">URL: </w:t>
      </w:r>
      <w:hyperlink r:id="rId39" w:anchor="Text" w:history="1">
        <w:r>
          <w:rPr>
            <w:rStyle w:val="a4"/>
            <w:rFonts w:ascii="Times New Roman" w:hAnsi="Times New Roman" w:cs="Times New Roman"/>
            <w:color w:val="auto"/>
            <w:sz w:val="28"/>
            <w:szCs w:val="28"/>
            <w:u w:val="none"/>
            <w:shd w:val="clear" w:color="auto" w:fill="FFFFFF"/>
          </w:rPr>
          <w:t>https://zakon.rada.gov.ua/laws/show/64/2022#Text</w:t>
        </w:r>
      </w:hyperlink>
      <w:r>
        <w:rPr>
          <w:rFonts w:ascii="Times New Roman" w:hAnsi="Times New Roman" w:cs="Times New Roman"/>
          <w:sz w:val="28"/>
          <w:szCs w:val="28"/>
          <w:shd w:val="clear" w:color="auto" w:fill="FFFFFF"/>
        </w:rPr>
        <w:t xml:space="preserve"> </w:t>
      </w:r>
    </w:p>
    <w:p w14:paraId="568BD20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Style w:val="a5"/>
          <w:rFonts w:ascii="Times New Roman" w:hAnsi="Times New Roman" w:cs="Times New Roman"/>
          <w:b w:val="0"/>
          <w:sz w:val="28"/>
          <w:szCs w:val="28"/>
          <w:shd w:val="clear" w:color="auto" w:fill="FFFFFF"/>
        </w:rPr>
        <w:t>Про затвердження Тимчасових заходів у закладах охорони здоров’я з метою забезпечення їх готовності для надання медичної допомоги постраждалим внаслідок військової агресії Російської Федерації проти України:</w:t>
      </w:r>
      <w:r>
        <w:rPr>
          <w:rFonts w:ascii="Times New Roman" w:hAnsi="Times New Roman" w:cs="Times New Roman"/>
          <w:sz w:val="28"/>
          <w:szCs w:val="28"/>
        </w:rPr>
        <w:t xml:space="preserve"> Наказ МОЗ України № 374 від 24 лютого 2022 року. </w:t>
      </w:r>
      <w:r>
        <w:rPr>
          <w:rFonts w:ascii="Times New Roman" w:hAnsi="Times New Roman" w:cs="Times New Roman"/>
          <w:sz w:val="28"/>
          <w:szCs w:val="28"/>
          <w:shd w:val="clear" w:color="auto" w:fill="FFFFFF"/>
        </w:rPr>
        <w:t xml:space="preserve">URL: </w:t>
      </w:r>
      <w:hyperlink r:id="rId40" w:history="1">
        <w:r>
          <w:rPr>
            <w:rStyle w:val="a4"/>
            <w:rFonts w:ascii="Times New Roman" w:hAnsi="Times New Roman" w:cs="Times New Roman"/>
            <w:color w:val="auto"/>
            <w:sz w:val="28"/>
            <w:szCs w:val="28"/>
            <w:u w:val="none"/>
            <w:shd w:val="clear" w:color="auto" w:fill="FFFFFF"/>
          </w:rPr>
          <w:t>https://moz.gov.ua/uk/decrees/nakaz-moz-ukraini-vid-24022022--374-pro-zatverdzhennja-timchasovih-zahodiv-u-zakladah-ohoroni-zdorov%E2%80%99ja-z-metoju-zabezpechennja-ih-gotovnosti-dlja-nadannja-medichnoi-dopomogi-postrazhdalim-vnaslidok-vijskovoi-agresii-rosijskoi</w:t>
        </w:r>
      </w:hyperlink>
      <w:r>
        <w:rPr>
          <w:rFonts w:ascii="Times New Roman" w:hAnsi="Times New Roman" w:cs="Times New Roman"/>
          <w:sz w:val="28"/>
          <w:szCs w:val="28"/>
          <w:shd w:val="clear" w:color="auto" w:fill="FFFFFF"/>
        </w:rPr>
        <w:t xml:space="preserve"> </w:t>
      </w:r>
    </w:p>
    <w:p w14:paraId="4D0488D8"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shd w:val="clear" w:color="auto" w:fill="FFFFFF"/>
        </w:rPr>
        <w:t xml:space="preserve">Про державні фінансові гарантії медичного обслуговування населення: Закон України </w:t>
      </w:r>
      <w:r>
        <w:rPr>
          <w:rFonts w:ascii="Times New Roman" w:hAnsi="Times New Roman" w:cs="Times New Roman"/>
          <w:sz w:val="28"/>
          <w:szCs w:val="28"/>
          <w:shd w:val="clear" w:color="auto" w:fill="FFFFFF"/>
        </w:rPr>
        <w:t xml:space="preserve">№ </w:t>
      </w:r>
      <w:r>
        <w:rPr>
          <w:rStyle w:val="a5"/>
          <w:rFonts w:ascii="Times New Roman" w:hAnsi="Times New Roman" w:cs="Times New Roman"/>
          <w:b w:val="0"/>
          <w:sz w:val="28"/>
          <w:szCs w:val="28"/>
          <w:shd w:val="clear" w:color="auto" w:fill="FFFFFF"/>
        </w:rPr>
        <w:t xml:space="preserve">2168-VIII від </w:t>
      </w:r>
      <w:r>
        <w:rPr>
          <w:rFonts w:ascii="Times New Roman" w:hAnsi="Times New Roman" w:cs="Times New Roman"/>
          <w:sz w:val="28"/>
          <w:szCs w:val="28"/>
          <w:shd w:val="clear" w:color="auto" w:fill="FFFFFF"/>
        </w:rPr>
        <w:t>19.10.2017 р.</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URL: https://zakon.rada.gov.ua/laws/show/2168-19#Text</w:t>
      </w:r>
    </w:p>
    <w:p w14:paraId="4202927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 xml:space="preserve">Про публічно-приватне партнерство: Закон України </w:t>
      </w:r>
      <w:r>
        <w:rPr>
          <w:rFonts w:ascii="Times New Roman" w:hAnsi="Times New Roman" w:cs="Times New Roman"/>
          <w:sz w:val="28"/>
          <w:szCs w:val="28"/>
          <w:shd w:val="clear" w:color="auto" w:fill="FFFFFF"/>
        </w:rPr>
        <w:t xml:space="preserve">№ </w:t>
      </w:r>
      <w:r>
        <w:rPr>
          <w:rStyle w:val="a5"/>
          <w:rFonts w:ascii="Times New Roman" w:hAnsi="Times New Roman" w:cs="Times New Roman"/>
          <w:b w:val="0"/>
          <w:sz w:val="28"/>
          <w:szCs w:val="28"/>
          <w:shd w:val="clear" w:color="auto" w:fill="FFFFFF"/>
        </w:rPr>
        <w:t xml:space="preserve">4510-IX від </w:t>
      </w:r>
      <w:r>
        <w:rPr>
          <w:rFonts w:ascii="Times New Roman" w:hAnsi="Times New Roman" w:cs="Times New Roman"/>
          <w:sz w:val="28"/>
          <w:szCs w:val="28"/>
          <w:shd w:val="clear" w:color="auto" w:fill="FFFFFF"/>
        </w:rPr>
        <w:t>19.06.2025 р.</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URL: </w:t>
      </w:r>
      <w:hyperlink r:id="rId41" w:anchor="n1065" w:history="1">
        <w:r>
          <w:rPr>
            <w:rStyle w:val="a4"/>
            <w:rFonts w:ascii="Times New Roman" w:hAnsi="Times New Roman" w:cs="Times New Roman"/>
            <w:color w:val="auto"/>
            <w:sz w:val="28"/>
            <w:szCs w:val="28"/>
            <w:u w:val="none"/>
            <w:shd w:val="clear" w:color="auto" w:fill="FFFFFF"/>
          </w:rPr>
          <w:t>https://zakon.rada.gov.ua/laws/show/4510-20#n1065</w:t>
        </w:r>
      </w:hyperlink>
    </w:p>
    <w:p w14:paraId="77B9004B"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lang w:eastAsia="ru-RU"/>
        </w:rPr>
      </w:pPr>
      <w:r>
        <w:rPr>
          <w:rFonts w:ascii="Times New Roman" w:hAnsi="Times New Roman" w:cs="Times New Roman"/>
          <w:sz w:val="28"/>
          <w:szCs w:val="28"/>
        </w:rPr>
        <w:t xml:space="preserve">Про державно-приватне партнерство: Закон України </w:t>
      </w:r>
      <w:r>
        <w:rPr>
          <w:rFonts w:ascii="Times New Roman" w:hAnsi="Times New Roman" w:cs="Times New Roman"/>
          <w:sz w:val="28"/>
          <w:szCs w:val="28"/>
          <w:shd w:val="clear" w:color="auto" w:fill="FFFFFF"/>
        </w:rPr>
        <w:t xml:space="preserve">№ </w:t>
      </w:r>
      <w:r>
        <w:rPr>
          <w:rStyle w:val="a5"/>
          <w:rFonts w:ascii="Times New Roman" w:hAnsi="Times New Roman" w:cs="Times New Roman"/>
          <w:b w:val="0"/>
          <w:sz w:val="28"/>
          <w:szCs w:val="28"/>
          <w:shd w:val="clear" w:color="auto" w:fill="FFFFFF"/>
        </w:rPr>
        <w:t xml:space="preserve">2404-VI від </w:t>
      </w:r>
      <w:r>
        <w:rPr>
          <w:rFonts w:ascii="Times New Roman" w:hAnsi="Times New Roman" w:cs="Times New Roman"/>
          <w:sz w:val="28"/>
          <w:szCs w:val="28"/>
          <w:shd w:val="clear" w:color="auto" w:fill="FFFFFF"/>
        </w:rPr>
        <w:t xml:space="preserve">01.07.2010 р. URL: </w:t>
      </w:r>
      <w:hyperlink r:id="rId42" w:anchor="Text" w:history="1">
        <w:r>
          <w:rPr>
            <w:rStyle w:val="a4"/>
            <w:rFonts w:ascii="Times New Roman" w:hAnsi="Times New Roman" w:cs="Times New Roman"/>
            <w:color w:val="auto"/>
            <w:sz w:val="28"/>
            <w:szCs w:val="28"/>
            <w:u w:val="none"/>
            <w:shd w:val="clear" w:color="auto" w:fill="FFFFFF"/>
          </w:rPr>
          <w:t>https://zakon.rada.gov.ua/laws/show/2404-17#Text</w:t>
        </w:r>
      </w:hyperlink>
      <w:r>
        <w:rPr>
          <w:rFonts w:ascii="Times New Roman" w:hAnsi="Times New Roman" w:cs="Times New Roman"/>
          <w:sz w:val="28"/>
          <w:szCs w:val="28"/>
          <w:shd w:val="clear" w:color="auto" w:fill="FFFFFF"/>
        </w:rPr>
        <w:t xml:space="preserve"> </w:t>
      </w:r>
    </w:p>
    <w:p w14:paraId="0F4D382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Платформа HELSI.me. </w:t>
      </w:r>
      <w:r>
        <w:rPr>
          <w:rFonts w:ascii="Times New Roman" w:hAnsi="Times New Roman" w:cs="Times New Roman"/>
          <w:sz w:val="28"/>
          <w:szCs w:val="28"/>
          <w:shd w:val="clear" w:color="auto" w:fill="FFFFFF"/>
        </w:rPr>
        <w:t xml:space="preserve">URL: </w:t>
      </w:r>
      <w:hyperlink r:id="rId43" w:history="1">
        <w:r>
          <w:rPr>
            <w:rStyle w:val="a4"/>
            <w:rFonts w:ascii="Times New Roman" w:hAnsi="Times New Roman" w:cs="Times New Roman"/>
            <w:color w:val="auto"/>
            <w:sz w:val="28"/>
            <w:szCs w:val="28"/>
            <w:u w:val="none"/>
            <w:shd w:val="clear" w:color="auto" w:fill="FFFFFF"/>
          </w:rPr>
          <w:t>https://reform.helsi.me/</w:t>
        </w:r>
      </w:hyperlink>
    </w:p>
    <w:p w14:paraId="206F1FA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Платформа SAP Ariba. </w:t>
      </w:r>
      <w:r>
        <w:rPr>
          <w:rFonts w:ascii="Times New Roman" w:hAnsi="Times New Roman" w:cs="Times New Roman"/>
          <w:sz w:val="28"/>
          <w:szCs w:val="28"/>
          <w:shd w:val="clear" w:color="auto" w:fill="FFFFFF"/>
        </w:rPr>
        <w:t xml:space="preserve">URL: </w:t>
      </w:r>
      <w:hyperlink r:id="rId44" w:history="1">
        <w:r>
          <w:rPr>
            <w:rStyle w:val="a4"/>
            <w:rFonts w:ascii="Times New Roman" w:hAnsi="Times New Roman" w:cs="Times New Roman"/>
            <w:color w:val="auto"/>
            <w:sz w:val="28"/>
            <w:szCs w:val="28"/>
            <w:u w:val="none"/>
            <w:shd w:val="clear" w:color="auto" w:fill="FFFFFF"/>
          </w:rPr>
          <w:t>https://asapio.com/consulting/?gad_source=1&amp;gad_campaignid=14756037241&amp;gbraid=0AAAAADt38pmMwO3xe-n_eOc2q1OjKC_8b&amp;gclid=EAIaIQobChMIjfHOlfmHkQMVLwgGAB3pZQ5lEAAYASAAEgIwNPD_BwE</w:t>
        </w:r>
      </w:hyperlink>
      <w:r>
        <w:rPr>
          <w:rFonts w:ascii="Times New Roman" w:hAnsi="Times New Roman" w:cs="Times New Roman"/>
          <w:sz w:val="28"/>
          <w:szCs w:val="28"/>
          <w:shd w:val="clear" w:color="auto" w:fill="FFFFFF"/>
        </w:rPr>
        <w:t xml:space="preserve"> </w:t>
      </w:r>
    </w:p>
    <w:p w14:paraId="621D54EE"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rPr>
        <w:lastRenderedPageBreak/>
        <w:t xml:space="preserve">Платформа «Дія.Engine». </w:t>
      </w:r>
      <w:r>
        <w:rPr>
          <w:rFonts w:ascii="Times New Roman" w:hAnsi="Times New Roman" w:cs="Times New Roman"/>
          <w:sz w:val="28"/>
          <w:szCs w:val="28"/>
          <w:shd w:val="clear" w:color="auto" w:fill="FFFFFF"/>
        </w:rPr>
        <w:t xml:space="preserve">URL: </w:t>
      </w:r>
      <w:hyperlink r:id="rId45" w:history="1">
        <w:r>
          <w:rPr>
            <w:rStyle w:val="a4"/>
            <w:rFonts w:ascii="Times New Roman" w:hAnsi="Times New Roman" w:cs="Times New Roman"/>
            <w:color w:val="auto"/>
            <w:sz w:val="28"/>
            <w:szCs w:val="28"/>
            <w:u w:val="none"/>
            <w:shd w:val="clear" w:color="auto" w:fill="FFFFFF"/>
          </w:rPr>
          <w:t>https://digitalstate.gov.ua/uk/projects/govtech/diia-engine</w:t>
        </w:r>
      </w:hyperlink>
      <w:r>
        <w:rPr>
          <w:rFonts w:ascii="Times New Roman" w:hAnsi="Times New Roman" w:cs="Times New Roman"/>
          <w:sz w:val="28"/>
          <w:szCs w:val="28"/>
          <w:shd w:val="clear" w:color="auto" w:fill="FFFFFF"/>
        </w:rPr>
        <w:t xml:space="preserve"> </w:t>
      </w:r>
    </w:p>
    <w:p w14:paraId="1A500874"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bCs/>
          <w:sz w:val="28"/>
          <w:szCs w:val="28"/>
        </w:rPr>
        <w:t xml:space="preserve">Рудінська О., Кусик Н., </w:t>
      </w:r>
      <w:r>
        <w:rPr>
          <w:rFonts w:ascii="Times New Roman" w:hAnsi="Times New Roman" w:cs="Times New Roman"/>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Pr>
          <w:rFonts w:ascii="Times New Roman" w:hAnsi="Times New Roman" w:cs="Times New Roman"/>
          <w:i/>
          <w:iCs/>
          <w:sz w:val="28"/>
          <w:szCs w:val="28"/>
        </w:rPr>
        <w:t>Економіка та суспільство</w:t>
      </w:r>
      <w:r>
        <w:rPr>
          <w:rFonts w:ascii="Times New Roman" w:hAnsi="Times New Roman" w:cs="Times New Roman"/>
          <w:iCs/>
          <w:sz w:val="28"/>
          <w:szCs w:val="28"/>
        </w:rPr>
        <w:t>.</w:t>
      </w:r>
      <w:r>
        <w:rPr>
          <w:rFonts w:ascii="Times New Roman" w:hAnsi="Times New Roman" w:cs="Times New Roman"/>
          <w:sz w:val="28"/>
          <w:szCs w:val="28"/>
        </w:rPr>
        <w:t xml:space="preserve"> 2023. № 55. </w:t>
      </w:r>
      <w:hyperlink r:id="rId46" w:history="1">
        <w:r>
          <w:rPr>
            <w:rStyle w:val="a4"/>
            <w:rFonts w:ascii="Times New Roman" w:hAnsi="Times New Roman" w:cs="Times New Roman"/>
            <w:color w:val="auto"/>
            <w:sz w:val="28"/>
            <w:szCs w:val="28"/>
            <w:u w:val="none"/>
          </w:rPr>
          <w:t>https://doi.org/10.32782/2524-0072/2023-55-104</w:t>
        </w:r>
      </w:hyperlink>
      <w:r>
        <w:rPr>
          <w:rStyle w:val="a4"/>
          <w:rFonts w:ascii="Times New Roman" w:hAnsi="Times New Roman" w:cs="Times New Roman"/>
          <w:color w:val="auto"/>
          <w:sz w:val="28"/>
          <w:szCs w:val="28"/>
          <w:u w:val="none"/>
        </w:rPr>
        <w:t>.</w:t>
      </w:r>
    </w:p>
    <w:p w14:paraId="0B610364"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Сисоєнко І. Спільними зусиллями: державно-приватне партнерство в сфері охорони здоров’я. </w:t>
      </w:r>
      <w:r>
        <w:rPr>
          <w:rFonts w:ascii="Times New Roman" w:hAnsi="Times New Roman" w:cs="Times New Roman"/>
          <w:i/>
          <w:iCs/>
          <w:sz w:val="28"/>
          <w:szCs w:val="28"/>
        </w:rPr>
        <w:t>Інтернет-портал LB.ua.</w:t>
      </w:r>
      <w:r>
        <w:rPr>
          <w:rFonts w:ascii="Times New Roman" w:hAnsi="Times New Roman" w:cs="Times New Roman"/>
          <w:sz w:val="28"/>
          <w:szCs w:val="28"/>
        </w:rPr>
        <w:t xml:space="preserve"> 2016. URL:  https://ukr.lb.ua/blog/iryna_sysoenko/329768_spilnimi_zusillyami.html </w:t>
      </w:r>
    </w:p>
    <w:p w14:paraId="23CBBE1D"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Система «єКров». </w:t>
      </w:r>
      <w:r>
        <w:rPr>
          <w:rFonts w:ascii="Times New Roman" w:hAnsi="Times New Roman" w:cs="Times New Roman"/>
          <w:sz w:val="28"/>
          <w:szCs w:val="28"/>
          <w:shd w:val="clear" w:color="auto" w:fill="FFFFFF"/>
        </w:rPr>
        <w:t xml:space="preserve">URL: </w:t>
      </w:r>
      <w:hyperlink r:id="rId47" w:history="1">
        <w:r>
          <w:rPr>
            <w:rStyle w:val="a4"/>
            <w:rFonts w:ascii="Times New Roman" w:hAnsi="Times New Roman" w:cs="Times New Roman"/>
            <w:color w:val="auto"/>
            <w:sz w:val="28"/>
            <w:szCs w:val="28"/>
            <w:u w:val="none"/>
            <w:shd w:val="clear" w:color="auto" w:fill="FFFFFF"/>
          </w:rPr>
          <w:t>https://moz.gov.ua/uk/informacijnij-prostir-sistemi-krovi</w:t>
        </w:r>
      </w:hyperlink>
      <w:r>
        <w:rPr>
          <w:rFonts w:ascii="Times New Roman" w:hAnsi="Times New Roman" w:cs="Times New Roman"/>
          <w:sz w:val="28"/>
          <w:szCs w:val="28"/>
          <w:shd w:val="clear" w:color="auto" w:fill="FFFFFF"/>
        </w:rPr>
        <w:t xml:space="preserve"> </w:t>
      </w:r>
    </w:p>
    <w:p w14:paraId="5A492D82"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Федорин В. Медична реформа: що з нею не так. </w:t>
      </w:r>
      <w:r>
        <w:rPr>
          <w:rFonts w:ascii="Times New Roman" w:hAnsi="Times New Roman" w:cs="Times New Roman"/>
          <w:i/>
          <w:iCs/>
          <w:sz w:val="28"/>
          <w:szCs w:val="28"/>
        </w:rPr>
        <w:t>Інтернет-представництво Центру Бендукідзе.</w:t>
      </w:r>
      <w:r>
        <w:rPr>
          <w:rFonts w:ascii="Times New Roman" w:hAnsi="Times New Roman" w:cs="Times New Roman"/>
          <w:sz w:val="28"/>
          <w:szCs w:val="28"/>
        </w:rPr>
        <w:t xml:space="preserve"> URL: https://bendukidze.org/2017/06/07/медична-реформа-що-з-нею-не-так/ </w:t>
      </w:r>
    </w:p>
    <w:p w14:paraId="4463BF4D"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Центр реконструктивної та відновної медицини (Університетська клініка) ОНМедУ. URL: https://onmedu.edu.ua/centru-rekonstruktivnoi-ta-vidnovljuvalnoi-medicini/</w:t>
      </w:r>
    </w:p>
    <w:p w14:paraId="41AEB61A"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Цілі сталого розвитку 2016–2030. Офіційне інтернет-представництво ООН в Україні. URL: http://www.un.org.ua/ua/tsili-rozvytku-tysiacholittia/tsili-staloho-rozvytku </w:t>
      </w:r>
    </w:p>
    <w:p w14:paraId="668CE812"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Цілі Сталого Розвитку: Україна. Національна доповідь 2017. Міністерство економічного розвитку і торгівлі України. Київ, 2017. 174 с. </w:t>
      </w:r>
    </w:p>
    <w:p w14:paraId="46AFF892"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Шафранський В. В. Європейська політика «Здоров’я-2020»: використання науково обґрунтованих стратегій для отримання позитивних результатів. </w:t>
      </w:r>
      <w:r>
        <w:rPr>
          <w:rFonts w:ascii="Times New Roman" w:hAnsi="Times New Roman" w:cs="Times New Roman"/>
          <w:i/>
          <w:iCs/>
          <w:sz w:val="28"/>
          <w:szCs w:val="28"/>
        </w:rPr>
        <w:t>Економіка і право охорони здоров’я</w:t>
      </w:r>
      <w:r>
        <w:rPr>
          <w:rFonts w:ascii="Times New Roman" w:hAnsi="Times New Roman" w:cs="Times New Roman"/>
          <w:sz w:val="28"/>
          <w:szCs w:val="28"/>
        </w:rPr>
        <w:t xml:space="preserve">. 2016. № 1(3). С. 44–48. </w:t>
      </w:r>
    </w:p>
    <w:p w14:paraId="67DFC072" w14:textId="77777777" w:rsidR="006B79F7" w:rsidRDefault="0017149C">
      <w:pPr>
        <w:pStyle w:val="ae"/>
        <w:widowControl w:val="0"/>
        <w:numPr>
          <w:ilvl w:val="0"/>
          <w:numId w:val="32"/>
        </w:numPr>
        <w:spacing w:after="0" w:line="360" w:lineRule="auto"/>
        <w:jc w:val="both"/>
        <w:rPr>
          <w:rStyle w:val="a4"/>
          <w:rFonts w:ascii="Times New Roman" w:hAnsi="Times New Roman" w:cs="Times New Roman"/>
          <w:color w:val="auto"/>
          <w:sz w:val="28"/>
          <w:szCs w:val="28"/>
          <w:u w:val="none"/>
        </w:rPr>
      </w:pPr>
      <w:r>
        <w:rPr>
          <w:rFonts w:ascii="Times New Roman" w:hAnsi="Times New Roman" w:cs="Times New Roman"/>
          <w:sz w:val="28"/>
          <w:szCs w:val="28"/>
        </w:rPr>
        <w:t xml:space="preserve">Шипов Ю. Зарубіжний досвід публічного управління щодо надання медико-соціальних послуг: імплементація в українське середовище. </w:t>
      </w:r>
      <w:r>
        <w:rPr>
          <w:rFonts w:ascii="Times New Roman" w:hAnsi="Times New Roman" w:cs="Times New Roman"/>
          <w:i/>
          <w:iCs/>
          <w:sz w:val="28"/>
          <w:szCs w:val="28"/>
        </w:rPr>
        <w:t xml:space="preserve">Економіка та суспільство. </w:t>
      </w:r>
      <w:r>
        <w:rPr>
          <w:rFonts w:ascii="Times New Roman" w:hAnsi="Times New Roman" w:cs="Times New Roman"/>
          <w:sz w:val="28"/>
          <w:szCs w:val="28"/>
        </w:rPr>
        <w:t xml:space="preserve">2025. № 71. </w:t>
      </w:r>
      <w:r>
        <w:rPr>
          <w:rFonts w:ascii="Times New Roman" w:hAnsi="Times New Roman" w:cs="Times New Roman"/>
          <w:sz w:val="28"/>
          <w:szCs w:val="28"/>
          <w:shd w:val="clear" w:color="auto" w:fill="FFFFFF"/>
        </w:rPr>
        <w:t xml:space="preserve">URL: </w:t>
      </w:r>
      <w:hyperlink r:id="rId48" w:history="1">
        <w:r>
          <w:rPr>
            <w:rStyle w:val="a4"/>
            <w:rFonts w:ascii="Times New Roman" w:hAnsi="Times New Roman" w:cs="Times New Roman"/>
            <w:color w:val="auto"/>
            <w:sz w:val="28"/>
            <w:szCs w:val="28"/>
            <w:u w:val="none"/>
          </w:rPr>
          <w:t>https://doi.org/10.32782/2524-0072/2025-71-116</w:t>
        </w:r>
      </w:hyperlink>
      <w:r>
        <w:rPr>
          <w:rStyle w:val="a4"/>
          <w:rFonts w:ascii="Times New Roman" w:hAnsi="Times New Roman" w:cs="Times New Roman"/>
          <w:color w:val="auto"/>
          <w:sz w:val="28"/>
          <w:szCs w:val="28"/>
          <w:u w:val="none"/>
        </w:rPr>
        <w:t>.</w:t>
      </w:r>
    </w:p>
    <w:p w14:paraId="0DE6B33A"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Щодо розвитку державно-приватного партнерства як механізму </w:t>
      </w:r>
      <w:r>
        <w:rPr>
          <w:rFonts w:ascii="Times New Roman" w:hAnsi="Times New Roman" w:cs="Times New Roman"/>
          <w:sz w:val="28"/>
          <w:szCs w:val="28"/>
        </w:rPr>
        <w:lastRenderedPageBreak/>
        <w:t xml:space="preserve">активізації інвестиційної діяльності в Україні" : Аналітична записка. Національний інститут стратегічних досліджень. URL: http://www.niss.gov.ua/articles/816  </w:t>
      </w:r>
    </w:p>
    <w:p w14:paraId="66767B6E"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Borshch V., Rudinska O., Rogachevskyi O., Martyniuk O., Kusyk N., Huz D. Strategic Health Care Management: Challenges and Realities of Emergencies. </w:t>
      </w:r>
      <w:r>
        <w:rPr>
          <w:rFonts w:ascii="Times New Roman" w:hAnsi="Times New Roman" w:cs="Times New Roman"/>
          <w:i/>
          <w:sz w:val="28"/>
          <w:szCs w:val="28"/>
        </w:rPr>
        <w:t>Economic Affairs.</w:t>
      </w:r>
      <w:r>
        <w:rPr>
          <w:rFonts w:ascii="Times New Roman" w:hAnsi="Times New Roman" w:cs="Times New Roman"/>
          <w:sz w:val="28"/>
          <w:szCs w:val="28"/>
        </w:rPr>
        <w:t xml:space="preserve"> 2022. Vol. 67. No. 04s. P. 851 – 857. </w:t>
      </w:r>
      <w:r>
        <w:rPr>
          <w:rFonts w:ascii="Times New Roman" w:hAnsi="Times New Roman" w:cs="Times New Roman"/>
          <w:sz w:val="28"/>
          <w:szCs w:val="28"/>
          <w:shd w:val="clear" w:color="auto" w:fill="FFFFFF"/>
        </w:rPr>
        <w:t xml:space="preserve">DOI: </w:t>
      </w:r>
      <w:hyperlink r:id="rId49" w:tgtFrame="_blank" w:history="1">
        <w:r>
          <w:rPr>
            <w:rStyle w:val="a4"/>
            <w:rFonts w:ascii="Times New Roman" w:hAnsi="Times New Roman" w:cs="Times New Roman"/>
            <w:color w:val="auto"/>
            <w:sz w:val="28"/>
            <w:szCs w:val="28"/>
            <w:u w:val="none"/>
            <w:shd w:val="clear" w:color="auto" w:fill="FFFFFF"/>
          </w:rPr>
          <w:t>10.46852/0424-2513.4s.2022.18</w:t>
        </w:r>
      </w:hyperlink>
    </w:p>
    <w:p w14:paraId="6A6A101D"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CheckEye (Одеса). </w:t>
      </w:r>
      <w:r>
        <w:rPr>
          <w:rFonts w:ascii="Times New Roman" w:hAnsi="Times New Roman" w:cs="Times New Roman"/>
          <w:sz w:val="28"/>
          <w:szCs w:val="28"/>
          <w:shd w:val="clear" w:color="auto" w:fill="FFFFFF"/>
        </w:rPr>
        <w:t xml:space="preserve">URL: </w:t>
      </w:r>
      <w:hyperlink r:id="rId50" w:history="1">
        <w:r>
          <w:rPr>
            <w:rStyle w:val="a4"/>
            <w:rFonts w:ascii="Times New Roman" w:hAnsi="Times New Roman" w:cs="Times New Roman"/>
            <w:color w:val="auto"/>
            <w:sz w:val="28"/>
            <w:szCs w:val="28"/>
            <w:u w:val="none"/>
            <w:shd w:val="clear" w:color="auto" w:fill="FFFFFF"/>
          </w:rPr>
          <w:t>https://check-eye.com/uk/</w:t>
        </w:r>
      </w:hyperlink>
    </w:p>
    <w:p w14:paraId="01F90A9F"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Creating Markets in Ukraine. Doubling Down on Reform: Building Ukraine`s New Economy. </w:t>
      </w:r>
      <w:r>
        <w:rPr>
          <w:rFonts w:ascii="Times New Roman" w:hAnsi="Times New Roman" w:cs="Times New Roman"/>
          <w:sz w:val="28"/>
          <w:szCs w:val="28"/>
          <w:shd w:val="clear" w:color="auto" w:fill="FFFFFF"/>
        </w:rPr>
        <w:t xml:space="preserve">URL: </w:t>
      </w:r>
      <w:hyperlink r:id="rId51" w:history="1">
        <w:r>
          <w:rPr>
            <w:rStyle w:val="a4"/>
            <w:rFonts w:ascii="Times New Roman" w:hAnsi="Times New Roman" w:cs="Times New Roman"/>
            <w:color w:val="auto"/>
            <w:sz w:val="28"/>
            <w:szCs w:val="28"/>
            <w:u w:val="none"/>
            <w:shd w:val="clear" w:color="auto" w:fill="FFFFFF"/>
          </w:rPr>
          <w:t>https://www.ifc.org/content/dam/ifc/doc/mgrt/cpsd-ukraine-exesummary.pdf</w:t>
        </w:r>
      </w:hyperlink>
      <w:r>
        <w:rPr>
          <w:rFonts w:ascii="Times New Roman" w:hAnsi="Times New Roman" w:cs="Times New Roman"/>
          <w:sz w:val="28"/>
          <w:szCs w:val="28"/>
          <w:shd w:val="clear" w:color="auto" w:fill="FFFFFF"/>
        </w:rPr>
        <w:t xml:space="preserve"> </w:t>
      </w:r>
    </w:p>
    <w:p w14:paraId="4A192052"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Delmon J. Public-Private Partnership Projects in Infrastructure: An Essential G uide for Policy Makers. Cambridge : Cambridge University Press, 2017. 256 р. </w:t>
      </w:r>
    </w:p>
    <w:p w14:paraId="40F9CA39" w14:textId="77777777" w:rsidR="006B79F7" w:rsidRDefault="0017149C">
      <w:pPr>
        <w:pStyle w:val="ae"/>
        <w:widowControl w:val="0"/>
        <w:numPr>
          <w:ilvl w:val="0"/>
          <w:numId w:val="32"/>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Globenewswire. </w:t>
      </w:r>
      <w:r>
        <w:rPr>
          <w:rFonts w:ascii="Times New Roman" w:hAnsi="Times New Roman" w:cs="Times New Roman"/>
          <w:sz w:val="28"/>
          <w:szCs w:val="28"/>
          <w:shd w:val="clear" w:color="auto" w:fill="FFFFFF"/>
        </w:rPr>
        <w:t xml:space="preserve">URL: </w:t>
      </w:r>
      <w:hyperlink r:id="rId52" w:history="1">
        <w:r>
          <w:rPr>
            <w:rStyle w:val="a4"/>
            <w:rFonts w:ascii="Times New Roman" w:hAnsi="Times New Roman" w:cs="Times New Roman"/>
            <w:color w:val="auto"/>
            <w:sz w:val="28"/>
            <w:szCs w:val="28"/>
            <w:u w:val="none"/>
            <w:shd w:val="clear" w:color="auto" w:fill="FFFFFF"/>
          </w:rPr>
          <w:t>https://www.globenewswire.com/</w:t>
        </w:r>
      </w:hyperlink>
      <w:r>
        <w:rPr>
          <w:rFonts w:ascii="Times New Roman" w:hAnsi="Times New Roman" w:cs="Times New Roman"/>
          <w:sz w:val="28"/>
          <w:szCs w:val="28"/>
          <w:shd w:val="clear" w:color="auto" w:fill="FFFFFF"/>
        </w:rPr>
        <w:t xml:space="preserve"> </w:t>
      </w:r>
    </w:p>
    <w:p w14:paraId="49CFD4C8"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Wall Street Journal. </w:t>
      </w:r>
      <w:r>
        <w:rPr>
          <w:rFonts w:ascii="Times New Roman" w:hAnsi="Times New Roman" w:cs="Times New Roman"/>
          <w:sz w:val="28"/>
          <w:szCs w:val="28"/>
          <w:shd w:val="clear" w:color="auto" w:fill="FFFFFF"/>
        </w:rPr>
        <w:t xml:space="preserve">URL: </w:t>
      </w:r>
      <w:hyperlink r:id="rId53" w:history="1">
        <w:r>
          <w:rPr>
            <w:rStyle w:val="a4"/>
            <w:rFonts w:ascii="Times New Roman" w:hAnsi="Times New Roman" w:cs="Times New Roman"/>
            <w:color w:val="auto"/>
            <w:sz w:val="28"/>
            <w:szCs w:val="28"/>
            <w:u w:val="none"/>
            <w:shd w:val="clear" w:color="auto" w:fill="FFFFFF"/>
          </w:rPr>
          <w:t>https://www.wsj.com/topics/place/ukraine</w:t>
        </w:r>
      </w:hyperlink>
      <w:r>
        <w:rPr>
          <w:rFonts w:ascii="Times New Roman" w:hAnsi="Times New Roman" w:cs="Times New Roman"/>
          <w:sz w:val="28"/>
          <w:szCs w:val="28"/>
          <w:shd w:val="clear" w:color="auto" w:fill="FFFFFF"/>
        </w:rPr>
        <w:t xml:space="preserve"> </w:t>
      </w:r>
    </w:p>
    <w:p w14:paraId="4522E1F6" w14:textId="77777777" w:rsidR="006B79F7" w:rsidRDefault="0017149C">
      <w:pPr>
        <w:pStyle w:val="ae"/>
        <w:widowControl w:val="0"/>
        <w:numPr>
          <w:ilvl w:val="0"/>
          <w:numId w:val="32"/>
        </w:numPr>
        <w:spacing w:line="360" w:lineRule="auto"/>
        <w:jc w:val="both"/>
        <w:rPr>
          <w:rFonts w:ascii="Times New Roman" w:hAnsi="Times New Roman" w:cs="Times New Roman"/>
          <w:sz w:val="28"/>
          <w:szCs w:val="28"/>
        </w:rPr>
      </w:pPr>
      <w:r>
        <w:rPr>
          <w:rFonts w:ascii="Times New Roman" w:hAnsi="Times New Roman" w:cs="Times New Roman"/>
          <w:sz w:val="28"/>
          <w:szCs w:val="28"/>
        </w:rPr>
        <w:t>Newman J. Governing Public-Private Partnerships. McGill-Queen's University Press, 2017. 200 p.</w:t>
      </w:r>
    </w:p>
    <w:p w14:paraId="66436405"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The Marmot Review. Fair society, healthy lives: strategic review of health inequalities in England 2010. London: Marmot Review, 2010. </w:t>
      </w:r>
    </w:p>
    <w:p w14:paraId="426102DC" w14:textId="77777777" w:rsidR="006B79F7" w:rsidRDefault="0017149C">
      <w:pPr>
        <w:pStyle w:val="ae"/>
        <w:widowControl w:val="0"/>
        <w:numPr>
          <w:ilvl w:val="0"/>
          <w:numId w:val="3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Superhumans Center (Львів). URL: https://superhumans.com/</w:t>
      </w:r>
    </w:p>
    <w:p w14:paraId="1EB7931B" w14:textId="77777777" w:rsidR="006B79F7" w:rsidRDefault="006B79F7">
      <w:pPr>
        <w:pStyle w:val="ae"/>
        <w:widowControl w:val="0"/>
        <w:spacing w:after="0" w:line="360" w:lineRule="auto"/>
        <w:ind w:left="0"/>
        <w:jc w:val="both"/>
        <w:rPr>
          <w:rStyle w:val="a4"/>
          <w:rFonts w:ascii="Times New Roman" w:hAnsi="Times New Roman" w:cs="Times New Roman"/>
          <w:color w:val="auto"/>
          <w:sz w:val="28"/>
          <w:szCs w:val="28"/>
          <w:u w:val="none"/>
        </w:rPr>
      </w:pPr>
    </w:p>
    <w:p w14:paraId="03933CD7" w14:textId="77777777" w:rsidR="006B79F7" w:rsidRDefault="006B79F7">
      <w:pPr>
        <w:widowControl w:val="0"/>
        <w:spacing w:after="0" w:line="360" w:lineRule="auto"/>
        <w:jc w:val="both"/>
        <w:rPr>
          <w:rFonts w:ascii="Times New Roman" w:hAnsi="Times New Roman" w:cs="Times New Roman"/>
          <w:sz w:val="28"/>
          <w:szCs w:val="28"/>
        </w:rPr>
      </w:pPr>
    </w:p>
    <w:p w14:paraId="4291C944" w14:textId="77777777" w:rsidR="006B79F7" w:rsidRDefault="0017149C">
      <w:pPr>
        <w:rPr>
          <w:rFonts w:ascii="Times New Roman" w:hAnsi="Times New Roman" w:cs="Times New Roman"/>
          <w:sz w:val="28"/>
          <w:szCs w:val="28"/>
          <w:highlight w:val="yellow"/>
        </w:rPr>
      </w:pPr>
      <w:r>
        <w:rPr>
          <w:rFonts w:ascii="Times New Roman" w:hAnsi="Times New Roman" w:cs="Times New Roman"/>
          <w:sz w:val="28"/>
          <w:szCs w:val="28"/>
          <w:highlight w:val="yellow"/>
        </w:rPr>
        <w:br w:type="page"/>
      </w:r>
    </w:p>
    <w:p w14:paraId="6DE30247"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38DB500F"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509B2970"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6B918D4B"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49E66DC2"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280D7A87"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282258B9"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48B27637"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016E00FD"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742897B0"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54503A77"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24DFD274"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39998335"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514B64A4"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5460BFFE" w14:textId="77777777" w:rsidR="006B79F7" w:rsidRDefault="0017149C">
      <w:pPr>
        <w:spacing w:line="360" w:lineRule="auto"/>
        <w:jc w:val="center"/>
        <w:rPr>
          <w:rFonts w:ascii="Times New Roman" w:hAnsi="Times New Roman" w:cs="Times New Roman"/>
          <w:b/>
          <w:sz w:val="52"/>
          <w:szCs w:val="52"/>
        </w:rPr>
      </w:pPr>
      <w:r>
        <w:rPr>
          <w:rFonts w:ascii="Times New Roman" w:hAnsi="Times New Roman" w:cs="Times New Roman"/>
          <w:b/>
          <w:sz w:val="52"/>
          <w:szCs w:val="52"/>
        </w:rPr>
        <w:t>Д О Д А Т К И</w:t>
      </w:r>
    </w:p>
    <w:p w14:paraId="1EB25A01"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3B338CF7" w14:textId="77777777" w:rsidR="006B79F7" w:rsidRDefault="006B79F7">
      <w:pPr>
        <w:widowControl w:val="0"/>
        <w:spacing w:after="0" w:line="360" w:lineRule="auto"/>
        <w:jc w:val="both"/>
        <w:rPr>
          <w:rFonts w:ascii="Times New Roman" w:hAnsi="Times New Roman" w:cs="Times New Roman"/>
          <w:sz w:val="28"/>
          <w:szCs w:val="28"/>
          <w:highlight w:val="yellow"/>
        </w:rPr>
      </w:pPr>
    </w:p>
    <w:p w14:paraId="43B3A6D6" w14:textId="77777777" w:rsidR="006B79F7" w:rsidRDefault="0017149C">
      <w:pPr>
        <w:rPr>
          <w:rFonts w:ascii="Times New Roman" w:hAnsi="Times New Roman" w:cs="Times New Roman"/>
          <w:sz w:val="28"/>
          <w:szCs w:val="28"/>
          <w:highlight w:val="yellow"/>
        </w:rPr>
      </w:pPr>
      <w:r>
        <w:rPr>
          <w:rFonts w:ascii="Times New Roman" w:hAnsi="Times New Roman" w:cs="Times New Roman"/>
          <w:sz w:val="28"/>
          <w:szCs w:val="28"/>
          <w:highlight w:val="yellow"/>
        </w:rPr>
        <w:br w:type="page"/>
      </w:r>
    </w:p>
    <w:p w14:paraId="5E14480A" w14:textId="77777777" w:rsidR="006B79F7" w:rsidRDefault="0017149C">
      <w:pPr>
        <w:widowControl w:val="0"/>
        <w:spacing w:after="0" w:line="360" w:lineRule="auto"/>
        <w:jc w:val="right"/>
        <w:rPr>
          <w:rFonts w:ascii="Times New Roman" w:hAnsi="Times New Roman" w:cs="Times New Roman"/>
          <w:b/>
          <w:caps/>
          <w:sz w:val="28"/>
          <w:szCs w:val="28"/>
        </w:rPr>
      </w:pPr>
      <w:r>
        <w:rPr>
          <w:rFonts w:ascii="Times New Roman" w:hAnsi="Times New Roman" w:cs="Times New Roman"/>
          <w:b/>
          <w:caps/>
          <w:sz w:val="28"/>
          <w:szCs w:val="28"/>
        </w:rPr>
        <w:lastRenderedPageBreak/>
        <w:t>Додаток 1</w:t>
      </w:r>
    </w:p>
    <w:p w14:paraId="4B1CA1D7" w14:textId="77777777" w:rsidR="006B79F7" w:rsidRDefault="0017149C">
      <w:pPr>
        <w:spacing w:before="100" w:beforeAutospacing="1" w:after="100" w:afterAutospacing="1"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Динаміка кількості приватних медичних закладів (2020–2024)</w:t>
      </w:r>
    </w:p>
    <w:p w14:paraId="247998C3" w14:textId="77777777" w:rsidR="006B79F7" w:rsidRDefault="0017149C">
      <w:pPr>
        <w:spacing w:before="100" w:beforeAutospacing="1" w:after="100" w:afterAutospacing="1"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drawing>
          <wp:inline distT="0" distB="0" distL="0" distR="0" wp14:anchorId="465F0A1E" wp14:editId="4713E9F4">
            <wp:extent cx="5939790" cy="3785235"/>
            <wp:effectExtent l="0" t="0" r="0" b="0"/>
            <wp:docPr id="1" name="Рисунок 1" descr="F:\0_Картакай\2b3ddca8-2764-424a-a5b7-362cdf2c8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F:\0_Картакай\2b3ddca8-2764-424a-a5b7-362cdf2c890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a:xfrm>
                      <a:off x="0" y="0"/>
                      <a:ext cx="5939790" cy="3785638"/>
                    </a:xfrm>
                    <a:prstGeom prst="rect">
                      <a:avLst/>
                    </a:prstGeom>
                    <a:noFill/>
                    <a:ln>
                      <a:noFill/>
                    </a:ln>
                  </pic:spPr>
                </pic:pic>
              </a:graphicData>
            </a:graphic>
          </wp:inline>
        </w:drawing>
      </w:r>
    </w:p>
    <w:p w14:paraId="67E63AA4" w14:textId="77777777" w:rsidR="006B79F7" w:rsidRDefault="0017149C">
      <w:pPr>
        <w:spacing w:before="100" w:beforeAutospacing="1" w:after="100" w:afterAutospacing="1"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Підключення до eHealth</w:t>
      </w:r>
    </w:p>
    <w:p w14:paraId="0664A290" w14:textId="77777777" w:rsidR="006B79F7" w:rsidRDefault="0017149C">
      <w:pPr>
        <w:spacing w:before="100" w:beforeAutospacing="1" w:after="100" w:afterAutospacing="1"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drawing>
          <wp:inline distT="0" distB="0" distL="0" distR="0" wp14:anchorId="6203134D" wp14:editId="2B084CC3">
            <wp:extent cx="5939790" cy="3879215"/>
            <wp:effectExtent l="0" t="0" r="0" b="0"/>
            <wp:docPr id="2" name="Рисунок 2" descr="F:\0_Картакай\9a9f318e-c3e9-4d40-9e5b-7f5ad6aadc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F:\0_Картакай\9a9f318e-c3e9-4d40-9e5b-7f5ad6aadca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a:xfrm>
                      <a:off x="0" y="0"/>
                      <a:ext cx="5939790" cy="3879476"/>
                    </a:xfrm>
                    <a:prstGeom prst="rect">
                      <a:avLst/>
                    </a:prstGeom>
                    <a:noFill/>
                    <a:ln>
                      <a:noFill/>
                    </a:ln>
                  </pic:spPr>
                </pic:pic>
              </a:graphicData>
            </a:graphic>
          </wp:inline>
        </w:drawing>
      </w:r>
    </w:p>
    <w:p w14:paraId="5DBD20E3" w14:textId="77777777" w:rsidR="006B79F7" w:rsidRDefault="0017149C">
      <w:pPr>
        <w:spacing w:before="100" w:beforeAutospacing="1" w:after="100" w:afterAutospacing="1"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Використання CRM / MIS</w:t>
      </w:r>
    </w:p>
    <w:p w14:paraId="3BA3959B" w14:textId="77777777" w:rsidR="006B79F7" w:rsidRDefault="0017149C">
      <w:pPr>
        <w:spacing w:before="100" w:beforeAutospacing="1" w:after="100" w:afterAutospacing="1" w:line="240" w:lineRule="auto"/>
        <w:rPr>
          <w:rFonts w:ascii="Times New Roman" w:eastAsia="Times New Roman" w:hAnsi="Times New Roman" w:cs="Times New Roman"/>
          <w:b/>
          <w:sz w:val="28"/>
          <w:szCs w:val="28"/>
          <w:lang w:eastAsia="ru-RU"/>
        </w:rPr>
      </w:pPr>
      <w:r>
        <w:rPr>
          <w:rFonts w:ascii="Times New Roman" w:eastAsia="Times New Roman" w:hAnsi="Times New Roman" w:cs="Times New Roman"/>
          <w:b/>
          <w:noProof/>
          <w:sz w:val="28"/>
          <w:szCs w:val="28"/>
          <w:lang w:eastAsia="uk-UA"/>
        </w:rPr>
        <w:drawing>
          <wp:inline distT="0" distB="0" distL="0" distR="0" wp14:anchorId="78759BDE" wp14:editId="52E99B58">
            <wp:extent cx="5939790" cy="3879215"/>
            <wp:effectExtent l="0" t="0" r="0" b="0"/>
            <wp:docPr id="5" name="Рисунок 5" descr="F:\0_Картакай\2a0308e9-3ab5-4d76-a4bb-3cd377ff88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F:\0_Картакай\2a0308e9-3ab5-4d76-a4bb-3cd377ff880c"/>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a:xfrm>
                      <a:off x="0" y="0"/>
                      <a:ext cx="5939790" cy="3879476"/>
                    </a:xfrm>
                    <a:prstGeom prst="rect">
                      <a:avLst/>
                    </a:prstGeom>
                    <a:noFill/>
                    <a:ln>
                      <a:noFill/>
                    </a:ln>
                  </pic:spPr>
                </pic:pic>
              </a:graphicData>
            </a:graphic>
          </wp:inline>
        </w:drawing>
      </w:r>
    </w:p>
    <w:p w14:paraId="0DAF3FCA" w14:textId="77777777" w:rsidR="006B79F7" w:rsidRDefault="0017149C">
      <w:pPr>
        <w:spacing w:before="100" w:beforeAutospacing="1" w:after="100" w:afterAutospacing="1"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Розвиток телемедицини</w:t>
      </w:r>
    </w:p>
    <w:p w14:paraId="172EF21D" w14:textId="77777777" w:rsidR="006B79F7" w:rsidRDefault="0017149C">
      <w:pPr>
        <w:widowControl w:val="0"/>
        <w:spacing w:after="0" w:line="360" w:lineRule="auto"/>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14:anchorId="66F95702" wp14:editId="068BD1FB">
            <wp:extent cx="5939790" cy="3879215"/>
            <wp:effectExtent l="0" t="0" r="0" b="0"/>
            <wp:docPr id="6" name="Рисунок 6" descr="F:\0_Картакай\9d89de32-ed79-41db-9fd3-2455b584cc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F:\0_Картакай\9d89de32-ed79-41db-9fd3-2455b584cc2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a:xfrm>
                      <a:off x="0" y="0"/>
                      <a:ext cx="5939790" cy="3879476"/>
                    </a:xfrm>
                    <a:prstGeom prst="rect">
                      <a:avLst/>
                    </a:prstGeom>
                    <a:noFill/>
                    <a:ln>
                      <a:noFill/>
                    </a:ln>
                  </pic:spPr>
                </pic:pic>
              </a:graphicData>
            </a:graphic>
          </wp:inline>
        </w:drawing>
      </w:r>
    </w:p>
    <w:p w14:paraId="7F0B122E" w14:textId="77777777" w:rsidR="006B79F7" w:rsidRDefault="0017149C">
      <w:pPr>
        <w:rPr>
          <w:rFonts w:ascii="Times New Roman" w:hAnsi="Times New Roman" w:cs="Times New Roman"/>
          <w:b/>
          <w:sz w:val="28"/>
          <w:szCs w:val="28"/>
        </w:rPr>
      </w:pPr>
      <w:r>
        <w:rPr>
          <w:rFonts w:ascii="Times New Roman" w:hAnsi="Times New Roman" w:cs="Times New Roman"/>
          <w:b/>
          <w:sz w:val="28"/>
          <w:szCs w:val="28"/>
        </w:rPr>
        <w:br w:type="page"/>
      </w:r>
    </w:p>
    <w:p w14:paraId="66C57222" w14:textId="77777777" w:rsidR="006B79F7" w:rsidRDefault="0017149C">
      <w:pPr>
        <w:widowControl w:val="0"/>
        <w:spacing w:after="0" w:line="360" w:lineRule="auto"/>
        <w:jc w:val="right"/>
        <w:rPr>
          <w:rFonts w:ascii="Times New Roman" w:hAnsi="Times New Roman" w:cs="Times New Roman"/>
          <w:b/>
          <w:caps/>
          <w:sz w:val="28"/>
          <w:szCs w:val="28"/>
        </w:rPr>
      </w:pPr>
      <w:r>
        <w:rPr>
          <w:rFonts w:ascii="Times New Roman" w:hAnsi="Times New Roman" w:cs="Times New Roman"/>
          <w:b/>
          <w:caps/>
          <w:sz w:val="28"/>
          <w:szCs w:val="28"/>
        </w:rPr>
        <w:lastRenderedPageBreak/>
        <w:t>Додаток 2</w:t>
      </w:r>
    </w:p>
    <w:p w14:paraId="3FB87345" w14:textId="77777777" w:rsidR="006B79F7" w:rsidRDefault="0017149C">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Світова практика запровадження публічно-приватного партнерства у сфері охорони здоров’я</w:t>
      </w:r>
    </w:p>
    <w:tbl>
      <w:tblPr>
        <w:tblW w:w="4999" w:type="pct"/>
        <w:tblCellMar>
          <w:top w:w="57" w:type="dxa"/>
          <w:left w:w="57" w:type="dxa"/>
          <w:right w:w="1" w:type="dxa"/>
        </w:tblCellMar>
        <w:tblLook w:val="04A0" w:firstRow="1" w:lastRow="0" w:firstColumn="1" w:lastColumn="0" w:noHBand="0" w:noVBand="1"/>
      </w:tblPr>
      <w:tblGrid>
        <w:gridCol w:w="2306"/>
        <w:gridCol w:w="7036"/>
      </w:tblGrid>
      <w:tr w:rsidR="006B79F7" w14:paraId="5D00CF02" w14:textId="77777777">
        <w:trPr>
          <w:trHeight w:val="479"/>
        </w:trPr>
        <w:tc>
          <w:tcPr>
            <w:tcW w:w="1234" w:type="pct"/>
            <w:tcBorders>
              <w:top w:val="single" w:sz="4" w:space="0" w:color="181717"/>
              <w:left w:val="single" w:sz="4" w:space="0" w:color="181717"/>
              <w:bottom w:val="single" w:sz="4" w:space="0" w:color="181717"/>
              <w:right w:val="single" w:sz="4" w:space="0" w:color="181717"/>
            </w:tcBorders>
            <w:vAlign w:val="center"/>
          </w:tcPr>
          <w:p w14:paraId="222AEDA4"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Країна / регіон</w:t>
            </w:r>
          </w:p>
        </w:tc>
        <w:tc>
          <w:tcPr>
            <w:tcW w:w="3765" w:type="pct"/>
            <w:tcBorders>
              <w:top w:val="single" w:sz="4" w:space="0" w:color="181717"/>
              <w:left w:val="single" w:sz="4" w:space="0" w:color="181717"/>
              <w:bottom w:val="single" w:sz="4" w:space="0" w:color="181717"/>
              <w:right w:val="single" w:sz="4" w:space="0" w:color="181717"/>
            </w:tcBorders>
            <w:vAlign w:val="center"/>
          </w:tcPr>
          <w:p w14:paraId="63EB82AB" w14:textId="77777777" w:rsidR="006B79F7" w:rsidRDefault="0017149C">
            <w:pPr>
              <w:widowControl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Характеристика досвіду впровадження ДПП</w:t>
            </w:r>
          </w:p>
        </w:tc>
      </w:tr>
      <w:tr w:rsidR="006B79F7" w14:paraId="289E6F77" w14:textId="77777777">
        <w:trPr>
          <w:trHeight w:val="984"/>
        </w:trPr>
        <w:tc>
          <w:tcPr>
            <w:tcW w:w="1234" w:type="pct"/>
            <w:tcBorders>
              <w:top w:val="single" w:sz="4" w:space="0" w:color="181717"/>
              <w:left w:val="single" w:sz="4" w:space="0" w:color="181717"/>
              <w:bottom w:val="single" w:sz="4" w:space="0" w:color="181717"/>
              <w:right w:val="single" w:sz="4" w:space="0" w:color="181717"/>
            </w:tcBorders>
            <w:vAlign w:val="center"/>
          </w:tcPr>
          <w:p w14:paraId="0312675B"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t>Франція: державний контроль та приватні інвестиції</w:t>
            </w:r>
          </w:p>
        </w:tc>
        <w:tc>
          <w:tcPr>
            <w:tcW w:w="3765" w:type="pct"/>
            <w:tcBorders>
              <w:top w:val="single" w:sz="4" w:space="0" w:color="181717"/>
              <w:left w:val="single" w:sz="4" w:space="0" w:color="181717"/>
              <w:bottom w:val="single" w:sz="4" w:space="0" w:color="181717"/>
              <w:right w:val="single" w:sz="4" w:space="0" w:color="181717"/>
            </w:tcBorders>
          </w:tcPr>
          <w:p w14:paraId="7413C98C"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Особливості: Система охорони здоров'я у Франції характеризується гармонійним поєднанням державного фінансування з приватними інвестиціями, які спрямовуються на медичне страхування та розвиток закладів охорони здоров’я.</w:t>
            </w:r>
          </w:p>
          <w:p w14:paraId="3628089B"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Практика: Приватний сектор має можливість здійснювати управління державними лікувальними закладами або брати участь у розвитку медичних технологій, реалізуючи це через партнерські програми чи спільні угоди.</w:t>
            </w:r>
          </w:p>
          <w:p w14:paraId="38DEFFB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Результати: Такий інтегрований підхід сприяє забезпеченню високого рівня якості медичних послуг, а також робить медицину доступною для всіх соціальних груп населення.</w:t>
            </w:r>
          </w:p>
          <w:p w14:paraId="5E060944"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Ризики: Для запобігання надмірній комерціалізації медичної сфери необхідно підтримувати й вдосконалювати механізми постійного регулювання системи охорони здоров’я.</w:t>
            </w:r>
          </w:p>
        </w:tc>
      </w:tr>
      <w:tr w:rsidR="006B79F7" w14:paraId="7A0E5A0C" w14:textId="77777777">
        <w:trPr>
          <w:trHeight w:val="1492"/>
        </w:trPr>
        <w:tc>
          <w:tcPr>
            <w:tcW w:w="1234" w:type="pct"/>
            <w:tcBorders>
              <w:top w:val="single" w:sz="4" w:space="0" w:color="181717"/>
              <w:left w:val="single" w:sz="4" w:space="0" w:color="181717"/>
              <w:bottom w:val="single" w:sz="4" w:space="0" w:color="181717"/>
              <w:right w:val="single" w:sz="4" w:space="0" w:color="181717"/>
            </w:tcBorders>
            <w:vAlign w:val="center"/>
          </w:tcPr>
          <w:p w14:paraId="6126E213"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США: ДПП у військовій </w:t>
            </w:r>
          </w:p>
          <w:p w14:paraId="2BBBD56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b/>
                <w:sz w:val="28"/>
                <w:szCs w:val="28"/>
              </w:rPr>
              <w:t>та громадській  медицині</w:t>
            </w:r>
          </w:p>
        </w:tc>
        <w:tc>
          <w:tcPr>
            <w:tcW w:w="3765" w:type="pct"/>
            <w:tcBorders>
              <w:top w:val="single" w:sz="4" w:space="0" w:color="181717"/>
              <w:left w:val="single" w:sz="4" w:space="0" w:color="181717"/>
              <w:bottom w:val="single" w:sz="4" w:space="0" w:color="181717"/>
              <w:right w:val="single" w:sz="4" w:space="0" w:color="181717"/>
            </w:tcBorders>
          </w:tcPr>
          <w:p w14:paraId="5FF7D7B1"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Особливості: У Сполучених Штатах Америки публічно-приватне партнерство застосовується із врахуванням специфіки у кількох ключових напрямах, зокрема у військовій медицині, системах медичного страхування (Medicare та Medicaid), а також у розробці сучасних цифрових медичних платформ. Цей підхід дозволяє оптимізувати використання як державних, так і приватних ресурсів для досягнення стратегічних цілей.</w:t>
            </w:r>
          </w:p>
          <w:p w14:paraId="421A8F5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Практичне застосування: Один із прикладів реалізації такого партнерства можна спостерігати у діяльності програми Veterans Affairs, яка активно співпрацює з приватними медичними установами для забезпечення медичних послуг ветеранам військових конфліктів. Окрім цього, провідні фармацевтичні корпорації займаються фінансуванням наукових досліджень і сприяють розробці інноваційних методів лікування та нових лікарських препаратів.</w:t>
            </w:r>
          </w:p>
          <w:p w14:paraId="0FFB02D6"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Результати: Застосування таких підходів відкриває доступ до передових лікувальних технологій, сучасного медичного обладнання, високоефективних терапевтичних програм та інноваційних лікарських засобів.</w:t>
            </w:r>
          </w:p>
          <w:p w14:paraId="2BA87E9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 xml:space="preserve">Ризики: Незважаючи на перспективність публічно-приватного партнерства, одним із найважливіших викликів залишається утримання високих витрат у сфері охорони здоров’я, що може стати суттєвим фінансовим навантаженням для держави та пацієнтів. </w:t>
            </w:r>
          </w:p>
        </w:tc>
      </w:tr>
      <w:tr w:rsidR="006B79F7" w14:paraId="302854FC" w14:textId="77777777">
        <w:trPr>
          <w:trHeight w:val="364"/>
        </w:trPr>
        <w:tc>
          <w:tcPr>
            <w:tcW w:w="1234" w:type="pct"/>
            <w:tcBorders>
              <w:top w:val="single" w:sz="4" w:space="0" w:color="181717"/>
              <w:left w:val="single" w:sz="4" w:space="0" w:color="181717"/>
              <w:bottom w:val="single" w:sz="4" w:space="0" w:color="181717"/>
              <w:right w:val="single" w:sz="4" w:space="0" w:color="181717"/>
            </w:tcBorders>
            <w:vAlign w:val="center"/>
          </w:tcPr>
          <w:p w14:paraId="13A178B8"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lastRenderedPageBreak/>
              <w:t>Німеччина: система соціального медичного страхування та ДПП</w:t>
            </w:r>
          </w:p>
        </w:tc>
        <w:tc>
          <w:tcPr>
            <w:tcW w:w="3765" w:type="pct"/>
            <w:tcBorders>
              <w:top w:val="single" w:sz="4" w:space="0" w:color="181717"/>
              <w:left w:val="single" w:sz="4" w:space="0" w:color="181717"/>
              <w:bottom w:val="single" w:sz="4" w:space="0" w:color="181717"/>
              <w:right w:val="single" w:sz="4" w:space="0" w:color="181717"/>
            </w:tcBorders>
          </w:tcPr>
          <w:p w14:paraId="34A0F626"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Характерні риси: Приватний сектор Німеччини відіграє важливу роль у фінансуванні системи охорони здоров'я за рахунок залучення страхових компаній та участі у спільному управлінні закладами медичного профілю.</w:t>
            </w:r>
          </w:p>
          <w:p w14:paraId="1E0FD856"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Практичний підхід: У межах державно-приватного партнерства створюються університетські клініки, що дозволяє приватним інвесторам інвестувати у розвиток і модернізацію медичної інфраструктури, тоді як медичні послуги залишаються частково під контролем та управлінням державних органів. </w:t>
            </w:r>
          </w:p>
          <w:p w14:paraId="60EB2E7C"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Досягнуті результати: Такий підхід забезпечує високу якість медичних послуг, одночасно сприяючи зменшенню фінансового навантаження на державний бюджет. </w:t>
            </w:r>
          </w:p>
          <w:p w14:paraId="396343A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Можливі ризики: Незважаючи на переваги, існує ймовірність зростання вартості медичних процедур для пацієнтів, а також вища ціна діагностично-лікувальних послуг.</w:t>
            </w:r>
          </w:p>
        </w:tc>
      </w:tr>
      <w:tr w:rsidR="006B79F7" w14:paraId="7CB991E4" w14:textId="77777777">
        <w:trPr>
          <w:trHeight w:val="2239"/>
        </w:trPr>
        <w:tc>
          <w:tcPr>
            <w:tcW w:w="1234" w:type="pct"/>
            <w:tcBorders>
              <w:top w:val="single" w:sz="4" w:space="0" w:color="181717"/>
              <w:left w:val="single" w:sz="4" w:space="0" w:color="181717"/>
              <w:bottom w:val="single" w:sz="4" w:space="0" w:color="181717"/>
              <w:right w:val="single" w:sz="4" w:space="0" w:color="181717"/>
            </w:tcBorders>
            <w:vAlign w:val="center"/>
          </w:tcPr>
          <w:p w14:paraId="16511B2B"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t>Канада: партнерство у сфері медичних інновацій</w:t>
            </w:r>
          </w:p>
        </w:tc>
        <w:tc>
          <w:tcPr>
            <w:tcW w:w="3765" w:type="pct"/>
            <w:tcBorders>
              <w:top w:val="single" w:sz="4" w:space="0" w:color="181717"/>
              <w:left w:val="single" w:sz="4" w:space="0" w:color="181717"/>
              <w:bottom w:val="single" w:sz="4" w:space="0" w:color="181717"/>
              <w:right w:val="single" w:sz="4" w:space="0" w:color="181717"/>
            </w:tcBorders>
          </w:tcPr>
          <w:p w14:paraId="408C0F5F"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Особливості: У канадській практиці державно-приватне партнерство застосовується не лише для розвитку та будівництва інфраструктури медичних закладів. Значну увагу приділяють розробці й впровадженню сучасних медичних технологій, а також цифрових і технологічних інновацій у сфері охорони здоров’я.</w:t>
            </w:r>
          </w:p>
          <w:p w14:paraId="583685AE"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Практика: Канадський фонд інновацій у галузі медицини активно співпрацює з приватним сектором, сприяючи створенню нових методів лікування та розвитку процесів цифровізації у сфері охорони здоров’я, зокрема телемедицини та електронних медичних карток.</w:t>
            </w:r>
          </w:p>
          <w:p w14:paraId="3EB339B4"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Результати: Завдяки такому підходу вдалося значно покращити доступність якісних медичних послуг, особливо для мешканців віддалених регіонів Канади, а також забезпечити високий рівень медичного обслуговування населення в цілому.</w:t>
            </w:r>
          </w:p>
        </w:tc>
      </w:tr>
      <w:tr w:rsidR="006B79F7" w14:paraId="72B0013E" w14:textId="77777777">
        <w:trPr>
          <w:trHeight w:val="2019"/>
        </w:trPr>
        <w:tc>
          <w:tcPr>
            <w:tcW w:w="1234" w:type="pct"/>
            <w:tcBorders>
              <w:top w:val="single" w:sz="4" w:space="0" w:color="181717"/>
              <w:left w:val="single" w:sz="4" w:space="0" w:color="181717"/>
              <w:bottom w:val="single" w:sz="4" w:space="0" w:color="181717"/>
              <w:right w:val="single" w:sz="4" w:space="0" w:color="181717"/>
            </w:tcBorders>
            <w:vAlign w:val="center"/>
          </w:tcPr>
          <w:p w14:paraId="761EE06B" w14:textId="77777777" w:rsidR="006B79F7" w:rsidRDefault="0017149C">
            <w:pPr>
              <w:widowControl w:val="0"/>
              <w:spacing w:after="0" w:line="240" w:lineRule="auto"/>
              <w:rPr>
                <w:rFonts w:ascii="Times New Roman" w:hAnsi="Times New Roman" w:cs="Times New Roman"/>
                <w:b/>
                <w:sz w:val="28"/>
                <w:szCs w:val="28"/>
              </w:rPr>
            </w:pPr>
            <w:r>
              <w:rPr>
                <w:rFonts w:ascii="Times New Roman" w:hAnsi="Times New Roman" w:cs="Times New Roman"/>
                <w:b/>
                <w:sz w:val="28"/>
                <w:szCs w:val="28"/>
              </w:rPr>
              <w:t>Велика Британія: програми Private Finance Initiative (PFI)</w:t>
            </w:r>
          </w:p>
        </w:tc>
        <w:tc>
          <w:tcPr>
            <w:tcW w:w="3765" w:type="pct"/>
            <w:tcBorders>
              <w:top w:val="single" w:sz="4" w:space="0" w:color="181717"/>
              <w:left w:val="single" w:sz="4" w:space="0" w:color="181717"/>
              <w:bottom w:val="single" w:sz="4" w:space="0" w:color="181717"/>
              <w:right w:val="single" w:sz="4" w:space="0" w:color="181717"/>
            </w:tcBorders>
          </w:tcPr>
          <w:p w14:paraId="19946E2C"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Особливості: Уряд Сполученого Королівства активно застосовує механізм приватного фінансування (Private Finance Initiative, PFI) як інструмент для залучення приватних інвестицій у будівництво та експлуатацію медичних закладів. Цей підхід спрямований на оптимізацію використання ресурсів і забезпечення </w:t>
            </w:r>
            <w:r>
              <w:rPr>
                <w:rFonts w:ascii="Times New Roman" w:hAnsi="Times New Roman" w:cs="Times New Roman"/>
                <w:sz w:val="28"/>
                <w:szCs w:val="28"/>
              </w:rPr>
              <w:lastRenderedPageBreak/>
              <w:t>високої ефективності управління.</w:t>
            </w:r>
          </w:p>
          <w:p w14:paraId="6E5346DA"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Практичне застосування: У рамках концепції державно-приватного партнерства було споруджено або модернізовано близько ста медичних установ. При цьому функції будівництва та технічного обслуговування делегуються комерційним компаніям, які, у свою чергу, отримують оплати від держави впродовж дії довгострокових контрактів, розрахованих на 25-30 років.</w:t>
            </w:r>
          </w:p>
          <w:p w14:paraId="0BD2143B"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Результати: Реалізація цієї моделі сприяла впровадженню сучасних лікувальних закладів, що відповідають високим стандартам якості та обладнані інноваційною технікою, що значно покращило рівень медичної допомоги населенню.</w:t>
            </w:r>
          </w:p>
          <w:p w14:paraId="155ED8CE" w14:textId="77777777" w:rsidR="006B79F7" w:rsidRDefault="0017149C">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Ризики: Основними викликами залишаються високий рівень витрат на утримання інфраструктури та значне фінансове навантаження на державу протягом тривалого періоду, зумовлене зобов'язаннями перед приватними партнерами.</w:t>
            </w:r>
          </w:p>
        </w:tc>
      </w:tr>
    </w:tbl>
    <w:p w14:paraId="652CA061" w14:textId="77777777" w:rsidR="006B79F7" w:rsidRDefault="006B79F7">
      <w:pPr>
        <w:widowControl w:val="0"/>
        <w:spacing w:after="0" w:line="360" w:lineRule="auto"/>
        <w:rPr>
          <w:rFonts w:ascii="Times New Roman" w:hAnsi="Times New Roman" w:cs="Times New Roman"/>
          <w:sz w:val="28"/>
          <w:szCs w:val="28"/>
        </w:rPr>
      </w:pPr>
    </w:p>
    <w:p w14:paraId="7C11A8FD" w14:textId="77777777" w:rsidR="006B79F7" w:rsidRDefault="0017149C">
      <w:pPr>
        <w:spacing w:after="0" w:line="240" w:lineRule="auto"/>
        <w:rPr>
          <w:rFonts w:ascii="Times New Roman" w:hAnsi="Times New Roman" w:cs="Times New Roman"/>
          <w:b/>
          <w:sz w:val="28"/>
          <w:szCs w:val="28"/>
        </w:rPr>
      </w:pPr>
      <w:r>
        <w:rPr>
          <w:rFonts w:ascii="Times New Roman" w:hAnsi="Times New Roman" w:cs="Times New Roman"/>
          <w:b/>
          <w:sz w:val="28"/>
          <w:szCs w:val="28"/>
        </w:rPr>
        <w:br w:type="page"/>
      </w:r>
    </w:p>
    <w:p w14:paraId="4C8CE680" w14:textId="77777777" w:rsidR="006B79F7" w:rsidRDefault="0017149C">
      <w:pPr>
        <w:widowControl w:val="0"/>
        <w:spacing w:after="0" w:line="360" w:lineRule="auto"/>
        <w:jc w:val="right"/>
        <w:rPr>
          <w:rFonts w:ascii="Times New Roman" w:hAnsi="Times New Roman" w:cs="Times New Roman"/>
          <w:b/>
          <w:caps/>
          <w:sz w:val="28"/>
          <w:szCs w:val="28"/>
        </w:rPr>
      </w:pPr>
      <w:r>
        <w:rPr>
          <w:rFonts w:ascii="Times New Roman" w:hAnsi="Times New Roman" w:cs="Times New Roman"/>
          <w:b/>
          <w:caps/>
          <w:sz w:val="28"/>
          <w:szCs w:val="28"/>
        </w:rPr>
        <w:lastRenderedPageBreak/>
        <w:t>Додаток 3</w:t>
      </w:r>
    </w:p>
    <w:p w14:paraId="54738840" w14:textId="77777777" w:rsidR="006B79F7" w:rsidRDefault="006B79F7">
      <w:pPr>
        <w:widowControl w:val="0"/>
        <w:spacing w:after="0" w:line="360" w:lineRule="auto"/>
        <w:rPr>
          <w:rFonts w:ascii="Times New Roman" w:hAnsi="Times New Roman" w:cs="Times New Roman"/>
          <w:b/>
          <w:sz w:val="28"/>
          <w:szCs w:val="28"/>
        </w:rPr>
      </w:pPr>
    </w:p>
    <w:p w14:paraId="6F3EF197" w14:textId="77777777" w:rsidR="006B79F7" w:rsidRDefault="0017149C">
      <w:pPr>
        <w:widowControl w:val="0"/>
        <w:spacing w:after="0" w:line="360" w:lineRule="auto"/>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14:anchorId="3D032D07" wp14:editId="3DE32AC7">
            <wp:extent cx="6223000" cy="5745480"/>
            <wp:effectExtent l="0" t="0" r="0" b="0"/>
            <wp:docPr id="4" name="Рисунок 4" descr="F:\0_Картакай\11069aaf-9c3c-45bd-ae5c-b2b328b612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F:\0_Картакай\11069aaf-9c3c-45bd-ae5c-b2b328b612eb"/>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a:xfrm>
                      <a:off x="0" y="0"/>
                      <a:ext cx="6226539" cy="5748624"/>
                    </a:xfrm>
                    <a:prstGeom prst="rect">
                      <a:avLst/>
                    </a:prstGeom>
                    <a:noFill/>
                    <a:ln>
                      <a:noFill/>
                    </a:ln>
                  </pic:spPr>
                </pic:pic>
              </a:graphicData>
            </a:graphic>
          </wp:inline>
        </w:drawing>
      </w:r>
    </w:p>
    <w:sectPr w:rsidR="006B79F7">
      <w:headerReference w:type="default" r:id="rId5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E9B55" w14:textId="77777777" w:rsidR="00DD66DC" w:rsidRDefault="00DD66DC">
      <w:pPr>
        <w:spacing w:line="240" w:lineRule="auto"/>
      </w:pPr>
      <w:r>
        <w:separator/>
      </w:r>
    </w:p>
  </w:endnote>
  <w:endnote w:type="continuationSeparator" w:id="0">
    <w:p w14:paraId="52992CCB" w14:textId="77777777" w:rsidR="00DD66DC" w:rsidRDefault="00DD66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等线 Light">
    <w:panose1 w:val="02010600030101010101"/>
    <w:charset w:val="80"/>
    <w:family w:val="roman"/>
    <w:notTrueType/>
    <w:pitch w:val="default"/>
  </w:font>
  <w:font w:name="Tahoma">
    <w:panose1 w:val="020B0604030504040204"/>
    <w:charset w:val="CC"/>
    <w:family w:val="swiss"/>
    <w:pitch w:val="variable"/>
    <w:sig w:usb0="E1002EFF" w:usb1="C000605B" w:usb2="00000029" w:usb3="00000000" w:csb0="000101FF" w:csb1="00000000"/>
  </w:font>
  <w:font w:name="TimesNewRomanPSMT">
    <w:altName w:val="MS Gothic"/>
    <w:panose1 w:val="020B0604020202020204"/>
    <w:charset w:val="80"/>
    <w:family w:val="auto"/>
    <w:pitch w:val="default"/>
    <w:sig w:usb0="00000000" w:usb1="00000000" w:usb2="00000010" w:usb3="00000000" w:csb0="00020005" w:csb1="00000000"/>
  </w:font>
  <w:font w:name="DengXian">
    <w:altName w:val="等线"/>
    <w:panose1 w:val="02010600030101010101"/>
    <w:charset w:val="8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CE7D6" w14:textId="77777777" w:rsidR="00DD66DC" w:rsidRDefault="00DD66DC">
      <w:pPr>
        <w:spacing w:after="0"/>
      </w:pPr>
      <w:r>
        <w:separator/>
      </w:r>
    </w:p>
  </w:footnote>
  <w:footnote w:type="continuationSeparator" w:id="0">
    <w:p w14:paraId="5FEDE0C0" w14:textId="77777777" w:rsidR="00DD66DC" w:rsidRDefault="00DD66D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szCs w:val="28"/>
      </w:rPr>
      <w:id w:val="-158385171"/>
    </w:sdtPr>
    <w:sdtContent>
      <w:p w14:paraId="2BB613B3" w14:textId="77777777" w:rsidR="0017149C" w:rsidRDefault="0017149C">
        <w:pPr>
          <w:pStyle w:val="a8"/>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814388" w:rsidRPr="00814388">
          <w:rPr>
            <w:rFonts w:ascii="Times New Roman" w:hAnsi="Times New Roman" w:cs="Times New Roman"/>
            <w:noProof/>
            <w:sz w:val="28"/>
            <w:szCs w:val="28"/>
            <w:lang w:val="ru-RU"/>
          </w:rPr>
          <w:t>97</w:t>
        </w:r>
        <w:r>
          <w:rPr>
            <w:rFonts w:ascii="Times New Roman" w:hAnsi="Times New Roman" w:cs="Times New Roman"/>
            <w:sz w:val="28"/>
            <w:szCs w:val="28"/>
            <w:lang w:val="ru-RU"/>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5BF6"/>
    <w:multiLevelType w:val="multilevel"/>
    <w:tmpl w:val="01745BF6"/>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 w15:restartNumberingAfterBreak="0">
    <w:nsid w:val="04666833"/>
    <w:multiLevelType w:val="multilevel"/>
    <w:tmpl w:val="04666833"/>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 w15:restartNumberingAfterBreak="0">
    <w:nsid w:val="04FC6AE4"/>
    <w:multiLevelType w:val="multilevel"/>
    <w:tmpl w:val="04FC6AE4"/>
    <w:lvl w:ilvl="0">
      <w:start w:val="2"/>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3" w15:restartNumberingAfterBreak="0">
    <w:nsid w:val="0D3A0D25"/>
    <w:multiLevelType w:val="multilevel"/>
    <w:tmpl w:val="0D3A0D25"/>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4" w15:restartNumberingAfterBreak="0">
    <w:nsid w:val="0D812FC6"/>
    <w:multiLevelType w:val="multilevel"/>
    <w:tmpl w:val="0D812FC6"/>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5" w15:restartNumberingAfterBreak="0">
    <w:nsid w:val="111A3B93"/>
    <w:multiLevelType w:val="multilevel"/>
    <w:tmpl w:val="111A3B93"/>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6" w15:restartNumberingAfterBreak="0">
    <w:nsid w:val="136D7E72"/>
    <w:multiLevelType w:val="multilevel"/>
    <w:tmpl w:val="136D7E72"/>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7" w15:restartNumberingAfterBreak="0">
    <w:nsid w:val="141F11A9"/>
    <w:multiLevelType w:val="multilevel"/>
    <w:tmpl w:val="141F11A9"/>
    <w:lvl w:ilvl="0">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15:restartNumberingAfterBreak="0">
    <w:nsid w:val="145D69C4"/>
    <w:multiLevelType w:val="multilevel"/>
    <w:tmpl w:val="145D69C4"/>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9" w15:restartNumberingAfterBreak="0">
    <w:nsid w:val="156F685C"/>
    <w:multiLevelType w:val="multilevel"/>
    <w:tmpl w:val="156F685C"/>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0" w15:restartNumberingAfterBreak="0">
    <w:nsid w:val="18EE0655"/>
    <w:multiLevelType w:val="multilevel"/>
    <w:tmpl w:val="18EE0655"/>
    <w:lvl w:ilvl="0">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1" w15:restartNumberingAfterBreak="0">
    <w:nsid w:val="1AEF0461"/>
    <w:multiLevelType w:val="multilevel"/>
    <w:tmpl w:val="1AEF0461"/>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2" w15:restartNumberingAfterBreak="0">
    <w:nsid w:val="212E0A4D"/>
    <w:multiLevelType w:val="multilevel"/>
    <w:tmpl w:val="212E0A4D"/>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3" w15:restartNumberingAfterBreak="0">
    <w:nsid w:val="231D3D32"/>
    <w:multiLevelType w:val="multilevel"/>
    <w:tmpl w:val="231D3D32"/>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4" w15:restartNumberingAfterBreak="0">
    <w:nsid w:val="2A787C54"/>
    <w:multiLevelType w:val="multilevel"/>
    <w:tmpl w:val="2A787C54"/>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5" w15:restartNumberingAfterBreak="0">
    <w:nsid w:val="2E1C1EB7"/>
    <w:multiLevelType w:val="multilevel"/>
    <w:tmpl w:val="2E1C1EB7"/>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6" w15:restartNumberingAfterBreak="0">
    <w:nsid w:val="34AF4D2F"/>
    <w:multiLevelType w:val="multilevel"/>
    <w:tmpl w:val="34AF4D2F"/>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7" w15:restartNumberingAfterBreak="0">
    <w:nsid w:val="37E63700"/>
    <w:multiLevelType w:val="multilevel"/>
    <w:tmpl w:val="37E63700"/>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8" w15:restartNumberingAfterBreak="0">
    <w:nsid w:val="387B7A93"/>
    <w:multiLevelType w:val="multilevel"/>
    <w:tmpl w:val="387B7A93"/>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19" w15:restartNumberingAfterBreak="0">
    <w:nsid w:val="3B003368"/>
    <w:multiLevelType w:val="multilevel"/>
    <w:tmpl w:val="3B003368"/>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0" w15:restartNumberingAfterBreak="0">
    <w:nsid w:val="46AB4C99"/>
    <w:multiLevelType w:val="multilevel"/>
    <w:tmpl w:val="46AB4C99"/>
    <w:lvl w:ilvl="0">
      <w:start w:val="3"/>
      <w:numFmt w:val="bullet"/>
      <w:lvlText w:val="-"/>
      <w:lvlJc w:val="left"/>
      <w:pPr>
        <w:ind w:left="360" w:hanging="360"/>
      </w:pPr>
      <w:rPr>
        <w:rFonts w:ascii="Times New Roman" w:eastAsia="Times New Roman" w:hAnsi="Times New Roman" w:cs="Times New Roman" w:hint="default"/>
        <w:color w:val="auto"/>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1" w15:restartNumberingAfterBreak="0">
    <w:nsid w:val="56AD620B"/>
    <w:multiLevelType w:val="multilevel"/>
    <w:tmpl w:val="56AD620B"/>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2" w15:restartNumberingAfterBreak="0">
    <w:nsid w:val="59000AE1"/>
    <w:multiLevelType w:val="multilevel"/>
    <w:tmpl w:val="59000AE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59154644"/>
    <w:multiLevelType w:val="multilevel"/>
    <w:tmpl w:val="59154644"/>
    <w:lvl w:ilvl="0">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4" w15:restartNumberingAfterBreak="0">
    <w:nsid w:val="69B3404A"/>
    <w:multiLevelType w:val="multilevel"/>
    <w:tmpl w:val="69B3404A"/>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5" w15:restartNumberingAfterBreak="0">
    <w:nsid w:val="6D32677A"/>
    <w:multiLevelType w:val="multilevel"/>
    <w:tmpl w:val="6D32677A"/>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6" w15:restartNumberingAfterBreak="0">
    <w:nsid w:val="71B277CD"/>
    <w:multiLevelType w:val="multilevel"/>
    <w:tmpl w:val="71B277CD"/>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5115611"/>
    <w:multiLevelType w:val="multilevel"/>
    <w:tmpl w:val="75115611"/>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8" w15:restartNumberingAfterBreak="0">
    <w:nsid w:val="79BC74BB"/>
    <w:multiLevelType w:val="multilevel"/>
    <w:tmpl w:val="79BC74BB"/>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29" w15:restartNumberingAfterBreak="0">
    <w:nsid w:val="7B5E16FB"/>
    <w:multiLevelType w:val="multilevel"/>
    <w:tmpl w:val="7B5E16FB"/>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30" w15:restartNumberingAfterBreak="0">
    <w:nsid w:val="7BF53FC8"/>
    <w:multiLevelType w:val="multilevel"/>
    <w:tmpl w:val="7BF53FC8"/>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abstractNum w:abstractNumId="31" w15:restartNumberingAfterBreak="0">
    <w:nsid w:val="7DE80D53"/>
    <w:multiLevelType w:val="multilevel"/>
    <w:tmpl w:val="7DE80D53"/>
    <w:lvl w:ilvl="0">
      <w:start w:val="1"/>
      <w:numFmt w:val="bullet"/>
      <w:lvlText w:val=""/>
      <w:lvlJc w:val="left"/>
      <w:pPr>
        <w:tabs>
          <w:tab w:val="left" w:pos="360"/>
        </w:tabs>
        <w:ind w:left="360" w:hanging="360"/>
      </w:pPr>
      <w:rPr>
        <w:rFonts w:ascii="Symbol" w:hAnsi="Symbol" w:hint="default"/>
      </w:rPr>
    </w:lvl>
    <w:lvl w:ilvl="1">
      <w:start w:val="1"/>
      <w:numFmt w:val="decimal"/>
      <w:lvlText w:val="%2."/>
      <w:lvlJc w:val="left"/>
      <w:pPr>
        <w:tabs>
          <w:tab w:val="left" w:pos="1080"/>
        </w:tabs>
        <w:ind w:left="1080" w:hanging="360"/>
      </w:pPr>
    </w:lvl>
    <w:lvl w:ilvl="2">
      <w:start w:val="1"/>
      <w:numFmt w:val="decimal"/>
      <w:lvlText w:val="%3."/>
      <w:lvlJc w:val="left"/>
      <w:pPr>
        <w:tabs>
          <w:tab w:val="left" w:pos="1800"/>
        </w:tabs>
        <w:ind w:left="1800" w:hanging="360"/>
      </w:pPr>
    </w:lvl>
    <w:lvl w:ilvl="3">
      <w:start w:val="1"/>
      <w:numFmt w:val="decimal"/>
      <w:lvlText w:val="%4."/>
      <w:lvlJc w:val="left"/>
      <w:pPr>
        <w:tabs>
          <w:tab w:val="left" w:pos="2520"/>
        </w:tabs>
        <w:ind w:left="2520" w:hanging="360"/>
      </w:pPr>
    </w:lvl>
    <w:lvl w:ilvl="4">
      <w:start w:val="1"/>
      <w:numFmt w:val="decimal"/>
      <w:lvlText w:val="%5."/>
      <w:lvlJc w:val="left"/>
      <w:pPr>
        <w:tabs>
          <w:tab w:val="left" w:pos="3240"/>
        </w:tabs>
        <w:ind w:left="3240" w:hanging="360"/>
      </w:pPr>
    </w:lvl>
    <w:lvl w:ilvl="5">
      <w:start w:val="1"/>
      <w:numFmt w:val="decimal"/>
      <w:lvlText w:val="%6."/>
      <w:lvlJc w:val="left"/>
      <w:pPr>
        <w:tabs>
          <w:tab w:val="left" w:pos="3960"/>
        </w:tabs>
        <w:ind w:left="3960" w:hanging="360"/>
      </w:pPr>
    </w:lvl>
    <w:lvl w:ilvl="6">
      <w:start w:val="1"/>
      <w:numFmt w:val="decimal"/>
      <w:lvlText w:val="%7."/>
      <w:lvlJc w:val="left"/>
      <w:pPr>
        <w:tabs>
          <w:tab w:val="left" w:pos="4680"/>
        </w:tabs>
        <w:ind w:left="4680" w:hanging="360"/>
      </w:pPr>
    </w:lvl>
    <w:lvl w:ilvl="7">
      <w:start w:val="1"/>
      <w:numFmt w:val="decimal"/>
      <w:lvlText w:val="%8."/>
      <w:lvlJc w:val="left"/>
      <w:pPr>
        <w:tabs>
          <w:tab w:val="left" w:pos="5400"/>
        </w:tabs>
        <w:ind w:left="5400" w:hanging="360"/>
      </w:pPr>
    </w:lvl>
    <w:lvl w:ilvl="8">
      <w:start w:val="1"/>
      <w:numFmt w:val="decimal"/>
      <w:lvlText w:val="%9."/>
      <w:lvlJc w:val="left"/>
      <w:pPr>
        <w:tabs>
          <w:tab w:val="left" w:pos="6120"/>
        </w:tabs>
        <w:ind w:left="6120" w:hanging="360"/>
      </w:pPr>
    </w:lvl>
  </w:abstractNum>
  <w:num w:numId="1" w16cid:durableId="1781531535">
    <w:abstractNumId w:val="15"/>
  </w:num>
  <w:num w:numId="2" w16cid:durableId="1485244907">
    <w:abstractNumId w:val="2"/>
  </w:num>
  <w:num w:numId="3" w16cid:durableId="1539274171">
    <w:abstractNumId w:val="26"/>
  </w:num>
  <w:num w:numId="4" w16cid:durableId="1805853102">
    <w:abstractNumId w:val="20"/>
  </w:num>
  <w:num w:numId="5" w16cid:durableId="847136800">
    <w:abstractNumId w:val="23"/>
  </w:num>
  <w:num w:numId="6" w16cid:durableId="533930797">
    <w:abstractNumId w:val="10"/>
  </w:num>
  <w:num w:numId="7" w16cid:durableId="490371096">
    <w:abstractNumId w:val="7"/>
  </w:num>
  <w:num w:numId="8" w16cid:durableId="1769153008">
    <w:abstractNumId w:val="9"/>
  </w:num>
  <w:num w:numId="9" w16cid:durableId="450366055">
    <w:abstractNumId w:val="28"/>
  </w:num>
  <w:num w:numId="10" w16cid:durableId="290407363">
    <w:abstractNumId w:val="21"/>
  </w:num>
  <w:num w:numId="11" w16cid:durableId="252469032">
    <w:abstractNumId w:val="3"/>
  </w:num>
  <w:num w:numId="12" w16cid:durableId="831063862">
    <w:abstractNumId w:val="29"/>
  </w:num>
  <w:num w:numId="13" w16cid:durableId="944657960">
    <w:abstractNumId w:val="13"/>
  </w:num>
  <w:num w:numId="14" w16cid:durableId="310670963">
    <w:abstractNumId w:val="27"/>
  </w:num>
  <w:num w:numId="15" w16cid:durableId="1731734690">
    <w:abstractNumId w:val="17"/>
  </w:num>
  <w:num w:numId="16" w16cid:durableId="703333813">
    <w:abstractNumId w:val="6"/>
  </w:num>
  <w:num w:numId="17" w16cid:durableId="1759204830">
    <w:abstractNumId w:val="31"/>
  </w:num>
  <w:num w:numId="18" w16cid:durableId="1586066350">
    <w:abstractNumId w:val="14"/>
  </w:num>
  <w:num w:numId="19" w16cid:durableId="1892576580">
    <w:abstractNumId w:val="18"/>
  </w:num>
  <w:num w:numId="20" w16cid:durableId="686324708">
    <w:abstractNumId w:val="25"/>
  </w:num>
  <w:num w:numId="21" w16cid:durableId="1650864955">
    <w:abstractNumId w:val="30"/>
  </w:num>
  <w:num w:numId="22" w16cid:durableId="1550335343">
    <w:abstractNumId w:val="24"/>
  </w:num>
  <w:num w:numId="23" w16cid:durableId="999116944">
    <w:abstractNumId w:val="16"/>
  </w:num>
  <w:num w:numId="24" w16cid:durableId="627049887">
    <w:abstractNumId w:val="4"/>
  </w:num>
  <w:num w:numId="25" w16cid:durableId="1513566801">
    <w:abstractNumId w:val="1"/>
  </w:num>
  <w:num w:numId="26" w16cid:durableId="739912870">
    <w:abstractNumId w:val="19"/>
  </w:num>
  <w:num w:numId="27" w16cid:durableId="23942530">
    <w:abstractNumId w:val="5"/>
  </w:num>
  <w:num w:numId="28" w16cid:durableId="1976180475">
    <w:abstractNumId w:val="0"/>
  </w:num>
  <w:num w:numId="29" w16cid:durableId="1106267731">
    <w:abstractNumId w:val="12"/>
  </w:num>
  <w:num w:numId="30" w16cid:durableId="1975520378">
    <w:abstractNumId w:val="8"/>
  </w:num>
  <w:num w:numId="31" w16cid:durableId="1980261775">
    <w:abstractNumId w:val="11"/>
  </w:num>
  <w:num w:numId="32" w16cid:durableId="97422108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040"/>
    <w:rsid w:val="000043FD"/>
    <w:rsid w:val="000075A6"/>
    <w:rsid w:val="00013DC8"/>
    <w:rsid w:val="000318C3"/>
    <w:rsid w:val="000414CE"/>
    <w:rsid w:val="000531E9"/>
    <w:rsid w:val="000555DA"/>
    <w:rsid w:val="00066C66"/>
    <w:rsid w:val="000678F0"/>
    <w:rsid w:val="00067BB6"/>
    <w:rsid w:val="0007154A"/>
    <w:rsid w:val="0007336D"/>
    <w:rsid w:val="00075FEB"/>
    <w:rsid w:val="0008053B"/>
    <w:rsid w:val="00081E77"/>
    <w:rsid w:val="00085F6D"/>
    <w:rsid w:val="00095D3A"/>
    <w:rsid w:val="000A653B"/>
    <w:rsid w:val="000B2371"/>
    <w:rsid w:val="000B2703"/>
    <w:rsid w:val="000C1C35"/>
    <w:rsid w:val="000C276A"/>
    <w:rsid w:val="000E1189"/>
    <w:rsid w:val="000F199C"/>
    <w:rsid w:val="000F21DD"/>
    <w:rsid w:val="0010746D"/>
    <w:rsid w:val="00114DED"/>
    <w:rsid w:val="00130E00"/>
    <w:rsid w:val="00136DF7"/>
    <w:rsid w:val="00144676"/>
    <w:rsid w:val="00144B74"/>
    <w:rsid w:val="001467F6"/>
    <w:rsid w:val="00156FC1"/>
    <w:rsid w:val="00162862"/>
    <w:rsid w:val="0017095F"/>
    <w:rsid w:val="0017149C"/>
    <w:rsid w:val="00190628"/>
    <w:rsid w:val="001A0A62"/>
    <w:rsid w:val="001A38F9"/>
    <w:rsid w:val="001A5E2D"/>
    <w:rsid w:val="001A71E9"/>
    <w:rsid w:val="001C21C6"/>
    <w:rsid w:val="001D57F2"/>
    <w:rsid w:val="001D6020"/>
    <w:rsid w:val="001D62B8"/>
    <w:rsid w:val="001E59AD"/>
    <w:rsid w:val="00207F16"/>
    <w:rsid w:val="00210087"/>
    <w:rsid w:val="00212842"/>
    <w:rsid w:val="00223916"/>
    <w:rsid w:val="00241720"/>
    <w:rsid w:val="00246CBE"/>
    <w:rsid w:val="00250BE7"/>
    <w:rsid w:val="0027667E"/>
    <w:rsid w:val="0027684F"/>
    <w:rsid w:val="002774BD"/>
    <w:rsid w:val="0028429C"/>
    <w:rsid w:val="00287D86"/>
    <w:rsid w:val="002A1156"/>
    <w:rsid w:val="002B3198"/>
    <w:rsid w:val="002B3DD7"/>
    <w:rsid w:val="002C07F5"/>
    <w:rsid w:val="002C1648"/>
    <w:rsid w:val="002C35F9"/>
    <w:rsid w:val="002C5D83"/>
    <w:rsid w:val="002C75D6"/>
    <w:rsid w:val="002D486B"/>
    <w:rsid w:val="002D7C78"/>
    <w:rsid w:val="002E13DF"/>
    <w:rsid w:val="002F14CF"/>
    <w:rsid w:val="002F46F5"/>
    <w:rsid w:val="002F4E90"/>
    <w:rsid w:val="0030065F"/>
    <w:rsid w:val="00305892"/>
    <w:rsid w:val="00313BA6"/>
    <w:rsid w:val="00316180"/>
    <w:rsid w:val="00316C5F"/>
    <w:rsid w:val="00321313"/>
    <w:rsid w:val="00321E9F"/>
    <w:rsid w:val="00322FC7"/>
    <w:rsid w:val="00325B57"/>
    <w:rsid w:val="00333894"/>
    <w:rsid w:val="0033615F"/>
    <w:rsid w:val="00340CE3"/>
    <w:rsid w:val="00341B2E"/>
    <w:rsid w:val="0035349B"/>
    <w:rsid w:val="00353602"/>
    <w:rsid w:val="003537AB"/>
    <w:rsid w:val="00354B4D"/>
    <w:rsid w:val="00354EA8"/>
    <w:rsid w:val="003717FF"/>
    <w:rsid w:val="0038023A"/>
    <w:rsid w:val="003809BF"/>
    <w:rsid w:val="0038387E"/>
    <w:rsid w:val="003843DD"/>
    <w:rsid w:val="0039097D"/>
    <w:rsid w:val="00394219"/>
    <w:rsid w:val="003A100F"/>
    <w:rsid w:val="003A278C"/>
    <w:rsid w:val="003A2D27"/>
    <w:rsid w:val="003C77AE"/>
    <w:rsid w:val="003D1BC9"/>
    <w:rsid w:val="003D2AA0"/>
    <w:rsid w:val="003D2D39"/>
    <w:rsid w:val="003F3F17"/>
    <w:rsid w:val="004019B6"/>
    <w:rsid w:val="00403D9D"/>
    <w:rsid w:val="00405556"/>
    <w:rsid w:val="00407D95"/>
    <w:rsid w:val="004229E2"/>
    <w:rsid w:val="0042532C"/>
    <w:rsid w:val="00430266"/>
    <w:rsid w:val="00451275"/>
    <w:rsid w:val="00462CB0"/>
    <w:rsid w:val="00462FF7"/>
    <w:rsid w:val="00463898"/>
    <w:rsid w:val="004644B8"/>
    <w:rsid w:val="00471CB2"/>
    <w:rsid w:val="00475E15"/>
    <w:rsid w:val="00483904"/>
    <w:rsid w:val="00487E67"/>
    <w:rsid w:val="00492932"/>
    <w:rsid w:val="004A091F"/>
    <w:rsid w:val="004A143A"/>
    <w:rsid w:val="004A5595"/>
    <w:rsid w:val="004A589E"/>
    <w:rsid w:val="004B0252"/>
    <w:rsid w:val="004B0761"/>
    <w:rsid w:val="004B0A0E"/>
    <w:rsid w:val="004B3B0B"/>
    <w:rsid w:val="004B470F"/>
    <w:rsid w:val="004B474D"/>
    <w:rsid w:val="004B56EF"/>
    <w:rsid w:val="004B7474"/>
    <w:rsid w:val="004C0E6F"/>
    <w:rsid w:val="004C4667"/>
    <w:rsid w:val="004C5778"/>
    <w:rsid w:val="004C6B51"/>
    <w:rsid w:val="004D6728"/>
    <w:rsid w:val="004D6B27"/>
    <w:rsid w:val="004E4272"/>
    <w:rsid w:val="004E61FA"/>
    <w:rsid w:val="004E7D32"/>
    <w:rsid w:val="004F1E35"/>
    <w:rsid w:val="004F3472"/>
    <w:rsid w:val="004F63F4"/>
    <w:rsid w:val="00500EB2"/>
    <w:rsid w:val="00505921"/>
    <w:rsid w:val="00521CC6"/>
    <w:rsid w:val="00530626"/>
    <w:rsid w:val="00536342"/>
    <w:rsid w:val="005418B7"/>
    <w:rsid w:val="00560065"/>
    <w:rsid w:val="00560408"/>
    <w:rsid w:val="00563224"/>
    <w:rsid w:val="005701F9"/>
    <w:rsid w:val="00570489"/>
    <w:rsid w:val="005707E3"/>
    <w:rsid w:val="00573E20"/>
    <w:rsid w:val="00592AD5"/>
    <w:rsid w:val="00594777"/>
    <w:rsid w:val="005962FD"/>
    <w:rsid w:val="00596C56"/>
    <w:rsid w:val="005A2A57"/>
    <w:rsid w:val="005A3036"/>
    <w:rsid w:val="005B12FE"/>
    <w:rsid w:val="005B2761"/>
    <w:rsid w:val="005C62F1"/>
    <w:rsid w:val="005D41EA"/>
    <w:rsid w:val="005D6C79"/>
    <w:rsid w:val="005E0DC3"/>
    <w:rsid w:val="005E1349"/>
    <w:rsid w:val="005E1B3C"/>
    <w:rsid w:val="005E3CEC"/>
    <w:rsid w:val="005F41A9"/>
    <w:rsid w:val="005F7525"/>
    <w:rsid w:val="00602DBB"/>
    <w:rsid w:val="00612CA1"/>
    <w:rsid w:val="00614775"/>
    <w:rsid w:val="00614A23"/>
    <w:rsid w:val="00631CB4"/>
    <w:rsid w:val="00632951"/>
    <w:rsid w:val="006348CC"/>
    <w:rsid w:val="00641224"/>
    <w:rsid w:val="00644110"/>
    <w:rsid w:val="006557F0"/>
    <w:rsid w:val="00656EC3"/>
    <w:rsid w:val="00660AA1"/>
    <w:rsid w:val="00662C8D"/>
    <w:rsid w:val="00664477"/>
    <w:rsid w:val="00671A03"/>
    <w:rsid w:val="00671B42"/>
    <w:rsid w:val="006733E9"/>
    <w:rsid w:val="00674195"/>
    <w:rsid w:val="00674F68"/>
    <w:rsid w:val="0067585C"/>
    <w:rsid w:val="00681CE4"/>
    <w:rsid w:val="006852E2"/>
    <w:rsid w:val="00685B9A"/>
    <w:rsid w:val="0069034E"/>
    <w:rsid w:val="00693686"/>
    <w:rsid w:val="006961CD"/>
    <w:rsid w:val="006A578A"/>
    <w:rsid w:val="006A5FDA"/>
    <w:rsid w:val="006A685A"/>
    <w:rsid w:val="006B72C7"/>
    <w:rsid w:val="006B79F7"/>
    <w:rsid w:val="006C0A97"/>
    <w:rsid w:val="006C49D2"/>
    <w:rsid w:val="006C59AF"/>
    <w:rsid w:val="006C5D3B"/>
    <w:rsid w:val="006C6B04"/>
    <w:rsid w:val="006D4CBB"/>
    <w:rsid w:val="006D6A50"/>
    <w:rsid w:val="006E1CAF"/>
    <w:rsid w:val="006E2552"/>
    <w:rsid w:val="006E2ADD"/>
    <w:rsid w:val="006F243B"/>
    <w:rsid w:val="007051F5"/>
    <w:rsid w:val="007054EB"/>
    <w:rsid w:val="007103B8"/>
    <w:rsid w:val="00711263"/>
    <w:rsid w:val="00713968"/>
    <w:rsid w:val="0072013A"/>
    <w:rsid w:val="00730304"/>
    <w:rsid w:val="00731C63"/>
    <w:rsid w:val="00736361"/>
    <w:rsid w:val="007437D3"/>
    <w:rsid w:val="007517CA"/>
    <w:rsid w:val="00765953"/>
    <w:rsid w:val="00771927"/>
    <w:rsid w:val="00772251"/>
    <w:rsid w:val="007723F4"/>
    <w:rsid w:val="00772D28"/>
    <w:rsid w:val="00774264"/>
    <w:rsid w:val="007849C0"/>
    <w:rsid w:val="007849F5"/>
    <w:rsid w:val="00795B0C"/>
    <w:rsid w:val="00795BB2"/>
    <w:rsid w:val="007A056D"/>
    <w:rsid w:val="007C0B62"/>
    <w:rsid w:val="007C1181"/>
    <w:rsid w:val="007C3F55"/>
    <w:rsid w:val="007D10EE"/>
    <w:rsid w:val="007E7B45"/>
    <w:rsid w:val="007F08D9"/>
    <w:rsid w:val="007F2CA8"/>
    <w:rsid w:val="0080201E"/>
    <w:rsid w:val="00803046"/>
    <w:rsid w:val="008109DB"/>
    <w:rsid w:val="00814388"/>
    <w:rsid w:val="00832040"/>
    <w:rsid w:val="00865677"/>
    <w:rsid w:val="00880164"/>
    <w:rsid w:val="00886C67"/>
    <w:rsid w:val="00890299"/>
    <w:rsid w:val="008B21B5"/>
    <w:rsid w:val="008B23F3"/>
    <w:rsid w:val="008C1C03"/>
    <w:rsid w:val="008C703D"/>
    <w:rsid w:val="008D2E07"/>
    <w:rsid w:val="008E1BFD"/>
    <w:rsid w:val="008E2C5E"/>
    <w:rsid w:val="008E775C"/>
    <w:rsid w:val="008F379E"/>
    <w:rsid w:val="008F3C3F"/>
    <w:rsid w:val="008F56B3"/>
    <w:rsid w:val="008F65DC"/>
    <w:rsid w:val="0090201F"/>
    <w:rsid w:val="00906A98"/>
    <w:rsid w:val="00923DF0"/>
    <w:rsid w:val="00923F23"/>
    <w:rsid w:val="00930F9C"/>
    <w:rsid w:val="00935686"/>
    <w:rsid w:val="00937AB0"/>
    <w:rsid w:val="009427CB"/>
    <w:rsid w:val="00946B7A"/>
    <w:rsid w:val="00950599"/>
    <w:rsid w:val="00956353"/>
    <w:rsid w:val="00956F46"/>
    <w:rsid w:val="00976379"/>
    <w:rsid w:val="009947C7"/>
    <w:rsid w:val="009B0B24"/>
    <w:rsid w:val="009C2C30"/>
    <w:rsid w:val="009C7D0F"/>
    <w:rsid w:val="009D2800"/>
    <w:rsid w:val="009E3FA8"/>
    <w:rsid w:val="009E4237"/>
    <w:rsid w:val="009F0F8A"/>
    <w:rsid w:val="009F795E"/>
    <w:rsid w:val="00A02C06"/>
    <w:rsid w:val="00A15B1C"/>
    <w:rsid w:val="00A15CAB"/>
    <w:rsid w:val="00A20662"/>
    <w:rsid w:val="00A25B0C"/>
    <w:rsid w:val="00A27FD8"/>
    <w:rsid w:val="00A31478"/>
    <w:rsid w:val="00A408E8"/>
    <w:rsid w:val="00A43344"/>
    <w:rsid w:val="00A6131D"/>
    <w:rsid w:val="00A717FC"/>
    <w:rsid w:val="00A72D25"/>
    <w:rsid w:val="00A744AE"/>
    <w:rsid w:val="00A7583E"/>
    <w:rsid w:val="00A77EB0"/>
    <w:rsid w:val="00A92CE2"/>
    <w:rsid w:val="00A93DE2"/>
    <w:rsid w:val="00A97264"/>
    <w:rsid w:val="00AC010F"/>
    <w:rsid w:val="00AD17D7"/>
    <w:rsid w:val="00AD1C3B"/>
    <w:rsid w:val="00AD424F"/>
    <w:rsid w:val="00AD648A"/>
    <w:rsid w:val="00AD79C7"/>
    <w:rsid w:val="00AF0519"/>
    <w:rsid w:val="00AF07A2"/>
    <w:rsid w:val="00B25A19"/>
    <w:rsid w:val="00B413C8"/>
    <w:rsid w:val="00B42792"/>
    <w:rsid w:val="00B43F9A"/>
    <w:rsid w:val="00B5099D"/>
    <w:rsid w:val="00B56A78"/>
    <w:rsid w:val="00B56E88"/>
    <w:rsid w:val="00B574A7"/>
    <w:rsid w:val="00B66226"/>
    <w:rsid w:val="00B67147"/>
    <w:rsid w:val="00B84B9B"/>
    <w:rsid w:val="00B87DCC"/>
    <w:rsid w:val="00B92E25"/>
    <w:rsid w:val="00B94739"/>
    <w:rsid w:val="00B96D58"/>
    <w:rsid w:val="00BA0955"/>
    <w:rsid w:val="00BA3DF8"/>
    <w:rsid w:val="00BA6B26"/>
    <w:rsid w:val="00BD59AF"/>
    <w:rsid w:val="00BE78F9"/>
    <w:rsid w:val="00BF4820"/>
    <w:rsid w:val="00BF5FD6"/>
    <w:rsid w:val="00C040EC"/>
    <w:rsid w:val="00C20C21"/>
    <w:rsid w:val="00C25F3E"/>
    <w:rsid w:val="00C33406"/>
    <w:rsid w:val="00C33621"/>
    <w:rsid w:val="00C4031F"/>
    <w:rsid w:val="00C40385"/>
    <w:rsid w:val="00C452A6"/>
    <w:rsid w:val="00C52462"/>
    <w:rsid w:val="00C54668"/>
    <w:rsid w:val="00C55659"/>
    <w:rsid w:val="00C567CA"/>
    <w:rsid w:val="00C57FEF"/>
    <w:rsid w:val="00C64CAF"/>
    <w:rsid w:val="00C6771D"/>
    <w:rsid w:val="00C73815"/>
    <w:rsid w:val="00C73EC4"/>
    <w:rsid w:val="00CA73A8"/>
    <w:rsid w:val="00CA740B"/>
    <w:rsid w:val="00CB2B62"/>
    <w:rsid w:val="00CB5E62"/>
    <w:rsid w:val="00CB77D3"/>
    <w:rsid w:val="00CC38C4"/>
    <w:rsid w:val="00CC44D8"/>
    <w:rsid w:val="00CC7060"/>
    <w:rsid w:val="00CD03B2"/>
    <w:rsid w:val="00CD34B9"/>
    <w:rsid w:val="00CF1540"/>
    <w:rsid w:val="00CF30CF"/>
    <w:rsid w:val="00CF52AC"/>
    <w:rsid w:val="00D04974"/>
    <w:rsid w:val="00D17281"/>
    <w:rsid w:val="00D2181E"/>
    <w:rsid w:val="00D2378A"/>
    <w:rsid w:val="00D258DE"/>
    <w:rsid w:val="00D31CD2"/>
    <w:rsid w:val="00D33BE7"/>
    <w:rsid w:val="00D40F7D"/>
    <w:rsid w:val="00D4119A"/>
    <w:rsid w:val="00D44EB0"/>
    <w:rsid w:val="00D47454"/>
    <w:rsid w:val="00D55259"/>
    <w:rsid w:val="00D63479"/>
    <w:rsid w:val="00D740D5"/>
    <w:rsid w:val="00D77274"/>
    <w:rsid w:val="00D77991"/>
    <w:rsid w:val="00D812FF"/>
    <w:rsid w:val="00D87E70"/>
    <w:rsid w:val="00DB50D6"/>
    <w:rsid w:val="00DB639C"/>
    <w:rsid w:val="00DC00D9"/>
    <w:rsid w:val="00DC6395"/>
    <w:rsid w:val="00DD66DC"/>
    <w:rsid w:val="00DE095F"/>
    <w:rsid w:val="00DE1B44"/>
    <w:rsid w:val="00DE1CAC"/>
    <w:rsid w:val="00E114E8"/>
    <w:rsid w:val="00E1235F"/>
    <w:rsid w:val="00E12B2C"/>
    <w:rsid w:val="00E17FE9"/>
    <w:rsid w:val="00E20B2A"/>
    <w:rsid w:val="00E27712"/>
    <w:rsid w:val="00E27A7A"/>
    <w:rsid w:val="00E3460E"/>
    <w:rsid w:val="00E35D9A"/>
    <w:rsid w:val="00E65318"/>
    <w:rsid w:val="00E67403"/>
    <w:rsid w:val="00E729BF"/>
    <w:rsid w:val="00E874FA"/>
    <w:rsid w:val="00E91B1B"/>
    <w:rsid w:val="00EA3EC8"/>
    <w:rsid w:val="00EA5B2B"/>
    <w:rsid w:val="00EB06D2"/>
    <w:rsid w:val="00EB26B9"/>
    <w:rsid w:val="00EB30BE"/>
    <w:rsid w:val="00ED0462"/>
    <w:rsid w:val="00ED4AD6"/>
    <w:rsid w:val="00EF6758"/>
    <w:rsid w:val="00F11141"/>
    <w:rsid w:val="00F119E4"/>
    <w:rsid w:val="00F14EDC"/>
    <w:rsid w:val="00F15630"/>
    <w:rsid w:val="00F22BA2"/>
    <w:rsid w:val="00F2586D"/>
    <w:rsid w:val="00F37941"/>
    <w:rsid w:val="00F4769D"/>
    <w:rsid w:val="00F520DD"/>
    <w:rsid w:val="00F56374"/>
    <w:rsid w:val="00F57D86"/>
    <w:rsid w:val="00F66D5C"/>
    <w:rsid w:val="00F73066"/>
    <w:rsid w:val="00F75572"/>
    <w:rsid w:val="00F76122"/>
    <w:rsid w:val="00F837BC"/>
    <w:rsid w:val="00F95ADA"/>
    <w:rsid w:val="00F976A9"/>
    <w:rsid w:val="00FB06C1"/>
    <w:rsid w:val="00FD6968"/>
    <w:rsid w:val="00FE2091"/>
    <w:rsid w:val="01D2111E"/>
    <w:rsid w:val="07405779"/>
    <w:rsid w:val="09C742E3"/>
    <w:rsid w:val="0CCC28F4"/>
    <w:rsid w:val="0E881F42"/>
    <w:rsid w:val="131F5758"/>
    <w:rsid w:val="1609051B"/>
    <w:rsid w:val="1DD75C3E"/>
    <w:rsid w:val="1EA37FB2"/>
    <w:rsid w:val="1EB4196B"/>
    <w:rsid w:val="242B3FE6"/>
    <w:rsid w:val="26543DBB"/>
    <w:rsid w:val="28374829"/>
    <w:rsid w:val="28BE0D82"/>
    <w:rsid w:val="28EF6BFB"/>
    <w:rsid w:val="2F053068"/>
    <w:rsid w:val="30F143BD"/>
    <w:rsid w:val="331C52DA"/>
    <w:rsid w:val="35D90F52"/>
    <w:rsid w:val="4568309F"/>
    <w:rsid w:val="5513631F"/>
    <w:rsid w:val="5551642C"/>
    <w:rsid w:val="55C104FB"/>
    <w:rsid w:val="58C31959"/>
    <w:rsid w:val="5C36109E"/>
    <w:rsid w:val="5FE429DF"/>
    <w:rsid w:val="60515592"/>
    <w:rsid w:val="609A54E6"/>
    <w:rsid w:val="663B08B6"/>
    <w:rsid w:val="6E8B0E6C"/>
    <w:rsid w:val="70EC42C7"/>
    <w:rsid w:val="76C0427B"/>
    <w:rsid w:val="771E4D9F"/>
    <w:rsid w:val="7BE42B51"/>
    <w:rsid w:val="7FB70A21"/>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7208F23"/>
  <w15:docId w15:val="{71035EC4-57A1-4119-B3DC-E7E3E8972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31E9"/>
    <w:pPr>
      <w:spacing w:after="160" w:line="259" w:lineRule="auto"/>
    </w:pPr>
    <w:rPr>
      <w:sz w:val="22"/>
      <w:szCs w:val="22"/>
      <w:lang w:val="uk-UA" w:eastAsia="en-US"/>
    </w:rPr>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unhideWhenUsed/>
    <w:qFormat/>
    <w:pPr>
      <w:keepNext/>
      <w:keepLines/>
      <w:spacing w:before="200" w:after="0"/>
      <w:outlineLvl w:val="2"/>
    </w:pPr>
    <w:rPr>
      <w:rFonts w:asciiTheme="majorHAnsi" w:eastAsiaTheme="majorEastAsia" w:hAnsiTheme="majorHAnsi" w:cstheme="majorBidi"/>
      <w:b/>
      <w:bCs/>
      <w:color w:val="5B9BD5"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Pr>
      <w:i/>
      <w:iCs/>
    </w:rPr>
  </w:style>
  <w:style w:type="character" w:styleId="a4">
    <w:name w:val="Hyperlink"/>
    <w:basedOn w:val="a0"/>
    <w:uiPriority w:val="99"/>
    <w:unhideWhenUsed/>
    <w:qFormat/>
    <w:rPr>
      <w:color w:val="0563C1" w:themeColor="hyperlink"/>
      <w:u w:val="single"/>
    </w:rPr>
  </w:style>
  <w:style w:type="character" w:styleId="a5">
    <w:name w:val="Strong"/>
    <w:basedOn w:val="a0"/>
    <w:uiPriority w:val="22"/>
    <w:qFormat/>
    <w:rPr>
      <w:b/>
      <w:bCs/>
    </w:rPr>
  </w:style>
  <w:style w:type="paragraph" w:styleId="a6">
    <w:name w:val="Balloon Text"/>
    <w:basedOn w:val="a"/>
    <w:link w:val="a7"/>
    <w:uiPriority w:val="99"/>
    <w:semiHidden/>
    <w:unhideWhenUsed/>
    <w:pPr>
      <w:spacing w:after="0" w:line="240" w:lineRule="auto"/>
    </w:pPr>
    <w:rPr>
      <w:rFonts w:ascii="Tahoma" w:hAnsi="Tahoma" w:cs="Tahoma"/>
      <w:sz w:val="16"/>
      <w:szCs w:val="16"/>
    </w:rPr>
  </w:style>
  <w:style w:type="paragraph" w:styleId="a8">
    <w:name w:val="header"/>
    <w:basedOn w:val="a"/>
    <w:link w:val="a9"/>
    <w:uiPriority w:val="99"/>
    <w:unhideWhenUsed/>
    <w:qFormat/>
    <w:pPr>
      <w:tabs>
        <w:tab w:val="center" w:pos="4677"/>
        <w:tab w:val="right" w:pos="9355"/>
      </w:tabs>
      <w:spacing w:after="0" w:line="240" w:lineRule="auto"/>
    </w:pPr>
  </w:style>
  <w:style w:type="paragraph" w:styleId="aa">
    <w:name w:val="footer"/>
    <w:basedOn w:val="a"/>
    <w:link w:val="ab"/>
    <w:uiPriority w:val="99"/>
    <w:unhideWhenUsed/>
    <w:qFormat/>
    <w:pPr>
      <w:tabs>
        <w:tab w:val="center" w:pos="4677"/>
        <w:tab w:val="right" w:pos="9355"/>
      </w:tabs>
      <w:spacing w:after="0" w:line="240" w:lineRule="auto"/>
    </w:pPr>
  </w:style>
  <w:style w:type="paragraph" w:styleId="ac">
    <w:name w:val="Normal (Web)"/>
    <w:basedOn w:val="a"/>
    <w:uiPriority w:val="99"/>
    <w:unhideWhenUsed/>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d">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List Paragraph"/>
    <w:basedOn w:val="a"/>
    <w:link w:val="af"/>
    <w:qFormat/>
    <w:pPr>
      <w:ind w:left="720"/>
      <w:contextualSpacing/>
    </w:pPr>
  </w:style>
  <w:style w:type="character" w:customStyle="1" w:styleId="10">
    <w:name w:val="Заголовок 1 Знак"/>
    <w:basedOn w:val="a0"/>
    <w:link w:val="1"/>
    <w:uiPriority w:val="9"/>
    <w:qFormat/>
    <w:rPr>
      <w:rFonts w:asciiTheme="majorHAnsi" w:eastAsiaTheme="majorEastAsia" w:hAnsiTheme="majorHAnsi" w:cstheme="majorBidi"/>
      <w:color w:val="2E74B5" w:themeColor="accent1" w:themeShade="BF"/>
      <w:sz w:val="32"/>
      <w:szCs w:val="32"/>
    </w:rPr>
  </w:style>
  <w:style w:type="character" w:customStyle="1" w:styleId="a9">
    <w:name w:val="Верхний колонтитул Знак"/>
    <w:basedOn w:val="a0"/>
    <w:link w:val="a8"/>
    <w:uiPriority w:val="99"/>
  </w:style>
  <w:style w:type="character" w:customStyle="1" w:styleId="ab">
    <w:name w:val="Нижний колонтитул Знак"/>
    <w:basedOn w:val="a0"/>
    <w:link w:val="aa"/>
    <w:uiPriority w:val="99"/>
  </w:style>
  <w:style w:type="character" w:customStyle="1" w:styleId="a7">
    <w:name w:val="Текст выноски Знак"/>
    <w:basedOn w:val="a0"/>
    <w:link w:val="a6"/>
    <w:uiPriority w:val="99"/>
    <w:semiHidden/>
    <w:rPr>
      <w:rFonts w:ascii="Tahoma" w:hAnsi="Tahoma" w:cs="Tahoma"/>
      <w:sz w:val="16"/>
      <w:szCs w:val="16"/>
    </w:rPr>
  </w:style>
  <w:style w:type="character" w:customStyle="1" w:styleId="af">
    <w:name w:val="Абзац списка Знак"/>
    <w:link w:val="ae"/>
    <w:qFormat/>
  </w:style>
  <w:style w:type="character" w:customStyle="1" w:styleId="normaltextrun">
    <w:name w:val="normaltextrun"/>
    <w:basedOn w:val="a0"/>
    <w:qFormat/>
  </w:style>
  <w:style w:type="character" w:customStyle="1" w:styleId="20">
    <w:name w:val="Заголовок 2 Знак"/>
    <w:basedOn w:val="a0"/>
    <w:link w:val="2"/>
    <w:uiPriority w:val="9"/>
    <w:qFormat/>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Pr>
      <w:rFonts w:asciiTheme="majorHAnsi" w:eastAsiaTheme="majorEastAsia" w:hAnsiTheme="majorHAnsi" w:cstheme="majorBidi"/>
      <w:b/>
      <w:bCs/>
      <w:color w:val="5B9BD5" w:themeColor="accent1"/>
      <w:sz w:val="22"/>
      <w:szCs w:val="22"/>
      <w:lang w:val="uk-UA" w:eastAsia="en-US"/>
    </w:rPr>
  </w:style>
  <w:style w:type="character" w:customStyle="1" w:styleId="50">
    <w:name w:val="Заголовок 5 Знак"/>
    <w:basedOn w:val="a0"/>
    <w:link w:val="5"/>
    <w:uiPriority w:val="9"/>
    <w:semiHidden/>
    <w:rPr>
      <w:rFonts w:asciiTheme="majorHAnsi" w:eastAsiaTheme="majorEastAsia" w:hAnsiTheme="majorHAnsi" w:cstheme="majorBidi"/>
      <w:color w:val="1F4D78" w:themeColor="accent1" w:themeShade="7F"/>
      <w:sz w:val="22"/>
      <w:szCs w:val="22"/>
      <w:lang w:val="uk-UA" w:eastAsia="en-US"/>
    </w:rPr>
  </w:style>
  <w:style w:type="character" w:customStyle="1" w:styleId="60">
    <w:name w:val="Заголовок 6 Знак"/>
    <w:basedOn w:val="a0"/>
    <w:link w:val="6"/>
    <w:uiPriority w:val="9"/>
    <w:semiHidden/>
    <w:rPr>
      <w:rFonts w:asciiTheme="majorHAnsi" w:eastAsiaTheme="majorEastAsia" w:hAnsiTheme="majorHAnsi" w:cstheme="majorBidi"/>
      <w:i/>
      <w:iCs/>
      <w:color w:val="1F4D78" w:themeColor="accent1" w:themeShade="7F"/>
      <w:sz w:val="22"/>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hyperlink" Target="http://journals.khnu.km.ua/vestnik/?p=11561" TargetMode="External"/><Relationship Id="rId39" Type="http://schemas.openxmlformats.org/officeDocument/2006/relationships/hyperlink" Target="https://zakon.rada.gov.ua/laws/show/64/2022" TargetMode="External"/><Relationship Id="rId21" Type="http://schemas.openxmlformats.org/officeDocument/2006/relationships/hyperlink" Target="https://pro-consulting.ua/ua/" TargetMode="External"/><Relationship Id="rId34" Type="http://schemas.openxmlformats.org/officeDocument/2006/relationships/hyperlink" Target="http://dspace.onu.edu.ua:8080/handle/123456789/29900" TargetMode="External"/><Relationship Id="rId42" Type="http://schemas.openxmlformats.org/officeDocument/2006/relationships/hyperlink" Target="https://zakon.rada.gov.ua/laws/show/2404-17" TargetMode="External"/><Relationship Id="rId47" Type="http://schemas.openxmlformats.org/officeDocument/2006/relationships/hyperlink" Target="https://moz.gov.ua/uk/informacijnij-prostir-sistemi-krovi" TargetMode="External"/><Relationship Id="rId50" Type="http://schemas.openxmlformats.org/officeDocument/2006/relationships/hyperlink" Target="https://check-eye.com/uk/" TargetMode="External"/><Relationship Id="rId55" Type="http://schemas.openxmlformats.org/officeDocument/2006/relationships/image" Target="media/image4.pn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Layout" Target="diagrams/layout2.xml"/><Relationship Id="rId29" Type="http://schemas.openxmlformats.org/officeDocument/2006/relationships/hyperlink" Target="https://doi.org/10.32782/2524-0072/2024-64-56" TargetMode="External"/><Relationship Id="rId11" Type="http://schemas.openxmlformats.org/officeDocument/2006/relationships/diagramLayout" Target="diagrams/layout1.xml"/><Relationship Id="rId24" Type="http://schemas.openxmlformats.org/officeDocument/2006/relationships/hyperlink" Target="https://kpmg.com/ua/uk/home/insights/2024/09/2023-transparency-report.html" TargetMode="External"/><Relationship Id="rId32" Type="http://schemas.openxmlformats.org/officeDocument/2006/relationships/hyperlink" Target="https://www.nszu.gov.ua/novini/dashbordinszu-vidkriti-dani-120" TargetMode="External"/><Relationship Id="rId37" Type="http://schemas.openxmlformats.org/officeDocument/2006/relationships/hyperlink" Target="http://euinfocenter.rada.gov.ua/uploads/documents/29185.pdf" TargetMode="External"/><Relationship Id="rId40" Type="http://schemas.openxmlformats.org/officeDocument/2006/relationships/hyperlink" Target="https://moz.gov.ua/uk/decrees/nakaz-moz-ukraini-vid-24022022--374-pro-zatverdzhennja-timchasovih-zahodiv-u-zakladah-ohoroni-zdorov%E2%80%99ja-z-metoju-zabezpechennja-ih-gotovnosti-dlja-nadannja-medichnoi-dopomogi-postrazhdalim-vnaslidok-vijskovoi-agresii-rosijskoi" TargetMode="External"/><Relationship Id="rId45" Type="http://schemas.openxmlformats.org/officeDocument/2006/relationships/hyperlink" Target="https://digitalstate.gov.ua/uk/projects/govtech/diia-engine" TargetMode="External"/><Relationship Id="rId53" Type="http://schemas.openxmlformats.org/officeDocument/2006/relationships/hyperlink" Target="https://www.wsj.com/topics/place/ukraine" TargetMode="External"/><Relationship Id="rId58" Type="http://schemas.openxmlformats.org/officeDocument/2006/relationships/image" Target="media/image7.png"/><Relationship Id="rId5" Type="http://schemas.openxmlformats.org/officeDocument/2006/relationships/settings" Target="settings.xml"/><Relationship Id="rId61" Type="http://schemas.openxmlformats.org/officeDocument/2006/relationships/theme" Target="theme/theme1.xml"/><Relationship Id="rId19" Type="http://schemas.microsoft.com/office/2007/relationships/diagramDrawing" Target="diagrams/drawing2.xml"/><Relationship Id="rId14" Type="http://schemas.microsoft.com/office/2007/relationships/diagramDrawing" Target="diagrams/drawing1.xml"/><Relationship Id="rId22" Type="http://schemas.openxmlformats.org/officeDocument/2006/relationships/hyperlink" Target="https://www.pwc.com/ua/uk/survey/2024/ai-predictions.html" TargetMode="External"/><Relationship Id="rId27" Type="http://schemas.openxmlformats.org/officeDocument/2006/relationships/hyperlink" Target="http://www.pubadm.vernadskyjournals.in.ua/journals/2022/3_2022/19.pdf" TargetMode="External"/><Relationship Id="rId30" Type="http://schemas.openxmlformats.org/officeDocument/2006/relationships/hyperlink" Target="https://doi.org/10.18524/2413-9998.2021.3(49).266244" TargetMode="External"/><Relationship Id="rId35" Type="http://schemas.openxmlformats.org/officeDocument/2006/relationships/hyperlink" Target="https://zakon.rada.gov.ua/laws/show/z0892-02" TargetMode="External"/><Relationship Id="rId43" Type="http://schemas.openxmlformats.org/officeDocument/2006/relationships/hyperlink" Target="https://reform.helsi.me/" TargetMode="External"/><Relationship Id="rId48" Type="http://schemas.openxmlformats.org/officeDocument/2006/relationships/hyperlink" Target="https://doi.org/10.32782/2524-0072/2025-71-116" TargetMode="External"/><Relationship Id="rId56" Type="http://schemas.openxmlformats.org/officeDocument/2006/relationships/image" Target="media/image5.png"/><Relationship Id="rId8" Type="http://schemas.openxmlformats.org/officeDocument/2006/relationships/endnotes" Target="endnotes.xml"/><Relationship Id="rId51" Type="http://schemas.openxmlformats.org/officeDocument/2006/relationships/hyperlink" Target="https://www.ifc.org/content/dam/ifc/doc/mgrt/cpsd-ukraine-exesummary.pdf" TargetMode="External"/><Relationship Id="rId3" Type="http://schemas.openxmlformats.org/officeDocument/2006/relationships/numbering" Target="numbering.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hyperlink" Target="https://moz.gov.ua/uk/elektronna-sistema-epidemiologichnogo-naglyadu-esen" TargetMode="External"/><Relationship Id="rId33" Type="http://schemas.openxmlformats.org/officeDocument/2006/relationships/hyperlink" Target="https://zakon.rada.gov.ua/laws/show/2801-12" TargetMode="External"/><Relationship Id="rId38" Type="http://schemas.openxmlformats.org/officeDocument/2006/relationships/hyperlink" Target="https://zakon.rada.gov.ua/laws/show/z0258-95" TargetMode="External"/><Relationship Id="rId46" Type="http://schemas.openxmlformats.org/officeDocument/2006/relationships/hyperlink" Target="https://doi.org/10.32782/2524-0072/2023-55-104" TargetMode="External"/><Relationship Id="rId59" Type="http://schemas.openxmlformats.org/officeDocument/2006/relationships/header" Target="header1.xml"/><Relationship Id="rId20" Type="http://schemas.openxmlformats.org/officeDocument/2006/relationships/image" Target="media/image2.jpeg"/><Relationship Id="rId41" Type="http://schemas.openxmlformats.org/officeDocument/2006/relationships/hyperlink" Target="https://zakon.rada.gov.ua/laws/show/4510-20" TargetMode="External"/><Relationship Id="rId54"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hyperlink" Target="http://www.economy.nayka.com.ua/pdf/7_2020/74.pdf" TargetMode="External"/><Relationship Id="rId28" Type="http://schemas.openxmlformats.org/officeDocument/2006/relationships/hyperlink" Target="https://doi.org/10.54929/2786-5746-2025-16-02-20" TargetMode="External"/><Relationship Id="rId36" Type="http://schemas.openxmlformats.org/officeDocument/2006/relationships/hyperlink" Target="https://zakon.rada.gov.ua/laws/show/z0719-18" TargetMode="External"/><Relationship Id="rId49" Type="http://schemas.openxmlformats.org/officeDocument/2006/relationships/hyperlink" Target="http://dx.doi.org/10.46852/0424-2513.4s.2022.18" TargetMode="External"/><Relationship Id="rId57" Type="http://schemas.openxmlformats.org/officeDocument/2006/relationships/image" Target="media/image6.png"/><Relationship Id="rId10" Type="http://schemas.openxmlformats.org/officeDocument/2006/relationships/diagramData" Target="diagrams/data1.xml"/><Relationship Id="rId31" Type="http://schemas.openxmlformats.org/officeDocument/2006/relationships/hyperlink" Target="https://doi.org/10.32702/2307-2156-2020.9.58" TargetMode="External"/><Relationship Id="rId44" Type="http://schemas.openxmlformats.org/officeDocument/2006/relationships/hyperlink" Target="https://asapio.com/consulting/?gad_source=1&amp;gad_campaignid=14756037241&amp;gbraid=0AAAAADt38pmMwO3xe-n_eOc2q1OjKC_8b&amp;gclid=EAIaIQobChMIjfHOlfmHkQMVLwgGAB3pZQ5lEAAYASAAEgIwNPD_BwE" TargetMode="External"/><Relationship Id="rId52" Type="http://schemas.openxmlformats.org/officeDocument/2006/relationships/hyperlink" Target="https://www.globenewswire.com/"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A1D832DB-0C8A-4C42-821A-FB86AF3BB606}" type="doc">
      <dgm:prSet loTypeId="urn:microsoft.com/office/officeart/2005/8/layout/hierarchy3#1" loCatId="list" qsTypeId="urn:microsoft.com/office/officeart/2005/8/quickstyle/simple1#1" qsCatId="simple" csTypeId="urn:microsoft.com/office/officeart/2005/8/colors/accent1_2#1" csCatId="accent1" phldr="1"/>
      <dgm:spPr/>
      <dgm:t>
        <a:bodyPr/>
        <a:lstStyle/>
        <a:p>
          <a:endParaRPr lang="ru-RU"/>
        </a:p>
      </dgm:t>
    </dgm:pt>
    <dgm:pt modelId="{5AEFB0D8-0B75-4C0C-B4D5-864CD47BF844}">
      <dgm:prSet phldrT="[Текст]" custT="1"/>
      <dgm:spPr/>
      <dgm:t>
        <a:bodyPr/>
        <a:lstStyle/>
        <a:p>
          <a:r>
            <a:rPr lang="ru-RU" sz="1600" b="1">
              <a:latin typeface="Times New Roman" panose="02020603050405020304" charset="0"/>
              <a:cs typeface="Times New Roman" panose="02020603050405020304" charset="0"/>
            </a:rPr>
            <a:t>Кластерний заклад охорони здоров'я</a:t>
          </a:r>
        </a:p>
      </dgm:t>
    </dgm:pt>
    <dgm:pt modelId="{66374C43-4F04-4339-A98F-1DF25A24CD51}" type="parTrans" cxnId="{EBEA3C4A-27BD-40A3-87D0-217582FDCB90}">
      <dgm:prSet/>
      <dgm:spPr/>
      <dgm:t>
        <a:bodyPr/>
        <a:lstStyle/>
        <a:p>
          <a:endParaRPr lang="ru-RU"/>
        </a:p>
      </dgm:t>
    </dgm:pt>
    <dgm:pt modelId="{C90BF6C5-F76D-43BD-8E9F-8A99E868E15C}" type="sibTrans" cxnId="{EBEA3C4A-27BD-40A3-87D0-217582FDCB90}">
      <dgm:prSet/>
      <dgm:spPr/>
      <dgm:t>
        <a:bodyPr/>
        <a:lstStyle/>
        <a:p>
          <a:endParaRPr lang="ru-RU"/>
        </a:p>
      </dgm:t>
    </dgm:pt>
    <dgm:pt modelId="{05079538-2197-4F7C-A6E4-6F05E5E00865}">
      <dgm:prSet phldrT="[Текст]" custT="1"/>
      <dgm:spPr/>
      <dgm:t>
        <a:bodyPr/>
        <a:lstStyle/>
        <a:p>
          <a:r>
            <a:rPr lang="ru-RU" sz="1400">
              <a:latin typeface="Times New Roman" panose="02020603050405020304" charset="0"/>
              <a:cs typeface="Times New Roman" panose="02020603050405020304" charset="0"/>
            </a:rPr>
            <a:t>Багато-профільний лікарняний заклад</a:t>
          </a:r>
        </a:p>
      </dgm:t>
    </dgm:pt>
    <dgm:pt modelId="{F57CE46F-30DD-4F3E-8D8F-02F8495CCAA1}" type="parTrans" cxnId="{2D1431B1-195F-489F-ACD6-211C06265235}">
      <dgm:prSet/>
      <dgm:spPr/>
      <dgm:t>
        <a:bodyPr/>
        <a:lstStyle/>
        <a:p>
          <a:endParaRPr lang="ru-RU"/>
        </a:p>
      </dgm:t>
    </dgm:pt>
    <dgm:pt modelId="{441CD09F-5A12-4D41-9940-58A47D4B4FD9}" type="sibTrans" cxnId="{2D1431B1-195F-489F-ACD6-211C06265235}">
      <dgm:prSet/>
      <dgm:spPr/>
      <dgm:t>
        <a:bodyPr/>
        <a:lstStyle/>
        <a:p>
          <a:endParaRPr lang="ru-RU"/>
        </a:p>
      </dgm:t>
    </dgm:pt>
    <dgm:pt modelId="{D3458D03-4C77-41C4-8F5C-ED1F338F49E1}">
      <dgm:prSet phldrT="[Текст]" custT="1"/>
      <dgm:spPr/>
      <dgm:t>
        <a:bodyPr/>
        <a:lstStyle/>
        <a:p>
          <a:r>
            <a:rPr lang="ru-RU" sz="1400">
              <a:latin typeface="Times New Roman" panose="02020603050405020304" charset="0"/>
              <a:cs typeface="Times New Roman" panose="02020603050405020304" charset="0"/>
            </a:rPr>
            <a:t>Стаціонарні умови</a:t>
          </a:r>
        </a:p>
      </dgm:t>
    </dgm:pt>
    <dgm:pt modelId="{E021410D-4F95-4FF9-8849-7993FE379411}" type="parTrans" cxnId="{995A2C4A-DC1C-4A95-B2C6-38ABF502E929}">
      <dgm:prSet/>
      <dgm:spPr/>
      <dgm:t>
        <a:bodyPr/>
        <a:lstStyle/>
        <a:p>
          <a:endParaRPr lang="ru-RU"/>
        </a:p>
      </dgm:t>
    </dgm:pt>
    <dgm:pt modelId="{88AE1427-CAA5-45AD-A14B-FDE0DABA1B97}" type="sibTrans" cxnId="{995A2C4A-DC1C-4A95-B2C6-38ABF502E929}">
      <dgm:prSet/>
      <dgm:spPr/>
      <dgm:t>
        <a:bodyPr/>
        <a:lstStyle/>
        <a:p>
          <a:endParaRPr lang="ru-RU"/>
        </a:p>
      </dgm:t>
    </dgm:pt>
    <dgm:pt modelId="{1B1E409D-C884-40D9-9D64-120EB52DC563}">
      <dgm:prSet phldrT="[Текст]" custT="1"/>
      <dgm:spPr/>
      <dgm:t>
        <a:bodyPr/>
        <a:lstStyle/>
        <a:p>
          <a:r>
            <a:rPr lang="ru-RU" sz="1600" b="1">
              <a:latin typeface="Times New Roman" panose="02020603050405020304" charset="0"/>
              <a:cs typeface="Times New Roman" panose="02020603050405020304" charset="0"/>
            </a:rPr>
            <a:t>Надкластерний заклад охорони здоров'я</a:t>
          </a:r>
        </a:p>
      </dgm:t>
    </dgm:pt>
    <dgm:pt modelId="{F11F4FF3-E315-4EAB-BE81-B09E23DF1031}" type="parTrans" cxnId="{D6E88031-5F43-4BCD-B155-C0C84A38EBAB}">
      <dgm:prSet/>
      <dgm:spPr/>
      <dgm:t>
        <a:bodyPr/>
        <a:lstStyle/>
        <a:p>
          <a:endParaRPr lang="ru-RU"/>
        </a:p>
      </dgm:t>
    </dgm:pt>
    <dgm:pt modelId="{1F49832A-303C-4173-A2C9-A81C3653AE7F}" type="sibTrans" cxnId="{D6E88031-5F43-4BCD-B155-C0C84A38EBAB}">
      <dgm:prSet/>
      <dgm:spPr/>
      <dgm:t>
        <a:bodyPr/>
        <a:lstStyle/>
        <a:p>
          <a:endParaRPr lang="ru-RU"/>
        </a:p>
      </dgm:t>
    </dgm:pt>
    <dgm:pt modelId="{2A2408F7-5F0F-4BE1-BC25-02A414B7B2E7}">
      <dgm:prSet phldrT="[Текст]" custT="1"/>
      <dgm:spPr/>
      <dgm:t>
        <a:bodyPr/>
        <a:lstStyle/>
        <a:p>
          <a:r>
            <a:rPr lang="ru-RU" sz="1400">
              <a:latin typeface="Times New Roman" panose="02020603050405020304" charset="0"/>
              <a:cs typeface="Times New Roman" panose="02020603050405020304" charset="0"/>
            </a:rPr>
            <a:t>Багато-профільний лікарняний заклад</a:t>
          </a:r>
        </a:p>
      </dgm:t>
    </dgm:pt>
    <dgm:pt modelId="{D22C7CE5-A344-4C43-8B45-9DD7369C6790}" type="parTrans" cxnId="{0E5312ED-22C8-4007-8500-469693229D3F}">
      <dgm:prSet/>
      <dgm:spPr/>
      <dgm:t>
        <a:bodyPr/>
        <a:lstStyle/>
        <a:p>
          <a:endParaRPr lang="ru-RU"/>
        </a:p>
      </dgm:t>
    </dgm:pt>
    <dgm:pt modelId="{32882763-8DA1-4D85-935A-F562FDBAD0C4}" type="sibTrans" cxnId="{0E5312ED-22C8-4007-8500-469693229D3F}">
      <dgm:prSet/>
      <dgm:spPr/>
      <dgm:t>
        <a:bodyPr/>
        <a:lstStyle/>
        <a:p>
          <a:endParaRPr lang="ru-RU"/>
        </a:p>
      </dgm:t>
    </dgm:pt>
    <dgm:pt modelId="{A9CB3442-9357-43AE-BBD3-16EEC1FE7629}">
      <dgm:prSet phldrT="[Текст]" custT="1"/>
      <dgm:spPr/>
      <dgm:t>
        <a:bodyPr/>
        <a:lstStyle/>
        <a:p>
          <a:r>
            <a:rPr lang="ru-RU" sz="1400">
              <a:latin typeface="Times New Roman" panose="02020603050405020304" charset="0"/>
              <a:cs typeface="Times New Roman" panose="02020603050405020304" charset="0"/>
            </a:rPr>
            <a:t>Наявні ресурси та технології</a:t>
          </a:r>
        </a:p>
      </dgm:t>
    </dgm:pt>
    <dgm:pt modelId="{D2264522-D739-4BCA-8CAD-DF0165D64381}" type="parTrans" cxnId="{E4F32A5F-A4C0-411F-AD2E-AF4336F0F218}">
      <dgm:prSet/>
      <dgm:spPr/>
      <dgm:t>
        <a:bodyPr/>
        <a:lstStyle/>
        <a:p>
          <a:endParaRPr lang="ru-RU"/>
        </a:p>
      </dgm:t>
    </dgm:pt>
    <dgm:pt modelId="{31FDE6C1-49E8-4DB6-A827-1F6445677F3E}" type="sibTrans" cxnId="{E4F32A5F-A4C0-411F-AD2E-AF4336F0F218}">
      <dgm:prSet/>
      <dgm:spPr/>
      <dgm:t>
        <a:bodyPr/>
        <a:lstStyle/>
        <a:p>
          <a:endParaRPr lang="ru-RU"/>
        </a:p>
      </dgm:t>
    </dgm:pt>
    <dgm:pt modelId="{B6D670F3-7F68-4B4B-BF17-F3B1A1DC9C5B}">
      <dgm:prSet custT="1"/>
      <dgm:spPr/>
      <dgm:t>
        <a:bodyPr/>
        <a:lstStyle/>
        <a:p>
          <a:r>
            <a:rPr lang="ru-RU" sz="1400">
              <a:latin typeface="Times New Roman" panose="02020603050405020304" charset="0"/>
              <a:cs typeface="Times New Roman" panose="02020603050405020304" charset="0"/>
            </a:rPr>
            <a:t>Найпоширеніші захворювання</a:t>
          </a:r>
        </a:p>
      </dgm:t>
    </dgm:pt>
    <dgm:pt modelId="{D0B12958-4399-4628-A04E-4348D04EF147}" type="parTrans" cxnId="{D92311D5-248C-40B5-AD47-76041019608A}">
      <dgm:prSet/>
      <dgm:spPr/>
      <dgm:t>
        <a:bodyPr/>
        <a:lstStyle/>
        <a:p>
          <a:endParaRPr lang="ru-RU"/>
        </a:p>
      </dgm:t>
    </dgm:pt>
    <dgm:pt modelId="{6558DFE7-4A37-43F6-A470-98489F277DED}" type="sibTrans" cxnId="{D92311D5-248C-40B5-AD47-76041019608A}">
      <dgm:prSet/>
      <dgm:spPr/>
      <dgm:t>
        <a:bodyPr/>
        <a:lstStyle/>
        <a:p>
          <a:endParaRPr lang="ru-RU"/>
        </a:p>
      </dgm:t>
    </dgm:pt>
    <dgm:pt modelId="{4781027A-2FAB-44F4-8AB6-26A6204F9E78}">
      <dgm:prSet custT="1"/>
      <dgm:spPr/>
      <dgm:t>
        <a:bodyPr/>
        <a:lstStyle/>
        <a:p>
          <a:r>
            <a:rPr lang="ru-RU" sz="1400">
              <a:latin typeface="Times New Roman" panose="02020603050405020304" charset="0"/>
              <a:cs typeface="Times New Roman" panose="02020603050405020304" charset="0"/>
            </a:rPr>
            <a:t>Стаціонарні умови</a:t>
          </a:r>
        </a:p>
      </dgm:t>
    </dgm:pt>
    <dgm:pt modelId="{312D5FD6-3D7B-4EFF-BFF0-ED7EAE7BE356}" type="parTrans" cxnId="{12AFC1CC-B5EF-4A62-8327-B6EDAA4579C9}">
      <dgm:prSet/>
      <dgm:spPr/>
      <dgm:t>
        <a:bodyPr/>
        <a:lstStyle/>
        <a:p>
          <a:endParaRPr lang="ru-RU"/>
        </a:p>
      </dgm:t>
    </dgm:pt>
    <dgm:pt modelId="{A50585B9-753E-41BE-9D5E-0EB5ED53C6A2}" type="sibTrans" cxnId="{12AFC1CC-B5EF-4A62-8327-B6EDAA4579C9}">
      <dgm:prSet/>
      <dgm:spPr/>
      <dgm:t>
        <a:bodyPr/>
        <a:lstStyle/>
        <a:p>
          <a:endParaRPr lang="ru-RU"/>
        </a:p>
      </dgm:t>
    </dgm:pt>
    <dgm:pt modelId="{25C26EB3-4B1D-4057-8F3B-AC370EFD87A2}">
      <dgm:prSet custT="1"/>
      <dgm:spPr/>
      <dgm:t>
        <a:bodyPr/>
        <a:lstStyle/>
        <a:p>
          <a:r>
            <a:rPr lang="ru-RU" sz="1400">
              <a:latin typeface="Times New Roman" panose="02020603050405020304" charset="0"/>
              <a:cs typeface="Times New Roman" panose="02020603050405020304" charset="0"/>
            </a:rPr>
            <a:t>Складні випадки захворювань пацієнтів</a:t>
          </a:r>
        </a:p>
      </dgm:t>
    </dgm:pt>
    <dgm:pt modelId="{C4DB57F5-EE2C-4683-B99C-8B11063771E7}" type="parTrans" cxnId="{A2E89291-A286-4DE6-BF3C-8CC727C93658}">
      <dgm:prSet/>
      <dgm:spPr/>
      <dgm:t>
        <a:bodyPr/>
        <a:lstStyle/>
        <a:p>
          <a:endParaRPr lang="ru-RU"/>
        </a:p>
      </dgm:t>
    </dgm:pt>
    <dgm:pt modelId="{92F8B340-BBDC-4AA7-BB9E-BC6A3FA29769}" type="sibTrans" cxnId="{A2E89291-A286-4DE6-BF3C-8CC727C93658}">
      <dgm:prSet/>
      <dgm:spPr/>
      <dgm:t>
        <a:bodyPr/>
        <a:lstStyle/>
        <a:p>
          <a:endParaRPr lang="ru-RU"/>
        </a:p>
      </dgm:t>
    </dgm:pt>
    <dgm:pt modelId="{5F07BACB-01BE-41A8-BA00-3D11272915BE}" type="pres">
      <dgm:prSet presAssocID="{A1D832DB-0C8A-4C42-821A-FB86AF3BB606}" presName="diagram" presStyleCnt="0">
        <dgm:presLayoutVars>
          <dgm:chPref val="1"/>
          <dgm:dir/>
          <dgm:animOne val="branch"/>
          <dgm:animLvl val="lvl"/>
          <dgm:resizeHandles/>
        </dgm:presLayoutVars>
      </dgm:prSet>
      <dgm:spPr/>
    </dgm:pt>
    <dgm:pt modelId="{D056BDED-A892-4E5E-BFD1-7F06B66E875F}" type="pres">
      <dgm:prSet presAssocID="{5AEFB0D8-0B75-4C0C-B4D5-864CD47BF844}" presName="root" presStyleCnt="0"/>
      <dgm:spPr/>
    </dgm:pt>
    <dgm:pt modelId="{3D9F7444-CBE8-4122-89D3-D45B08C8415E}" type="pres">
      <dgm:prSet presAssocID="{5AEFB0D8-0B75-4C0C-B4D5-864CD47BF844}" presName="rootComposite" presStyleCnt="0"/>
      <dgm:spPr/>
    </dgm:pt>
    <dgm:pt modelId="{53318034-71BD-481D-80EB-2E49835EF9C2}" type="pres">
      <dgm:prSet presAssocID="{5AEFB0D8-0B75-4C0C-B4D5-864CD47BF844}" presName="rootText" presStyleLbl="node1" presStyleIdx="0" presStyleCnt="2"/>
      <dgm:spPr/>
    </dgm:pt>
    <dgm:pt modelId="{B51ECBBF-5582-458C-9AF8-8E060C5D2E86}" type="pres">
      <dgm:prSet presAssocID="{5AEFB0D8-0B75-4C0C-B4D5-864CD47BF844}" presName="rootConnector" presStyleLbl="node1" presStyleIdx="0" presStyleCnt="2"/>
      <dgm:spPr/>
    </dgm:pt>
    <dgm:pt modelId="{331AC561-6CDA-4E91-B6A2-4DAAA38FCF32}" type="pres">
      <dgm:prSet presAssocID="{5AEFB0D8-0B75-4C0C-B4D5-864CD47BF844}" presName="childShape" presStyleCnt="0"/>
      <dgm:spPr/>
    </dgm:pt>
    <dgm:pt modelId="{19473818-CFFE-42C5-9A9E-55A337D2F3CE}" type="pres">
      <dgm:prSet presAssocID="{F57CE46F-30DD-4F3E-8D8F-02F8495CCAA1}" presName="Name13" presStyleLbl="parChTrans1D2" presStyleIdx="0" presStyleCnt="7"/>
      <dgm:spPr/>
    </dgm:pt>
    <dgm:pt modelId="{F1BD3FC1-CB7B-4FF2-BD7B-0E2B82010C4D}" type="pres">
      <dgm:prSet presAssocID="{05079538-2197-4F7C-A6E4-6F05E5E00865}" presName="childText" presStyleLbl="bgAcc1" presStyleIdx="0" presStyleCnt="7">
        <dgm:presLayoutVars>
          <dgm:bulletEnabled val="1"/>
        </dgm:presLayoutVars>
      </dgm:prSet>
      <dgm:spPr/>
    </dgm:pt>
    <dgm:pt modelId="{C5558A96-B072-47AF-A924-466FCEA9F7DD}" type="pres">
      <dgm:prSet presAssocID="{D0B12958-4399-4628-A04E-4348D04EF147}" presName="Name13" presStyleLbl="parChTrans1D2" presStyleIdx="1" presStyleCnt="7"/>
      <dgm:spPr/>
    </dgm:pt>
    <dgm:pt modelId="{B1B95A8A-773B-4E89-804C-D5CA92E6D915}" type="pres">
      <dgm:prSet presAssocID="{B6D670F3-7F68-4B4B-BF17-F3B1A1DC9C5B}" presName="childText" presStyleLbl="bgAcc1" presStyleIdx="1" presStyleCnt="7">
        <dgm:presLayoutVars>
          <dgm:bulletEnabled val="1"/>
        </dgm:presLayoutVars>
      </dgm:prSet>
      <dgm:spPr/>
    </dgm:pt>
    <dgm:pt modelId="{7DC637E0-1610-4282-A270-1460A8B6A685}" type="pres">
      <dgm:prSet presAssocID="{E021410D-4F95-4FF9-8849-7993FE379411}" presName="Name13" presStyleLbl="parChTrans1D2" presStyleIdx="2" presStyleCnt="7"/>
      <dgm:spPr/>
    </dgm:pt>
    <dgm:pt modelId="{AFB7972B-E8E1-4BDD-B839-C21D2D490130}" type="pres">
      <dgm:prSet presAssocID="{D3458D03-4C77-41C4-8F5C-ED1F338F49E1}" presName="childText" presStyleLbl="bgAcc1" presStyleIdx="2" presStyleCnt="7">
        <dgm:presLayoutVars>
          <dgm:bulletEnabled val="1"/>
        </dgm:presLayoutVars>
      </dgm:prSet>
      <dgm:spPr/>
    </dgm:pt>
    <dgm:pt modelId="{CB091EBB-6683-4474-880E-9D318BC83AF3}" type="pres">
      <dgm:prSet presAssocID="{1B1E409D-C884-40D9-9D64-120EB52DC563}" presName="root" presStyleCnt="0"/>
      <dgm:spPr/>
    </dgm:pt>
    <dgm:pt modelId="{24ECECE1-7057-4E53-849D-D48D6624EE41}" type="pres">
      <dgm:prSet presAssocID="{1B1E409D-C884-40D9-9D64-120EB52DC563}" presName="rootComposite" presStyleCnt="0"/>
      <dgm:spPr/>
    </dgm:pt>
    <dgm:pt modelId="{A8E27111-6AF4-4DFC-A3F2-ECCD3862ABF0}" type="pres">
      <dgm:prSet presAssocID="{1B1E409D-C884-40D9-9D64-120EB52DC563}" presName="rootText" presStyleLbl="node1" presStyleIdx="1" presStyleCnt="2"/>
      <dgm:spPr/>
    </dgm:pt>
    <dgm:pt modelId="{9FC143E8-9D31-4A62-AF25-308196BCB741}" type="pres">
      <dgm:prSet presAssocID="{1B1E409D-C884-40D9-9D64-120EB52DC563}" presName="rootConnector" presStyleLbl="node1" presStyleIdx="1" presStyleCnt="2"/>
      <dgm:spPr/>
    </dgm:pt>
    <dgm:pt modelId="{B66D4290-E729-4672-8D7E-BB6FC52CDF9D}" type="pres">
      <dgm:prSet presAssocID="{1B1E409D-C884-40D9-9D64-120EB52DC563}" presName="childShape" presStyleCnt="0"/>
      <dgm:spPr/>
    </dgm:pt>
    <dgm:pt modelId="{168F0097-6C9B-4947-9E90-A976A5B0C285}" type="pres">
      <dgm:prSet presAssocID="{D22C7CE5-A344-4C43-8B45-9DD7369C6790}" presName="Name13" presStyleLbl="parChTrans1D2" presStyleIdx="3" presStyleCnt="7"/>
      <dgm:spPr/>
    </dgm:pt>
    <dgm:pt modelId="{45C60356-8A20-44DF-9FCD-549EF7FD0473}" type="pres">
      <dgm:prSet presAssocID="{2A2408F7-5F0F-4BE1-BC25-02A414B7B2E7}" presName="childText" presStyleLbl="bgAcc1" presStyleIdx="3" presStyleCnt="7">
        <dgm:presLayoutVars>
          <dgm:bulletEnabled val="1"/>
        </dgm:presLayoutVars>
      </dgm:prSet>
      <dgm:spPr/>
    </dgm:pt>
    <dgm:pt modelId="{73C22FD7-DB11-4361-BF7A-9C80636C7B18}" type="pres">
      <dgm:prSet presAssocID="{D2264522-D739-4BCA-8CAD-DF0165D64381}" presName="Name13" presStyleLbl="parChTrans1D2" presStyleIdx="4" presStyleCnt="7"/>
      <dgm:spPr/>
    </dgm:pt>
    <dgm:pt modelId="{D22DBE7D-7E49-4388-BF46-3EB508844117}" type="pres">
      <dgm:prSet presAssocID="{A9CB3442-9357-43AE-BBD3-16EEC1FE7629}" presName="childText" presStyleLbl="bgAcc1" presStyleIdx="4" presStyleCnt="7">
        <dgm:presLayoutVars>
          <dgm:bulletEnabled val="1"/>
        </dgm:presLayoutVars>
      </dgm:prSet>
      <dgm:spPr/>
    </dgm:pt>
    <dgm:pt modelId="{65E8FEF9-14DB-478A-9591-C22CD1665A80}" type="pres">
      <dgm:prSet presAssocID="{312D5FD6-3D7B-4EFF-BFF0-ED7EAE7BE356}" presName="Name13" presStyleLbl="parChTrans1D2" presStyleIdx="5" presStyleCnt="7"/>
      <dgm:spPr/>
    </dgm:pt>
    <dgm:pt modelId="{3A09A40C-A098-43E4-BD31-118277A4C9B1}" type="pres">
      <dgm:prSet presAssocID="{4781027A-2FAB-44F4-8AB6-26A6204F9E78}" presName="childText" presStyleLbl="bgAcc1" presStyleIdx="5" presStyleCnt="7">
        <dgm:presLayoutVars>
          <dgm:bulletEnabled val="1"/>
        </dgm:presLayoutVars>
      </dgm:prSet>
      <dgm:spPr/>
    </dgm:pt>
    <dgm:pt modelId="{50FFD542-2625-441F-BF70-412FE064C0A6}" type="pres">
      <dgm:prSet presAssocID="{C4DB57F5-EE2C-4683-B99C-8B11063771E7}" presName="Name13" presStyleLbl="parChTrans1D2" presStyleIdx="6" presStyleCnt="7"/>
      <dgm:spPr/>
    </dgm:pt>
    <dgm:pt modelId="{0B5567E1-6231-4FA2-9796-4E62387E1C90}" type="pres">
      <dgm:prSet presAssocID="{25C26EB3-4B1D-4057-8F3B-AC370EFD87A2}" presName="childText" presStyleLbl="bgAcc1" presStyleIdx="6" presStyleCnt="7">
        <dgm:presLayoutVars>
          <dgm:bulletEnabled val="1"/>
        </dgm:presLayoutVars>
      </dgm:prSet>
      <dgm:spPr/>
    </dgm:pt>
  </dgm:ptLst>
  <dgm:cxnLst>
    <dgm:cxn modelId="{4FF90026-B655-44B7-95A8-86FAFF997174}" type="presOf" srcId="{5AEFB0D8-0B75-4C0C-B4D5-864CD47BF844}" destId="{B51ECBBF-5582-458C-9AF8-8E060C5D2E86}" srcOrd="1" destOrd="0" presId="urn:microsoft.com/office/officeart/2005/8/layout/hierarchy3#1"/>
    <dgm:cxn modelId="{9C8B5A2E-C84D-4F96-8871-3F51A6FF45D7}" type="presOf" srcId="{25C26EB3-4B1D-4057-8F3B-AC370EFD87A2}" destId="{0B5567E1-6231-4FA2-9796-4E62387E1C90}" srcOrd="0" destOrd="0" presId="urn:microsoft.com/office/officeart/2005/8/layout/hierarchy3#1"/>
    <dgm:cxn modelId="{D6E88031-5F43-4BCD-B155-C0C84A38EBAB}" srcId="{A1D832DB-0C8A-4C42-821A-FB86AF3BB606}" destId="{1B1E409D-C884-40D9-9D64-120EB52DC563}" srcOrd="1" destOrd="0" parTransId="{F11F4FF3-E315-4EAB-BE81-B09E23DF1031}" sibTransId="{1F49832A-303C-4173-A2C9-A81C3653AE7F}"/>
    <dgm:cxn modelId="{995A2C4A-DC1C-4A95-B2C6-38ABF502E929}" srcId="{5AEFB0D8-0B75-4C0C-B4D5-864CD47BF844}" destId="{D3458D03-4C77-41C4-8F5C-ED1F338F49E1}" srcOrd="2" destOrd="0" parTransId="{E021410D-4F95-4FF9-8849-7993FE379411}" sibTransId="{88AE1427-CAA5-45AD-A14B-FDE0DABA1B97}"/>
    <dgm:cxn modelId="{EBEA3C4A-27BD-40A3-87D0-217582FDCB90}" srcId="{A1D832DB-0C8A-4C42-821A-FB86AF3BB606}" destId="{5AEFB0D8-0B75-4C0C-B4D5-864CD47BF844}" srcOrd="0" destOrd="0" parTransId="{66374C43-4F04-4339-A98F-1DF25A24CD51}" sibTransId="{C90BF6C5-F76D-43BD-8E9F-8A99E868E15C}"/>
    <dgm:cxn modelId="{9B35274E-B00D-4DF2-BCA8-AEF798A0BC5F}" type="presOf" srcId="{2A2408F7-5F0F-4BE1-BC25-02A414B7B2E7}" destId="{45C60356-8A20-44DF-9FCD-549EF7FD0473}" srcOrd="0" destOrd="0" presId="urn:microsoft.com/office/officeart/2005/8/layout/hierarchy3#1"/>
    <dgm:cxn modelId="{ACBF704F-214A-4D71-B245-A2A065FB6BCB}" type="presOf" srcId="{D0B12958-4399-4628-A04E-4348D04EF147}" destId="{C5558A96-B072-47AF-A924-466FCEA9F7DD}" srcOrd="0" destOrd="0" presId="urn:microsoft.com/office/officeart/2005/8/layout/hierarchy3#1"/>
    <dgm:cxn modelId="{DEB2DE5D-6A22-42DC-B35A-4765A9402478}" type="presOf" srcId="{5AEFB0D8-0B75-4C0C-B4D5-864CD47BF844}" destId="{53318034-71BD-481D-80EB-2E49835EF9C2}" srcOrd="0" destOrd="0" presId="urn:microsoft.com/office/officeart/2005/8/layout/hierarchy3#1"/>
    <dgm:cxn modelId="{E4F32A5F-A4C0-411F-AD2E-AF4336F0F218}" srcId="{1B1E409D-C884-40D9-9D64-120EB52DC563}" destId="{A9CB3442-9357-43AE-BBD3-16EEC1FE7629}" srcOrd="1" destOrd="0" parTransId="{D2264522-D739-4BCA-8CAD-DF0165D64381}" sibTransId="{31FDE6C1-49E8-4DB6-A827-1F6445677F3E}"/>
    <dgm:cxn modelId="{54C14172-B57F-474A-9460-4FDE95296889}" type="presOf" srcId="{1B1E409D-C884-40D9-9D64-120EB52DC563}" destId="{9FC143E8-9D31-4A62-AF25-308196BCB741}" srcOrd="1" destOrd="0" presId="urn:microsoft.com/office/officeart/2005/8/layout/hierarchy3#1"/>
    <dgm:cxn modelId="{61F36378-431D-458F-A256-A0BABC7721DE}" type="presOf" srcId="{A1D832DB-0C8A-4C42-821A-FB86AF3BB606}" destId="{5F07BACB-01BE-41A8-BA00-3D11272915BE}" srcOrd="0" destOrd="0" presId="urn:microsoft.com/office/officeart/2005/8/layout/hierarchy3#1"/>
    <dgm:cxn modelId="{741D4285-D73D-4551-ABCF-410D828E0902}" type="presOf" srcId="{D22C7CE5-A344-4C43-8B45-9DD7369C6790}" destId="{168F0097-6C9B-4947-9E90-A976A5B0C285}" srcOrd="0" destOrd="0" presId="urn:microsoft.com/office/officeart/2005/8/layout/hierarchy3#1"/>
    <dgm:cxn modelId="{7044918E-E324-4441-AF3D-4611C13055A3}" type="presOf" srcId="{4781027A-2FAB-44F4-8AB6-26A6204F9E78}" destId="{3A09A40C-A098-43E4-BD31-118277A4C9B1}" srcOrd="0" destOrd="0" presId="urn:microsoft.com/office/officeart/2005/8/layout/hierarchy3#1"/>
    <dgm:cxn modelId="{A2E89291-A286-4DE6-BF3C-8CC727C93658}" srcId="{1B1E409D-C884-40D9-9D64-120EB52DC563}" destId="{25C26EB3-4B1D-4057-8F3B-AC370EFD87A2}" srcOrd="3" destOrd="0" parTransId="{C4DB57F5-EE2C-4683-B99C-8B11063771E7}" sibTransId="{92F8B340-BBDC-4AA7-BB9E-BC6A3FA29769}"/>
    <dgm:cxn modelId="{CE415D9B-6F06-40DA-AA72-3A9A151AE850}" type="presOf" srcId="{B6D670F3-7F68-4B4B-BF17-F3B1A1DC9C5B}" destId="{B1B95A8A-773B-4E89-804C-D5CA92E6D915}" srcOrd="0" destOrd="0" presId="urn:microsoft.com/office/officeart/2005/8/layout/hierarchy3#1"/>
    <dgm:cxn modelId="{A4499CA7-354C-49DC-BD1F-871F5249FCAE}" type="presOf" srcId="{312D5FD6-3D7B-4EFF-BFF0-ED7EAE7BE356}" destId="{65E8FEF9-14DB-478A-9591-C22CD1665A80}" srcOrd="0" destOrd="0" presId="urn:microsoft.com/office/officeart/2005/8/layout/hierarchy3#1"/>
    <dgm:cxn modelId="{D7CF0CA8-E5A4-4C01-B291-2807139CA9FA}" type="presOf" srcId="{F57CE46F-30DD-4F3E-8D8F-02F8495CCAA1}" destId="{19473818-CFFE-42C5-9A9E-55A337D2F3CE}" srcOrd="0" destOrd="0" presId="urn:microsoft.com/office/officeart/2005/8/layout/hierarchy3#1"/>
    <dgm:cxn modelId="{82E9B3A9-1F03-46AA-BD82-5BEF168B5A7B}" type="presOf" srcId="{C4DB57F5-EE2C-4683-B99C-8B11063771E7}" destId="{50FFD542-2625-441F-BF70-412FE064C0A6}" srcOrd="0" destOrd="0" presId="urn:microsoft.com/office/officeart/2005/8/layout/hierarchy3#1"/>
    <dgm:cxn modelId="{2D1431B1-195F-489F-ACD6-211C06265235}" srcId="{5AEFB0D8-0B75-4C0C-B4D5-864CD47BF844}" destId="{05079538-2197-4F7C-A6E4-6F05E5E00865}" srcOrd="0" destOrd="0" parTransId="{F57CE46F-30DD-4F3E-8D8F-02F8495CCAA1}" sibTransId="{441CD09F-5A12-4D41-9940-58A47D4B4FD9}"/>
    <dgm:cxn modelId="{035EA0B4-7F9A-4980-AA78-F795BD407B43}" type="presOf" srcId="{05079538-2197-4F7C-A6E4-6F05E5E00865}" destId="{F1BD3FC1-CB7B-4FF2-BD7B-0E2B82010C4D}" srcOrd="0" destOrd="0" presId="urn:microsoft.com/office/officeart/2005/8/layout/hierarchy3#1"/>
    <dgm:cxn modelId="{12AFC1CC-B5EF-4A62-8327-B6EDAA4579C9}" srcId="{1B1E409D-C884-40D9-9D64-120EB52DC563}" destId="{4781027A-2FAB-44F4-8AB6-26A6204F9E78}" srcOrd="2" destOrd="0" parTransId="{312D5FD6-3D7B-4EFF-BFF0-ED7EAE7BE356}" sibTransId="{A50585B9-753E-41BE-9D5E-0EB5ED53C6A2}"/>
    <dgm:cxn modelId="{D92311D5-248C-40B5-AD47-76041019608A}" srcId="{5AEFB0D8-0B75-4C0C-B4D5-864CD47BF844}" destId="{B6D670F3-7F68-4B4B-BF17-F3B1A1DC9C5B}" srcOrd="1" destOrd="0" parTransId="{D0B12958-4399-4628-A04E-4348D04EF147}" sibTransId="{6558DFE7-4A37-43F6-A470-98489F277DED}"/>
    <dgm:cxn modelId="{5F83B1E1-4CF1-4F7A-92EC-F4EA5E1D5A2B}" type="presOf" srcId="{E021410D-4F95-4FF9-8849-7993FE379411}" destId="{7DC637E0-1610-4282-A270-1460A8B6A685}" srcOrd="0" destOrd="0" presId="urn:microsoft.com/office/officeart/2005/8/layout/hierarchy3#1"/>
    <dgm:cxn modelId="{7B1FBAE7-21EC-475F-A1B3-9D37A616028C}" type="presOf" srcId="{D3458D03-4C77-41C4-8F5C-ED1F338F49E1}" destId="{AFB7972B-E8E1-4BDD-B839-C21D2D490130}" srcOrd="0" destOrd="0" presId="urn:microsoft.com/office/officeart/2005/8/layout/hierarchy3#1"/>
    <dgm:cxn modelId="{0E5312ED-22C8-4007-8500-469693229D3F}" srcId="{1B1E409D-C884-40D9-9D64-120EB52DC563}" destId="{2A2408F7-5F0F-4BE1-BC25-02A414B7B2E7}" srcOrd="0" destOrd="0" parTransId="{D22C7CE5-A344-4C43-8B45-9DD7369C6790}" sibTransId="{32882763-8DA1-4D85-935A-F562FDBAD0C4}"/>
    <dgm:cxn modelId="{87AB5AF1-7D6B-4529-97DA-6F39DA99997C}" type="presOf" srcId="{D2264522-D739-4BCA-8CAD-DF0165D64381}" destId="{73C22FD7-DB11-4361-BF7A-9C80636C7B18}" srcOrd="0" destOrd="0" presId="urn:microsoft.com/office/officeart/2005/8/layout/hierarchy3#1"/>
    <dgm:cxn modelId="{075988F5-9F88-412E-996E-73D382615AAD}" type="presOf" srcId="{1B1E409D-C884-40D9-9D64-120EB52DC563}" destId="{A8E27111-6AF4-4DFC-A3F2-ECCD3862ABF0}" srcOrd="0" destOrd="0" presId="urn:microsoft.com/office/officeart/2005/8/layout/hierarchy3#1"/>
    <dgm:cxn modelId="{011820F6-3909-4E93-B2F2-07AABBC553C4}" type="presOf" srcId="{A9CB3442-9357-43AE-BBD3-16EEC1FE7629}" destId="{D22DBE7D-7E49-4388-BF46-3EB508844117}" srcOrd="0" destOrd="0" presId="urn:microsoft.com/office/officeart/2005/8/layout/hierarchy3#1"/>
    <dgm:cxn modelId="{D65B9480-91A9-4C81-87E8-BF14751A8CC0}" type="presParOf" srcId="{5F07BACB-01BE-41A8-BA00-3D11272915BE}" destId="{D056BDED-A892-4E5E-BFD1-7F06B66E875F}" srcOrd="0" destOrd="0" presId="urn:microsoft.com/office/officeart/2005/8/layout/hierarchy3#1"/>
    <dgm:cxn modelId="{7E850F07-390C-439F-982C-E81EBA76FC1A}" type="presParOf" srcId="{D056BDED-A892-4E5E-BFD1-7F06B66E875F}" destId="{3D9F7444-CBE8-4122-89D3-D45B08C8415E}" srcOrd="0" destOrd="0" presId="urn:microsoft.com/office/officeart/2005/8/layout/hierarchy3#1"/>
    <dgm:cxn modelId="{C32E8CDD-E0E1-432B-A037-936F1ECF8057}" type="presParOf" srcId="{3D9F7444-CBE8-4122-89D3-D45B08C8415E}" destId="{53318034-71BD-481D-80EB-2E49835EF9C2}" srcOrd="0" destOrd="0" presId="urn:microsoft.com/office/officeart/2005/8/layout/hierarchy3#1"/>
    <dgm:cxn modelId="{A9FF5136-E263-46B0-8E8D-7D36820C5536}" type="presParOf" srcId="{3D9F7444-CBE8-4122-89D3-D45B08C8415E}" destId="{B51ECBBF-5582-458C-9AF8-8E060C5D2E86}" srcOrd="1" destOrd="0" presId="urn:microsoft.com/office/officeart/2005/8/layout/hierarchy3#1"/>
    <dgm:cxn modelId="{602BA65D-8CD9-4506-8755-54CE2C0DBCD8}" type="presParOf" srcId="{D056BDED-A892-4E5E-BFD1-7F06B66E875F}" destId="{331AC561-6CDA-4E91-B6A2-4DAAA38FCF32}" srcOrd="1" destOrd="0" presId="urn:microsoft.com/office/officeart/2005/8/layout/hierarchy3#1"/>
    <dgm:cxn modelId="{D42ECEF5-11F9-4767-8C9D-B8C45BD16F8A}" type="presParOf" srcId="{331AC561-6CDA-4E91-B6A2-4DAAA38FCF32}" destId="{19473818-CFFE-42C5-9A9E-55A337D2F3CE}" srcOrd="0" destOrd="0" presId="urn:microsoft.com/office/officeart/2005/8/layout/hierarchy3#1"/>
    <dgm:cxn modelId="{972779B2-A6B7-444F-861D-C33F53A15256}" type="presParOf" srcId="{331AC561-6CDA-4E91-B6A2-4DAAA38FCF32}" destId="{F1BD3FC1-CB7B-4FF2-BD7B-0E2B82010C4D}" srcOrd="1" destOrd="0" presId="urn:microsoft.com/office/officeart/2005/8/layout/hierarchy3#1"/>
    <dgm:cxn modelId="{E668F903-9F9C-4462-81CF-798FF8897A46}" type="presParOf" srcId="{331AC561-6CDA-4E91-B6A2-4DAAA38FCF32}" destId="{C5558A96-B072-47AF-A924-466FCEA9F7DD}" srcOrd="2" destOrd="0" presId="urn:microsoft.com/office/officeart/2005/8/layout/hierarchy3#1"/>
    <dgm:cxn modelId="{0080F76B-F40F-4383-95EC-93032FF846E0}" type="presParOf" srcId="{331AC561-6CDA-4E91-B6A2-4DAAA38FCF32}" destId="{B1B95A8A-773B-4E89-804C-D5CA92E6D915}" srcOrd="3" destOrd="0" presId="urn:microsoft.com/office/officeart/2005/8/layout/hierarchy3#1"/>
    <dgm:cxn modelId="{5B7CB39E-C317-4AE0-B9F2-E288D54A9523}" type="presParOf" srcId="{331AC561-6CDA-4E91-B6A2-4DAAA38FCF32}" destId="{7DC637E0-1610-4282-A270-1460A8B6A685}" srcOrd="4" destOrd="0" presId="urn:microsoft.com/office/officeart/2005/8/layout/hierarchy3#1"/>
    <dgm:cxn modelId="{36EC9031-F538-40BC-837E-0EED3ADB37EC}" type="presParOf" srcId="{331AC561-6CDA-4E91-B6A2-4DAAA38FCF32}" destId="{AFB7972B-E8E1-4BDD-B839-C21D2D490130}" srcOrd="5" destOrd="0" presId="urn:microsoft.com/office/officeart/2005/8/layout/hierarchy3#1"/>
    <dgm:cxn modelId="{8D5914BB-8108-4597-8128-3AEAE561CEB2}" type="presParOf" srcId="{5F07BACB-01BE-41A8-BA00-3D11272915BE}" destId="{CB091EBB-6683-4474-880E-9D318BC83AF3}" srcOrd="1" destOrd="0" presId="urn:microsoft.com/office/officeart/2005/8/layout/hierarchy3#1"/>
    <dgm:cxn modelId="{79E01230-2F58-4AEA-A407-CA2C44E7C014}" type="presParOf" srcId="{CB091EBB-6683-4474-880E-9D318BC83AF3}" destId="{24ECECE1-7057-4E53-849D-D48D6624EE41}" srcOrd="0" destOrd="0" presId="urn:microsoft.com/office/officeart/2005/8/layout/hierarchy3#1"/>
    <dgm:cxn modelId="{A0AF6E7A-5042-4B2B-B40C-25F34CD8661C}" type="presParOf" srcId="{24ECECE1-7057-4E53-849D-D48D6624EE41}" destId="{A8E27111-6AF4-4DFC-A3F2-ECCD3862ABF0}" srcOrd="0" destOrd="0" presId="urn:microsoft.com/office/officeart/2005/8/layout/hierarchy3#1"/>
    <dgm:cxn modelId="{42D6BFFF-A8E7-431B-95A0-0AC1E7D2C9B5}" type="presParOf" srcId="{24ECECE1-7057-4E53-849D-D48D6624EE41}" destId="{9FC143E8-9D31-4A62-AF25-308196BCB741}" srcOrd="1" destOrd="0" presId="urn:microsoft.com/office/officeart/2005/8/layout/hierarchy3#1"/>
    <dgm:cxn modelId="{B56D705B-0E38-4418-932F-7392A3596671}" type="presParOf" srcId="{CB091EBB-6683-4474-880E-9D318BC83AF3}" destId="{B66D4290-E729-4672-8D7E-BB6FC52CDF9D}" srcOrd="1" destOrd="0" presId="urn:microsoft.com/office/officeart/2005/8/layout/hierarchy3#1"/>
    <dgm:cxn modelId="{0DA0EF11-8633-4B71-A751-4E995902DBAC}" type="presParOf" srcId="{B66D4290-E729-4672-8D7E-BB6FC52CDF9D}" destId="{168F0097-6C9B-4947-9E90-A976A5B0C285}" srcOrd="0" destOrd="0" presId="urn:microsoft.com/office/officeart/2005/8/layout/hierarchy3#1"/>
    <dgm:cxn modelId="{510A21E5-96D0-48AE-A64B-5C6ACEAF9456}" type="presParOf" srcId="{B66D4290-E729-4672-8D7E-BB6FC52CDF9D}" destId="{45C60356-8A20-44DF-9FCD-549EF7FD0473}" srcOrd="1" destOrd="0" presId="urn:microsoft.com/office/officeart/2005/8/layout/hierarchy3#1"/>
    <dgm:cxn modelId="{F2233D42-D796-493F-AE3A-9CC08CC291D0}" type="presParOf" srcId="{B66D4290-E729-4672-8D7E-BB6FC52CDF9D}" destId="{73C22FD7-DB11-4361-BF7A-9C80636C7B18}" srcOrd="2" destOrd="0" presId="urn:microsoft.com/office/officeart/2005/8/layout/hierarchy3#1"/>
    <dgm:cxn modelId="{BB4F3644-DAF3-4B3D-A57C-83AAC627E159}" type="presParOf" srcId="{B66D4290-E729-4672-8D7E-BB6FC52CDF9D}" destId="{D22DBE7D-7E49-4388-BF46-3EB508844117}" srcOrd="3" destOrd="0" presId="urn:microsoft.com/office/officeart/2005/8/layout/hierarchy3#1"/>
    <dgm:cxn modelId="{B7A49C4B-C3EF-4AE9-88B1-0E2C79274905}" type="presParOf" srcId="{B66D4290-E729-4672-8D7E-BB6FC52CDF9D}" destId="{65E8FEF9-14DB-478A-9591-C22CD1665A80}" srcOrd="4" destOrd="0" presId="urn:microsoft.com/office/officeart/2005/8/layout/hierarchy3#1"/>
    <dgm:cxn modelId="{2FE4B21F-0CFA-49AF-B7F6-44730B37F9CC}" type="presParOf" srcId="{B66D4290-E729-4672-8D7E-BB6FC52CDF9D}" destId="{3A09A40C-A098-43E4-BD31-118277A4C9B1}" srcOrd="5" destOrd="0" presId="urn:microsoft.com/office/officeart/2005/8/layout/hierarchy3#1"/>
    <dgm:cxn modelId="{B4C5EF75-7289-4349-9A0F-3C950817B452}" type="presParOf" srcId="{B66D4290-E729-4672-8D7E-BB6FC52CDF9D}" destId="{50FFD542-2625-441F-BF70-412FE064C0A6}" srcOrd="6" destOrd="0" presId="urn:microsoft.com/office/officeart/2005/8/layout/hierarchy3#1"/>
    <dgm:cxn modelId="{FAFD89EA-2C58-4186-A51E-A5FB472E623B}" type="presParOf" srcId="{B66D4290-E729-4672-8D7E-BB6FC52CDF9D}" destId="{0B5567E1-6231-4FA2-9796-4E62387E1C90}" srcOrd="7" destOrd="0" presId="urn:microsoft.com/office/officeart/2005/8/layout/hierarchy3#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DABE841-DA46-4EF8-A262-884B8C3A6BA3}" type="doc">
      <dgm:prSet loTypeId="urn:microsoft.com/office/officeart/2008/layout/HorizontalMultiLevelHierarchy#1" loCatId="hierarchy" qsTypeId="urn:microsoft.com/office/officeart/2005/8/quickstyle/simple1#2" qsCatId="simple" csTypeId="urn:microsoft.com/office/officeart/2005/8/colors/accent1_2#2" csCatId="accent1" phldr="1"/>
      <dgm:spPr/>
      <dgm:t>
        <a:bodyPr/>
        <a:lstStyle/>
        <a:p>
          <a:endParaRPr lang="ru-RU"/>
        </a:p>
      </dgm:t>
    </dgm:pt>
    <dgm:pt modelId="{8F0104CC-4532-4896-AA38-AE516F13ED46}">
      <dgm:prSet phldrT="[Текст]"/>
      <dgm:spPr/>
      <dgm:t>
        <a:bodyPr/>
        <a:lstStyle/>
        <a:p>
          <a:r>
            <a:rPr lang="ru-RU" b="1">
              <a:latin typeface="Times New Roman" panose="02020603050405020304" charset="0"/>
              <a:cs typeface="Times New Roman" panose="02020603050405020304" charset="0"/>
            </a:rPr>
            <a:t>Моделі публічно-приватного партнерства у сфері охорони здоров'я</a:t>
          </a:r>
        </a:p>
      </dgm:t>
    </dgm:pt>
    <dgm:pt modelId="{53E07962-F9EE-45A1-BF64-BEFC0BF58F82}" type="parTrans" cxnId="{34D5EA56-7573-4D96-9C87-1281F54E8458}">
      <dgm:prSet/>
      <dgm:spPr/>
      <dgm:t>
        <a:bodyPr/>
        <a:lstStyle/>
        <a:p>
          <a:endParaRPr lang="ru-RU">
            <a:latin typeface="Times New Roman" panose="02020603050405020304" charset="0"/>
            <a:cs typeface="Times New Roman" panose="02020603050405020304" charset="0"/>
          </a:endParaRPr>
        </a:p>
      </dgm:t>
    </dgm:pt>
    <dgm:pt modelId="{27646378-3EDB-449E-9428-B970137B947F}" type="sibTrans" cxnId="{34D5EA56-7573-4D96-9C87-1281F54E8458}">
      <dgm:prSet/>
      <dgm:spPr/>
      <dgm:t>
        <a:bodyPr/>
        <a:lstStyle/>
        <a:p>
          <a:endParaRPr lang="ru-RU">
            <a:latin typeface="Times New Roman" panose="02020603050405020304" charset="0"/>
            <a:cs typeface="Times New Roman" panose="02020603050405020304" charset="0"/>
          </a:endParaRPr>
        </a:p>
      </dgm:t>
    </dgm:pt>
    <dgm:pt modelId="{0FD608D9-4039-47EF-9AD0-9DCDEBD9370E}">
      <dgm:prSet phldrT="[Текст]"/>
      <dgm:spPr/>
      <dgm:t>
        <a:bodyPr/>
        <a:lstStyle/>
        <a:p>
          <a:r>
            <a:rPr lang="ru-RU" b="1">
              <a:latin typeface="Times New Roman" panose="02020603050405020304" charset="0"/>
              <a:cs typeface="Times New Roman" panose="02020603050405020304" charset="0"/>
            </a:rPr>
            <a:t>Спеціалізовані діагностично-клінічні послуги</a:t>
          </a:r>
        </a:p>
      </dgm:t>
    </dgm:pt>
    <dgm:pt modelId="{92FF6C93-3F92-4A53-B66C-FD00B0B6839E}" type="parTrans" cxnId="{BC70C3E0-7462-4F2A-AA46-BB1646315D37}">
      <dgm:prSet/>
      <dgm:spPr/>
      <dgm:t>
        <a:bodyPr/>
        <a:lstStyle/>
        <a:p>
          <a:endParaRPr lang="ru-RU">
            <a:latin typeface="Times New Roman" panose="02020603050405020304" charset="0"/>
            <a:cs typeface="Times New Roman" panose="02020603050405020304" charset="0"/>
          </a:endParaRPr>
        </a:p>
      </dgm:t>
    </dgm:pt>
    <dgm:pt modelId="{85E94D12-FD48-48CA-9F57-824B643AF0A6}" type="sibTrans" cxnId="{BC70C3E0-7462-4F2A-AA46-BB1646315D37}">
      <dgm:prSet/>
      <dgm:spPr/>
      <dgm:t>
        <a:bodyPr/>
        <a:lstStyle/>
        <a:p>
          <a:endParaRPr lang="ru-RU">
            <a:latin typeface="Times New Roman" panose="02020603050405020304" charset="0"/>
            <a:cs typeface="Times New Roman" panose="02020603050405020304" charset="0"/>
          </a:endParaRPr>
        </a:p>
      </dgm:t>
    </dgm:pt>
    <dgm:pt modelId="{0E9A5F03-C302-4C0B-9BDC-FE99FFF0AA70}">
      <dgm:prSet phldrT="[Текст]"/>
      <dgm:spPr/>
      <dgm:t>
        <a:bodyPr/>
        <a:lstStyle/>
        <a:p>
          <a:r>
            <a:rPr lang="ru-RU" b="1">
              <a:latin typeface="Times New Roman" panose="02020603050405020304" charset="0"/>
              <a:cs typeface="Times New Roman" panose="02020603050405020304" charset="0"/>
            </a:rPr>
            <a:t>Заклади охорони здоров'я</a:t>
          </a:r>
        </a:p>
      </dgm:t>
    </dgm:pt>
    <dgm:pt modelId="{618DEC21-40DE-4176-A49E-821E804EC7EE}" type="parTrans" cxnId="{9BB809EC-D515-4305-9BEB-B8C23C65CD6C}">
      <dgm:prSet/>
      <dgm:spPr/>
      <dgm:t>
        <a:bodyPr/>
        <a:lstStyle/>
        <a:p>
          <a:endParaRPr lang="ru-RU">
            <a:latin typeface="Times New Roman" panose="02020603050405020304" charset="0"/>
            <a:cs typeface="Times New Roman" panose="02020603050405020304" charset="0"/>
          </a:endParaRPr>
        </a:p>
      </dgm:t>
    </dgm:pt>
    <dgm:pt modelId="{C80DCE00-35DB-4CD8-BCAD-E05A7345221C}" type="sibTrans" cxnId="{9BB809EC-D515-4305-9BEB-B8C23C65CD6C}">
      <dgm:prSet/>
      <dgm:spPr/>
      <dgm:t>
        <a:bodyPr/>
        <a:lstStyle/>
        <a:p>
          <a:endParaRPr lang="ru-RU">
            <a:latin typeface="Times New Roman" panose="02020603050405020304" charset="0"/>
            <a:cs typeface="Times New Roman" panose="02020603050405020304" charset="0"/>
          </a:endParaRPr>
        </a:p>
      </dgm:t>
    </dgm:pt>
    <dgm:pt modelId="{3BB065A2-6BF9-415A-BF0B-686E31447CAB}">
      <dgm:prSet phldrT="[Текст]"/>
      <dgm:spPr/>
      <dgm:t>
        <a:bodyPr/>
        <a:lstStyle/>
        <a:p>
          <a:r>
            <a:rPr lang="ru-RU" b="1">
              <a:latin typeface="Times New Roman" panose="02020603050405020304" charset="0"/>
              <a:cs typeface="Times New Roman" panose="02020603050405020304" charset="0"/>
            </a:rPr>
            <a:t>Інтегрована модель публічно-приватного партнерства</a:t>
          </a:r>
        </a:p>
      </dgm:t>
    </dgm:pt>
    <dgm:pt modelId="{98082BC1-8965-45FC-A72E-074C2155C4E4}" type="parTrans" cxnId="{272F821C-10CD-4EB7-9721-FAEA19525C7F}">
      <dgm:prSet/>
      <dgm:spPr/>
      <dgm:t>
        <a:bodyPr/>
        <a:lstStyle/>
        <a:p>
          <a:endParaRPr lang="ru-RU">
            <a:latin typeface="Times New Roman" panose="02020603050405020304" charset="0"/>
            <a:cs typeface="Times New Roman" panose="02020603050405020304" charset="0"/>
          </a:endParaRPr>
        </a:p>
      </dgm:t>
    </dgm:pt>
    <dgm:pt modelId="{14B9686E-31A7-4D1C-96FD-EFA77ACC0CF8}" type="sibTrans" cxnId="{272F821C-10CD-4EB7-9721-FAEA19525C7F}">
      <dgm:prSet/>
      <dgm:spPr/>
      <dgm:t>
        <a:bodyPr/>
        <a:lstStyle/>
        <a:p>
          <a:endParaRPr lang="ru-RU">
            <a:latin typeface="Times New Roman" panose="02020603050405020304" charset="0"/>
            <a:cs typeface="Times New Roman" panose="02020603050405020304" charset="0"/>
          </a:endParaRPr>
        </a:p>
      </dgm:t>
    </dgm:pt>
    <dgm:pt modelId="{4797C51E-7F78-497E-B312-4F5AC46DDCD7}" type="pres">
      <dgm:prSet presAssocID="{9DABE841-DA46-4EF8-A262-884B8C3A6BA3}" presName="Name0" presStyleCnt="0">
        <dgm:presLayoutVars>
          <dgm:chPref val="1"/>
          <dgm:dir/>
          <dgm:animOne val="branch"/>
          <dgm:animLvl val="lvl"/>
          <dgm:resizeHandles val="exact"/>
        </dgm:presLayoutVars>
      </dgm:prSet>
      <dgm:spPr/>
    </dgm:pt>
    <dgm:pt modelId="{37B847E6-7C8A-40FE-A580-99621EE118DA}" type="pres">
      <dgm:prSet presAssocID="{8F0104CC-4532-4896-AA38-AE516F13ED46}" presName="root1" presStyleCnt="0"/>
      <dgm:spPr/>
    </dgm:pt>
    <dgm:pt modelId="{C0E66397-0A41-4F35-ADAB-C6A32C4658EE}" type="pres">
      <dgm:prSet presAssocID="{8F0104CC-4532-4896-AA38-AE516F13ED46}" presName="LevelOneTextNode" presStyleLbl="node0" presStyleIdx="0" presStyleCnt="1" custScaleX="232714">
        <dgm:presLayoutVars>
          <dgm:chPref val="3"/>
        </dgm:presLayoutVars>
      </dgm:prSet>
      <dgm:spPr/>
    </dgm:pt>
    <dgm:pt modelId="{E9DEFD3B-CDC4-45A3-BBB2-ED3B1C13A56D}" type="pres">
      <dgm:prSet presAssocID="{8F0104CC-4532-4896-AA38-AE516F13ED46}" presName="level2hierChild" presStyleCnt="0"/>
      <dgm:spPr/>
    </dgm:pt>
    <dgm:pt modelId="{8BB9481E-5D1D-45C3-A43D-48EA38FCE84F}" type="pres">
      <dgm:prSet presAssocID="{92FF6C93-3F92-4A53-B66C-FD00B0B6839E}" presName="conn2-1" presStyleLbl="parChTrans1D2" presStyleIdx="0" presStyleCnt="3"/>
      <dgm:spPr/>
    </dgm:pt>
    <dgm:pt modelId="{C1B1B5A3-90FC-4FB7-B2F8-71DD415475B2}" type="pres">
      <dgm:prSet presAssocID="{92FF6C93-3F92-4A53-B66C-FD00B0B6839E}" presName="connTx" presStyleLbl="parChTrans1D2" presStyleIdx="0" presStyleCnt="3"/>
      <dgm:spPr/>
    </dgm:pt>
    <dgm:pt modelId="{C594D07D-A0FB-4AFC-ABBB-E6973C2C93B5}" type="pres">
      <dgm:prSet presAssocID="{0FD608D9-4039-47EF-9AD0-9DCDEBD9370E}" presName="root2" presStyleCnt="0"/>
      <dgm:spPr/>
    </dgm:pt>
    <dgm:pt modelId="{17EC06C4-3A65-41B4-B911-83839D8FC458}" type="pres">
      <dgm:prSet presAssocID="{0FD608D9-4039-47EF-9AD0-9DCDEBD9370E}" presName="LevelTwoTextNode" presStyleLbl="node2" presStyleIdx="0" presStyleCnt="3">
        <dgm:presLayoutVars>
          <dgm:chPref val="3"/>
        </dgm:presLayoutVars>
      </dgm:prSet>
      <dgm:spPr/>
    </dgm:pt>
    <dgm:pt modelId="{C169707C-7BCA-49EB-B87B-B13AC61D52EE}" type="pres">
      <dgm:prSet presAssocID="{0FD608D9-4039-47EF-9AD0-9DCDEBD9370E}" presName="level3hierChild" presStyleCnt="0"/>
      <dgm:spPr/>
    </dgm:pt>
    <dgm:pt modelId="{61D20FD1-9EA8-4D04-8F53-E4C3F879F6F7}" type="pres">
      <dgm:prSet presAssocID="{618DEC21-40DE-4176-A49E-821E804EC7EE}" presName="conn2-1" presStyleLbl="parChTrans1D2" presStyleIdx="1" presStyleCnt="3"/>
      <dgm:spPr/>
    </dgm:pt>
    <dgm:pt modelId="{1492FF11-30AD-4A74-A801-6256F8CD1698}" type="pres">
      <dgm:prSet presAssocID="{618DEC21-40DE-4176-A49E-821E804EC7EE}" presName="connTx" presStyleLbl="parChTrans1D2" presStyleIdx="1" presStyleCnt="3"/>
      <dgm:spPr/>
    </dgm:pt>
    <dgm:pt modelId="{72127758-B2CC-4EAB-8B7F-778467D3C2E6}" type="pres">
      <dgm:prSet presAssocID="{0E9A5F03-C302-4C0B-9BDC-FE99FFF0AA70}" presName="root2" presStyleCnt="0"/>
      <dgm:spPr/>
    </dgm:pt>
    <dgm:pt modelId="{4DFCAA8B-374B-42D9-B17D-8560200E3230}" type="pres">
      <dgm:prSet presAssocID="{0E9A5F03-C302-4C0B-9BDC-FE99FFF0AA70}" presName="LevelTwoTextNode" presStyleLbl="node2" presStyleIdx="1" presStyleCnt="3">
        <dgm:presLayoutVars>
          <dgm:chPref val="3"/>
        </dgm:presLayoutVars>
      </dgm:prSet>
      <dgm:spPr/>
    </dgm:pt>
    <dgm:pt modelId="{53ED54C9-C348-43DA-A22D-8712CED43F34}" type="pres">
      <dgm:prSet presAssocID="{0E9A5F03-C302-4C0B-9BDC-FE99FFF0AA70}" presName="level3hierChild" presStyleCnt="0"/>
      <dgm:spPr/>
    </dgm:pt>
    <dgm:pt modelId="{6AA48C3C-C92A-40BD-A942-8A3AE8DBA459}" type="pres">
      <dgm:prSet presAssocID="{98082BC1-8965-45FC-A72E-074C2155C4E4}" presName="conn2-1" presStyleLbl="parChTrans1D2" presStyleIdx="2" presStyleCnt="3"/>
      <dgm:spPr/>
    </dgm:pt>
    <dgm:pt modelId="{6FF1575E-F4C8-4D0D-B0BE-7E39899C6BA3}" type="pres">
      <dgm:prSet presAssocID="{98082BC1-8965-45FC-A72E-074C2155C4E4}" presName="connTx" presStyleLbl="parChTrans1D2" presStyleIdx="2" presStyleCnt="3"/>
      <dgm:spPr/>
    </dgm:pt>
    <dgm:pt modelId="{D9015913-359C-4750-9A7E-A021FBBB5DEE}" type="pres">
      <dgm:prSet presAssocID="{3BB065A2-6BF9-415A-BF0B-686E31447CAB}" presName="root2" presStyleCnt="0"/>
      <dgm:spPr/>
    </dgm:pt>
    <dgm:pt modelId="{303F8CA4-8268-4F2B-9D07-3A23D06E1167}" type="pres">
      <dgm:prSet presAssocID="{3BB065A2-6BF9-415A-BF0B-686E31447CAB}" presName="LevelTwoTextNode" presStyleLbl="node2" presStyleIdx="2" presStyleCnt="3">
        <dgm:presLayoutVars>
          <dgm:chPref val="3"/>
        </dgm:presLayoutVars>
      </dgm:prSet>
      <dgm:spPr/>
    </dgm:pt>
    <dgm:pt modelId="{5D37E70D-A223-424F-87F2-AA595DD95E6B}" type="pres">
      <dgm:prSet presAssocID="{3BB065A2-6BF9-415A-BF0B-686E31447CAB}" presName="level3hierChild" presStyleCnt="0"/>
      <dgm:spPr/>
    </dgm:pt>
  </dgm:ptLst>
  <dgm:cxnLst>
    <dgm:cxn modelId="{272F821C-10CD-4EB7-9721-FAEA19525C7F}" srcId="{8F0104CC-4532-4896-AA38-AE516F13ED46}" destId="{3BB065A2-6BF9-415A-BF0B-686E31447CAB}" srcOrd="2" destOrd="0" parTransId="{98082BC1-8965-45FC-A72E-074C2155C4E4}" sibTransId="{14B9686E-31A7-4D1C-96FD-EFA77ACC0CF8}"/>
    <dgm:cxn modelId="{ABC6722C-F342-45A7-A8DF-12C595F01848}" type="presOf" srcId="{98082BC1-8965-45FC-A72E-074C2155C4E4}" destId="{6FF1575E-F4C8-4D0D-B0BE-7E39899C6BA3}" srcOrd="1" destOrd="0" presId="urn:microsoft.com/office/officeart/2008/layout/HorizontalMultiLevelHierarchy#1"/>
    <dgm:cxn modelId="{0B88B22D-907A-4CC3-884B-381169FEF9E0}" type="presOf" srcId="{9DABE841-DA46-4EF8-A262-884B8C3A6BA3}" destId="{4797C51E-7F78-497E-B312-4F5AC46DDCD7}" srcOrd="0" destOrd="0" presId="urn:microsoft.com/office/officeart/2008/layout/HorizontalMultiLevelHierarchy#1"/>
    <dgm:cxn modelId="{532AF249-0D22-4852-90BA-9C0EA15C89AF}" type="presOf" srcId="{618DEC21-40DE-4176-A49E-821E804EC7EE}" destId="{1492FF11-30AD-4A74-A801-6256F8CD1698}" srcOrd="1" destOrd="0" presId="urn:microsoft.com/office/officeart/2008/layout/HorizontalMultiLevelHierarchy#1"/>
    <dgm:cxn modelId="{4CBE8951-EBC6-48BB-9460-2EA8FF205565}" type="presOf" srcId="{92FF6C93-3F92-4A53-B66C-FD00B0B6839E}" destId="{8BB9481E-5D1D-45C3-A43D-48EA38FCE84F}" srcOrd="0" destOrd="0" presId="urn:microsoft.com/office/officeart/2008/layout/HorizontalMultiLevelHierarchy#1"/>
    <dgm:cxn modelId="{EB435355-76C4-4144-9F8F-4BE1AAC42A32}" type="presOf" srcId="{0FD608D9-4039-47EF-9AD0-9DCDEBD9370E}" destId="{17EC06C4-3A65-41B4-B911-83839D8FC458}" srcOrd="0" destOrd="0" presId="urn:microsoft.com/office/officeart/2008/layout/HorizontalMultiLevelHierarchy#1"/>
    <dgm:cxn modelId="{34D5EA56-7573-4D96-9C87-1281F54E8458}" srcId="{9DABE841-DA46-4EF8-A262-884B8C3A6BA3}" destId="{8F0104CC-4532-4896-AA38-AE516F13ED46}" srcOrd="0" destOrd="0" parTransId="{53E07962-F9EE-45A1-BF64-BEFC0BF58F82}" sibTransId="{27646378-3EDB-449E-9428-B970137B947F}"/>
    <dgm:cxn modelId="{EBAC2968-07DE-4815-B347-50F9902D474D}" type="presOf" srcId="{92FF6C93-3F92-4A53-B66C-FD00B0B6839E}" destId="{C1B1B5A3-90FC-4FB7-B2F8-71DD415475B2}" srcOrd="1" destOrd="0" presId="urn:microsoft.com/office/officeart/2008/layout/HorizontalMultiLevelHierarchy#1"/>
    <dgm:cxn modelId="{39F5376A-D05A-42A7-958F-67BC151CC609}" type="presOf" srcId="{3BB065A2-6BF9-415A-BF0B-686E31447CAB}" destId="{303F8CA4-8268-4F2B-9D07-3A23D06E1167}" srcOrd="0" destOrd="0" presId="urn:microsoft.com/office/officeart/2008/layout/HorizontalMultiLevelHierarchy#1"/>
    <dgm:cxn modelId="{B30AEDB2-35E8-4B5B-918B-FCD80AB23083}" type="presOf" srcId="{8F0104CC-4532-4896-AA38-AE516F13ED46}" destId="{C0E66397-0A41-4F35-ADAB-C6A32C4658EE}" srcOrd="0" destOrd="0" presId="urn:microsoft.com/office/officeart/2008/layout/HorizontalMultiLevelHierarchy#1"/>
    <dgm:cxn modelId="{B93D62C0-8E4A-4975-ABAC-405D4E6C610D}" type="presOf" srcId="{0E9A5F03-C302-4C0B-9BDC-FE99FFF0AA70}" destId="{4DFCAA8B-374B-42D9-B17D-8560200E3230}" srcOrd="0" destOrd="0" presId="urn:microsoft.com/office/officeart/2008/layout/HorizontalMultiLevelHierarchy#1"/>
    <dgm:cxn modelId="{2D8041DA-46CF-484E-A792-AA65AB008DFB}" type="presOf" srcId="{98082BC1-8965-45FC-A72E-074C2155C4E4}" destId="{6AA48C3C-C92A-40BD-A942-8A3AE8DBA459}" srcOrd="0" destOrd="0" presId="urn:microsoft.com/office/officeart/2008/layout/HorizontalMultiLevelHierarchy#1"/>
    <dgm:cxn modelId="{BC70C3E0-7462-4F2A-AA46-BB1646315D37}" srcId="{8F0104CC-4532-4896-AA38-AE516F13ED46}" destId="{0FD608D9-4039-47EF-9AD0-9DCDEBD9370E}" srcOrd="0" destOrd="0" parTransId="{92FF6C93-3F92-4A53-B66C-FD00B0B6839E}" sibTransId="{85E94D12-FD48-48CA-9F57-824B643AF0A6}"/>
    <dgm:cxn modelId="{11B60FE3-6915-4162-896E-1F0A13CA6F51}" type="presOf" srcId="{618DEC21-40DE-4176-A49E-821E804EC7EE}" destId="{61D20FD1-9EA8-4D04-8F53-E4C3F879F6F7}" srcOrd="0" destOrd="0" presId="urn:microsoft.com/office/officeart/2008/layout/HorizontalMultiLevelHierarchy#1"/>
    <dgm:cxn modelId="{9BB809EC-D515-4305-9BEB-B8C23C65CD6C}" srcId="{8F0104CC-4532-4896-AA38-AE516F13ED46}" destId="{0E9A5F03-C302-4C0B-9BDC-FE99FFF0AA70}" srcOrd="1" destOrd="0" parTransId="{618DEC21-40DE-4176-A49E-821E804EC7EE}" sibTransId="{C80DCE00-35DB-4CD8-BCAD-E05A7345221C}"/>
    <dgm:cxn modelId="{C70C5F21-0AAA-4547-8A92-94C61596FA4C}" type="presParOf" srcId="{4797C51E-7F78-497E-B312-4F5AC46DDCD7}" destId="{37B847E6-7C8A-40FE-A580-99621EE118DA}" srcOrd="0" destOrd="0" presId="urn:microsoft.com/office/officeart/2008/layout/HorizontalMultiLevelHierarchy#1"/>
    <dgm:cxn modelId="{1FA08126-E803-4A61-85C0-B4837DE00A0D}" type="presParOf" srcId="{37B847E6-7C8A-40FE-A580-99621EE118DA}" destId="{C0E66397-0A41-4F35-ADAB-C6A32C4658EE}" srcOrd="0" destOrd="0" presId="urn:microsoft.com/office/officeart/2008/layout/HorizontalMultiLevelHierarchy#1"/>
    <dgm:cxn modelId="{A8FC8CF9-BC56-4C6F-82F1-044C324584DA}" type="presParOf" srcId="{37B847E6-7C8A-40FE-A580-99621EE118DA}" destId="{E9DEFD3B-CDC4-45A3-BBB2-ED3B1C13A56D}" srcOrd="1" destOrd="0" presId="urn:microsoft.com/office/officeart/2008/layout/HorizontalMultiLevelHierarchy#1"/>
    <dgm:cxn modelId="{B972BFBD-4B83-44B5-B009-9760A5557286}" type="presParOf" srcId="{E9DEFD3B-CDC4-45A3-BBB2-ED3B1C13A56D}" destId="{8BB9481E-5D1D-45C3-A43D-48EA38FCE84F}" srcOrd="0" destOrd="0" presId="urn:microsoft.com/office/officeart/2008/layout/HorizontalMultiLevelHierarchy#1"/>
    <dgm:cxn modelId="{304F4510-366D-4CB3-8D03-4BD21915700A}" type="presParOf" srcId="{8BB9481E-5D1D-45C3-A43D-48EA38FCE84F}" destId="{C1B1B5A3-90FC-4FB7-B2F8-71DD415475B2}" srcOrd="0" destOrd="0" presId="urn:microsoft.com/office/officeart/2008/layout/HorizontalMultiLevelHierarchy#1"/>
    <dgm:cxn modelId="{619A30BA-2CC2-42B7-B3D4-348339D19EBE}" type="presParOf" srcId="{E9DEFD3B-CDC4-45A3-BBB2-ED3B1C13A56D}" destId="{C594D07D-A0FB-4AFC-ABBB-E6973C2C93B5}" srcOrd="1" destOrd="0" presId="urn:microsoft.com/office/officeart/2008/layout/HorizontalMultiLevelHierarchy#1"/>
    <dgm:cxn modelId="{F88E23CE-3108-438C-97E8-8ADF7A1F24AF}" type="presParOf" srcId="{C594D07D-A0FB-4AFC-ABBB-E6973C2C93B5}" destId="{17EC06C4-3A65-41B4-B911-83839D8FC458}" srcOrd="0" destOrd="0" presId="urn:microsoft.com/office/officeart/2008/layout/HorizontalMultiLevelHierarchy#1"/>
    <dgm:cxn modelId="{6216A520-5F38-45A9-843E-9B251730BF19}" type="presParOf" srcId="{C594D07D-A0FB-4AFC-ABBB-E6973C2C93B5}" destId="{C169707C-7BCA-49EB-B87B-B13AC61D52EE}" srcOrd="1" destOrd="0" presId="urn:microsoft.com/office/officeart/2008/layout/HorizontalMultiLevelHierarchy#1"/>
    <dgm:cxn modelId="{74C207E7-D618-496C-B7FD-EEA3ADF89F5F}" type="presParOf" srcId="{E9DEFD3B-CDC4-45A3-BBB2-ED3B1C13A56D}" destId="{61D20FD1-9EA8-4D04-8F53-E4C3F879F6F7}" srcOrd="2" destOrd="0" presId="urn:microsoft.com/office/officeart/2008/layout/HorizontalMultiLevelHierarchy#1"/>
    <dgm:cxn modelId="{DB6DF374-5882-4AEB-A11D-44587EEC368E}" type="presParOf" srcId="{61D20FD1-9EA8-4D04-8F53-E4C3F879F6F7}" destId="{1492FF11-30AD-4A74-A801-6256F8CD1698}" srcOrd="0" destOrd="0" presId="urn:microsoft.com/office/officeart/2008/layout/HorizontalMultiLevelHierarchy#1"/>
    <dgm:cxn modelId="{CF0A7E78-70B6-4FA5-8592-956183871A5A}" type="presParOf" srcId="{E9DEFD3B-CDC4-45A3-BBB2-ED3B1C13A56D}" destId="{72127758-B2CC-4EAB-8B7F-778467D3C2E6}" srcOrd="3" destOrd="0" presId="urn:microsoft.com/office/officeart/2008/layout/HorizontalMultiLevelHierarchy#1"/>
    <dgm:cxn modelId="{5E9BB353-4F13-4CE1-B607-737E834E3318}" type="presParOf" srcId="{72127758-B2CC-4EAB-8B7F-778467D3C2E6}" destId="{4DFCAA8B-374B-42D9-B17D-8560200E3230}" srcOrd="0" destOrd="0" presId="urn:microsoft.com/office/officeart/2008/layout/HorizontalMultiLevelHierarchy#1"/>
    <dgm:cxn modelId="{BA917B5B-5DA0-42E0-AE47-A54DFBC0ED6E}" type="presParOf" srcId="{72127758-B2CC-4EAB-8B7F-778467D3C2E6}" destId="{53ED54C9-C348-43DA-A22D-8712CED43F34}" srcOrd="1" destOrd="0" presId="urn:microsoft.com/office/officeart/2008/layout/HorizontalMultiLevelHierarchy#1"/>
    <dgm:cxn modelId="{C66E0528-285F-43D1-8A9F-3EB674735389}" type="presParOf" srcId="{E9DEFD3B-CDC4-45A3-BBB2-ED3B1C13A56D}" destId="{6AA48C3C-C92A-40BD-A942-8A3AE8DBA459}" srcOrd="4" destOrd="0" presId="urn:microsoft.com/office/officeart/2008/layout/HorizontalMultiLevelHierarchy#1"/>
    <dgm:cxn modelId="{7E5A52EC-85ED-4A85-809A-8F4CCEF20147}" type="presParOf" srcId="{6AA48C3C-C92A-40BD-A942-8A3AE8DBA459}" destId="{6FF1575E-F4C8-4D0D-B0BE-7E39899C6BA3}" srcOrd="0" destOrd="0" presId="urn:microsoft.com/office/officeart/2008/layout/HorizontalMultiLevelHierarchy#1"/>
    <dgm:cxn modelId="{F0474856-6899-4F2F-84AF-D63E1A1573E7}" type="presParOf" srcId="{E9DEFD3B-CDC4-45A3-BBB2-ED3B1C13A56D}" destId="{D9015913-359C-4750-9A7E-A021FBBB5DEE}" srcOrd="5" destOrd="0" presId="urn:microsoft.com/office/officeart/2008/layout/HorizontalMultiLevelHierarchy#1"/>
    <dgm:cxn modelId="{35AF5C23-2E7E-48E2-AB65-830A02478DF5}" type="presParOf" srcId="{D9015913-359C-4750-9A7E-A021FBBB5DEE}" destId="{303F8CA4-8268-4F2B-9D07-3A23D06E1167}" srcOrd="0" destOrd="0" presId="urn:microsoft.com/office/officeart/2008/layout/HorizontalMultiLevelHierarchy#1"/>
    <dgm:cxn modelId="{CBB93A75-4616-4211-9A0A-783AC32BB6E1}" type="presParOf" srcId="{D9015913-359C-4750-9A7E-A021FBBB5DEE}" destId="{5D37E70D-A223-424F-87F2-AA595DD95E6B}" srcOrd="1" destOrd="0" presId="urn:microsoft.com/office/officeart/2008/layout/HorizontalMultiLevel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318034-71BD-481D-80EB-2E49835EF9C2}">
      <dsp:nvSpPr>
        <dsp:cNvPr id="0" name=""/>
        <dsp:cNvSpPr/>
      </dsp:nvSpPr>
      <dsp:spPr>
        <a:xfrm>
          <a:off x="991053" y="2403"/>
          <a:ext cx="1763486" cy="8817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b="1" kern="1200">
              <a:latin typeface="Times New Roman" panose="02020603050405020304" charset="0"/>
              <a:cs typeface="Times New Roman" panose="02020603050405020304" charset="0"/>
            </a:rPr>
            <a:t>Кластерний заклад охорони здоров'я</a:t>
          </a:r>
        </a:p>
      </dsp:txBody>
      <dsp:txXfrm>
        <a:off x="1016878" y="28228"/>
        <a:ext cx="1711836" cy="830093"/>
      </dsp:txXfrm>
    </dsp:sp>
    <dsp:sp modelId="{19473818-CFFE-42C5-9A9E-55A337D2F3CE}">
      <dsp:nvSpPr>
        <dsp:cNvPr id="0" name=""/>
        <dsp:cNvSpPr/>
      </dsp:nvSpPr>
      <dsp:spPr>
        <a:xfrm>
          <a:off x="1167401" y="884146"/>
          <a:ext cx="176348" cy="661307"/>
        </a:xfrm>
        <a:custGeom>
          <a:avLst/>
          <a:gdLst/>
          <a:ahLst/>
          <a:cxnLst/>
          <a:rect l="0" t="0" r="0" b="0"/>
          <a:pathLst>
            <a:path>
              <a:moveTo>
                <a:pt x="0" y="0"/>
              </a:moveTo>
              <a:lnTo>
                <a:pt x="0" y="661307"/>
              </a:lnTo>
              <a:lnTo>
                <a:pt x="176348" y="66130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BD3FC1-CB7B-4FF2-BD7B-0E2B82010C4D}">
      <dsp:nvSpPr>
        <dsp:cNvPr id="0" name=""/>
        <dsp:cNvSpPr/>
      </dsp:nvSpPr>
      <dsp:spPr>
        <a:xfrm>
          <a:off x="1343750" y="1104582"/>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Багато-профільний лікарняний заклад</a:t>
          </a:r>
        </a:p>
      </dsp:txBody>
      <dsp:txXfrm>
        <a:off x="1369575" y="1130407"/>
        <a:ext cx="1359138" cy="830093"/>
      </dsp:txXfrm>
    </dsp:sp>
    <dsp:sp modelId="{C5558A96-B072-47AF-A924-466FCEA9F7DD}">
      <dsp:nvSpPr>
        <dsp:cNvPr id="0" name=""/>
        <dsp:cNvSpPr/>
      </dsp:nvSpPr>
      <dsp:spPr>
        <a:xfrm>
          <a:off x="1167401" y="884146"/>
          <a:ext cx="176348" cy="1763486"/>
        </a:xfrm>
        <a:custGeom>
          <a:avLst/>
          <a:gdLst/>
          <a:ahLst/>
          <a:cxnLst/>
          <a:rect l="0" t="0" r="0" b="0"/>
          <a:pathLst>
            <a:path>
              <a:moveTo>
                <a:pt x="0" y="0"/>
              </a:moveTo>
              <a:lnTo>
                <a:pt x="0" y="1763486"/>
              </a:lnTo>
              <a:lnTo>
                <a:pt x="176348" y="17634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1B95A8A-773B-4E89-804C-D5CA92E6D915}">
      <dsp:nvSpPr>
        <dsp:cNvPr id="0" name=""/>
        <dsp:cNvSpPr/>
      </dsp:nvSpPr>
      <dsp:spPr>
        <a:xfrm>
          <a:off x="1343750" y="2206760"/>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Найпоширеніші захворювання</a:t>
          </a:r>
        </a:p>
      </dsp:txBody>
      <dsp:txXfrm>
        <a:off x="1369575" y="2232585"/>
        <a:ext cx="1359138" cy="830093"/>
      </dsp:txXfrm>
    </dsp:sp>
    <dsp:sp modelId="{7DC637E0-1610-4282-A270-1460A8B6A685}">
      <dsp:nvSpPr>
        <dsp:cNvPr id="0" name=""/>
        <dsp:cNvSpPr/>
      </dsp:nvSpPr>
      <dsp:spPr>
        <a:xfrm>
          <a:off x="1167401" y="884146"/>
          <a:ext cx="176348" cy="2865665"/>
        </a:xfrm>
        <a:custGeom>
          <a:avLst/>
          <a:gdLst/>
          <a:ahLst/>
          <a:cxnLst/>
          <a:rect l="0" t="0" r="0" b="0"/>
          <a:pathLst>
            <a:path>
              <a:moveTo>
                <a:pt x="0" y="0"/>
              </a:moveTo>
              <a:lnTo>
                <a:pt x="0" y="2865665"/>
              </a:lnTo>
              <a:lnTo>
                <a:pt x="176348" y="28656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B7972B-E8E1-4BDD-B839-C21D2D490130}">
      <dsp:nvSpPr>
        <dsp:cNvPr id="0" name=""/>
        <dsp:cNvSpPr/>
      </dsp:nvSpPr>
      <dsp:spPr>
        <a:xfrm>
          <a:off x="1343750" y="3308939"/>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Стаціонарні умови</a:t>
          </a:r>
        </a:p>
      </dsp:txBody>
      <dsp:txXfrm>
        <a:off x="1369575" y="3334764"/>
        <a:ext cx="1359138" cy="830093"/>
      </dsp:txXfrm>
    </dsp:sp>
    <dsp:sp modelId="{A8E27111-6AF4-4DFC-A3F2-ECCD3862ABF0}">
      <dsp:nvSpPr>
        <dsp:cNvPr id="0" name=""/>
        <dsp:cNvSpPr/>
      </dsp:nvSpPr>
      <dsp:spPr>
        <a:xfrm>
          <a:off x="3195410" y="2403"/>
          <a:ext cx="1763486" cy="88174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20320" rIns="30480" bIns="20320" numCol="1" spcCol="1270" anchor="ctr" anchorCtr="0">
          <a:noAutofit/>
        </a:bodyPr>
        <a:lstStyle/>
        <a:p>
          <a:pPr marL="0" lvl="0" indent="0" algn="ctr" defTabSz="711200">
            <a:lnSpc>
              <a:spcPct val="90000"/>
            </a:lnSpc>
            <a:spcBef>
              <a:spcPct val="0"/>
            </a:spcBef>
            <a:spcAft>
              <a:spcPct val="35000"/>
            </a:spcAft>
            <a:buNone/>
          </a:pPr>
          <a:r>
            <a:rPr lang="ru-RU" sz="1600" b="1" kern="1200">
              <a:latin typeface="Times New Roman" panose="02020603050405020304" charset="0"/>
              <a:cs typeface="Times New Roman" panose="02020603050405020304" charset="0"/>
            </a:rPr>
            <a:t>Надкластерний заклад охорони здоров'я</a:t>
          </a:r>
        </a:p>
      </dsp:txBody>
      <dsp:txXfrm>
        <a:off x="3221235" y="28228"/>
        <a:ext cx="1711836" cy="830093"/>
      </dsp:txXfrm>
    </dsp:sp>
    <dsp:sp modelId="{168F0097-6C9B-4947-9E90-A976A5B0C285}">
      <dsp:nvSpPr>
        <dsp:cNvPr id="0" name=""/>
        <dsp:cNvSpPr/>
      </dsp:nvSpPr>
      <dsp:spPr>
        <a:xfrm>
          <a:off x="3371759" y="884146"/>
          <a:ext cx="176348" cy="661307"/>
        </a:xfrm>
        <a:custGeom>
          <a:avLst/>
          <a:gdLst/>
          <a:ahLst/>
          <a:cxnLst/>
          <a:rect l="0" t="0" r="0" b="0"/>
          <a:pathLst>
            <a:path>
              <a:moveTo>
                <a:pt x="0" y="0"/>
              </a:moveTo>
              <a:lnTo>
                <a:pt x="0" y="661307"/>
              </a:lnTo>
              <a:lnTo>
                <a:pt x="176348" y="66130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C60356-8A20-44DF-9FCD-549EF7FD0473}">
      <dsp:nvSpPr>
        <dsp:cNvPr id="0" name=""/>
        <dsp:cNvSpPr/>
      </dsp:nvSpPr>
      <dsp:spPr>
        <a:xfrm>
          <a:off x="3548108" y="1104582"/>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Багато-профільний лікарняний заклад</a:t>
          </a:r>
        </a:p>
      </dsp:txBody>
      <dsp:txXfrm>
        <a:off x="3573933" y="1130407"/>
        <a:ext cx="1359138" cy="830093"/>
      </dsp:txXfrm>
    </dsp:sp>
    <dsp:sp modelId="{73C22FD7-DB11-4361-BF7A-9C80636C7B18}">
      <dsp:nvSpPr>
        <dsp:cNvPr id="0" name=""/>
        <dsp:cNvSpPr/>
      </dsp:nvSpPr>
      <dsp:spPr>
        <a:xfrm>
          <a:off x="3371759" y="884146"/>
          <a:ext cx="176348" cy="1763486"/>
        </a:xfrm>
        <a:custGeom>
          <a:avLst/>
          <a:gdLst/>
          <a:ahLst/>
          <a:cxnLst/>
          <a:rect l="0" t="0" r="0" b="0"/>
          <a:pathLst>
            <a:path>
              <a:moveTo>
                <a:pt x="0" y="0"/>
              </a:moveTo>
              <a:lnTo>
                <a:pt x="0" y="1763486"/>
              </a:lnTo>
              <a:lnTo>
                <a:pt x="176348" y="17634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22DBE7D-7E49-4388-BF46-3EB508844117}">
      <dsp:nvSpPr>
        <dsp:cNvPr id="0" name=""/>
        <dsp:cNvSpPr/>
      </dsp:nvSpPr>
      <dsp:spPr>
        <a:xfrm>
          <a:off x="3548108" y="2206760"/>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Наявні ресурси та технології</a:t>
          </a:r>
        </a:p>
      </dsp:txBody>
      <dsp:txXfrm>
        <a:off x="3573933" y="2232585"/>
        <a:ext cx="1359138" cy="830093"/>
      </dsp:txXfrm>
    </dsp:sp>
    <dsp:sp modelId="{65E8FEF9-14DB-478A-9591-C22CD1665A80}">
      <dsp:nvSpPr>
        <dsp:cNvPr id="0" name=""/>
        <dsp:cNvSpPr/>
      </dsp:nvSpPr>
      <dsp:spPr>
        <a:xfrm>
          <a:off x="3371759" y="884146"/>
          <a:ext cx="176348" cy="2865665"/>
        </a:xfrm>
        <a:custGeom>
          <a:avLst/>
          <a:gdLst/>
          <a:ahLst/>
          <a:cxnLst/>
          <a:rect l="0" t="0" r="0" b="0"/>
          <a:pathLst>
            <a:path>
              <a:moveTo>
                <a:pt x="0" y="0"/>
              </a:moveTo>
              <a:lnTo>
                <a:pt x="0" y="2865665"/>
              </a:lnTo>
              <a:lnTo>
                <a:pt x="176348" y="28656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09A40C-A098-43E4-BD31-118277A4C9B1}">
      <dsp:nvSpPr>
        <dsp:cNvPr id="0" name=""/>
        <dsp:cNvSpPr/>
      </dsp:nvSpPr>
      <dsp:spPr>
        <a:xfrm>
          <a:off x="3548108" y="3308939"/>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Стаціонарні умови</a:t>
          </a:r>
        </a:p>
      </dsp:txBody>
      <dsp:txXfrm>
        <a:off x="3573933" y="3334764"/>
        <a:ext cx="1359138" cy="830093"/>
      </dsp:txXfrm>
    </dsp:sp>
    <dsp:sp modelId="{50FFD542-2625-441F-BF70-412FE064C0A6}">
      <dsp:nvSpPr>
        <dsp:cNvPr id="0" name=""/>
        <dsp:cNvSpPr/>
      </dsp:nvSpPr>
      <dsp:spPr>
        <a:xfrm>
          <a:off x="3371759" y="884146"/>
          <a:ext cx="176348" cy="3967843"/>
        </a:xfrm>
        <a:custGeom>
          <a:avLst/>
          <a:gdLst/>
          <a:ahLst/>
          <a:cxnLst/>
          <a:rect l="0" t="0" r="0" b="0"/>
          <a:pathLst>
            <a:path>
              <a:moveTo>
                <a:pt x="0" y="0"/>
              </a:moveTo>
              <a:lnTo>
                <a:pt x="0" y="3967843"/>
              </a:lnTo>
              <a:lnTo>
                <a:pt x="176348" y="396784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5567E1-6231-4FA2-9796-4E62387E1C90}">
      <dsp:nvSpPr>
        <dsp:cNvPr id="0" name=""/>
        <dsp:cNvSpPr/>
      </dsp:nvSpPr>
      <dsp:spPr>
        <a:xfrm>
          <a:off x="3548108" y="4411118"/>
          <a:ext cx="1410788" cy="88174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charset="0"/>
              <a:cs typeface="Times New Roman" panose="02020603050405020304" charset="0"/>
            </a:rPr>
            <a:t>Складні випадки захворювань пацієнтів</a:t>
          </a:r>
        </a:p>
      </dsp:txBody>
      <dsp:txXfrm>
        <a:off x="3573933" y="4436943"/>
        <a:ext cx="1359138" cy="83009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A48C3C-C92A-40BD-A942-8A3AE8DBA459}">
      <dsp:nvSpPr>
        <dsp:cNvPr id="0" name=""/>
        <dsp:cNvSpPr/>
      </dsp:nvSpPr>
      <dsp:spPr>
        <a:xfrm>
          <a:off x="2504253" y="1597025"/>
          <a:ext cx="398106" cy="758586"/>
        </a:xfrm>
        <a:custGeom>
          <a:avLst/>
          <a:gdLst/>
          <a:ahLst/>
          <a:cxnLst/>
          <a:rect l="0" t="0" r="0" b="0"/>
          <a:pathLst>
            <a:path>
              <a:moveTo>
                <a:pt x="0" y="0"/>
              </a:moveTo>
              <a:lnTo>
                <a:pt x="199053" y="0"/>
              </a:lnTo>
              <a:lnTo>
                <a:pt x="199053" y="758586"/>
              </a:lnTo>
              <a:lnTo>
                <a:pt x="398106" y="75858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atin typeface="Times New Roman" panose="02020603050405020304" charset="0"/>
            <a:cs typeface="Times New Roman" panose="02020603050405020304" charset="0"/>
          </a:endParaRPr>
        </a:p>
      </dsp:txBody>
      <dsp:txXfrm>
        <a:off x="2681889" y="1954900"/>
        <a:ext cx="42835" cy="42835"/>
      </dsp:txXfrm>
    </dsp:sp>
    <dsp:sp modelId="{61D20FD1-9EA8-4D04-8F53-E4C3F879F6F7}">
      <dsp:nvSpPr>
        <dsp:cNvPr id="0" name=""/>
        <dsp:cNvSpPr/>
      </dsp:nvSpPr>
      <dsp:spPr>
        <a:xfrm>
          <a:off x="2504253" y="1551304"/>
          <a:ext cx="398106" cy="91440"/>
        </a:xfrm>
        <a:custGeom>
          <a:avLst/>
          <a:gdLst/>
          <a:ahLst/>
          <a:cxnLst/>
          <a:rect l="0" t="0" r="0" b="0"/>
          <a:pathLst>
            <a:path>
              <a:moveTo>
                <a:pt x="0" y="45720"/>
              </a:moveTo>
              <a:lnTo>
                <a:pt x="398106"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atin typeface="Times New Roman" panose="02020603050405020304" charset="0"/>
            <a:cs typeface="Times New Roman" panose="02020603050405020304" charset="0"/>
          </a:endParaRPr>
        </a:p>
      </dsp:txBody>
      <dsp:txXfrm>
        <a:off x="2693354" y="1587072"/>
        <a:ext cx="19905" cy="19905"/>
      </dsp:txXfrm>
    </dsp:sp>
    <dsp:sp modelId="{8BB9481E-5D1D-45C3-A43D-48EA38FCE84F}">
      <dsp:nvSpPr>
        <dsp:cNvPr id="0" name=""/>
        <dsp:cNvSpPr/>
      </dsp:nvSpPr>
      <dsp:spPr>
        <a:xfrm>
          <a:off x="2504253" y="838438"/>
          <a:ext cx="398106" cy="758586"/>
        </a:xfrm>
        <a:custGeom>
          <a:avLst/>
          <a:gdLst/>
          <a:ahLst/>
          <a:cxnLst/>
          <a:rect l="0" t="0" r="0" b="0"/>
          <a:pathLst>
            <a:path>
              <a:moveTo>
                <a:pt x="0" y="758586"/>
              </a:moveTo>
              <a:lnTo>
                <a:pt x="199053" y="758586"/>
              </a:lnTo>
              <a:lnTo>
                <a:pt x="199053" y="0"/>
              </a:lnTo>
              <a:lnTo>
                <a:pt x="398106"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latin typeface="Times New Roman" panose="02020603050405020304" charset="0"/>
            <a:cs typeface="Times New Roman" panose="02020603050405020304" charset="0"/>
          </a:endParaRPr>
        </a:p>
      </dsp:txBody>
      <dsp:txXfrm>
        <a:off x="2681889" y="1196313"/>
        <a:ext cx="42835" cy="42835"/>
      </dsp:txXfrm>
    </dsp:sp>
    <dsp:sp modelId="{C0E66397-0A41-4F35-ADAB-C6A32C4658EE}">
      <dsp:nvSpPr>
        <dsp:cNvPr id="0" name=""/>
        <dsp:cNvSpPr/>
      </dsp:nvSpPr>
      <dsp:spPr>
        <a:xfrm rot="16200000">
          <a:off x="201093" y="890889"/>
          <a:ext cx="3194050" cy="14122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marL="0" lvl="0" indent="0" algn="ctr" defTabSz="1111250">
            <a:lnSpc>
              <a:spcPct val="90000"/>
            </a:lnSpc>
            <a:spcBef>
              <a:spcPct val="0"/>
            </a:spcBef>
            <a:spcAft>
              <a:spcPct val="35000"/>
            </a:spcAft>
            <a:buNone/>
          </a:pPr>
          <a:r>
            <a:rPr lang="ru-RU" sz="2500" b="1" kern="1200">
              <a:latin typeface="Times New Roman" panose="02020603050405020304" charset="0"/>
              <a:cs typeface="Times New Roman" panose="02020603050405020304" charset="0"/>
            </a:rPr>
            <a:t>Моделі публічно-приватного партнерства у сфері охорони здоров'я</a:t>
          </a:r>
        </a:p>
      </dsp:txBody>
      <dsp:txXfrm>
        <a:off x="201093" y="890889"/>
        <a:ext cx="3194050" cy="1412270"/>
      </dsp:txXfrm>
    </dsp:sp>
    <dsp:sp modelId="{17EC06C4-3A65-41B4-B911-83839D8FC458}">
      <dsp:nvSpPr>
        <dsp:cNvPr id="0" name=""/>
        <dsp:cNvSpPr/>
      </dsp:nvSpPr>
      <dsp:spPr>
        <a:xfrm>
          <a:off x="2902359" y="535003"/>
          <a:ext cx="1990531" cy="6068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Спеціалізовані діагностично-клінічні послуги</a:t>
          </a:r>
        </a:p>
      </dsp:txBody>
      <dsp:txXfrm>
        <a:off x="2902359" y="535003"/>
        <a:ext cx="1990531" cy="606869"/>
      </dsp:txXfrm>
    </dsp:sp>
    <dsp:sp modelId="{4DFCAA8B-374B-42D9-B17D-8560200E3230}">
      <dsp:nvSpPr>
        <dsp:cNvPr id="0" name=""/>
        <dsp:cNvSpPr/>
      </dsp:nvSpPr>
      <dsp:spPr>
        <a:xfrm>
          <a:off x="2902359" y="1293590"/>
          <a:ext cx="1990531" cy="6068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Заклади охорони здоров'я</a:t>
          </a:r>
        </a:p>
      </dsp:txBody>
      <dsp:txXfrm>
        <a:off x="2902359" y="1293590"/>
        <a:ext cx="1990531" cy="606869"/>
      </dsp:txXfrm>
    </dsp:sp>
    <dsp:sp modelId="{303F8CA4-8268-4F2B-9D07-3A23D06E1167}">
      <dsp:nvSpPr>
        <dsp:cNvPr id="0" name=""/>
        <dsp:cNvSpPr/>
      </dsp:nvSpPr>
      <dsp:spPr>
        <a:xfrm>
          <a:off x="2902359" y="2052177"/>
          <a:ext cx="1990531" cy="60686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b="1" kern="1200">
              <a:latin typeface="Times New Roman" panose="02020603050405020304" charset="0"/>
              <a:cs typeface="Times New Roman" panose="02020603050405020304" charset="0"/>
            </a:rPr>
            <a:t>Інтегрована модель публічно-приватного партнерства</a:t>
          </a:r>
        </a:p>
      </dsp:txBody>
      <dsp:txXfrm>
        <a:off x="2902359" y="2052177"/>
        <a:ext cx="1990531" cy="60686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1">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linDir" val="fromT"/>
              <dgm:param type="chAlign" val="l"/>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srcNode" val="rootConnector"/>
                        <dgm:param type="dim" val="1D"/>
                        <dgm:param type="endSty" val="noArr"/>
                        <dgm:param type="connRout" val="bend"/>
                        <dgm:param type="begPts" val="bCtr"/>
                        <dgm:param type="endPts" val="midL"/>
                      </dgm:alg>
                    </dgm:if>
                    <dgm:else name="Name16">
                      <dgm:alg type="conn">
                        <dgm:param type="srcNode" val="rootConnector"/>
                        <dgm:param type="dim" val="1D"/>
                        <dgm:param type="endSty" val="noArr"/>
                        <dgm:param type="connRout" val="bend"/>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1">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endSty" val="noArr"/>
                        <dgm:param type="connRout" val="bend"/>
                        <dgm:param type="begPts" val="midR"/>
                        <dgm:param type="endPts" val="midL"/>
                      </dgm:alg>
                    </dgm:if>
                    <dgm:else name="Name18">
                      <dgm:alg type="conn">
                        <dgm:param type="dim" val="1D"/>
                        <dgm:param type="endSty" val="noArr"/>
                        <dgm:param type="connRout" val="bend"/>
                        <dgm:param type="begPts" val="midL"/>
                        <dgm:param type="endPts" val="midR"/>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Info spid="_x0000_s1083"/>
    <customShpInfo spid="_x0000_s1084"/>
    <customShpInfo spid="_x0000_s1085"/>
    <customShpInfo spid="_x0000_s1086"/>
    <customShpInfo spid="_x0000_s1087"/>
    <customShpInfo spid="_x0000_s1088"/>
    <customShpInfo spid="_x0000_s1089"/>
    <customShpInfo spid="_x0000_s1090"/>
    <customShpInfo spid="_x0000_s1091"/>
    <customShpInfo spid="_x0000_s1092"/>
    <customShpInfo spid="_x0000_s1093"/>
    <customShpInfo spid="_x0000_s1094"/>
    <customShpInfo spid="_x0000_s1095"/>
    <customShpInfo spid="_x0000_s1096"/>
    <customShpInfo spid="_x0000_s1097"/>
    <customShpInfo spid="_x0000_s1098"/>
    <customShpInfo spid="_x0000_s1099"/>
    <customShpInfo spid="_x0000_s1100"/>
    <customShpInfo spid="_x0000_s1101"/>
    <customShpInfo spid="_x0000_s1102"/>
    <customShpInfo spid="_x0000_s1103"/>
    <customShpInfo spid="_x0000_s1104"/>
    <customShpInfo spid="_x0000_s1066"/>
  </customShpExts>
</s:customData>
</file>

<file path=customXml/itemProps1.xml><?xml version="1.0" encoding="utf-8"?>
<ds:datastoreItem xmlns:ds="http://schemas.openxmlformats.org/officeDocument/2006/customXml" ds:itemID="{0F991C51-762C-42E6-9AFF-9BC21B579AD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110</Pages>
  <Words>28662</Words>
  <Characters>163377</Characters>
  <Application>Microsoft Office Word</Application>
  <DocSecurity>0</DocSecurity>
  <Lines>1361</Lines>
  <Paragraphs>383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Галія Галіївна Гурш</cp:lastModifiedBy>
  <cp:revision>2</cp:revision>
  <dcterms:created xsi:type="dcterms:W3CDTF">2026-04-10T05:50:00Z</dcterms:created>
  <dcterms:modified xsi:type="dcterms:W3CDTF">2026-04-10T05:50:00Z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E86F6A45A0284E61B6B259BA67061111_12</vt:lpwstr>
  </property>
  <property fmtid="{D5CDD505-2E9C-101B-9397-08002B2CF9AE}" pid="4" name="GrammarlyDocumentId">
    <vt:lpwstr>c3d7c731-a757-4dee-a3f1-1ad0a1a06620</vt:lpwstr>
  </property>
</Properties>
</file>