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278BDE" w14:textId="77777777" w:rsidR="00B51242" w:rsidRDefault="008E4E86">
      <w:pPr>
        <w:snapToGrid w:val="0"/>
        <w:jc w:val="center"/>
      </w:pPr>
      <w:bookmarkStart w:id="0" w:name="_GoBack"/>
      <w:bookmarkEnd w:id="0"/>
      <w:r>
        <w:rPr>
          <w:rFonts w:cs="Times New Roman"/>
          <w:b/>
          <w:caps/>
          <w:sz w:val="28"/>
          <w:szCs w:val="28"/>
        </w:rPr>
        <w:t xml:space="preserve">Міністерство ОХОРОНИ ЗДОРОВ’Я України  </w:t>
      </w:r>
    </w:p>
    <w:p w14:paraId="03B12C06" w14:textId="77777777" w:rsidR="00B51242" w:rsidRDefault="008E4E86">
      <w:pPr>
        <w:snapToGrid w:val="0"/>
        <w:jc w:val="center"/>
      </w:pPr>
      <w:r>
        <w:rPr>
          <w:rFonts w:cs="Times New Roman"/>
          <w:b/>
          <w:sz w:val="28"/>
          <w:szCs w:val="28"/>
        </w:rPr>
        <w:t xml:space="preserve">ОДЕСЬКИЙ НАЦІОНАЛЬНИЙ МЕДИЧНИЙ </w:t>
      </w:r>
      <w:r>
        <w:rPr>
          <w:rFonts w:cs="Times New Roman"/>
          <w:b/>
          <w:caps/>
          <w:sz w:val="28"/>
          <w:szCs w:val="28"/>
        </w:rPr>
        <w:t>УНІВЕРСИТЕТ</w:t>
      </w:r>
    </w:p>
    <w:p w14:paraId="672A6659" w14:textId="77777777" w:rsidR="00B51242" w:rsidRDefault="00B51242">
      <w:pPr>
        <w:snapToGrid w:val="0"/>
        <w:spacing w:line="360" w:lineRule="auto"/>
        <w:jc w:val="center"/>
        <w:rPr>
          <w:rFonts w:cs="Times New Roman"/>
          <w:b/>
          <w:sz w:val="28"/>
          <w:szCs w:val="28"/>
        </w:rPr>
      </w:pPr>
    </w:p>
    <w:p w14:paraId="77D93C71" w14:textId="77777777" w:rsidR="00B51242" w:rsidRDefault="008E4E86">
      <w:pPr>
        <w:snapToGrid w:val="0"/>
        <w:spacing w:line="360" w:lineRule="auto"/>
        <w:jc w:val="center"/>
        <w:rPr>
          <w:rFonts w:cs="Times New Roman"/>
          <w:b/>
          <w:sz w:val="28"/>
          <w:szCs w:val="28"/>
        </w:rPr>
      </w:pPr>
      <w:r>
        <w:rPr>
          <w:rFonts w:cs="Times New Roman"/>
          <w:b/>
          <w:sz w:val="28"/>
          <w:szCs w:val="28"/>
        </w:rPr>
        <w:t>Медико-фармацевтичний факультет</w:t>
      </w:r>
    </w:p>
    <w:p w14:paraId="0A37501D" w14:textId="77777777" w:rsidR="00B51242" w:rsidRDefault="00B51242">
      <w:pPr>
        <w:snapToGrid w:val="0"/>
        <w:spacing w:line="276" w:lineRule="auto"/>
        <w:jc w:val="center"/>
        <w:rPr>
          <w:rFonts w:cs="Times New Roman"/>
          <w:sz w:val="28"/>
          <w:szCs w:val="28"/>
        </w:rPr>
      </w:pPr>
    </w:p>
    <w:p w14:paraId="72FF413D" w14:textId="77777777" w:rsidR="00B51242" w:rsidRDefault="008E4E86">
      <w:pPr>
        <w:jc w:val="center"/>
        <w:rPr>
          <w:b/>
          <w:color w:val="000000"/>
          <w:sz w:val="28"/>
          <w:szCs w:val="28"/>
        </w:rPr>
      </w:pPr>
      <w:r>
        <w:rPr>
          <w:b/>
          <w:color w:val="000000"/>
          <w:sz w:val="28"/>
          <w:szCs w:val="28"/>
        </w:rPr>
        <w:t>ГІГА ВОЛОДИМИР ІВАНОВИЧ</w:t>
      </w:r>
    </w:p>
    <w:p w14:paraId="5DAB6C7B" w14:textId="77777777" w:rsidR="00B51242" w:rsidRDefault="00B51242">
      <w:pPr>
        <w:snapToGrid w:val="0"/>
        <w:spacing w:line="276" w:lineRule="auto"/>
        <w:jc w:val="center"/>
        <w:rPr>
          <w:rFonts w:cs="Times New Roman"/>
          <w:b/>
          <w:sz w:val="28"/>
          <w:szCs w:val="28"/>
        </w:rPr>
      </w:pPr>
    </w:p>
    <w:p w14:paraId="7BC9FBD7" w14:textId="77777777" w:rsidR="00B51242" w:rsidRDefault="008E4E86">
      <w:pPr>
        <w:spacing w:line="360" w:lineRule="auto"/>
        <w:jc w:val="center"/>
      </w:pPr>
      <w:r>
        <w:rPr>
          <w:rFonts w:cs="Times New Roman"/>
          <w:b/>
          <w:bCs/>
          <w:sz w:val="28"/>
          <w:szCs w:val="28"/>
        </w:rPr>
        <w:t>ВИКОРИСТАННЯ КОГНІТИВНО-ПОВЕДІНКОВОЇ ТЕРАПІЇ В КОМПЛЕКСІ ПСИХОЛОГІЧНОЇ ПІДТРИМКИ ВІЙСЬКОВОСЛУЖБОВЦІВ ІЗ ПТСР.</w:t>
      </w:r>
    </w:p>
    <w:p w14:paraId="02EB378F" w14:textId="77777777" w:rsidR="00B51242" w:rsidRPr="00D3629B" w:rsidRDefault="00B51242">
      <w:pPr>
        <w:jc w:val="center"/>
        <w:rPr>
          <w:rFonts w:cs="Times New Roman"/>
          <w:sz w:val="28"/>
          <w:szCs w:val="28"/>
          <w:lang w:val="ru-RU"/>
        </w:rPr>
      </w:pPr>
    </w:p>
    <w:p w14:paraId="6A05A809" w14:textId="77777777" w:rsidR="00B51242" w:rsidRPr="00D3629B" w:rsidRDefault="00B51242">
      <w:pPr>
        <w:jc w:val="center"/>
        <w:rPr>
          <w:rFonts w:cs="Times New Roman"/>
          <w:sz w:val="28"/>
          <w:szCs w:val="28"/>
          <w:lang w:val="ru-RU"/>
        </w:rPr>
      </w:pPr>
    </w:p>
    <w:p w14:paraId="18431051" w14:textId="77777777" w:rsidR="00B51242" w:rsidRDefault="008E4E86">
      <w:pPr>
        <w:snapToGrid w:val="0"/>
        <w:jc w:val="center"/>
        <w:rPr>
          <w:rFonts w:cs="Times New Roman"/>
          <w:sz w:val="28"/>
          <w:szCs w:val="28"/>
        </w:rPr>
      </w:pPr>
      <w:r>
        <w:rPr>
          <w:rFonts w:cs="Times New Roman"/>
          <w:sz w:val="28"/>
          <w:szCs w:val="28"/>
        </w:rPr>
        <w:t>Спеціальність 053 «Психологія»</w:t>
      </w:r>
    </w:p>
    <w:p w14:paraId="6E2DC6C3" w14:textId="77777777" w:rsidR="00B51242" w:rsidRDefault="008E4E86">
      <w:pPr>
        <w:snapToGrid w:val="0"/>
        <w:jc w:val="center"/>
        <w:rPr>
          <w:rFonts w:cs="Times New Roman"/>
          <w:sz w:val="28"/>
          <w:szCs w:val="28"/>
        </w:rPr>
      </w:pPr>
      <w:r>
        <w:rPr>
          <w:rFonts w:cs="Times New Roman"/>
          <w:sz w:val="28"/>
          <w:szCs w:val="28"/>
        </w:rPr>
        <w:t>Галузь знань: 05 Соціальні та поведінкові науки</w:t>
      </w:r>
    </w:p>
    <w:p w14:paraId="5A39BBE3" w14:textId="77777777" w:rsidR="00B51242" w:rsidRDefault="00B51242">
      <w:pPr>
        <w:jc w:val="center"/>
        <w:rPr>
          <w:rFonts w:cs="Times New Roman"/>
          <w:b/>
          <w:sz w:val="28"/>
          <w:szCs w:val="28"/>
        </w:rPr>
      </w:pPr>
    </w:p>
    <w:p w14:paraId="317E6ABE" w14:textId="77777777" w:rsidR="00B51242" w:rsidRDefault="008E4E86">
      <w:pPr>
        <w:jc w:val="center"/>
        <w:rPr>
          <w:rFonts w:cs="Times New Roman"/>
          <w:b/>
          <w:sz w:val="28"/>
          <w:szCs w:val="28"/>
        </w:rPr>
      </w:pPr>
      <w:r>
        <w:rPr>
          <w:rFonts w:cs="Times New Roman"/>
          <w:b/>
          <w:sz w:val="28"/>
          <w:szCs w:val="28"/>
        </w:rPr>
        <w:t>Кваліфікаційна робота</w:t>
      </w:r>
    </w:p>
    <w:p w14:paraId="19DF013D" w14:textId="77777777" w:rsidR="00B51242" w:rsidRDefault="008E4E86">
      <w:pPr>
        <w:jc w:val="center"/>
        <w:rPr>
          <w:rFonts w:cs="Times New Roman"/>
          <w:sz w:val="28"/>
          <w:szCs w:val="28"/>
        </w:rPr>
      </w:pPr>
      <w:r>
        <w:rPr>
          <w:rFonts w:cs="Times New Roman"/>
          <w:sz w:val="28"/>
          <w:szCs w:val="28"/>
        </w:rPr>
        <w:t>на здобуття ступеня вищої освіти «магістр»</w:t>
      </w:r>
    </w:p>
    <w:p w14:paraId="41C8F396" w14:textId="77777777" w:rsidR="00B51242" w:rsidRDefault="00B51242">
      <w:pPr>
        <w:jc w:val="center"/>
        <w:rPr>
          <w:rFonts w:cs="Times New Roman"/>
          <w:b/>
          <w:sz w:val="28"/>
          <w:szCs w:val="28"/>
        </w:rPr>
      </w:pPr>
    </w:p>
    <w:p w14:paraId="72A3D3EC" w14:textId="77777777" w:rsidR="00B51242" w:rsidRDefault="00B51242">
      <w:pPr>
        <w:jc w:val="center"/>
        <w:rPr>
          <w:rFonts w:cs="Times New Roman"/>
          <w:b/>
          <w:sz w:val="28"/>
          <w:szCs w:val="28"/>
        </w:rPr>
      </w:pPr>
    </w:p>
    <w:tbl>
      <w:tblPr>
        <w:tblW w:w="5000" w:type="pct"/>
        <w:tblLook w:val="04A0" w:firstRow="1" w:lastRow="0" w:firstColumn="1" w:lastColumn="0" w:noHBand="0" w:noVBand="1"/>
      </w:tblPr>
      <w:tblGrid>
        <w:gridCol w:w="4627"/>
        <w:gridCol w:w="4635"/>
      </w:tblGrid>
      <w:tr w:rsidR="00B51242" w14:paraId="1C12543D" w14:textId="77777777" w:rsidTr="05E59440">
        <w:trPr>
          <w:trHeight w:val="2239"/>
        </w:trPr>
        <w:tc>
          <w:tcPr>
            <w:tcW w:w="4627" w:type="dxa"/>
            <w:shd w:val="clear" w:color="auto" w:fill="auto"/>
          </w:tcPr>
          <w:p w14:paraId="0D0B940D" w14:textId="77777777" w:rsidR="00B51242" w:rsidRDefault="00B51242">
            <w:pPr>
              <w:snapToGrid w:val="0"/>
              <w:spacing w:line="360" w:lineRule="auto"/>
              <w:jc w:val="center"/>
              <w:rPr>
                <w:rFonts w:cs="Times New Roman"/>
                <w:sz w:val="28"/>
                <w:szCs w:val="28"/>
              </w:rPr>
            </w:pPr>
          </w:p>
          <w:p w14:paraId="0E27B00A" w14:textId="77777777" w:rsidR="00B51242" w:rsidRDefault="00B51242">
            <w:pPr>
              <w:snapToGrid w:val="0"/>
              <w:spacing w:line="360" w:lineRule="auto"/>
              <w:jc w:val="center"/>
              <w:rPr>
                <w:rFonts w:cs="Times New Roman"/>
                <w:sz w:val="28"/>
                <w:szCs w:val="28"/>
              </w:rPr>
            </w:pPr>
          </w:p>
        </w:tc>
        <w:tc>
          <w:tcPr>
            <w:tcW w:w="4634" w:type="dxa"/>
            <w:shd w:val="clear" w:color="auto" w:fill="auto"/>
          </w:tcPr>
          <w:p w14:paraId="2A95BDBE" w14:textId="77777777" w:rsidR="00B51242" w:rsidRDefault="008E4E86">
            <w:pPr>
              <w:snapToGrid w:val="0"/>
              <w:rPr>
                <w:rFonts w:cs="Times New Roman"/>
                <w:b/>
                <w:color w:val="000000"/>
                <w:sz w:val="28"/>
                <w:szCs w:val="28"/>
              </w:rPr>
            </w:pPr>
            <w:r>
              <w:rPr>
                <w:rFonts w:cs="Times New Roman"/>
                <w:b/>
                <w:color w:val="000000"/>
                <w:sz w:val="28"/>
                <w:szCs w:val="28"/>
              </w:rPr>
              <w:t xml:space="preserve">Науковий керівник: </w:t>
            </w:r>
          </w:p>
          <w:p w14:paraId="3A488382" w14:textId="77777777" w:rsidR="00B51242" w:rsidRDefault="008E4E86">
            <w:pPr>
              <w:snapToGrid w:val="0"/>
              <w:rPr>
                <w:rFonts w:cs="Times New Roman"/>
                <w:color w:val="000000"/>
                <w:sz w:val="28"/>
                <w:szCs w:val="28"/>
              </w:rPr>
            </w:pPr>
            <w:r>
              <w:rPr>
                <w:rFonts w:cs="Times New Roman"/>
                <w:color w:val="000000"/>
                <w:sz w:val="28"/>
                <w:szCs w:val="28"/>
              </w:rPr>
              <w:t>к.мед.н., доцент Єрмуракі П.П.</w:t>
            </w:r>
          </w:p>
          <w:p w14:paraId="60061E4C" w14:textId="77777777" w:rsidR="00B51242" w:rsidRDefault="00B51242">
            <w:pPr>
              <w:snapToGrid w:val="0"/>
              <w:rPr>
                <w:rFonts w:cs="Times New Roman"/>
                <w:color w:val="000000"/>
                <w:sz w:val="28"/>
                <w:szCs w:val="28"/>
              </w:rPr>
            </w:pPr>
          </w:p>
          <w:p w14:paraId="3CF20B64" w14:textId="77777777" w:rsidR="00B51242" w:rsidRDefault="008E4E86">
            <w:pPr>
              <w:snapToGrid w:val="0"/>
              <w:rPr>
                <w:rFonts w:cs="Times New Roman"/>
                <w:b/>
                <w:color w:val="000000"/>
                <w:sz w:val="28"/>
                <w:szCs w:val="28"/>
              </w:rPr>
            </w:pPr>
            <w:r>
              <w:rPr>
                <w:rFonts w:cs="Times New Roman"/>
                <w:b/>
                <w:color w:val="000000"/>
                <w:sz w:val="28"/>
                <w:szCs w:val="28"/>
              </w:rPr>
              <w:t>Рецензент:</w:t>
            </w:r>
          </w:p>
          <w:p w14:paraId="1937CECB" w14:textId="77777777" w:rsidR="00B51242" w:rsidRDefault="008E4E86">
            <w:pPr>
              <w:snapToGrid w:val="0"/>
              <w:rPr>
                <w:rFonts w:cs="Times New Roman"/>
                <w:color w:val="000000"/>
                <w:sz w:val="28"/>
                <w:szCs w:val="28"/>
                <w:highlight w:val="white"/>
              </w:rPr>
            </w:pPr>
            <w:r>
              <w:rPr>
                <w:rFonts w:cs="Times New Roman"/>
                <w:color w:val="000000"/>
                <w:sz w:val="28"/>
                <w:szCs w:val="28"/>
                <w:highlight w:val="white"/>
              </w:rPr>
              <w:t>к.псих.н., доцент Казарова Г.М.</w:t>
            </w:r>
          </w:p>
        </w:tc>
      </w:tr>
      <w:tr w:rsidR="00B51242" w14:paraId="1B80F9E8" w14:textId="77777777" w:rsidTr="05E59440">
        <w:tc>
          <w:tcPr>
            <w:tcW w:w="4627" w:type="dxa"/>
            <w:shd w:val="clear" w:color="auto" w:fill="auto"/>
            <w:tcMar>
              <w:left w:w="0" w:type="dxa"/>
              <w:right w:w="0" w:type="dxa"/>
            </w:tcMar>
          </w:tcPr>
          <w:p w14:paraId="44EAFD9C" w14:textId="77777777" w:rsidR="00B51242" w:rsidRDefault="00B51242">
            <w:pPr>
              <w:rPr>
                <w:rFonts w:cs="Times New Roman"/>
                <w:sz w:val="28"/>
                <w:szCs w:val="28"/>
                <w:lang w:eastAsia="en-US" w:bidi="ar-SA"/>
              </w:rPr>
            </w:pPr>
          </w:p>
          <w:p w14:paraId="740E333E" w14:textId="77777777" w:rsidR="00B51242" w:rsidRDefault="008E4E86">
            <w:pPr>
              <w:rPr>
                <w:rFonts w:cs="Times New Roman"/>
                <w:sz w:val="28"/>
                <w:szCs w:val="28"/>
                <w:lang w:eastAsia="en-US" w:bidi="ar-SA"/>
              </w:rPr>
            </w:pPr>
            <w:r>
              <w:rPr>
                <w:rFonts w:cs="Times New Roman"/>
                <w:sz w:val="28"/>
                <w:szCs w:val="28"/>
                <w:lang w:eastAsia="en-US" w:bidi="ar-SA"/>
              </w:rPr>
              <w:t xml:space="preserve">Рекомендовано до захисту: </w:t>
            </w:r>
          </w:p>
          <w:p w14:paraId="2F35D349" w14:textId="77777777" w:rsidR="00B51242" w:rsidRDefault="008E4E86">
            <w:pPr>
              <w:rPr>
                <w:rFonts w:cs="Times New Roman"/>
                <w:sz w:val="28"/>
                <w:szCs w:val="28"/>
                <w:lang w:eastAsia="en-US" w:bidi="ar-SA"/>
              </w:rPr>
            </w:pPr>
            <w:r>
              <w:rPr>
                <w:rFonts w:cs="Times New Roman"/>
                <w:sz w:val="28"/>
                <w:szCs w:val="28"/>
                <w:lang w:eastAsia="en-US" w:bidi="ar-SA"/>
              </w:rPr>
              <w:t>Протокол засідання кафедри психіатрії, наркології, мед. психології та психотерапії</w:t>
            </w:r>
          </w:p>
          <w:p w14:paraId="0389025A" w14:textId="77777777" w:rsidR="00B51242" w:rsidRDefault="008E4E86">
            <w:pPr>
              <w:tabs>
                <w:tab w:val="left" w:pos="0"/>
              </w:tabs>
              <w:snapToGrid w:val="0"/>
              <w:spacing w:line="360" w:lineRule="auto"/>
              <w:rPr>
                <w:rFonts w:cs="Times New Roman"/>
                <w:sz w:val="28"/>
                <w:szCs w:val="28"/>
                <w:lang w:eastAsia="en-US" w:bidi="ar-SA"/>
              </w:rPr>
            </w:pPr>
            <w:r>
              <w:rPr>
                <w:rFonts w:cs="Times New Roman"/>
                <w:sz w:val="28"/>
                <w:szCs w:val="28"/>
                <w:lang w:eastAsia="en-US" w:bidi="ar-SA"/>
              </w:rPr>
              <w:t>№ __ від «___» _______ 2025 р.</w:t>
            </w:r>
          </w:p>
          <w:p w14:paraId="7CDACA99" w14:textId="77777777" w:rsidR="00B51242" w:rsidRDefault="008E4E86">
            <w:pPr>
              <w:rPr>
                <w:rFonts w:cs="Times New Roman"/>
                <w:sz w:val="28"/>
                <w:szCs w:val="28"/>
                <w:lang w:eastAsia="en-US" w:bidi="ar-SA"/>
              </w:rPr>
            </w:pPr>
            <w:r>
              <w:rPr>
                <w:rFonts w:cs="Times New Roman"/>
                <w:sz w:val="28"/>
                <w:szCs w:val="28"/>
                <w:lang w:eastAsia="en-US" w:bidi="ar-SA"/>
              </w:rPr>
              <w:t xml:space="preserve">ГАРАНТ ОПП  «Практична психологія» </w:t>
            </w:r>
          </w:p>
          <w:p w14:paraId="4B94D5A5" w14:textId="77777777" w:rsidR="00B51242" w:rsidRDefault="00B51242">
            <w:pPr>
              <w:rPr>
                <w:rFonts w:cs="Times New Roman"/>
                <w:sz w:val="28"/>
                <w:szCs w:val="28"/>
                <w:lang w:eastAsia="en-US" w:bidi="ar-SA"/>
              </w:rPr>
            </w:pPr>
          </w:p>
          <w:p w14:paraId="0A5E303F" w14:textId="77777777" w:rsidR="00B51242" w:rsidRDefault="008E4E86">
            <w:r>
              <w:rPr>
                <w:rFonts w:eastAsia="TimesNewRomanPSMT" w:cs="Times New Roman"/>
                <w:sz w:val="28"/>
                <w:szCs w:val="28"/>
                <w:lang w:eastAsia="en-US" w:bidi="ar-SA"/>
              </w:rPr>
              <w:t xml:space="preserve">____________ </w:t>
            </w:r>
            <w:r>
              <w:rPr>
                <w:rFonts w:cs="Times New Roman"/>
                <w:sz w:val="28"/>
                <w:szCs w:val="28"/>
                <w:lang w:eastAsia="en-US" w:bidi="ar-SA"/>
              </w:rPr>
              <w:t>Ольга ЛИТВИНЕНКО</w:t>
            </w:r>
          </w:p>
          <w:p w14:paraId="3DEEC669" w14:textId="77777777" w:rsidR="00B51242" w:rsidRDefault="00B51242">
            <w:pPr>
              <w:rPr>
                <w:rFonts w:cs="Times New Roman"/>
                <w:sz w:val="28"/>
                <w:szCs w:val="28"/>
              </w:rPr>
            </w:pPr>
          </w:p>
        </w:tc>
        <w:tc>
          <w:tcPr>
            <w:tcW w:w="4634" w:type="dxa"/>
            <w:shd w:val="clear" w:color="auto" w:fill="auto"/>
            <w:tcMar>
              <w:left w:w="0" w:type="dxa"/>
              <w:right w:w="0" w:type="dxa"/>
            </w:tcMar>
          </w:tcPr>
          <w:p w14:paraId="3656B9AB" w14:textId="77777777" w:rsidR="00B51242" w:rsidRDefault="00B51242">
            <w:pPr>
              <w:rPr>
                <w:rFonts w:cs="Times New Roman"/>
                <w:sz w:val="28"/>
                <w:szCs w:val="28"/>
                <w:lang w:eastAsia="en-US" w:bidi="ar-SA"/>
              </w:rPr>
            </w:pPr>
          </w:p>
          <w:p w14:paraId="61A11853" w14:textId="77777777" w:rsidR="00B51242" w:rsidRDefault="008E4E86">
            <w:pPr>
              <w:rPr>
                <w:rFonts w:cs="Times New Roman"/>
                <w:sz w:val="28"/>
                <w:szCs w:val="28"/>
                <w:lang w:eastAsia="en-US" w:bidi="ar-SA"/>
              </w:rPr>
            </w:pPr>
            <w:r>
              <w:rPr>
                <w:rFonts w:cs="Times New Roman"/>
                <w:sz w:val="28"/>
                <w:szCs w:val="28"/>
                <w:lang w:eastAsia="en-US" w:bidi="ar-SA"/>
              </w:rPr>
              <w:t>Захищено на засіданні ЕК № ___</w:t>
            </w:r>
          </w:p>
          <w:p w14:paraId="45FB0818" w14:textId="77777777" w:rsidR="00B51242" w:rsidRDefault="00B51242">
            <w:pPr>
              <w:rPr>
                <w:rFonts w:cs="Times New Roman"/>
                <w:sz w:val="28"/>
                <w:szCs w:val="28"/>
                <w:lang w:eastAsia="en-US" w:bidi="ar-SA"/>
              </w:rPr>
            </w:pPr>
          </w:p>
          <w:p w14:paraId="15DAB11C" w14:textId="77777777" w:rsidR="00B51242" w:rsidRDefault="008E4E86">
            <w:r>
              <w:rPr>
                <w:rFonts w:cs="Times New Roman"/>
                <w:sz w:val="28"/>
                <w:szCs w:val="28"/>
                <w:lang w:eastAsia="en-US" w:bidi="ar-SA"/>
              </w:rPr>
              <w:t>Протокол № __ від «__» ___</w:t>
            </w:r>
            <w:r>
              <w:rPr>
                <w:rFonts w:eastAsia="TimesNewRomanPSMT" w:cs="Times New Roman"/>
                <w:sz w:val="28"/>
                <w:szCs w:val="28"/>
                <w:lang w:eastAsia="en-US" w:bidi="ar-SA"/>
              </w:rPr>
              <w:t xml:space="preserve">_ 2025 </w:t>
            </w:r>
            <w:r>
              <w:rPr>
                <w:rFonts w:cs="Times New Roman"/>
                <w:sz w:val="28"/>
                <w:szCs w:val="28"/>
                <w:lang w:eastAsia="en-US" w:bidi="ar-SA"/>
              </w:rPr>
              <w:t>р.</w:t>
            </w:r>
          </w:p>
          <w:p w14:paraId="049F31CB" w14:textId="77777777" w:rsidR="00B51242" w:rsidRDefault="00B51242">
            <w:pPr>
              <w:tabs>
                <w:tab w:val="left" w:pos="0"/>
              </w:tabs>
              <w:snapToGrid w:val="0"/>
              <w:spacing w:line="360" w:lineRule="auto"/>
              <w:rPr>
                <w:rFonts w:cs="Times New Roman"/>
                <w:sz w:val="28"/>
                <w:szCs w:val="28"/>
              </w:rPr>
            </w:pPr>
          </w:p>
          <w:p w14:paraId="14B7930A" w14:textId="77777777" w:rsidR="00B51242" w:rsidRDefault="008E4E86">
            <w:pPr>
              <w:tabs>
                <w:tab w:val="left" w:pos="0"/>
              </w:tabs>
              <w:snapToGrid w:val="0"/>
              <w:spacing w:line="360" w:lineRule="auto"/>
              <w:rPr>
                <w:rFonts w:cs="Times New Roman"/>
                <w:sz w:val="28"/>
                <w:szCs w:val="28"/>
              </w:rPr>
            </w:pPr>
            <w:r>
              <w:rPr>
                <w:rFonts w:cs="Times New Roman"/>
                <w:sz w:val="28"/>
                <w:szCs w:val="28"/>
              </w:rPr>
              <w:t xml:space="preserve">Оцінка </w:t>
            </w:r>
          </w:p>
          <w:p w14:paraId="0E432651" w14:textId="77777777" w:rsidR="00B51242" w:rsidRDefault="008E4E86">
            <w:pPr>
              <w:tabs>
                <w:tab w:val="left" w:pos="0"/>
              </w:tabs>
              <w:snapToGrid w:val="0"/>
              <w:spacing w:line="360" w:lineRule="auto"/>
              <w:rPr>
                <w:rFonts w:cs="Times New Roman"/>
                <w:sz w:val="28"/>
                <w:szCs w:val="28"/>
              </w:rPr>
            </w:pPr>
            <w:r>
              <w:rPr>
                <w:rFonts w:cs="Times New Roman"/>
                <w:sz w:val="28"/>
                <w:szCs w:val="28"/>
              </w:rPr>
              <w:t>_________ / __________ / _________</w:t>
            </w:r>
          </w:p>
          <w:p w14:paraId="60BE2215" w14:textId="77777777" w:rsidR="00B51242" w:rsidRDefault="008E4E86">
            <w:pPr>
              <w:rPr>
                <w:rFonts w:cs="Times New Roman"/>
                <w:sz w:val="28"/>
                <w:szCs w:val="28"/>
                <w:lang w:eastAsia="en-US" w:bidi="ar-SA"/>
              </w:rPr>
            </w:pPr>
            <w:r>
              <w:rPr>
                <w:rFonts w:cs="Times New Roman"/>
                <w:sz w:val="28"/>
                <w:szCs w:val="28"/>
                <w:lang w:eastAsia="en-US" w:bidi="ar-SA"/>
              </w:rPr>
              <w:t>Голова ЕК</w:t>
            </w:r>
          </w:p>
          <w:p w14:paraId="53128261" w14:textId="77777777" w:rsidR="00B51242" w:rsidRDefault="00B51242">
            <w:pPr>
              <w:rPr>
                <w:rFonts w:cs="Times New Roman"/>
                <w:sz w:val="28"/>
                <w:szCs w:val="28"/>
                <w:lang w:eastAsia="en-US" w:bidi="ar-SA"/>
              </w:rPr>
            </w:pPr>
          </w:p>
          <w:p w14:paraId="3BEAF50A" w14:textId="77777777" w:rsidR="00B51242" w:rsidRDefault="008E4E86">
            <w:pPr>
              <w:tabs>
                <w:tab w:val="left" w:pos="0"/>
              </w:tabs>
              <w:snapToGrid w:val="0"/>
              <w:spacing w:line="360" w:lineRule="auto"/>
              <w:rPr>
                <w:rFonts w:eastAsia="TimesNewRomanPSMT" w:cs="Times New Roman"/>
                <w:sz w:val="28"/>
                <w:szCs w:val="28"/>
                <w:lang w:eastAsia="en-US" w:bidi="ar-SA"/>
              </w:rPr>
            </w:pPr>
            <w:r>
              <w:rPr>
                <w:rFonts w:eastAsia="TimesNewRomanPSMT" w:cs="Times New Roman"/>
                <w:sz w:val="28"/>
                <w:szCs w:val="28"/>
                <w:lang w:eastAsia="en-US" w:bidi="ar-SA"/>
              </w:rPr>
              <w:t>_______________ Юлія АСЄЄВА</w:t>
            </w:r>
          </w:p>
        </w:tc>
      </w:tr>
    </w:tbl>
    <w:p w14:paraId="4735F4B1" w14:textId="77777777" w:rsidR="00B51242" w:rsidRDefault="59C05C6E">
      <w:pPr>
        <w:tabs>
          <w:tab w:val="left" w:pos="0"/>
        </w:tabs>
        <w:snapToGrid w:val="0"/>
        <w:spacing w:line="360" w:lineRule="auto"/>
        <w:jc w:val="center"/>
      </w:pPr>
      <w:r>
        <w:rPr>
          <w:rFonts w:eastAsia="Times New Roman" w:cs="Times New Roman"/>
          <w:b/>
          <w:bCs/>
          <w:sz w:val="28"/>
          <w:szCs w:val="28"/>
          <w:lang w:eastAsia="ru-RU"/>
        </w:rPr>
        <w:t xml:space="preserve">                                    Одеса 2025</w:t>
      </w:r>
      <w:r w:rsidR="05E59440">
        <w:rPr>
          <w:rFonts w:eastAsia="Times New Roman" w:cs="Times New Roman"/>
          <w:b/>
          <w:bCs/>
          <w:color w:val="000000"/>
          <w:sz w:val="36"/>
          <w:szCs w:val="36"/>
          <w:lang w:eastAsia="ru-RU"/>
        </w:rPr>
        <w:t xml:space="preserve">                                   </w:t>
      </w:r>
    </w:p>
    <w:p w14:paraId="4101652C" w14:textId="77777777" w:rsidR="00B51242" w:rsidRDefault="00B51242">
      <w:pPr>
        <w:spacing w:line="360" w:lineRule="auto"/>
        <w:jc w:val="center"/>
        <w:rPr>
          <w:rFonts w:eastAsia="Times New Roman" w:cs="Times New Roman"/>
          <w:b/>
          <w:bCs/>
          <w:color w:val="000000"/>
          <w:sz w:val="28"/>
          <w:szCs w:val="28"/>
          <w:lang w:eastAsia="ru-RU"/>
        </w:rPr>
      </w:pPr>
    </w:p>
    <w:p w14:paraId="1903869F" w14:textId="77777777" w:rsidR="00B51242" w:rsidRDefault="008E4E86">
      <w:pPr>
        <w:spacing w:line="360" w:lineRule="auto"/>
        <w:jc w:val="center"/>
        <w:rPr>
          <w:b/>
          <w:bCs/>
          <w:sz w:val="28"/>
          <w:szCs w:val="28"/>
        </w:rPr>
      </w:pPr>
      <w:r>
        <w:rPr>
          <w:rFonts w:eastAsia="Times New Roman" w:cs="Times New Roman"/>
          <w:b/>
          <w:bCs/>
          <w:color w:val="000000"/>
          <w:sz w:val="28"/>
          <w:szCs w:val="28"/>
          <w:lang w:eastAsia="ru-RU"/>
        </w:rPr>
        <w:t xml:space="preserve">АНОТАЦІЯ </w:t>
      </w:r>
    </w:p>
    <w:p w14:paraId="755A472A" w14:textId="77777777" w:rsidR="00B51242" w:rsidRDefault="008E4E86">
      <w:pPr>
        <w:spacing w:after="160" w:line="360" w:lineRule="auto"/>
        <w:ind w:firstLine="709"/>
        <w:contextualSpacing/>
        <w:jc w:val="both"/>
      </w:pPr>
      <w:r>
        <w:rPr>
          <w:rFonts w:cstheme="majorBidi"/>
          <w:sz w:val="28"/>
          <w:szCs w:val="28"/>
        </w:rPr>
        <w:lastRenderedPageBreak/>
        <w:t>Гіга Володимир Іванович. Використання когнітивно-поведінкової терапії в комплексі психологічної підтримки військовослужбовців із ПТСР: кваліфікаційна робота на здобуття освітнього ступеня «магістр»: спец. 053 «Психологія» / Одеський національний медичний університет. Кафедра</w:t>
      </w:r>
      <w:r>
        <w:rPr>
          <w:rFonts w:cs="Times New Roman"/>
          <w:sz w:val="28"/>
          <w:szCs w:val="28"/>
        </w:rPr>
        <w:t xml:space="preserve"> психіатрії, наркології, медичної пс</w:t>
      </w:r>
      <w:r>
        <w:rPr>
          <w:rFonts w:cs="Times New Roman"/>
          <w:color w:val="000000"/>
          <w:sz w:val="28"/>
          <w:szCs w:val="28"/>
        </w:rPr>
        <w:t>ихології та психотерапії</w:t>
      </w:r>
      <w:r>
        <w:rPr>
          <w:rFonts w:cstheme="majorBidi"/>
          <w:color w:val="000000"/>
          <w:sz w:val="28"/>
          <w:szCs w:val="28"/>
        </w:rPr>
        <w:t xml:space="preserve">. Науковий керівник:  </w:t>
      </w:r>
      <w:r>
        <w:rPr>
          <w:rFonts w:cs="Times New Roman"/>
          <w:color w:val="000000"/>
          <w:sz w:val="28"/>
          <w:szCs w:val="28"/>
          <w:highlight w:val="white"/>
        </w:rPr>
        <w:t xml:space="preserve">к.псих.н., доцент </w:t>
      </w:r>
      <w:r>
        <w:rPr>
          <w:rFonts w:cstheme="majorBidi"/>
          <w:color w:val="000000"/>
          <w:sz w:val="28"/>
          <w:szCs w:val="28"/>
        </w:rPr>
        <w:t xml:space="preserve"> Єрмуракі П. П. Одеса, 2025.</w:t>
      </w:r>
      <w:r>
        <w:rPr>
          <w:rFonts w:cstheme="majorBidi"/>
          <w:b/>
          <w:bCs/>
          <w:color w:val="000000"/>
          <w:sz w:val="28"/>
          <w:szCs w:val="28"/>
        </w:rPr>
        <w:t xml:space="preserve"> </w:t>
      </w:r>
      <w:r>
        <w:rPr>
          <w:rFonts w:cstheme="majorBidi"/>
          <w:color w:val="000000"/>
          <w:sz w:val="28"/>
          <w:szCs w:val="28"/>
        </w:rPr>
        <w:t>217 с.</w:t>
      </w:r>
    </w:p>
    <w:p w14:paraId="06EF46C4" w14:textId="77777777" w:rsidR="00B51242" w:rsidRDefault="008E4E86">
      <w:pPr>
        <w:spacing w:after="160" w:line="360" w:lineRule="auto"/>
        <w:ind w:firstLine="709"/>
        <w:contextualSpacing/>
        <w:jc w:val="both"/>
      </w:pPr>
      <w:r>
        <w:rPr>
          <w:rStyle w:val="StrongEmphasis"/>
          <w:b w:val="0"/>
          <w:bCs w:val="0"/>
          <w:sz w:val="28"/>
          <w:szCs w:val="28"/>
        </w:rPr>
        <w:t>Мета магістерської роботи</w:t>
      </w:r>
      <w:r>
        <w:rPr>
          <w:sz w:val="28"/>
          <w:szCs w:val="28"/>
        </w:rPr>
        <w:t xml:space="preserve"> – теоретично обґрунтувати та емпірично дослідити ефективність використання когнітивно-поведінкової терапії в поєднанні з елементами тілесно-орієнтованої терапії та методами EMDR у структурі психологічної підтримки військовослужбовців із посттравматичним стресовим розладом.</w:t>
      </w:r>
    </w:p>
    <w:p w14:paraId="0234AEFC" w14:textId="77777777" w:rsidR="00B51242" w:rsidRDefault="008E4E86">
      <w:pPr>
        <w:spacing w:after="160" w:line="360" w:lineRule="auto"/>
        <w:ind w:firstLine="709"/>
        <w:contextualSpacing/>
        <w:jc w:val="both"/>
      </w:pPr>
      <w:r>
        <w:rPr>
          <w:sz w:val="28"/>
          <w:szCs w:val="28"/>
        </w:rPr>
        <w:t>У роботі здійснено ґрунтовний теоретичний аналіз сучасних наукових підходів до розуміння посттравматичного стресового розладу як одного з найпоширеніших наслідків бойової психотравми. Розкрито історичні аспекти формування уявлень про ПТСР, його клініко-психологічні прояви та специфіку перебігу у військовослужбовців. Проаналізовано еволюцію когнітивно-поведінкової терапії від класичних моделей до підходів «третьої хвилі», а також представлено ПТСР з погляду когнітивно-поведінкової терапії. Окрему увагу приділено проблематиці психологічної допомоги військовослужбовцям із ПТСР, зокрема явищам відсіву з терапії, рецидивів, депресії, гіперзбудження, а також лікуванню в умовах постійної загрози та повторної травматизації.</w:t>
      </w:r>
    </w:p>
    <w:p w14:paraId="29E91952" w14:textId="77777777" w:rsidR="00B51242" w:rsidRDefault="008E4E86">
      <w:pPr>
        <w:spacing w:after="160" w:line="360" w:lineRule="auto"/>
        <w:ind w:firstLine="709"/>
        <w:contextualSpacing/>
        <w:jc w:val="both"/>
      </w:pPr>
      <w:r>
        <w:rPr>
          <w:sz w:val="28"/>
          <w:szCs w:val="28"/>
        </w:rPr>
        <w:t xml:space="preserve">У межах дослідження обґрунтовано доцільність </w:t>
      </w:r>
      <w:r>
        <w:rPr>
          <w:rStyle w:val="StrongEmphasis"/>
          <w:b w:val="0"/>
          <w:bCs w:val="0"/>
          <w:sz w:val="28"/>
          <w:szCs w:val="28"/>
        </w:rPr>
        <w:t>інтегративного підходу</w:t>
      </w:r>
      <w:r>
        <w:rPr>
          <w:sz w:val="28"/>
          <w:szCs w:val="28"/>
        </w:rPr>
        <w:t xml:space="preserve">, в якому когнітивно-поведінкова терапія виступає базовим методом, а тілесно-орієнтовані техніки та елементи EMDR використовуються як стабілізуючі та підтримувальні інтервенції. Розроблено структурований план психологічної підтримки, що включає етапи стабілізації, емоційної та фізіологічної регуляції, когнітивної реструктуризації, експозиційної терапії, поведінкових експериментів, опрацювання травматичного досвіду, розвитку </w:t>
      </w:r>
      <w:r>
        <w:rPr>
          <w:sz w:val="28"/>
          <w:szCs w:val="28"/>
        </w:rPr>
        <w:lastRenderedPageBreak/>
        <w:t>міжособистісних відносин, планування майбутнього та профілактики рецидивів.</w:t>
      </w:r>
    </w:p>
    <w:p w14:paraId="4488982D" w14:textId="77777777" w:rsidR="00B51242" w:rsidRDefault="008E4E86">
      <w:pPr>
        <w:spacing w:after="160" w:line="360" w:lineRule="auto"/>
        <w:ind w:firstLine="709"/>
        <w:contextualSpacing/>
        <w:jc w:val="both"/>
      </w:pPr>
      <w:r>
        <w:rPr>
          <w:sz w:val="28"/>
          <w:szCs w:val="28"/>
        </w:rPr>
        <w:t xml:space="preserve">В емпіричному дослідженні взяли участь </w:t>
      </w:r>
      <w:r>
        <w:rPr>
          <w:rStyle w:val="StrongEmphasis"/>
          <w:b w:val="0"/>
          <w:bCs w:val="0"/>
          <w:sz w:val="28"/>
          <w:szCs w:val="28"/>
        </w:rPr>
        <w:t>30 військовослужбовців віком від 20 до 52 років</w:t>
      </w:r>
      <w:r>
        <w:rPr>
          <w:sz w:val="28"/>
          <w:szCs w:val="28"/>
        </w:rPr>
        <w:t xml:space="preserve"> із підтвердженим діагнозом посттравматичного стресового розладу без коморбідних психічних станів. Вибірка сформована шляхом цілеспрямованого відбору відповідно до визначених клінічних критеріїв. Дослідження проводилося у кілька етапів: теоретичний (аналіз літератури, добір методик), емпіричний (проведення психодіагностичного обстеження та реалізація інтегративної програми психологічної підтримки) та аналітичний (обробка й інтерпретація результатів).</w:t>
      </w:r>
    </w:p>
    <w:p w14:paraId="56B00767" w14:textId="77777777" w:rsidR="00B51242" w:rsidRDefault="008E4E86">
      <w:pPr>
        <w:spacing w:after="160" w:line="360" w:lineRule="auto"/>
        <w:ind w:firstLine="709"/>
        <w:contextualSpacing/>
        <w:jc w:val="both"/>
      </w:pPr>
      <w:r>
        <w:rPr>
          <w:sz w:val="28"/>
          <w:szCs w:val="28"/>
        </w:rPr>
        <w:t xml:space="preserve">У роботі застосовано </w:t>
      </w:r>
      <w:r>
        <w:rPr>
          <w:rStyle w:val="StrongEmphasis"/>
          <w:b w:val="0"/>
          <w:bCs w:val="0"/>
          <w:sz w:val="28"/>
          <w:szCs w:val="28"/>
        </w:rPr>
        <w:t>теоретичні, емпіричні, статистичні та практичні методи</w:t>
      </w:r>
      <w:r>
        <w:rPr>
          <w:sz w:val="28"/>
          <w:szCs w:val="28"/>
        </w:rPr>
        <w:t>. Психологічна підтримка здійснювалася з використанням когнітивних інтервенцій, технік тілесно-орієнтованої стабілізації, елементів EMDR, поведінкових експериментів, а також системи домашніх завдань, структурованих за принципами S.M.A.R.T.</w:t>
      </w:r>
    </w:p>
    <w:p w14:paraId="564C0486" w14:textId="77777777" w:rsidR="00B51242" w:rsidRDefault="008E4E86">
      <w:pPr>
        <w:spacing w:after="160" w:line="360" w:lineRule="auto"/>
        <w:ind w:firstLine="709"/>
        <w:contextualSpacing/>
        <w:jc w:val="both"/>
      </w:pPr>
      <w:r>
        <w:rPr>
          <w:sz w:val="28"/>
          <w:szCs w:val="28"/>
        </w:rPr>
        <w:t xml:space="preserve">Отримані результати засвідчили, що </w:t>
      </w:r>
      <w:r>
        <w:rPr>
          <w:rStyle w:val="StrongEmphasis"/>
          <w:b w:val="0"/>
          <w:bCs w:val="0"/>
          <w:sz w:val="28"/>
          <w:szCs w:val="28"/>
        </w:rPr>
        <w:t>інтеграція технік когнітивно-поведінкової терапії з елементами тілесно-орієнтованої терапії та EMDR сприяє зниженню інтенсивності симптомів ПТСР, редукції гіперзбудження, тривожності, рівня уникнення та підвищенню рівня емоційної регуляції і психологічної стабільності військовослужбовців</w:t>
      </w:r>
      <w:r>
        <w:rPr>
          <w:sz w:val="28"/>
          <w:szCs w:val="28"/>
        </w:rPr>
        <w:t>. Встановлено позитивну динаміку у сфері когнітивних переконань, поведінкової активності та міжособистісного функціонування.</w:t>
      </w:r>
    </w:p>
    <w:p w14:paraId="7C3FD209" w14:textId="77777777" w:rsidR="00B51242" w:rsidRDefault="008E4E86">
      <w:pPr>
        <w:spacing w:line="360" w:lineRule="auto"/>
        <w:ind w:firstLine="709"/>
        <w:contextualSpacing/>
        <w:jc w:val="both"/>
      </w:pPr>
      <w:r>
        <w:rPr>
          <w:rStyle w:val="StrongEmphasis"/>
          <w:b w:val="0"/>
          <w:bCs w:val="0"/>
          <w:sz w:val="28"/>
          <w:szCs w:val="28"/>
        </w:rPr>
        <w:t>Практичне значення роботи</w:t>
      </w:r>
      <w:r>
        <w:rPr>
          <w:sz w:val="28"/>
          <w:szCs w:val="28"/>
        </w:rPr>
        <w:t xml:space="preserve"> полягає у можливості використання розробленого плану психологічної підтримки у діяльності практичних психологів, психотерапевтів, фахівців центрів психологічної реабілітації та закладів, що працюють із військовослужбовцями. Матеріали дослідження можуть бути використані для вдосконалення програм психореабілітації, розробки тренінгових і стабілізаційних курсів для осіб із посттравматичним стресовим розладом.</w:t>
      </w:r>
    </w:p>
    <w:p w14:paraId="7A7FD77A" w14:textId="77777777" w:rsidR="00B51242" w:rsidRDefault="008E4E86">
      <w:pPr>
        <w:spacing w:line="360" w:lineRule="auto"/>
        <w:ind w:firstLine="737"/>
        <w:jc w:val="both"/>
      </w:pPr>
      <w:r>
        <w:rPr>
          <w:rStyle w:val="StrongEmphasis"/>
          <w:sz w:val="28"/>
          <w:szCs w:val="28"/>
        </w:rPr>
        <w:lastRenderedPageBreak/>
        <w:t>Ключові слова:</w:t>
      </w:r>
      <w:r>
        <w:rPr>
          <w:sz w:val="28"/>
          <w:szCs w:val="28"/>
        </w:rPr>
        <w:t xml:space="preserve">  інтегративний підхід, когнітивно-поведінкова терапія, поведінкові експерименти, посттравматичний стресовий розлад,  психологічна підтримка військовослужбовців,  тілесно-орієнтована терапія,  EMDR.</w:t>
      </w:r>
    </w:p>
    <w:p w14:paraId="4B99056E" w14:textId="77777777" w:rsidR="00B51242" w:rsidRDefault="00B51242">
      <w:pPr>
        <w:spacing w:line="360" w:lineRule="auto"/>
        <w:jc w:val="center"/>
        <w:rPr>
          <w:sz w:val="28"/>
          <w:szCs w:val="28"/>
        </w:rPr>
      </w:pPr>
    </w:p>
    <w:p w14:paraId="056CBDF8" w14:textId="77777777" w:rsidR="00B51242" w:rsidRDefault="008E4E86">
      <w:pPr>
        <w:spacing w:line="360" w:lineRule="auto"/>
        <w:jc w:val="center"/>
        <w:rPr>
          <w:sz w:val="28"/>
          <w:szCs w:val="28"/>
          <w:lang w:val="en-US"/>
        </w:rPr>
      </w:pPr>
      <w:r>
        <w:rPr>
          <w:sz w:val="28"/>
          <w:szCs w:val="28"/>
          <w:lang w:val="en-US"/>
        </w:rPr>
        <w:t>ABSTRACT</w:t>
      </w:r>
    </w:p>
    <w:p w14:paraId="1547A624" w14:textId="77777777" w:rsidR="00B51242" w:rsidRDefault="008E4E86">
      <w:pPr>
        <w:spacing w:line="360" w:lineRule="auto"/>
        <w:ind w:firstLine="737"/>
        <w:jc w:val="both"/>
      </w:pPr>
      <w:r>
        <w:rPr>
          <w:rStyle w:val="StrongEmphasis"/>
          <w:b w:val="0"/>
          <w:bCs w:val="0"/>
          <w:sz w:val="28"/>
          <w:szCs w:val="28"/>
          <w:lang w:val="en-US"/>
        </w:rPr>
        <w:t>Higa Volodymyr Ivanovych.</w:t>
      </w:r>
      <w:r>
        <w:rPr>
          <w:sz w:val="28"/>
          <w:szCs w:val="28"/>
          <w:lang w:val="en-US"/>
        </w:rPr>
        <w:t xml:space="preserve"> The Use of Cognitive Behavioral Therapy in the System of Psychological Support for Military Personnel with PTSD: Master’s Qualification Thesis for the Degree of Master: Specialty 053 “Psychology” / Odesa National Medical University. Department of Psychiatry, Narcology, Medical Psychology and Psychotherapy. Academic Supervisor: P. P. Yermuraki, MD, PhD, Associate</w:t>
      </w:r>
      <w:r>
        <w:rPr>
          <w:color w:val="000000"/>
          <w:sz w:val="28"/>
          <w:szCs w:val="28"/>
          <w:lang w:val="en-US"/>
        </w:rPr>
        <w:t xml:space="preserve"> Professor. Odesa, 2025.</w:t>
      </w:r>
      <w:r>
        <w:rPr>
          <w:color w:val="000000"/>
          <w:sz w:val="28"/>
          <w:szCs w:val="28"/>
        </w:rPr>
        <w:t xml:space="preserve"> 217 </w:t>
      </w:r>
      <w:r>
        <w:rPr>
          <w:color w:val="000000"/>
          <w:sz w:val="28"/>
          <w:szCs w:val="28"/>
          <w:lang w:val="en-US"/>
        </w:rPr>
        <w:t>p.</w:t>
      </w:r>
    </w:p>
    <w:p w14:paraId="6251AB54" w14:textId="77777777" w:rsidR="00B51242" w:rsidRDefault="008E4E86">
      <w:pPr>
        <w:spacing w:line="360" w:lineRule="auto"/>
        <w:ind w:firstLine="737"/>
        <w:jc w:val="both"/>
      </w:pPr>
      <w:r>
        <w:rPr>
          <w:rStyle w:val="StrongEmphasis"/>
          <w:b w:val="0"/>
          <w:bCs w:val="0"/>
          <w:sz w:val="28"/>
          <w:szCs w:val="28"/>
        </w:rPr>
        <w:t>The aim of the master’s thesis</w:t>
      </w:r>
      <w:r>
        <w:rPr>
          <w:sz w:val="28"/>
          <w:szCs w:val="28"/>
        </w:rPr>
        <w:t xml:space="preserve"> is to theoretically substantiate and empirically investigate the effectiveness of cognitive behavioral therapy in combination with elements of body-oriented therapy and EMDR methods within the structure of psychological support for military personnel with post-traumatic stress disorder.</w:t>
      </w:r>
    </w:p>
    <w:p w14:paraId="3E24DEAF" w14:textId="77777777" w:rsidR="00B51242" w:rsidRDefault="008E4E86">
      <w:pPr>
        <w:spacing w:line="360" w:lineRule="auto"/>
        <w:ind w:firstLine="737"/>
        <w:jc w:val="both"/>
      </w:pPr>
      <w:r>
        <w:rPr>
          <w:sz w:val="28"/>
          <w:szCs w:val="28"/>
        </w:rPr>
        <w:t>The paper provides a comprehensive theoretical analysis of modern scientific approaches to understanding post-traumatic stress disorder as one of the most common consequences of combat-related psychological trauma. The historical aspects of the development of the concept of PTSD, its clinical and psychological manifestations, and the specific features of its course in military personnel are revealed. The evolution of cognitive behavioral therapy from classical models to third-wave approaches is analyzed, and PTSD is also presented from the perspective of the cognitive model. Special attention is paid to the issues of psychological assistance for military personnel with PTSD, in particular therapy dropout, relapse, depression, hyperarousal, as well as treatment under conditions of constant threat and repeated traumatization.</w:t>
      </w:r>
    </w:p>
    <w:p w14:paraId="005C8E31" w14:textId="77777777" w:rsidR="00B51242" w:rsidRDefault="008E4E86">
      <w:pPr>
        <w:spacing w:line="360" w:lineRule="auto"/>
        <w:ind w:firstLine="737"/>
        <w:jc w:val="both"/>
      </w:pPr>
      <w:r>
        <w:rPr>
          <w:sz w:val="28"/>
          <w:szCs w:val="28"/>
        </w:rPr>
        <w:t>Within the study, the feasibility of an integrative approach is substantiated, in which cognitive behavioral therapy serves as the core method, while body-</w:t>
      </w:r>
      <w:r>
        <w:rPr>
          <w:sz w:val="28"/>
          <w:szCs w:val="28"/>
        </w:rPr>
        <w:lastRenderedPageBreak/>
        <w:t>oriented techniques and EMDR elements are used as stabilizing and supportive interventions. A structured psychological support program has been developed, including stages of stabilization, emotional and physiological regulation, cognitive restructuring, exposure therapy, behavioral experiments, trauma processing, development of interpersonal relationships, future planning, and relapse prevention.</w:t>
      </w:r>
    </w:p>
    <w:p w14:paraId="7CCA654F" w14:textId="77777777" w:rsidR="00B51242" w:rsidRDefault="008E4E86">
      <w:pPr>
        <w:spacing w:line="360" w:lineRule="auto"/>
        <w:ind w:firstLine="737"/>
        <w:jc w:val="both"/>
      </w:pPr>
      <w:r>
        <w:rPr>
          <w:sz w:val="28"/>
          <w:szCs w:val="28"/>
        </w:rPr>
        <w:t xml:space="preserve">The empirical study involved </w:t>
      </w:r>
      <w:r>
        <w:rPr>
          <w:rStyle w:val="StrongEmphasis"/>
          <w:b w:val="0"/>
          <w:bCs w:val="0"/>
          <w:sz w:val="28"/>
          <w:szCs w:val="28"/>
        </w:rPr>
        <w:t>30 military personnel aged 20 to 52 years</w:t>
      </w:r>
      <w:r>
        <w:rPr>
          <w:sz w:val="28"/>
          <w:szCs w:val="28"/>
        </w:rPr>
        <w:t xml:space="preserve"> with a confirmed diagnosis of post-traumatic stress disorder without comorbid mental conditions. The sample was formed using purposive sampling in accordance with defined clinical criteria. The study was conducted in several stages: theoretical (literature analysis and selection of methods), empirical (psychodiagnostic assessment and implementation of the integrative psychological support program), and analytical (processing and interpretation of the obtained results).</w:t>
      </w:r>
    </w:p>
    <w:p w14:paraId="7E99BB87" w14:textId="77777777" w:rsidR="00B51242" w:rsidRDefault="008E4E86">
      <w:pPr>
        <w:spacing w:line="360" w:lineRule="auto"/>
        <w:ind w:firstLine="737"/>
        <w:jc w:val="both"/>
      </w:pPr>
      <w:r>
        <w:rPr>
          <w:sz w:val="28"/>
          <w:szCs w:val="28"/>
        </w:rPr>
        <w:t xml:space="preserve">The research employed </w:t>
      </w:r>
      <w:r>
        <w:rPr>
          <w:rStyle w:val="StrongEmphasis"/>
          <w:b w:val="0"/>
          <w:bCs w:val="0"/>
          <w:sz w:val="28"/>
          <w:szCs w:val="28"/>
        </w:rPr>
        <w:t>theoretical, empirical, statistical, and practical methods</w:t>
      </w:r>
      <w:r>
        <w:rPr>
          <w:sz w:val="28"/>
          <w:szCs w:val="28"/>
        </w:rPr>
        <w:t xml:space="preserve">. Psychological support was provided using cognitive interventions, body-oriented stabilization techniques, EMDR elements, behavioral experiments, as well as a system of homework assignments structured according to the </w:t>
      </w:r>
      <w:r>
        <w:rPr>
          <w:rStyle w:val="StrongEmphasis"/>
          <w:b w:val="0"/>
          <w:bCs w:val="0"/>
          <w:sz w:val="28"/>
          <w:szCs w:val="28"/>
        </w:rPr>
        <w:t>S.M.A.R.T.</w:t>
      </w:r>
      <w:r>
        <w:rPr>
          <w:sz w:val="28"/>
          <w:szCs w:val="28"/>
        </w:rPr>
        <w:t xml:space="preserve"> principles.</w:t>
      </w:r>
    </w:p>
    <w:p w14:paraId="5ACF82AF" w14:textId="77777777" w:rsidR="00B51242" w:rsidRDefault="008E4E86">
      <w:pPr>
        <w:spacing w:line="360" w:lineRule="auto"/>
        <w:ind w:firstLine="737"/>
        <w:jc w:val="both"/>
      </w:pPr>
      <w:r>
        <w:rPr>
          <w:sz w:val="28"/>
          <w:szCs w:val="28"/>
        </w:rPr>
        <w:t>The obtained results demonstrated that the integration of cognitive behavioral therapy techniques with elements of body-oriented therapy and EMDR contributes to a reduction in the severity of PTSD symptoms, a decrease in hyperarousal, anxiety, and avoidance, as well as an increase in the level of emotional regulation and psychological stability of military personnel. Positive changes were also observed in cognitive beliefs, behavioral activity, and interpersonal functioning.</w:t>
      </w:r>
    </w:p>
    <w:p w14:paraId="46E69C71" w14:textId="77777777" w:rsidR="00B51242" w:rsidRDefault="008E4E86">
      <w:pPr>
        <w:spacing w:line="360" w:lineRule="auto"/>
        <w:ind w:firstLine="737"/>
        <w:jc w:val="both"/>
      </w:pPr>
      <w:r>
        <w:rPr>
          <w:sz w:val="28"/>
          <w:szCs w:val="28"/>
        </w:rPr>
        <w:t xml:space="preserve">The </w:t>
      </w:r>
      <w:r>
        <w:rPr>
          <w:rStyle w:val="StrongEmphasis"/>
          <w:b w:val="0"/>
          <w:bCs w:val="0"/>
          <w:sz w:val="28"/>
          <w:szCs w:val="28"/>
        </w:rPr>
        <w:t>practical significance of the study</w:t>
      </w:r>
      <w:r>
        <w:rPr>
          <w:sz w:val="28"/>
          <w:szCs w:val="28"/>
        </w:rPr>
        <w:t xml:space="preserve"> lies in the possibility of using the developed psychological support program in the professional activities of practical psychologists, psychotherapists, specialists of psychological rehabilitation centers, and institutions working with military personnel. The research materials can be </w:t>
      </w:r>
      <w:r>
        <w:rPr>
          <w:sz w:val="28"/>
          <w:szCs w:val="28"/>
        </w:rPr>
        <w:lastRenderedPageBreak/>
        <w:t>used to improve psychorehabilitation programs and to develop training and stabilization courses for individuals with post-traumatic stress disorder.</w:t>
      </w:r>
    </w:p>
    <w:p w14:paraId="7AC9E085" w14:textId="77777777" w:rsidR="00B51242" w:rsidRDefault="008E4E86">
      <w:pPr>
        <w:spacing w:line="360" w:lineRule="auto"/>
        <w:ind w:firstLine="737"/>
        <w:jc w:val="both"/>
      </w:pPr>
      <w:r>
        <w:rPr>
          <w:rStyle w:val="StrongEmphasis"/>
          <w:sz w:val="28"/>
          <w:szCs w:val="28"/>
        </w:rPr>
        <w:t>Keywords</w:t>
      </w:r>
      <w:r>
        <w:rPr>
          <w:rStyle w:val="StrongEmphasis"/>
          <w:b w:val="0"/>
          <w:bCs w:val="0"/>
          <w:sz w:val="28"/>
          <w:szCs w:val="28"/>
        </w:rPr>
        <w:t>:</w:t>
      </w:r>
      <w:r>
        <w:rPr>
          <w:sz w:val="28"/>
          <w:szCs w:val="28"/>
        </w:rPr>
        <w:t xml:space="preserve"> behavioral experiments, body-oriented therapy, cognitive behavioral therapy, EMDR,  integrative approach, post-traumatic stress disorder, рsychological support for military personnel.</w:t>
      </w:r>
    </w:p>
    <w:p w14:paraId="1299C43A" w14:textId="77777777" w:rsidR="00B51242" w:rsidRDefault="00B51242">
      <w:pPr>
        <w:spacing w:line="360" w:lineRule="auto"/>
        <w:jc w:val="both"/>
        <w:rPr>
          <w:sz w:val="28"/>
          <w:szCs w:val="28"/>
          <w:lang w:val="en-US"/>
        </w:rPr>
      </w:pPr>
    </w:p>
    <w:p w14:paraId="4DDBEF00" w14:textId="77777777" w:rsidR="00B51242" w:rsidRDefault="00B51242">
      <w:pPr>
        <w:spacing w:line="360" w:lineRule="auto"/>
        <w:jc w:val="both"/>
        <w:rPr>
          <w:sz w:val="28"/>
          <w:szCs w:val="28"/>
          <w:lang w:val="en-US"/>
        </w:rPr>
      </w:pPr>
    </w:p>
    <w:p w14:paraId="3461D779" w14:textId="77777777" w:rsidR="00B51242" w:rsidRDefault="00B51242">
      <w:pPr>
        <w:spacing w:line="360" w:lineRule="auto"/>
        <w:rPr>
          <w:b/>
          <w:bCs/>
          <w:sz w:val="28"/>
          <w:szCs w:val="28"/>
          <w:lang w:val="en-US"/>
        </w:rPr>
      </w:pPr>
    </w:p>
    <w:p w14:paraId="3CF2D8B6" w14:textId="77777777" w:rsidR="00B51242" w:rsidRDefault="00B51242">
      <w:pPr>
        <w:spacing w:line="360" w:lineRule="auto"/>
        <w:rPr>
          <w:bCs/>
          <w:color w:val="158466"/>
          <w:sz w:val="28"/>
          <w:szCs w:val="28"/>
        </w:rPr>
      </w:pPr>
    </w:p>
    <w:p w14:paraId="0FB78278" w14:textId="77777777" w:rsidR="00B51242" w:rsidRDefault="00B51242">
      <w:pPr>
        <w:spacing w:line="360" w:lineRule="auto"/>
        <w:rPr>
          <w:bCs/>
          <w:color w:val="158466"/>
          <w:sz w:val="28"/>
          <w:szCs w:val="28"/>
        </w:rPr>
      </w:pPr>
    </w:p>
    <w:p w14:paraId="1FC39945" w14:textId="77777777" w:rsidR="00B51242" w:rsidRDefault="00B51242">
      <w:pPr>
        <w:spacing w:line="360" w:lineRule="auto"/>
        <w:rPr>
          <w:bCs/>
          <w:color w:val="158466"/>
          <w:sz w:val="28"/>
          <w:szCs w:val="28"/>
        </w:rPr>
      </w:pPr>
    </w:p>
    <w:p w14:paraId="0562CB0E" w14:textId="77777777" w:rsidR="00B51242" w:rsidRDefault="00B51242">
      <w:pPr>
        <w:spacing w:line="360" w:lineRule="auto"/>
        <w:rPr>
          <w:bCs/>
          <w:color w:val="158466"/>
          <w:sz w:val="28"/>
          <w:szCs w:val="28"/>
        </w:rPr>
      </w:pPr>
    </w:p>
    <w:p w14:paraId="34CE0A41" w14:textId="77777777" w:rsidR="00B51242" w:rsidRDefault="00B51242">
      <w:pPr>
        <w:spacing w:line="360" w:lineRule="auto"/>
        <w:rPr>
          <w:bCs/>
          <w:color w:val="158466"/>
          <w:sz w:val="28"/>
          <w:szCs w:val="28"/>
        </w:rPr>
      </w:pPr>
    </w:p>
    <w:p w14:paraId="62EBF3C5" w14:textId="77777777" w:rsidR="00B51242" w:rsidRDefault="00B51242">
      <w:pPr>
        <w:spacing w:line="360" w:lineRule="auto"/>
        <w:rPr>
          <w:bCs/>
          <w:color w:val="158466"/>
          <w:sz w:val="28"/>
          <w:szCs w:val="28"/>
        </w:rPr>
      </w:pPr>
    </w:p>
    <w:p w14:paraId="6D98A12B" w14:textId="77777777" w:rsidR="00B51242" w:rsidRDefault="00B51242">
      <w:pPr>
        <w:spacing w:line="360" w:lineRule="auto"/>
        <w:rPr>
          <w:bCs/>
          <w:color w:val="158466"/>
          <w:sz w:val="28"/>
          <w:szCs w:val="28"/>
        </w:rPr>
      </w:pPr>
    </w:p>
    <w:p w14:paraId="2946DB82" w14:textId="77777777" w:rsidR="00B51242" w:rsidRDefault="00B51242">
      <w:pPr>
        <w:spacing w:line="360" w:lineRule="auto"/>
        <w:rPr>
          <w:bCs/>
          <w:color w:val="158466"/>
          <w:sz w:val="28"/>
          <w:szCs w:val="28"/>
        </w:rPr>
      </w:pPr>
    </w:p>
    <w:p w14:paraId="5997CC1D" w14:textId="77777777" w:rsidR="00B51242" w:rsidRDefault="00B51242">
      <w:pPr>
        <w:spacing w:line="360" w:lineRule="auto"/>
        <w:rPr>
          <w:rFonts w:ascii="Trebuchet MS" w:hAnsi="Trebuchet MS" w:hint="eastAsia"/>
          <w:bCs/>
          <w:color w:val="158466"/>
          <w:sz w:val="28"/>
          <w:szCs w:val="28"/>
          <w:lang w:val="en-US"/>
        </w:rPr>
      </w:pPr>
    </w:p>
    <w:p w14:paraId="510C577A" w14:textId="77777777" w:rsidR="00B51242" w:rsidRDefault="008E4E86">
      <w:pPr>
        <w:spacing w:line="360" w:lineRule="auto"/>
        <w:jc w:val="center"/>
      </w:pPr>
      <w:r>
        <w:rPr>
          <w:rFonts w:eastAsia="Times New Roman" w:cs="Times New Roman"/>
          <w:b/>
          <w:bCs/>
          <w:color w:val="C9211E"/>
          <w:sz w:val="36"/>
          <w:szCs w:val="36"/>
          <w:lang w:eastAsia="ru-RU"/>
        </w:rPr>
        <w:t xml:space="preserve">      </w:t>
      </w:r>
    </w:p>
    <w:p w14:paraId="110FFD37" w14:textId="77777777" w:rsidR="00B51242" w:rsidRDefault="00B51242">
      <w:pPr>
        <w:spacing w:line="360" w:lineRule="auto"/>
        <w:jc w:val="center"/>
        <w:rPr>
          <w:rFonts w:eastAsia="Times New Roman" w:cs="Times New Roman"/>
          <w:b/>
          <w:bCs/>
          <w:color w:val="C9211E"/>
          <w:sz w:val="36"/>
          <w:szCs w:val="36"/>
          <w:lang w:eastAsia="ru-RU"/>
        </w:rPr>
      </w:pPr>
    </w:p>
    <w:p w14:paraId="6B699379" w14:textId="77777777" w:rsidR="00B51242" w:rsidRDefault="00B51242">
      <w:pPr>
        <w:spacing w:line="360" w:lineRule="auto"/>
        <w:jc w:val="center"/>
        <w:rPr>
          <w:rFonts w:eastAsia="Times New Roman" w:cs="Times New Roman"/>
          <w:b/>
          <w:bCs/>
          <w:color w:val="C9211E"/>
          <w:sz w:val="36"/>
          <w:szCs w:val="36"/>
          <w:lang w:eastAsia="ru-RU"/>
        </w:rPr>
      </w:pPr>
    </w:p>
    <w:p w14:paraId="3FE9F23F" w14:textId="77777777" w:rsidR="00B51242" w:rsidRDefault="00B51242">
      <w:pPr>
        <w:spacing w:line="360" w:lineRule="auto"/>
        <w:jc w:val="center"/>
        <w:rPr>
          <w:rFonts w:eastAsia="Times New Roman" w:cs="Times New Roman"/>
          <w:b/>
          <w:bCs/>
          <w:color w:val="C9211E"/>
          <w:sz w:val="36"/>
          <w:szCs w:val="36"/>
          <w:lang w:eastAsia="ru-RU"/>
        </w:rPr>
      </w:pPr>
    </w:p>
    <w:p w14:paraId="1F72F646" w14:textId="77777777" w:rsidR="00B51242" w:rsidRDefault="00B51242">
      <w:pPr>
        <w:spacing w:line="360" w:lineRule="auto"/>
        <w:jc w:val="center"/>
        <w:rPr>
          <w:rFonts w:eastAsia="Times New Roman" w:cs="Times New Roman"/>
          <w:b/>
          <w:bCs/>
          <w:color w:val="C9211E"/>
          <w:sz w:val="36"/>
          <w:szCs w:val="36"/>
          <w:lang w:eastAsia="ru-RU"/>
        </w:rPr>
      </w:pPr>
    </w:p>
    <w:p w14:paraId="08CE6F91" w14:textId="77777777" w:rsidR="00B51242" w:rsidRDefault="00B51242">
      <w:pPr>
        <w:spacing w:line="360" w:lineRule="auto"/>
        <w:jc w:val="center"/>
        <w:rPr>
          <w:rFonts w:eastAsia="Times New Roman" w:cs="Times New Roman"/>
          <w:b/>
          <w:bCs/>
          <w:color w:val="C9211E"/>
          <w:sz w:val="36"/>
          <w:szCs w:val="36"/>
          <w:lang w:eastAsia="ru-RU"/>
        </w:rPr>
      </w:pPr>
    </w:p>
    <w:p w14:paraId="61CDCEAD" w14:textId="77777777" w:rsidR="00B51242" w:rsidRDefault="00B51242">
      <w:pPr>
        <w:spacing w:line="360" w:lineRule="auto"/>
        <w:jc w:val="center"/>
        <w:rPr>
          <w:rFonts w:eastAsia="Times New Roman" w:cs="Times New Roman"/>
          <w:b/>
          <w:bCs/>
          <w:color w:val="C9211E"/>
          <w:sz w:val="36"/>
          <w:szCs w:val="36"/>
          <w:lang w:eastAsia="ru-RU"/>
        </w:rPr>
      </w:pPr>
    </w:p>
    <w:p w14:paraId="6BB9E253" w14:textId="77777777" w:rsidR="00B51242" w:rsidRDefault="00B51242">
      <w:pPr>
        <w:spacing w:line="360" w:lineRule="auto"/>
        <w:jc w:val="center"/>
        <w:rPr>
          <w:b/>
          <w:sz w:val="28"/>
        </w:rPr>
      </w:pPr>
    </w:p>
    <w:p w14:paraId="23DE523C" w14:textId="77777777" w:rsidR="00B51242" w:rsidRDefault="00B51242">
      <w:pPr>
        <w:spacing w:line="360" w:lineRule="auto"/>
        <w:jc w:val="center"/>
        <w:rPr>
          <w:b/>
          <w:sz w:val="28"/>
        </w:rPr>
      </w:pPr>
    </w:p>
    <w:p w14:paraId="77852FFA" w14:textId="01D51A01" w:rsidR="00B51242" w:rsidRDefault="7CC053F2" w:rsidP="1E610DEF">
      <w:pPr>
        <w:spacing w:line="360" w:lineRule="auto"/>
      </w:pPr>
      <w:r w:rsidRPr="1E610DEF">
        <w:rPr>
          <w:sz w:val="28"/>
          <w:szCs w:val="28"/>
        </w:rPr>
        <w:t xml:space="preserve">                               ЗМІСТ </w:t>
      </w:r>
      <w:r w:rsidR="05E59440" w:rsidRPr="1E610DEF">
        <w:rPr>
          <w:rFonts w:ascii="Calibri Light" w:hAnsi="Calibri Light" w:cs="Calibri Light"/>
          <w:color w:val="2F5496"/>
          <w:sz w:val="32"/>
          <w:szCs w:val="32"/>
        </w:rPr>
        <w:t xml:space="preserve">                                                                                                                      </w:t>
      </w:r>
    </w:p>
    <w:p w14:paraId="275C80F1" w14:textId="36B2FC99" w:rsidR="00B51242" w:rsidRDefault="1E610DEF">
      <w:pPr>
        <w:tabs>
          <w:tab w:val="center" w:leader="dot" w:pos="9628"/>
        </w:tabs>
        <w:snapToGrid w:val="0"/>
        <w:spacing w:line="360" w:lineRule="auto"/>
        <w:jc w:val="both"/>
      </w:pPr>
      <w:r w:rsidRPr="1E610DEF">
        <w:rPr>
          <w:rStyle w:val="InternetLink"/>
          <w:rFonts w:eastAsia="Calibri"/>
          <w:color w:val="70AD47" w:themeColor="accent6"/>
          <w:sz w:val="28"/>
          <w:szCs w:val="28"/>
          <w:u w:val="none"/>
        </w:rPr>
        <w:t>ПЕРЕЛІК УМОВНИХ</w:t>
      </w:r>
      <w:r w:rsidR="6A736FF5" w:rsidRPr="1E610DEF">
        <w:rPr>
          <w:rStyle w:val="InternetLink"/>
          <w:rFonts w:eastAsia="Calibri"/>
          <w:color w:val="70AD47" w:themeColor="accent6"/>
          <w:sz w:val="28"/>
          <w:szCs w:val="28"/>
          <w:u w:val="none"/>
        </w:rPr>
        <w:t xml:space="preserve"> </w:t>
      </w:r>
      <w:r w:rsidRPr="1E610DEF">
        <w:rPr>
          <w:rStyle w:val="InternetLink"/>
          <w:rFonts w:eastAsia="Calibri"/>
          <w:color w:val="70AD47" w:themeColor="accent6"/>
          <w:sz w:val="28"/>
          <w:szCs w:val="28"/>
          <w:u w:val="none"/>
        </w:rPr>
        <w:t>СКОРОЧЕНЬ..................................................................9</w:t>
      </w:r>
    </w:p>
    <w:p w14:paraId="2B4CFDB1" w14:textId="77777777" w:rsidR="00B51242" w:rsidRDefault="00454211">
      <w:pPr>
        <w:tabs>
          <w:tab w:val="center" w:leader="dot" w:pos="9628"/>
        </w:tabs>
        <w:snapToGrid w:val="0"/>
        <w:spacing w:line="360" w:lineRule="auto"/>
        <w:jc w:val="both"/>
      </w:pPr>
      <w:hyperlink w:anchor="__RefHeading___Toc182165544">
        <w:r w:rsidR="008E4E86">
          <w:rPr>
            <w:rStyle w:val="InternetLink"/>
            <w:color w:val="000000"/>
            <w:sz w:val="28"/>
            <w:szCs w:val="28"/>
            <w:u w:val="none"/>
          </w:rPr>
          <w:t>ВСТУП</w:t>
        </w:r>
      </w:hyperlink>
      <w:r w:rsidR="008E4E86">
        <w:rPr>
          <w:rStyle w:val="InternetLink"/>
          <w:rFonts w:eastAsia="Calibri"/>
          <w:color w:val="000000"/>
          <w:sz w:val="28"/>
          <w:szCs w:val="28"/>
          <w:u w:val="none"/>
        </w:rPr>
        <w:t>......</w:t>
      </w:r>
      <w:r w:rsidR="008E4E86">
        <w:rPr>
          <w:rStyle w:val="InternetLink"/>
          <w:rFonts w:eastAsia="Calibri"/>
          <w:color w:val="000000"/>
          <w:sz w:val="28"/>
          <w:u w:val="none"/>
        </w:rPr>
        <w:t>............................................................................................................10</w:t>
      </w:r>
    </w:p>
    <w:p w14:paraId="28A1DBA9" w14:textId="60B25F7D" w:rsidR="00B51242" w:rsidRDefault="00454211">
      <w:pPr>
        <w:spacing w:line="360" w:lineRule="auto"/>
        <w:jc w:val="both"/>
      </w:pPr>
      <w:hyperlink w:anchor="__RefHeading___Toc182165562">
        <w:r w:rsidR="1E610DEF" w:rsidRPr="1E610DEF">
          <w:rPr>
            <w:rStyle w:val="InternetLink"/>
            <w:rFonts w:eastAsia="Calibri"/>
            <w:color w:val="auto"/>
            <w:sz w:val="28"/>
            <w:szCs w:val="28"/>
            <w:u w:val="none"/>
          </w:rPr>
          <w:t xml:space="preserve">РОЗДІЛ </w:t>
        </w:r>
      </w:hyperlink>
      <w:r w:rsidR="1E610DEF" w:rsidRPr="1E610DEF">
        <w:rPr>
          <w:rStyle w:val="InternetLink"/>
          <w:rFonts w:eastAsia="Calibri"/>
          <w:color w:val="auto"/>
          <w:sz w:val="28"/>
          <w:szCs w:val="28"/>
          <w:u w:val="none"/>
        </w:rPr>
        <w:t>І.</w:t>
      </w:r>
      <w:hyperlink w:anchor="__RefHeading___Toc182165562">
        <w:r w:rsidR="1E610DEF" w:rsidRPr="1E610DEF">
          <w:rPr>
            <w:rStyle w:val="InternetLink"/>
            <w:rFonts w:eastAsia="Calibri"/>
            <w:color w:val="auto"/>
            <w:sz w:val="28"/>
            <w:szCs w:val="28"/>
            <w:u w:val="none"/>
          </w:rPr>
          <w:t xml:space="preserve"> </w:t>
        </w:r>
      </w:hyperlink>
      <w:r w:rsidR="1E610DEF" w:rsidRPr="1E610DEF">
        <w:rPr>
          <w:rStyle w:val="InternetLink"/>
          <w:rFonts w:eastAsia="Calibri"/>
          <w:color w:val="auto"/>
          <w:sz w:val="28"/>
          <w:szCs w:val="28"/>
          <w:u w:val="none"/>
        </w:rPr>
        <w:t>ОРГАНІЗАЦІЯ ЕМПІРИЧНОГО ДОСЛІДЖЕННЯ</w:t>
      </w:r>
      <w:r w:rsidR="1E610DEF" w:rsidRPr="1E610DEF">
        <w:rPr>
          <w:sz w:val="28"/>
          <w:szCs w:val="28"/>
        </w:rPr>
        <w:t xml:space="preserve"> .................17    </w:t>
      </w:r>
    </w:p>
    <w:p w14:paraId="615E75F3" w14:textId="0FFE0D10" w:rsidR="00B51242" w:rsidRDefault="1E610DEF">
      <w:pPr>
        <w:spacing w:line="360" w:lineRule="auto"/>
        <w:jc w:val="both"/>
      </w:pPr>
      <w:r w:rsidRPr="1E610DEF">
        <w:rPr>
          <w:sz w:val="28"/>
          <w:szCs w:val="28"/>
        </w:rPr>
        <w:t xml:space="preserve">   1.1 Науковий апарат дослідження.................................................................17</w:t>
      </w:r>
    </w:p>
    <w:p w14:paraId="66B03DD2" w14:textId="77777777" w:rsidR="00B51242" w:rsidRDefault="008E4E86">
      <w:pPr>
        <w:pStyle w:val="2"/>
        <w:spacing w:before="0" w:after="0" w:line="360" w:lineRule="auto"/>
        <w:jc w:val="both"/>
      </w:pPr>
      <w:r>
        <w:rPr>
          <w:rStyle w:val="InternetLink"/>
          <w:b w:val="0"/>
          <w:bCs w:val="0"/>
          <w:color w:val="000000"/>
          <w:sz w:val="28"/>
          <w:szCs w:val="28"/>
          <w:u w:val="none"/>
        </w:rPr>
        <w:t xml:space="preserve">   1</w:t>
      </w:r>
      <w:r>
        <w:rPr>
          <w:rStyle w:val="InternetLink"/>
          <w:rFonts w:eastAsia="Calibri"/>
          <w:b w:val="0"/>
          <w:bCs w:val="0"/>
          <w:color w:val="000000"/>
          <w:sz w:val="28"/>
          <w:szCs w:val="28"/>
          <w:u w:val="none"/>
        </w:rPr>
        <w:t>.2. Характеристика вибірки дослідження.....................................................21</w:t>
      </w:r>
    </w:p>
    <w:p w14:paraId="5566D58F" w14:textId="60130282" w:rsidR="00B51242" w:rsidRDefault="1E610DEF">
      <w:pPr>
        <w:pStyle w:val="2"/>
        <w:tabs>
          <w:tab w:val="center" w:leader="dot" w:pos="9628"/>
        </w:tabs>
        <w:snapToGrid w:val="0"/>
        <w:spacing w:before="0" w:after="100" w:line="360" w:lineRule="auto"/>
        <w:jc w:val="both"/>
      </w:pPr>
      <w:r w:rsidRPr="1E610DEF">
        <w:rPr>
          <w:rStyle w:val="InternetLink"/>
          <w:rFonts w:eastAsia="Calibri"/>
          <w:b w:val="0"/>
          <w:bCs w:val="0"/>
          <w:color w:val="70AD47" w:themeColor="accent6"/>
          <w:sz w:val="28"/>
          <w:szCs w:val="28"/>
          <w:u w:val="none"/>
        </w:rPr>
        <w:t xml:space="preserve">   Висновки до розділу 1.....................................................................................23</w:t>
      </w:r>
    </w:p>
    <w:p w14:paraId="2EC55529" w14:textId="7AA54B0C" w:rsidR="00B51242" w:rsidRDefault="00454211">
      <w:pPr>
        <w:pStyle w:val="2"/>
        <w:tabs>
          <w:tab w:val="center" w:leader="dot" w:pos="9628"/>
        </w:tabs>
        <w:snapToGrid w:val="0"/>
        <w:spacing w:before="0" w:after="0" w:line="360" w:lineRule="auto"/>
        <w:jc w:val="both"/>
      </w:pPr>
      <w:hyperlink w:anchor="__RefHeading___Toc182165545">
        <w:r w:rsidR="1E610DEF" w:rsidRPr="1E610DEF">
          <w:rPr>
            <w:rStyle w:val="InternetLink"/>
            <w:rFonts w:eastAsia="Calibri"/>
            <w:b w:val="0"/>
            <w:bCs w:val="0"/>
            <w:color w:val="70AD47" w:themeColor="accent6"/>
            <w:sz w:val="28"/>
            <w:szCs w:val="28"/>
            <w:u w:val="none"/>
          </w:rPr>
          <w:t>РОЗДІЛ IІ. ТЕОРЕТИЧНІ ОСНОВИ ПРЕДМЕТА ТА ЗАСОБІВ ДОСЛІДЖЕННЯ</w:t>
        </w:r>
      </w:hyperlink>
      <w:r w:rsidR="1E610DEF" w:rsidRPr="1E610DEF">
        <w:rPr>
          <w:rStyle w:val="InternetLink"/>
          <w:rFonts w:eastAsia="Calibri"/>
          <w:b w:val="0"/>
          <w:bCs w:val="0"/>
          <w:color w:val="70AD47" w:themeColor="accent6"/>
          <w:sz w:val="28"/>
          <w:szCs w:val="28"/>
          <w:u w:val="none"/>
        </w:rPr>
        <w:t>..................................................................................................2</w:t>
      </w:r>
    </w:p>
    <w:p w14:paraId="2F4CE391" w14:textId="0DFAC347" w:rsidR="00B51242" w:rsidRDefault="1E610DEF">
      <w:pPr>
        <w:tabs>
          <w:tab w:val="center" w:leader="dot" w:pos="9628"/>
        </w:tabs>
        <w:snapToGrid w:val="0"/>
        <w:spacing w:line="360" w:lineRule="auto"/>
        <w:ind w:left="227"/>
        <w:jc w:val="both"/>
      </w:pPr>
      <w:r w:rsidRPr="1E610DEF">
        <w:rPr>
          <w:rStyle w:val="InternetLink"/>
          <w:color w:val="70AD47" w:themeColor="accent6"/>
          <w:sz w:val="28"/>
          <w:szCs w:val="28"/>
          <w:u w:val="none"/>
        </w:rPr>
        <w:t>2.1. Історичні аспекти  ПТСР, як наймолодшого психічного захворювання. Еволюція психологічних методвів у контексті ПТСР..................................................................................................................2</w:t>
      </w:r>
    </w:p>
    <w:p w14:paraId="2F08F766" w14:textId="77777777" w:rsidR="00B51242" w:rsidRDefault="008E4E86">
      <w:pPr>
        <w:tabs>
          <w:tab w:val="center" w:leader="dot" w:pos="9628"/>
        </w:tabs>
        <w:snapToGrid w:val="0"/>
        <w:spacing w:line="360" w:lineRule="auto"/>
        <w:ind w:left="227"/>
        <w:jc w:val="both"/>
      </w:pPr>
      <w:r>
        <w:rPr>
          <w:rStyle w:val="InternetLink"/>
          <w:color w:val="000000"/>
          <w:sz w:val="28"/>
          <w:u w:val="none"/>
        </w:rPr>
        <w:t>2.2. Дослідження розвитку КПТ від зародження до третьої хвилі..............30</w:t>
      </w:r>
    </w:p>
    <w:p w14:paraId="3FC2AD16" w14:textId="619F9F2C" w:rsidR="00B51242" w:rsidRDefault="1E610DEF">
      <w:pPr>
        <w:tabs>
          <w:tab w:val="center" w:leader="dot" w:pos="9344"/>
        </w:tabs>
        <w:snapToGrid w:val="0"/>
        <w:spacing w:line="360" w:lineRule="auto"/>
        <w:ind w:left="240"/>
        <w:jc w:val="both"/>
      </w:pPr>
      <w:r w:rsidRPr="1E610DEF">
        <w:rPr>
          <w:rStyle w:val="InternetLink"/>
          <w:rFonts w:eastAsia="Calibri"/>
          <w:color w:val="70AD47" w:themeColor="accent6"/>
          <w:sz w:val="28"/>
          <w:szCs w:val="28"/>
          <w:u w:val="none"/>
        </w:rPr>
        <w:t>2.3. ПТСР з погляду</w:t>
      </w:r>
      <w:r w:rsidR="057B164F" w:rsidRPr="1E610DEF">
        <w:rPr>
          <w:rStyle w:val="InternetLink"/>
          <w:rFonts w:eastAsia="Calibri"/>
          <w:color w:val="70AD47" w:themeColor="accent6"/>
          <w:sz w:val="28"/>
          <w:szCs w:val="28"/>
          <w:u w:val="none"/>
        </w:rPr>
        <w:t xml:space="preserve"> КПТ..........................33</w:t>
      </w:r>
      <w:r w:rsidRPr="1E610DEF">
        <w:rPr>
          <w:rStyle w:val="InternetLink"/>
          <w:rFonts w:eastAsia="Calibri"/>
          <w:color w:val="70AD47" w:themeColor="accent6"/>
          <w:sz w:val="28"/>
          <w:szCs w:val="28"/>
          <w:u w:val="none"/>
        </w:rPr>
        <w:t xml:space="preserve">                                                      </w:t>
      </w:r>
    </w:p>
    <w:p w14:paraId="19F33EC9" w14:textId="68232580" w:rsidR="00B51242" w:rsidRDefault="1E610DEF" w:rsidP="1E610DEF">
      <w:pPr>
        <w:tabs>
          <w:tab w:val="center" w:leader="dot" w:pos="9344"/>
        </w:tabs>
        <w:snapToGrid w:val="0"/>
        <w:spacing w:line="360" w:lineRule="auto"/>
        <w:ind w:left="240"/>
        <w:jc w:val="both"/>
      </w:pPr>
      <w:r w:rsidRPr="1E610DEF">
        <w:rPr>
          <w:rStyle w:val="InternetLink"/>
          <w:rFonts w:eastAsia="Calibri"/>
          <w:color w:val="70AD47" w:themeColor="accent6"/>
          <w:sz w:val="28"/>
          <w:szCs w:val="28"/>
          <w:u w:val="none"/>
        </w:rPr>
        <w:t>2.4. Проблематика психологічної допомоги військовослужбовців із ПТСР.................................................................................................................42</w:t>
      </w:r>
      <w:hyperlink w:anchor="__RefHeading___Toc182165549">
        <w:r w:rsidRPr="1E610DEF">
          <w:rPr>
            <w:rStyle w:val="InternetLink"/>
            <w:color w:val="70AD47" w:themeColor="accent6"/>
            <w:sz w:val="28"/>
            <w:szCs w:val="28"/>
            <w:u w:val="none"/>
          </w:rPr>
          <w:t>Висновки до розділу</w:t>
        </w:r>
      </w:hyperlink>
      <w:r w:rsidRPr="1E610DEF">
        <w:rPr>
          <w:rStyle w:val="InternetLink"/>
          <w:color w:val="70AD47" w:themeColor="accent6"/>
          <w:sz w:val="28"/>
          <w:szCs w:val="28"/>
          <w:u w:val="none"/>
        </w:rPr>
        <w:t xml:space="preserve"> 2..............................................................52</w:t>
      </w:r>
      <w:r>
        <w:t xml:space="preserve">                                                                                               </w:t>
      </w:r>
    </w:p>
    <w:p w14:paraId="51ED9AB9" w14:textId="77777777" w:rsidR="00B51242" w:rsidRDefault="008E4E86">
      <w:pPr>
        <w:pStyle w:val="2"/>
        <w:spacing w:before="0" w:after="0" w:line="360" w:lineRule="auto"/>
      </w:pPr>
      <w:r>
        <w:rPr>
          <w:rStyle w:val="InternetLink"/>
          <w:rFonts w:eastAsia="Calibri"/>
          <w:b w:val="0"/>
          <w:bCs w:val="0"/>
          <w:color w:val="000000"/>
          <w:sz w:val="28"/>
          <w:szCs w:val="28"/>
          <w:u w:val="none"/>
        </w:rPr>
        <w:t>РОЗДІЛ ІІІ. ДОСЛІДЖЕННЯ ПРОБЛЕМАТИКИ ПСИХОЛОГІЧНОЇ ПІДТРИМКИ ВІЙСЬКОВОСЛУЖБОВЦІВ ІЗ ПТСР ТА ШЛЯХИ ЇХ ВИРІШЕННЯ........................................................................................................60</w:t>
      </w:r>
    </w:p>
    <w:p w14:paraId="2DD2A542" w14:textId="77777777" w:rsidR="00B51242" w:rsidRDefault="1E610DEF">
      <w:pPr>
        <w:pStyle w:val="2"/>
        <w:spacing w:before="0" w:after="0" w:line="360" w:lineRule="auto"/>
        <w:jc w:val="both"/>
      </w:pPr>
      <w:r w:rsidRPr="1E610DEF">
        <w:rPr>
          <w:rStyle w:val="InternetLink"/>
          <w:rFonts w:eastAsia="Times New Roman" w:cs="Times New Roman"/>
          <w:b w:val="0"/>
          <w:bCs w:val="0"/>
          <w:color w:val="000000"/>
          <w:sz w:val="28"/>
          <w:szCs w:val="28"/>
          <w:u w:val="none"/>
        </w:rPr>
        <w:t xml:space="preserve">  3.1. Інтегративний підхід .................................................................................60</w:t>
      </w:r>
    </w:p>
    <w:p w14:paraId="7768321C" w14:textId="3AA48E29" w:rsidR="00B51242" w:rsidRDefault="1E610DEF">
      <w:pPr>
        <w:pStyle w:val="2"/>
        <w:tabs>
          <w:tab w:val="center" w:leader="dot" w:pos="9344"/>
        </w:tabs>
        <w:overflowPunct/>
        <w:snapToGrid w:val="0"/>
        <w:spacing w:before="0" w:after="0" w:line="360" w:lineRule="auto"/>
        <w:jc w:val="both"/>
      </w:pPr>
      <w:r w:rsidRPr="1E610DEF">
        <w:rPr>
          <w:rStyle w:val="InternetLink"/>
          <w:rFonts w:eastAsia="Times New Roman" w:cs="Times New Roman"/>
          <w:b w:val="0"/>
          <w:bCs w:val="0"/>
          <w:color w:val="000000"/>
          <w:sz w:val="28"/>
          <w:szCs w:val="28"/>
          <w:u w:val="none"/>
          <w:lang w:eastAsia="ru-RU"/>
        </w:rPr>
        <w:t>3.2 Комплекс методів психологічної допомоги............</w:t>
      </w:r>
      <w:r w:rsidR="76F4FFF7" w:rsidRPr="1E610DEF">
        <w:rPr>
          <w:rStyle w:val="InternetLink"/>
          <w:rFonts w:eastAsia="Times New Roman" w:cs="Times New Roman"/>
          <w:b w:val="0"/>
          <w:bCs w:val="0"/>
          <w:color w:val="000000"/>
          <w:sz w:val="28"/>
          <w:szCs w:val="28"/>
          <w:u w:val="none"/>
          <w:lang w:eastAsia="ru-RU"/>
        </w:rPr>
        <w:t>................................................................................</w:t>
      </w:r>
      <w:r w:rsidRPr="1E610DEF">
        <w:rPr>
          <w:rStyle w:val="InternetLink"/>
          <w:rFonts w:eastAsia="Times New Roman" w:cs="Times New Roman"/>
          <w:b w:val="0"/>
          <w:bCs w:val="0"/>
          <w:color w:val="000000"/>
          <w:sz w:val="28"/>
          <w:szCs w:val="28"/>
          <w:u w:val="none"/>
          <w:lang w:eastAsia="ru-RU"/>
        </w:rPr>
        <w:t xml:space="preserve">................68                                                                                                             </w:t>
      </w:r>
    </w:p>
    <w:p w14:paraId="7979F94C" w14:textId="77777777" w:rsidR="00B51242" w:rsidRDefault="1E610DEF">
      <w:pPr>
        <w:pStyle w:val="2"/>
        <w:tabs>
          <w:tab w:val="center" w:leader="dot" w:pos="9344"/>
        </w:tabs>
        <w:overflowPunct/>
        <w:snapToGrid w:val="0"/>
        <w:spacing w:before="0" w:after="0" w:line="360" w:lineRule="auto"/>
        <w:jc w:val="both"/>
      </w:pPr>
      <w:r w:rsidRPr="1E610DEF">
        <w:rPr>
          <w:rStyle w:val="InternetLink"/>
          <w:rFonts w:eastAsia="Times New Roman" w:cs="Times New Roman"/>
          <w:b w:val="0"/>
          <w:bCs w:val="0"/>
          <w:color w:val="000000"/>
          <w:sz w:val="28"/>
          <w:szCs w:val="28"/>
          <w:u w:val="none"/>
        </w:rPr>
        <w:t xml:space="preserve">3.3 </w:t>
      </w:r>
      <w:r w:rsidRPr="1E610DEF">
        <w:rPr>
          <w:rStyle w:val="InternetLink"/>
          <w:rFonts w:eastAsia="Times New Roman" w:cs="Times New Roman"/>
          <w:b w:val="0"/>
          <w:bCs w:val="0"/>
          <w:color w:val="000000"/>
          <w:sz w:val="28"/>
          <w:szCs w:val="28"/>
          <w:u w:val="none"/>
          <w:lang w:eastAsia="ru-RU"/>
        </w:rPr>
        <w:t xml:space="preserve">Основні складові структури плану психологічної підтримки................80 </w:t>
      </w:r>
    </w:p>
    <w:p w14:paraId="692EED1E" w14:textId="77777777" w:rsidR="00B51242" w:rsidRDefault="1E610DEF">
      <w:pPr>
        <w:tabs>
          <w:tab w:val="center" w:leader="dot" w:pos="9344"/>
        </w:tabs>
        <w:snapToGrid w:val="0"/>
        <w:spacing w:line="360" w:lineRule="auto"/>
        <w:jc w:val="both"/>
      </w:pPr>
      <w:r w:rsidRPr="1E610DEF">
        <w:rPr>
          <w:rStyle w:val="InternetLink"/>
          <w:rFonts w:eastAsia="Times New Roman" w:cs="Times New Roman"/>
          <w:color w:val="000000"/>
          <w:sz w:val="28"/>
          <w:szCs w:val="28"/>
          <w:u w:val="none"/>
          <w:lang w:eastAsia="ru-RU"/>
        </w:rPr>
        <w:t xml:space="preserve">3.4. </w:t>
      </w:r>
      <w:r w:rsidRPr="1E610DEF">
        <w:rPr>
          <w:rStyle w:val="InternetLink"/>
          <w:rFonts w:eastAsia="Times New Roman" w:cs="Times New Roman"/>
          <w:color w:val="000000"/>
          <w:sz w:val="28"/>
          <w:szCs w:val="28"/>
          <w:u w:val="none"/>
        </w:rPr>
        <w:t>План психологічної підтримки</w:t>
      </w:r>
      <w:r w:rsidRPr="1E610DEF">
        <w:rPr>
          <w:rStyle w:val="InternetLink"/>
          <w:rFonts w:eastAsia="Times New Roman" w:cs="Times New Roman"/>
          <w:color w:val="000000"/>
          <w:sz w:val="28"/>
          <w:szCs w:val="28"/>
          <w:u w:val="none"/>
          <w:lang w:eastAsia="ru-RU"/>
        </w:rPr>
        <w:t>.................................................................90</w:t>
      </w:r>
    </w:p>
    <w:p w14:paraId="07FCA33A" w14:textId="77777777" w:rsidR="00B51242" w:rsidRDefault="1E610DEF">
      <w:pPr>
        <w:tabs>
          <w:tab w:val="center" w:leader="dot" w:pos="9344"/>
        </w:tabs>
        <w:snapToGrid w:val="0"/>
        <w:spacing w:line="360" w:lineRule="auto"/>
        <w:jc w:val="both"/>
      </w:pPr>
      <w:r w:rsidRPr="1E610DEF">
        <w:rPr>
          <w:rStyle w:val="InternetLink"/>
          <w:rFonts w:eastAsia="Times New Roman" w:cs="Times New Roman"/>
          <w:color w:val="000000"/>
          <w:sz w:val="28"/>
          <w:szCs w:val="28"/>
          <w:u w:val="none"/>
        </w:rPr>
        <w:t xml:space="preserve">Висновки до розділу 3......................................................................................93                                                                   </w:t>
      </w:r>
    </w:p>
    <w:p w14:paraId="35C46E68" w14:textId="77777777" w:rsidR="00B51242" w:rsidRDefault="008E4E86">
      <w:pPr>
        <w:pStyle w:val="2"/>
        <w:spacing w:before="0" w:after="0" w:line="360" w:lineRule="auto"/>
        <w:jc w:val="both"/>
      </w:pPr>
      <w:bookmarkStart w:id="1" w:name="__DdeLink__6343_3519051374"/>
      <w:r>
        <w:rPr>
          <w:rStyle w:val="InternetLink"/>
          <w:rFonts w:eastAsia="Calibri" w:cs="Times New Roman"/>
          <w:b w:val="0"/>
          <w:bCs w:val="0"/>
          <w:color w:val="000000"/>
          <w:sz w:val="28"/>
          <w:szCs w:val="28"/>
          <w:u w:val="none"/>
        </w:rPr>
        <w:t xml:space="preserve">РОЗДІЛ </w:t>
      </w:r>
      <w:r w:rsidRPr="00D3629B">
        <w:rPr>
          <w:rStyle w:val="InternetLink"/>
          <w:rFonts w:eastAsia="Calibri" w:cs="Times New Roman"/>
          <w:b w:val="0"/>
          <w:bCs w:val="0"/>
          <w:color w:val="000000"/>
          <w:sz w:val="28"/>
          <w:szCs w:val="28"/>
          <w:u w:val="none"/>
          <w:lang w:val="ru-RU"/>
        </w:rPr>
        <w:t>І</w:t>
      </w:r>
      <w:r>
        <w:rPr>
          <w:rStyle w:val="InternetLink"/>
          <w:rFonts w:eastAsia="Calibri" w:cs="Times New Roman"/>
          <w:b w:val="0"/>
          <w:bCs w:val="0"/>
          <w:color w:val="000000"/>
          <w:sz w:val="28"/>
          <w:szCs w:val="28"/>
          <w:u w:val="none"/>
          <w:lang w:val="en-US"/>
        </w:rPr>
        <w:t>V</w:t>
      </w:r>
      <w:r w:rsidRPr="00D3629B">
        <w:rPr>
          <w:rStyle w:val="InternetLink"/>
          <w:rFonts w:eastAsia="Calibri" w:cs="Times New Roman"/>
          <w:b w:val="0"/>
          <w:bCs w:val="0"/>
          <w:color w:val="000000"/>
          <w:sz w:val="28"/>
          <w:szCs w:val="28"/>
          <w:u w:val="none"/>
          <w:lang w:val="ru-RU"/>
        </w:rPr>
        <w:t xml:space="preserve">. </w:t>
      </w:r>
      <w:bookmarkEnd w:id="1"/>
      <w:r>
        <w:rPr>
          <w:rStyle w:val="InternetLink"/>
          <w:rFonts w:eastAsia="Calibri" w:cs="Times New Roman"/>
          <w:b w:val="0"/>
          <w:bCs w:val="0"/>
          <w:color w:val="000000"/>
          <w:sz w:val="28"/>
          <w:szCs w:val="28"/>
          <w:u w:val="none"/>
        </w:rPr>
        <w:t xml:space="preserve">ЕМПІРИЧНЕ ДОСЛІДЖЕННЯ ЕФЕКТИВНОСТІ КПТ В КОМПЛЕКСІ З ТОТ ТА </w:t>
      </w:r>
      <w:r>
        <w:rPr>
          <w:rStyle w:val="InternetLink"/>
          <w:rFonts w:eastAsia="Calibri" w:cs="Times New Roman"/>
          <w:b w:val="0"/>
          <w:bCs w:val="0"/>
          <w:color w:val="000000"/>
          <w:sz w:val="28"/>
          <w:szCs w:val="28"/>
          <w:u w:val="none"/>
          <w:lang w:val="en-US"/>
        </w:rPr>
        <w:t>EMDR</w:t>
      </w:r>
      <w:r>
        <w:rPr>
          <w:rStyle w:val="InternetLink"/>
          <w:rFonts w:eastAsia="Calibri" w:cs="Times New Roman"/>
          <w:b w:val="0"/>
          <w:bCs w:val="0"/>
          <w:color w:val="000000"/>
          <w:sz w:val="28"/>
          <w:szCs w:val="28"/>
          <w:u w:val="none"/>
        </w:rPr>
        <w:t>.</w:t>
      </w:r>
      <w:r>
        <w:rPr>
          <w:rStyle w:val="InternetLink"/>
          <w:rFonts w:eastAsia="Calibri" w:cs="Times New Roman"/>
          <w:b w:val="0"/>
          <w:bCs w:val="0"/>
          <w:color w:val="000000"/>
          <w:sz w:val="28"/>
          <w:szCs w:val="28"/>
          <w:u w:val="none"/>
          <w:lang w:val="ru-RU"/>
        </w:rPr>
        <w:t xml:space="preserve"> </w:t>
      </w:r>
      <w:r>
        <w:rPr>
          <w:rStyle w:val="InternetLink"/>
          <w:rFonts w:eastAsia="Calibri" w:cs="Times New Roman"/>
          <w:b w:val="0"/>
          <w:bCs w:val="0"/>
          <w:color w:val="000000"/>
          <w:sz w:val="28"/>
          <w:szCs w:val="28"/>
          <w:u w:val="none"/>
        </w:rPr>
        <w:t xml:space="preserve">ІНТЕРПРЕТАЦІЯ </w:t>
      </w:r>
      <w:r>
        <w:rPr>
          <w:rStyle w:val="InternetLink"/>
          <w:rFonts w:eastAsia="Calibri" w:cs="Times New Roman"/>
          <w:b w:val="0"/>
          <w:bCs w:val="0"/>
          <w:color w:val="000000"/>
          <w:sz w:val="28"/>
          <w:szCs w:val="28"/>
          <w:u w:val="none"/>
          <w:lang w:val="ru-RU"/>
        </w:rPr>
        <w:t xml:space="preserve">ТА </w:t>
      </w:r>
      <w:r>
        <w:rPr>
          <w:rStyle w:val="InternetLink"/>
          <w:rFonts w:eastAsia="Calibri" w:cs="Times New Roman"/>
          <w:b w:val="0"/>
          <w:bCs w:val="0"/>
          <w:color w:val="000000"/>
          <w:sz w:val="28"/>
          <w:szCs w:val="28"/>
          <w:u w:val="none"/>
        </w:rPr>
        <w:t xml:space="preserve">АНАЛІЗ ОТРИМАНИХ РЕЗУЛЬТАТІВ............................................................................96                                                               </w:t>
      </w:r>
    </w:p>
    <w:p w14:paraId="66B5318D" w14:textId="77777777" w:rsidR="00B51242" w:rsidRDefault="05E59440" w:rsidP="05E59440">
      <w:pPr>
        <w:pStyle w:val="2"/>
        <w:spacing w:before="0" w:after="0" w:line="360" w:lineRule="auto"/>
        <w:jc w:val="both"/>
        <w:rPr>
          <w:rStyle w:val="InternetLink"/>
          <w:b w:val="0"/>
          <w:bCs w:val="0"/>
          <w:color w:val="70AD47" w:themeColor="accent6"/>
        </w:rPr>
      </w:pPr>
      <w:r w:rsidRPr="05E59440">
        <w:rPr>
          <w:rStyle w:val="InternetLink"/>
          <w:rFonts w:eastAsia="Calibri" w:cs="Times New Roman"/>
          <w:b w:val="0"/>
          <w:bCs w:val="0"/>
          <w:color w:val="000000"/>
          <w:sz w:val="28"/>
          <w:szCs w:val="28"/>
          <w:u w:val="none"/>
        </w:rPr>
        <w:t>Висновки до розділу 4.......................................................................................107</w:t>
      </w:r>
    </w:p>
    <w:p w14:paraId="316A4A7B" w14:textId="77777777" w:rsidR="00B51242" w:rsidRDefault="008E4E86">
      <w:pPr>
        <w:tabs>
          <w:tab w:val="center" w:leader="dot" w:pos="9628"/>
        </w:tabs>
        <w:snapToGrid w:val="0"/>
        <w:spacing w:line="360" w:lineRule="auto"/>
      </w:pPr>
      <w:r>
        <w:rPr>
          <w:rStyle w:val="InternetLink"/>
          <w:rFonts w:eastAsia="Calibri"/>
          <w:color w:val="000000"/>
          <w:sz w:val="28"/>
          <w:u w:val="none"/>
        </w:rPr>
        <w:t>ВИСНОВКИ …………………………………………………………………..110</w:t>
      </w:r>
    </w:p>
    <w:p w14:paraId="27EB9CF8" w14:textId="77777777" w:rsidR="00B51242" w:rsidRDefault="008E4E86">
      <w:pPr>
        <w:tabs>
          <w:tab w:val="center" w:leader="dot" w:pos="9628"/>
        </w:tabs>
        <w:snapToGrid w:val="0"/>
        <w:spacing w:after="100" w:line="360" w:lineRule="auto"/>
      </w:pPr>
      <w:r>
        <w:rPr>
          <w:rStyle w:val="InternetLink"/>
          <w:rFonts w:eastAsia="Calibri"/>
          <w:color w:val="000000"/>
          <w:sz w:val="28"/>
          <w:u w:val="none"/>
        </w:rPr>
        <w:t>СПИСОК ВИКОРИСТАНИХ ДЖЕРЕЛ ТА ЛІТЕРАТУРИ...........................115</w:t>
      </w:r>
    </w:p>
    <w:p w14:paraId="7498945D" w14:textId="77777777" w:rsidR="00B51242" w:rsidRDefault="008E4E86">
      <w:pPr>
        <w:tabs>
          <w:tab w:val="center" w:leader="dot" w:pos="9628"/>
        </w:tabs>
        <w:snapToGrid w:val="0"/>
        <w:spacing w:after="100" w:line="360" w:lineRule="auto"/>
      </w:pPr>
      <w:r>
        <w:rPr>
          <w:rStyle w:val="InternetLink"/>
          <w:rFonts w:eastAsia="Calibri"/>
          <w:color w:val="000000"/>
          <w:sz w:val="28"/>
          <w:u w:val="none"/>
        </w:rPr>
        <w:lastRenderedPageBreak/>
        <w:t>ДОДАТКИ………………………………………………………………..........125</w:t>
      </w:r>
      <w:r>
        <w:rPr>
          <w:rStyle w:val="InternetLink"/>
          <w:rFonts w:eastAsia="Calibri"/>
          <w:color w:val="000000"/>
          <w:sz w:val="28"/>
        </w:rPr>
        <w:br/>
      </w:r>
    </w:p>
    <w:p w14:paraId="07459315" w14:textId="77777777" w:rsidR="00B51242" w:rsidRDefault="00B51242">
      <w:pPr>
        <w:tabs>
          <w:tab w:val="center" w:leader="dot" w:pos="9628"/>
        </w:tabs>
        <w:snapToGrid w:val="0"/>
        <w:spacing w:after="100" w:line="360" w:lineRule="auto"/>
        <w:jc w:val="both"/>
        <w:rPr>
          <w:b/>
          <w:bCs/>
          <w:color w:val="FF4000"/>
          <w:sz w:val="36"/>
          <w:szCs w:val="36"/>
        </w:rPr>
      </w:pPr>
    </w:p>
    <w:p w14:paraId="6537F28F" w14:textId="77777777" w:rsidR="00B51242" w:rsidRDefault="00B51242">
      <w:pPr>
        <w:tabs>
          <w:tab w:val="center" w:leader="dot" w:pos="9628"/>
        </w:tabs>
        <w:snapToGrid w:val="0"/>
        <w:spacing w:line="360" w:lineRule="auto"/>
        <w:jc w:val="both"/>
        <w:rPr>
          <w:rStyle w:val="InternetLink"/>
          <w:rFonts w:eastAsia="Calibri"/>
          <w:sz w:val="28"/>
        </w:rPr>
      </w:pPr>
    </w:p>
    <w:p w14:paraId="6DFB9E20" w14:textId="77777777" w:rsidR="00B51242" w:rsidRDefault="00B51242">
      <w:pPr>
        <w:tabs>
          <w:tab w:val="center" w:leader="dot" w:pos="9628"/>
        </w:tabs>
        <w:snapToGrid w:val="0"/>
        <w:spacing w:line="360" w:lineRule="auto"/>
        <w:jc w:val="both"/>
        <w:rPr>
          <w:rStyle w:val="InternetLink"/>
          <w:rFonts w:eastAsia="Calibri"/>
          <w:sz w:val="28"/>
        </w:rPr>
      </w:pPr>
    </w:p>
    <w:p w14:paraId="70DF9E56" w14:textId="77777777" w:rsidR="00B51242" w:rsidRDefault="00B51242">
      <w:pPr>
        <w:tabs>
          <w:tab w:val="center" w:leader="dot" w:pos="9628"/>
        </w:tabs>
        <w:snapToGrid w:val="0"/>
        <w:spacing w:line="360" w:lineRule="auto"/>
        <w:jc w:val="both"/>
        <w:rPr>
          <w:rStyle w:val="InternetLink"/>
          <w:rFonts w:eastAsia="Calibri"/>
          <w:sz w:val="28"/>
        </w:rPr>
      </w:pPr>
    </w:p>
    <w:p w14:paraId="44E871BC" w14:textId="77777777" w:rsidR="00B51242" w:rsidRDefault="00B51242">
      <w:pPr>
        <w:tabs>
          <w:tab w:val="center" w:leader="dot" w:pos="9628"/>
        </w:tabs>
        <w:snapToGrid w:val="0"/>
        <w:spacing w:line="360" w:lineRule="auto"/>
        <w:jc w:val="both"/>
        <w:rPr>
          <w:rStyle w:val="InternetLink"/>
          <w:rFonts w:eastAsia="Calibri"/>
          <w:sz w:val="28"/>
        </w:rPr>
      </w:pPr>
    </w:p>
    <w:p w14:paraId="144A5D23" w14:textId="77777777" w:rsidR="00B51242" w:rsidRDefault="00B51242">
      <w:pPr>
        <w:tabs>
          <w:tab w:val="center" w:leader="dot" w:pos="9628"/>
        </w:tabs>
        <w:snapToGrid w:val="0"/>
        <w:spacing w:line="360" w:lineRule="auto"/>
        <w:jc w:val="both"/>
        <w:rPr>
          <w:rStyle w:val="InternetLink"/>
          <w:rFonts w:eastAsia="Calibri"/>
          <w:sz w:val="28"/>
        </w:rPr>
      </w:pPr>
    </w:p>
    <w:p w14:paraId="738610EB" w14:textId="77777777" w:rsidR="00B51242" w:rsidRDefault="00B51242">
      <w:pPr>
        <w:tabs>
          <w:tab w:val="center" w:leader="dot" w:pos="9628"/>
        </w:tabs>
        <w:snapToGrid w:val="0"/>
        <w:spacing w:line="360" w:lineRule="auto"/>
        <w:jc w:val="both"/>
        <w:rPr>
          <w:rStyle w:val="InternetLink"/>
          <w:rFonts w:eastAsia="Calibri"/>
          <w:sz w:val="28"/>
        </w:rPr>
      </w:pPr>
    </w:p>
    <w:p w14:paraId="637805D2" w14:textId="77777777" w:rsidR="00B51242" w:rsidRDefault="00B51242">
      <w:pPr>
        <w:tabs>
          <w:tab w:val="center" w:leader="dot" w:pos="9628"/>
        </w:tabs>
        <w:snapToGrid w:val="0"/>
        <w:spacing w:line="360" w:lineRule="auto"/>
        <w:jc w:val="both"/>
        <w:rPr>
          <w:rStyle w:val="InternetLink"/>
          <w:rFonts w:eastAsia="Calibri"/>
          <w:sz w:val="28"/>
        </w:rPr>
      </w:pPr>
    </w:p>
    <w:p w14:paraId="463F29E8" w14:textId="77777777" w:rsidR="00B51242" w:rsidRDefault="00B51242">
      <w:pPr>
        <w:tabs>
          <w:tab w:val="center" w:leader="dot" w:pos="9628"/>
        </w:tabs>
        <w:snapToGrid w:val="0"/>
        <w:spacing w:line="360" w:lineRule="auto"/>
        <w:jc w:val="both"/>
        <w:rPr>
          <w:rStyle w:val="InternetLink"/>
          <w:rFonts w:eastAsia="Calibri"/>
          <w:sz w:val="28"/>
        </w:rPr>
      </w:pPr>
    </w:p>
    <w:p w14:paraId="33F37CF6" w14:textId="77777777" w:rsidR="00B51242" w:rsidRDefault="008E4E86">
      <w:pPr>
        <w:spacing w:line="360" w:lineRule="auto"/>
        <w:jc w:val="center"/>
      </w:pPr>
      <w:r>
        <w:rPr>
          <w:rStyle w:val="InternetLink"/>
          <w:color w:val="000000"/>
          <w:sz w:val="28"/>
          <w:szCs w:val="28"/>
          <w:u w:val="none"/>
        </w:rPr>
        <w:t>ПЕРЕЛІК УМОВНИХ СКОРОЧЕНЬ</w:t>
      </w:r>
    </w:p>
    <w:p w14:paraId="3BFAC67A" w14:textId="77777777" w:rsidR="00B51242" w:rsidRDefault="008E4E86">
      <w:pPr>
        <w:spacing w:line="360" w:lineRule="auto"/>
        <w:ind w:firstLine="737"/>
        <w:jc w:val="both"/>
      </w:pPr>
      <w:r>
        <w:rPr>
          <w:rStyle w:val="InternetLink"/>
          <w:color w:val="000000"/>
          <w:sz w:val="28"/>
          <w:szCs w:val="28"/>
          <w:u w:val="none"/>
        </w:rPr>
        <w:t>ВООЗ — Всесвітня організація охорони здоров'я.</w:t>
      </w:r>
    </w:p>
    <w:p w14:paraId="164B76F8" w14:textId="77777777" w:rsidR="00B51242" w:rsidRDefault="008E4E86">
      <w:pPr>
        <w:spacing w:line="360" w:lineRule="auto"/>
        <w:ind w:firstLine="737"/>
        <w:jc w:val="both"/>
      </w:pPr>
      <w:r>
        <w:rPr>
          <w:rStyle w:val="InternetLink"/>
          <w:rFonts w:eastAsia="Times New Roman" w:cs="Times New Roman"/>
          <w:color w:val="000000"/>
          <w:sz w:val="28"/>
          <w:szCs w:val="28"/>
          <w:u w:val="none"/>
        </w:rPr>
        <w:t>іКПТ — Інтернет-КПТ.</w:t>
      </w:r>
    </w:p>
    <w:p w14:paraId="1353FBDA" w14:textId="77777777" w:rsidR="00B51242" w:rsidRDefault="008E4E86">
      <w:pPr>
        <w:spacing w:line="360" w:lineRule="auto"/>
        <w:ind w:firstLine="737"/>
        <w:jc w:val="both"/>
      </w:pPr>
      <w:r>
        <w:rPr>
          <w:rStyle w:val="InternetLink"/>
          <w:rFonts w:eastAsia="Calibri"/>
          <w:color w:val="000000"/>
          <w:sz w:val="28"/>
          <w:szCs w:val="28"/>
          <w:u w:val="none"/>
        </w:rPr>
        <w:t>КПТ — Когнітивно-поведінкова терапія.</w:t>
      </w:r>
    </w:p>
    <w:p w14:paraId="44A8952B" w14:textId="77777777" w:rsidR="00B51242" w:rsidRDefault="008E4E86">
      <w:pPr>
        <w:spacing w:line="360" w:lineRule="auto"/>
        <w:ind w:firstLine="737"/>
        <w:jc w:val="both"/>
      </w:pPr>
      <w:r>
        <w:rPr>
          <w:rStyle w:val="StrongEmphasis"/>
          <w:rFonts w:eastAsia="Calibri"/>
          <w:b w:val="0"/>
          <w:bCs w:val="0"/>
          <w:color w:val="000000"/>
          <w:sz w:val="28"/>
          <w:szCs w:val="28"/>
        </w:rPr>
        <w:t xml:space="preserve">К-ПТСР — Комплексний посттравматичний стресовий розлад. </w:t>
      </w:r>
    </w:p>
    <w:p w14:paraId="6A3990F3" w14:textId="77777777" w:rsidR="00B51242" w:rsidRDefault="008E4E86">
      <w:pPr>
        <w:spacing w:line="360" w:lineRule="auto"/>
        <w:ind w:firstLine="737"/>
        <w:jc w:val="both"/>
      </w:pPr>
      <w:r>
        <w:rPr>
          <w:rStyle w:val="InternetLink"/>
          <w:rFonts w:eastAsia="Calibri"/>
          <w:color w:val="000000"/>
          <w:sz w:val="28"/>
          <w:szCs w:val="28"/>
          <w:u w:val="none"/>
        </w:rPr>
        <w:t>МКХ — Міжнародна класифікація хвороб.</w:t>
      </w:r>
    </w:p>
    <w:p w14:paraId="38B91676" w14:textId="77777777" w:rsidR="00B51242" w:rsidRDefault="008E4E86">
      <w:pPr>
        <w:spacing w:line="360" w:lineRule="auto"/>
        <w:ind w:firstLine="737"/>
        <w:jc w:val="both"/>
      </w:pPr>
      <w:r>
        <w:rPr>
          <w:rStyle w:val="InternetLink"/>
          <w:rFonts w:eastAsia="Calibri"/>
          <w:color w:val="000000"/>
          <w:sz w:val="28"/>
          <w:szCs w:val="28"/>
          <w:u w:val="none"/>
        </w:rPr>
        <w:t>ПТСР — Постравматичний стресовий розлад.</w:t>
      </w:r>
    </w:p>
    <w:p w14:paraId="69E65CA7" w14:textId="77777777" w:rsidR="00B51242" w:rsidRDefault="008E4E86">
      <w:pPr>
        <w:spacing w:line="360" w:lineRule="auto"/>
        <w:ind w:firstLine="737"/>
        <w:jc w:val="both"/>
      </w:pPr>
      <w:r>
        <w:rPr>
          <w:rStyle w:val="InternetLink"/>
          <w:rFonts w:eastAsia="Calibri"/>
          <w:color w:val="000000"/>
          <w:sz w:val="28"/>
          <w:szCs w:val="28"/>
          <w:u w:val="none"/>
          <w:lang w:val="ru-RU"/>
        </w:rPr>
        <w:t xml:space="preserve">РКД — </w:t>
      </w:r>
      <w:r>
        <w:rPr>
          <w:rStyle w:val="InternetLink"/>
          <w:rFonts w:eastAsia="Calibri"/>
          <w:color w:val="000000"/>
          <w:sz w:val="28"/>
          <w:szCs w:val="28"/>
          <w:u w:val="none"/>
        </w:rPr>
        <w:t>Р</w:t>
      </w:r>
      <w:r>
        <w:rPr>
          <w:rStyle w:val="InternetLink"/>
          <w:rFonts w:eastAsia="Calibri"/>
          <w:color w:val="000000"/>
          <w:sz w:val="28"/>
          <w:szCs w:val="28"/>
          <w:u w:val="none"/>
          <w:lang w:val="ru-RU"/>
        </w:rPr>
        <w:t>андомізован</w:t>
      </w:r>
      <w:r>
        <w:rPr>
          <w:rStyle w:val="InternetLink"/>
          <w:rFonts w:eastAsia="Calibri"/>
          <w:color w:val="000000"/>
          <w:sz w:val="28"/>
          <w:szCs w:val="28"/>
          <w:u w:val="none"/>
        </w:rPr>
        <w:t>і</w:t>
      </w:r>
      <w:r>
        <w:rPr>
          <w:rStyle w:val="InternetLink"/>
          <w:rFonts w:eastAsia="Calibri"/>
          <w:color w:val="000000"/>
          <w:sz w:val="28"/>
          <w:szCs w:val="28"/>
          <w:u w:val="none"/>
          <w:lang w:val="ru-RU"/>
        </w:rPr>
        <w:t xml:space="preserve"> контрольован</w:t>
      </w:r>
      <w:r>
        <w:rPr>
          <w:rStyle w:val="InternetLink"/>
          <w:rFonts w:eastAsia="Calibri"/>
          <w:color w:val="000000"/>
          <w:sz w:val="28"/>
          <w:szCs w:val="28"/>
          <w:u w:val="none"/>
        </w:rPr>
        <w:t>і</w:t>
      </w:r>
      <w:r>
        <w:rPr>
          <w:rStyle w:val="InternetLink"/>
          <w:rFonts w:eastAsia="Calibri"/>
          <w:color w:val="000000"/>
          <w:sz w:val="28"/>
          <w:szCs w:val="28"/>
          <w:u w:val="none"/>
          <w:lang w:val="ru-RU"/>
        </w:rPr>
        <w:t xml:space="preserve"> досліджен</w:t>
      </w:r>
      <w:r>
        <w:rPr>
          <w:rStyle w:val="InternetLink"/>
          <w:rFonts w:eastAsia="Calibri"/>
          <w:color w:val="000000"/>
          <w:sz w:val="28"/>
          <w:szCs w:val="28"/>
          <w:u w:val="none"/>
        </w:rPr>
        <w:t>ня.</w:t>
      </w:r>
    </w:p>
    <w:p w14:paraId="781D5A35" w14:textId="77777777" w:rsidR="00B51242" w:rsidRDefault="008E4E86">
      <w:pPr>
        <w:spacing w:line="360" w:lineRule="auto"/>
        <w:ind w:firstLine="737"/>
        <w:jc w:val="both"/>
      </w:pPr>
      <w:r>
        <w:rPr>
          <w:rStyle w:val="InternetLink"/>
          <w:color w:val="000000"/>
          <w:sz w:val="28"/>
          <w:szCs w:val="28"/>
          <w:u w:val="none"/>
        </w:rPr>
        <w:t>ТОТ</w:t>
      </w:r>
      <w:r>
        <w:rPr>
          <w:rStyle w:val="InternetLink"/>
          <w:rFonts w:eastAsia="Calibri"/>
          <w:color w:val="000000"/>
          <w:sz w:val="28"/>
          <w:szCs w:val="28"/>
          <w:u w:val="none"/>
        </w:rPr>
        <w:t xml:space="preserve"> — Тілесно-орієнтована терапія.</w:t>
      </w:r>
    </w:p>
    <w:p w14:paraId="12060CE9" w14:textId="77777777" w:rsidR="00B51242" w:rsidRDefault="008E4E86">
      <w:pPr>
        <w:spacing w:line="360" w:lineRule="auto"/>
        <w:ind w:firstLine="737"/>
        <w:jc w:val="both"/>
      </w:pPr>
      <w:r>
        <w:rPr>
          <w:rStyle w:val="InternetLink"/>
          <w:rFonts w:eastAsia="Times New Roman" w:cs="Times New Roman"/>
          <w:bCs/>
          <w:color w:val="000000"/>
          <w:sz w:val="28"/>
          <w:szCs w:val="28"/>
          <w:u w:val="none"/>
        </w:rPr>
        <w:t>ACT – Терапія прийняття та відповідальності.</w:t>
      </w:r>
    </w:p>
    <w:p w14:paraId="48F9EA30" w14:textId="77777777" w:rsidR="00B51242" w:rsidRDefault="008E4E86">
      <w:pPr>
        <w:spacing w:line="360" w:lineRule="auto"/>
        <w:ind w:firstLine="737"/>
        <w:jc w:val="both"/>
      </w:pPr>
      <w:r>
        <w:rPr>
          <w:rStyle w:val="InternetLink"/>
          <w:rFonts w:eastAsia="Times New Roman" w:cs="Times New Roman"/>
          <w:bCs/>
          <w:color w:val="000000"/>
          <w:sz w:val="28"/>
          <w:szCs w:val="28"/>
          <w:u w:val="none"/>
        </w:rPr>
        <w:t>CFT – Компасіон-фокусована терапія.</w:t>
      </w:r>
    </w:p>
    <w:p w14:paraId="7740AB86" w14:textId="77777777" w:rsidR="00B51242" w:rsidRDefault="008E4E86">
      <w:pPr>
        <w:spacing w:line="360" w:lineRule="auto"/>
        <w:ind w:firstLine="737"/>
        <w:jc w:val="both"/>
      </w:pPr>
      <w:r>
        <w:rPr>
          <w:rStyle w:val="InternetLink"/>
          <w:rFonts w:eastAsia="Times New Roman" w:cs="Times New Roman"/>
          <w:bCs/>
          <w:color w:val="000000"/>
          <w:sz w:val="28"/>
          <w:szCs w:val="28"/>
          <w:u w:val="none"/>
        </w:rPr>
        <w:t>CPT – Когнітивна процесуальна терапія.</w:t>
      </w:r>
    </w:p>
    <w:p w14:paraId="386CB024" w14:textId="77777777" w:rsidR="00B51242" w:rsidRDefault="008E4E86">
      <w:pPr>
        <w:spacing w:line="360" w:lineRule="auto"/>
        <w:ind w:firstLine="737"/>
        <w:jc w:val="both"/>
      </w:pPr>
      <w:r>
        <w:rPr>
          <w:rStyle w:val="InternetLink"/>
          <w:rFonts w:eastAsia="Times New Roman" w:cs="Times New Roman"/>
          <w:bCs/>
          <w:color w:val="000000"/>
          <w:sz w:val="28"/>
          <w:szCs w:val="28"/>
          <w:u w:val="none"/>
        </w:rPr>
        <w:t>DBT – Діалектична поведінкова терапія.</w:t>
      </w:r>
    </w:p>
    <w:p w14:paraId="3AA8FA67" w14:textId="77777777" w:rsidR="00B51242" w:rsidRDefault="008E4E86">
      <w:pPr>
        <w:spacing w:line="360" w:lineRule="auto"/>
        <w:ind w:firstLine="737"/>
        <w:jc w:val="both"/>
      </w:pPr>
      <w:r>
        <w:rPr>
          <w:rStyle w:val="InternetLink"/>
          <w:rFonts w:eastAsia="Calibri"/>
          <w:color w:val="000000"/>
          <w:sz w:val="28"/>
          <w:szCs w:val="28"/>
          <w:u w:val="none"/>
          <w:lang w:val="en-US"/>
        </w:rPr>
        <w:t>DSM</w:t>
      </w:r>
      <w:r w:rsidRPr="00D3629B">
        <w:rPr>
          <w:rStyle w:val="InternetLink"/>
          <w:rFonts w:eastAsia="Calibri"/>
          <w:color w:val="000000"/>
          <w:sz w:val="28"/>
          <w:szCs w:val="28"/>
          <w:u w:val="none"/>
          <w:lang w:val="ru-RU"/>
        </w:rPr>
        <w:t xml:space="preserve"> – </w:t>
      </w:r>
      <w:r>
        <w:rPr>
          <w:rStyle w:val="InternetLink"/>
          <w:rFonts w:eastAsia="Calibri"/>
          <w:color w:val="000000"/>
          <w:sz w:val="28"/>
          <w:szCs w:val="28"/>
          <w:u w:val="none"/>
        </w:rPr>
        <w:t>Діагностичний і статистичний посібник з психічних розладів.</w:t>
      </w:r>
    </w:p>
    <w:p w14:paraId="17D754C1" w14:textId="77777777" w:rsidR="00B51242" w:rsidRDefault="008E4E86">
      <w:pPr>
        <w:spacing w:line="360" w:lineRule="auto"/>
        <w:ind w:firstLine="737"/>
        <w:jc w:val="both"/>
      </w:pPr>
      <w:r>
        <w:rPr>
          <w:rStyle w:val="InternetLink"/>
          <w:rFonts w:eastAsia="Times New Roman" w:cs="Times New Roman"/>
          <w:bCs/>
          <w:color w:val="000000"/>
          <w:sz w:val="28"/>
          <w:szCs w:val="28"/>
          <w:u w:val="none"/>
        </w:rPr>
        <w:t>PE – Експозиційна терапія.</w:t>
      </w:r>
    </w:p>
    <w:p w14:paraId="4E4E4377" w14:textId="77777777" w:rsidR="00B51242" w:rsidRDefault="008E4E86">
      <w:pPr>
        <w:spacing w:line="360" w:lineRule="auto"/>
        <w:ind w:left="737"/>
        <w:jc w:val="both"/>
      </w:pPr>
      <w:r>
        <w:rPr>
          <w:rStyle w:val="InternetLink"/>
          <w:rFonts w:eastAsia="Calibri"/>
          <w:color w:val="000000"/>
          <w:sz w:val="28"/>
          <w:szCs w:val="28"/>
          <w:u w:val="none"/>
        </w:rPr>
        <w:t xml:space="preserve">S.M.A.R.T — модель постановки цілей, що передбачає їх конкретність (Specific), вимірюваність (Measurable), досяжність (Achievable), релевантність (Relevant) та часову обмеженість (Time-bound). </w:t>
      </w:r>
    </w:p>
    <w:p w14:paraId="4B8697BD" w14:textId="77777777" w:rsidR="00B51242" w:rsidRDefault="008E4E86">
      <w:pPr>
        <w:spacing w:line="360" w:lineRule="auto"/>
        <w:ind w:firstLine="737"/>
        <w:jc w:val="both"/>
      </w:pPr>
      <w:r>
        <w:rPr>
          <w:rStyle w:val="InternetLink"/>
          <w:color w:val="000000"/>
          <w:sz w:val="28"/>
          <w:szCs w:val="28"/>
          <w:u w:val="none"/>
        </w:rPr>
        <w:t>TF-CBT — Травмофокусована когнітивно-поведінкова терапія.</w:t>
      </w:r>
    </w:p>
    <w:p w14:paraId="30D7AA69" w14:textId="77777777" w:rsidR="00B51242" w:rsidRDefault="00B51242">
      <w:pPr>
        <w:spacing w:line="360" w:lineRule="auto"/>
        <w:ind w:left="737"/>
        <w:jc w:val="both"/>
        <w:rPr>
          <w:rStyle w:val="InternetLink"/>
          <w:color w:val="000000"/>
          <w:sz w:val="28"/>
          <w:szCs w:val="28"/>
          <w:u w:val="none"/>
        </w:rPr>
      </w:pPr>
    </w:p>
    <w:p w14:paraId="7196D064" w14:textId="77777777" w:rsidR="00B51242" w:rsidRDefault="00B51242">
      <w:pPr>
        <w:spacing w:line="360" w:lineRule="auto"/>
        <w:ind w:firstLine="737"/>
        <w:jc w:val="both"/>
        <w:rPr>
          <w:rStyle w:val="InternetLink"/>
          <w:rFonts w:eastAsia="Times New Roman" w:cs="Times New Roman"/>
          <w:bCs/>
          <w:color w:val="000000"/>
          <w:sz w:val="28"/>
          <w:szCs w:val="28"/>
          <w:u w:val="none"/>
        </w:rPr>
      </w:pPr>
    </w:p>
    <w:p w14:paraId="34FF1C98" w14:textId="77777777" w:rsidR="00B51242" w:rsidRDefault="00B51242">
      <w:pPr>
        <w:spacing w:line="360" w:lineRule="auto"/>
        <w:ind w:firstLine="737"/>
        <w:jc w:val="both"/>
        <w:rPr>
          <w:rStyle w:val="InternetLink"/>
          <w:rFonts w:eastAsia="Times New Roman" w:cs="Times New Roman"/>
          <w:bCs/>
          <w:color w:val="000000"/>
          <w:sz w:val="28"/>
          <w:szCs w:val="28"/>
          <w:u w:val="none"/>
        </w:rPr>
      </w:pPr>
    </w:p>
    <w:p w14:paraId="6D072C0D" w14:textId="77777777" w:rsidR="00B51242" w:rsidRDefault="00B51242">
      <w:pPr>
        <w:spacing w:line="360" w:lineRule="auto"/>
        <w:ind w:firstLine="737"/>
        <w:jc w:val="both"/>
        <w:rPr>
          <w:rStyle w:val="InternetLink"/>
          <w:rFonts w:eastAsia="Times New Roman" w:cs="Times New Roman"/>
          <w:bCs/>
          <w:color w:val="000000"/>
          <w:sz w:val="28"/>
          <w:szCs w:val="28"/>
          <w:u w:val="none"/>
        </w:rPr>
      </w:pPr>
    </w:p>
    <w:p w14:paraId="48A21919" w14:textId="77777777" w:rsidR="00B51242" w:rsidRDefault="00B51242">
      <w:pPr>
        <w:spacing w:line="360" w:lineRule="auto"/>
        <w:ind w:firstLine="737"/>
        <w:jc w:val="both"/>
        <w:rPr>
          <w:rStyle w:val="InternetLink"/>
          <w:rFonts w:eastAsia="Times New Roman" w:cs="Times New Roman"/>
          <w:bCs/>
          <w:color w:val="000000"/>
          <w:sz w:val="28"/>
          <w:szCs w:val="28"/>
          <w:u w:val="none"/>
        </w:rPr>
      </w:pPr>
    </w:p>
    <w:p w14:paraId="6BD18F9B" w14:textId="77777777" w:rsidR="00B51242" w:rsidRDefault="00B51242">
      <w:pPr>
        <w:spacing w:line="360" w:lineRule="auto"/>
        <w:ind w:firstLine="737"/>
        <w:jc w:val="both"/>
        <w:rPr>
          <w:rStyle w:val="InternetLink"/>
          <w:rFonts w:eastAsia="Times New Roman" w:cs="Times New Roman"/>
          <w:bCs/>
          <w:color w:val="000000"/>
          <w:sz w:val="28"/>
          <w:szCs w:val="28"/>
          <w:u w:val="none"/>
        </w:rPr>
      </w:pPr>
    </w:p>
    <w:p w14:paraId="238601FE" w14:textId="77777777" w:rsidR="00B51242" w:rsidRDefault="00B51242">
      <w:pPr>
        <w:tabs>
          <w:tab w:val="center" w:leader="dot" w:pos="9344"/>
        </w:tabs>
        <w:snapToGrid w:val="0"/>
        <w:spacing w:line="360" w:lineRule="auto"/>
        <w:ind w:firstLine="737"/>
        <w:jc w:val="both"/>
      </w:pPr>
    </w:p>
    <w:p w14:paraId="0F3CABC7" w14:textId="77777777" w:rsidR="00B51242" w:rsidRDefault="00B51242">
      <w:pPr>
        <w:tabs>
          <w:tab w:val="center" w:leader="dot" w:pos="9344"/>
        </w:tabs>
        <w:snapToGrid w:val="0"/>
        <w:spacing w:line="360" w:lineRule="auto"/>
        <w:ind w:firstLine="737"/>
        <w:jc w:val="both"/>
        <w:rPr>
          <w:rFonts w:eastAsia="Times New Roman" w:cs="Times New Roman"/>
          <w:bCs/>
          <w:color w:val="000000"/>
        </w:rPr>
      </w:pPr>
    </w:p>
    <w:p w14:paraId="5B08B5D1" w14:textId="77777777" w:rsidR="00B51242" w:rsidRDefault="00B51242">
      <w:pPr>
        <w:spacing w:line="360" w:lineRule="auto"/>
        <w:jc w:val="both"/>
        <w:rPr>
          <w:color w:val="000000"/>
          <w:sz w:val="28"/>
          <w:szCs w:val="28"/>
        </w:rPr>
      </w:pPr>
    </w:p>
    <w:p w14:paraId="0AD9C6F4" w14:textId="77777777" w:rsidR="00B51242" w:rsidRDefault="00B51242" w:rsidP="1E610DEF">
      <w:pPr>
        <w:spacing w:line="360" w:lineRule="auto"/>
        <w:ind w:firstLine="850"/>
        <w:jc w:val="center"/>
        <w:rPr>
          <w:b/>
          <w:bCs/>
          <w:color w:val="000000"/>
          <w:sz w:val="28"/>
          <w:szCs w:val="28"/>
        </w:rPr>
      </w:pPr>
    </w:p>
    <w:p w14:paraId="64166938" w14:textId="124F496B" w:rsidR="1E610DEF" w:rsidRDefault="1E610DEF" w:rsidP="1E610DEF">
      <w:pPr>
        <w:spacing w:line="360" w:lineRule="auto"/>
        <w:ind w:firstLine="850"/>
        <w:jc w:val="center"/>
        <w:rPr>
          <w:b/>
          <w:bCs/>
          <w:color w:val="70AD47" w:themeColor="accent6"/>
          <w:sz w:val="28"/>
          <w:szCs w:val="28"/>
        </w:rPr>
      </w:pPr>
    </w:p>
    <w:p w14:paraId="436FCD41" w14:textId="59C789DF" w:rsidR="1E610DEF" w:rsidRDefault="1E610DEF" w:rsidP="1E610DEF">
      <w:pPr>
        <w:spacing w:line="360" w:lineRule="auto"/>
        <w:ind w:firstLine="850"/>
        <w:jc w:val="center"/>
        <w:rPr>
          <w:b/>
          <w:bCs/>
          <w:color w:val="70AD47" w:themeColor="accent6"/>
          <w:sz w:val="28"/>
          <w:szCs w:val="28"/>
        </w:rPr>
      </w:pPr>
    </w:p>
    <w:p w14:paraId="153CCE16" w14:textId="77777777" w:rsidR="00B51242" w:rsidRDefault="008E4E86">
      <w:pPr>
        <w:spacing w:line="360" w:lineRule="auto"/>
        <w:ind w:firstLine="850"/>
        <w:jc w:val="center"/>
      </w:pPr>
      <w:r>
        <w:rPr>
          <w:color w:val="000000"/>
          <w:sz w:val="28"/>
          <w:szCs w:val="28"/>
        </w:rPr>
        <w:t xml:space="preserve"> ВСТУП</w:t>
      </w:r>
    </w:p>
    <w:p w14:paraId="2FF12B9A" w14:textId="77777777" w:rsidR="00B51242" w:rsidRDefault="008E4E86">
      <w:pPr>
        <w:spacing w:line="360" w:lineRule="auto"/>
        <w:ind w:firstLine="737"/>
        <w:jc w:val="both"/>
      </w:pPr>
      <w:r>
        <w:rPr>
          <w:sz w:val="28"/>
          <w:szCs w:val="28"/>
        </w:rPr>
        <w:t>Повномасштабна війна, розв’язана проти України, спричинила безпрецедентні за масштабом та інтенсивністю соціальні, економічні й психологічні наслідки. В умовах систематичних ракетних ударів, атак безпілотних апаратів та постійної загрози життю вся територія країни перетворюється на простір хронічного стресу. Для цивільного населення це означає формування стійкого відчуття небезпеки, втрати контролю та вразливості, що саме по собі підвищує ризик розвитку посттравматичних стресових реакцій. Однак найбільш уразливою групою у цьому контексті залишаються військовослужбовці, які протягом тривалого часу виконують бойові завдання у надзвичайно несприятливих та часто екстремальних умовах.</w:t>
      </w:r>
    </w:p>
    <w:p w14:paraId="34CD08AE" w14:textId="77777777" w:rsidR="00B51242" w:rsidRDefault="008E4E86">
      <w:pPr>
        <w:spacing w:line="360" w:lineRule="auto"/>
        <w:ind w:firstLine="737"/>
        <w:jc w:val="both"/>
      </w:pPr>
      <w:r>
        <w:rPr>
          <w:sz w:val="28"/>
          <w:szCs w:val="28"/>
        </w:rPr>
        <w:t xml:space="preserve">Перебування на лінії бойового зіткнення, хронічне перевантаження, тривалий дефіцит відпочинку, поранення, полон, втрата побратимів, а також сам факт систематичного зіткнення зі смертю та руйнуваннями формують колосальне психотравмувальне навантаження. У таких обставинах природні адаптаційні ресурси організму поступово виснажуються, а наслідком стає високий ризик формування ПТСР. При цьому йдеться не лише про окремі </w:t>
      </w:r>
      <w:r>
        <w:rPr>
          <w:sz w:val="28"/>
          <w:szCs w:val="28"/>
        </w:rPr>
        <w:lastRenderedPageBreak/>
        <w:t>симптоми, а про комплекс глибоких змін у сфері емоційної регуляції, мислення, поведінки та міжособистісних стосунків.</w:t>
      </w:r>
    </w:p>
    <w:p w14:paraId="1C9EF525" w14:textId="77777777" w:rsidR="00B51242" w:rsidRDefault="008E4E86">
      <w:pPr>
        <w:spacing w:line="360" w:lineRule="auto"/>
        <w:ind w:firstLine="737"/>
        <w:jc w:val="both"/>
      </w:pPr>
      <w:r>
        <w:rPr>
          <w:sz w:val="28"/>
          <w:szCs w:val="28"/>
        </w:rPr>
        <w:t>Особливість сучасної ситуації полягає в тому, що значна кількість військовослужбовців продовжує виконувати службу в умовах триваючої загрози. Це означає, що психотравма не є одиничною подією в минулому, а часто має кумулятивний та повторюваний характер. Крім того, наукові дані свідчать, що клінічно значущі симптоми ПТСР можуть проявлятися або посилюватися не одразу після травмувальної події, а через тривалий проміжок часу – іноді через два-три роки та більше, коли мобілізаційна готовність знижується, а нервова система переходить до відстроченої реакції на пережите. Це дає підстави припускати, що реальний масштаб проблеми ПТСР серед військовослужбовців буде більш повно зрозумілим уже після завершення активної фази бойових дій.</w:t>
      </w:r>
    </w:p>
    <w:p w14:paraId="5FC44BFB" w14:textId="77777777" w:rsidR="00B51242" w:rsidRDefault="008E4E86">
      <w:pPr>
        <w:spacing w:line="360" w:lineRule="auto"/>
        <w:ind w:firstLine="737"/>
        <w:jc w:val="both"/>
      </w:pPr>
      <w:r>
        <w:rPr>
          <w:sz w:val="28"/>
          <w:szCs w:val="28"/>
        </w:rPr>
        <w:t>Посттравматичний стресовий розлад відносять до порівняно «молодих» психічних розладів у клінічній класифікації, однак за останні десятиліття він став однією з ключових проблем військової психології та психіатрії. Його симптоматика включає нав’язливі спогади, флешбеки, нічні кошмари, виражене уникнення нагадувань про травматичні події, гіперзбудження, підвищену тривожність, порушення сну, емоційну нестабільність, відчуття відчуженості, а також різноманітні соматичні прояви. У військовослужбовців до цього нерідко додаються почуття провини, сорому, зруйновані переконання щодо себе, інших людей та світу, труднощі з поверненням до мирного життя, конфлікти у сім’ї та професійній сфері.</w:t>
      </w:r>
    </w:p>
    <w:p w14:paraId="2BA93C22" w14:textId="77777777" w:rsidR="00B51242" w:rsidRDefault="008E4E86">
      <w:pPr>
        <w:spacing w:line="360" w:lineRule="auto"/>
        <w:ind w:firstLine="737"/>
        <w:jc w:val="both"/>
      </w:pPr>
      <w:r>
        <w:rPr>
          <w:sz w:val="28"/>
          <w:szCs w:val="28"/>
        </w:rPr>
        <w:t>Разом із тим ПТСР не можна розглядати лише як «наслідок травми» у вузькому розумінні. Це складний, багаторівневий процес, у якому поєднуються нейрофізіологічні, когнітивні, емоційні та поведінкові компоненти. Саме тому потреба у комплексних, доказових і водночас гнучких підходах до психологічної підтримки військовослужбовців із ПТСР стає одним із ключових викликів для сучасної психотерапевтичної практики в Україні.</w:t>
      </w:r>
    </w:p>
    <w:p w14:paraId="2687FC57" w14:textId="77777777" w:rsidR="00B51242" w:rsidRDefault="008E4E86">
      <w:pPr>
        <w:spacing w:line="360" w:lineRule="auto"/>
        <w:ind w:firstLine="737"/>
        <w:jc w:val="both"/>
      </w:pPr>
      <w:r>
        <w:rPr>
          <w:sz w:val="28"/>
          <w:szCs w:val="28"/>
        </w:rPr>
        <w:lastRenderedPageBreak/>
        <w:t>У світовій практиці одним із провідних напрямів психотерапевтичної допомоги особам із ПТСР є КПТ. Її ефективність підтверджена численними дослідженнями, а сам підхід поступово розвивався від класичних когнітивно-поведінкових моделей до так званої «третьої хвилі» з акцентом на майндфулнес, прийнятті, самоспівчутті, роботі з цінностями. У фокусі КПТ при ПТСР знаходяться специфічні когнітивні викривлення, трагічні інтерпретації подій, дезадаптивні переконання щодо себе («я слабкий», «я не заслуговую на життя»), інших («ніхто не надійний») та світу («світ повністю небезпечний»), а також типові патерни уникнення, які підтримують симптоматику.</w:t>
      </w:r>
    </w:p>
    <w:p w14:paraId="65DF3155" w14:textId="77777777" w:rsidR="00B51242" w:rsidRDefault="008E4E86">
      <w:pPr>
        <w:spacing w:line="360" w:lineRule="auto"/>
        <w:ind w:firstLine="737"/>
        <w:jc w:val="both"/>
      </w:pPr>
      <w:r>
        <w:rPr>
          <w:sz w:val="28"/>
          <w:szCs w:val="28"/>
        </w:rPr>
        <w:t>Теоретичну базу сучасних КПТ-підходів до роботи з ПТСР становлять, зокрема, когнітивна модель ПТСР, що пояснює стійкість симптомів через особливості переробки травматичних спогадів, та Оксфордський підхід, який акцентує увагу на ролі негативних оцінок та некоректної інтеграції травматичного досвіду в автобіографічну пам’ять. Саме ці моделі дозволяють не лише описати механізми формування симптомів, а й запропонувати структуровані методи їх корекції через когнітивну реструктуризацію, експозиційні процедури, поведінкові експерименти.</w:t>
      </w:r>
    </w:p>
    <w:p w14:paraId="1B5410AB" w14:textId="77777777" w:rsidR="00B51242" w:rsidRDefault="008E4E86">
      <w:pPr>
        <w:spacing w:line="360" w:lineRule="auto"/>
        <w:ind w:firstLine="737"/>
        <w:jc w:val="both"/>
      </w:pPr>
      <w:r>
        <w:rPr>
          <w:sz w:val="28"/>
          <w:szCs w:val="28"/>
        </w:rPr>
        <w:t>Водночас накопичений досвід лікування ПТСР у військових вказує на певні обмеження суто когнітивно-поведінкових протоколів. Серед найхарактерніших труднощів – високий рівень відсіву клієнтів із терапії, рецидиви симптоматики після завершення курсу, виражена коморбідність із депресивними та тривожними розладами, соматизація та гіперзбудження, що не завжди достатньо коригуються лише за допомогою когнітивних технік. Крім того, специфічним викликом у нашому контексті є необхідність надання психологічної допомоги в умовах триваючої загрози, коли клієнт потенційно може повторно опинитися в ситуації травмувального впливу.</w:t>
      </w:r>
    </w:p>
    <w:p w14:paraId="04975549" w14:textId="77777777" w:rsidR="00B51242" w:rsidRDefault="008E4E86">
      <w:pPr>
        <w:spacing w:line="360" w:lineRule="auto"/>
        <w:ind w:firstLine="737"/>
        <w:jc w:val="both"/>
      </w:pPr>
      <w:r>
        <w:rPr>
          <w:sz w:val="28"/>
          <w:szCs w:val="28"/>
        </w:rPr>
        <w:t xml:space="preserve">Ці чинники об’єктивно зумовлюють потребу в інтегративних підходах, які дозволяють поєднати сильні сторони когнітивно-поведінкової терапії з можливостями ТОТ та методів дезенсибілізації і репроцесингу рухами очей </w:t>
      </w:r>
      <w:r>
        <w:rPr>
          <w:sz w:val="28"/>
          <w:szCs w:val="28"/>
        </w:rPr>
        <w:lastRenderedPageBreak/>
        <w:t>EMDR. Тілесно-орієнтовані методи дають змогу працювати з хронічною напругою, порушеннями дихання, соматичними проявами тривоги, відновлювати базове відчуття «присутності у тілі» та безпеки. EMDR, у свою чергу, спрямована на переробку травматичних спогадів і зменшення інтенсивності афективних реакцій, що може доповнювати когнітивну роботу з переконаннями та поведінкою.</w:t>
      </w:r>
    </w:p>
    <w:p w14:paraId="12B64213" w14:textId="77777777" w:rsidR="00B51242" w:rsidRDefault="008E4E86">
      <w:pPr>
        <w:spacing w:line="360" w:lineRule="auto"/>
        <w:ind w:firstLine="737"/>
        <w:jc w:val="both"/>
      </w:pPr>
      <w:r>
        <w:rPr>
          <w:sz w:val="28"/>
          <w:szCs w:val="28"/>
        </w:rPr>
        <w:t>Особливо перспективною видається розробка структурованих програм психологічної підтримки військовослужбовців із ПТСР, у яких КПТ виступає базовим, «каркасним» методом, а елементи ТОТ та EMDR інтегруються на певних етапах терапії як стабілізуючі та підтримувальні інтервенції. Такий формат дозволяє побудувати логічно послідовний план, що включає стабілізацію, тренування уваги та емоційної регуляції, роботу з переконаннями, експозиційні техніки, поведінкові експерименти, опрацювання травми, а також підготовку до майбутнього, профілактику рецидивів і розвиток навичок самодопомоги.</w:t>
      </w:r>
    </w:p>
    <w:p w14:paraId="21B2C19A" w14:textId="77777777" w:rsidR="00B51242" w:rsidRDefault="008E4E86">
      <w:pPr>
        <w:spacing w:line="360" w:lineRule="auto"/>
        <w:ind w:firstLine="737"/>
        <w:jc w:val="both"/>
      </w:pPr>
      <w:r>
        <w:rPr>
          <w:sz w:val="28"/>
          <w:szCs w:val="28"/>
        </w:rPr>
        <w:t>У цьому контексті особливої ваги набуває ідея створення поетапного плану психологічної підтримки, де кожне заняття має чітку мету, структуру та заплановані техніки: від первинної стабілізації й фізіологічної регуляції до роботи з міжособистісними стосунками, відновлення соціальних ролей і планування майбутнього. Систематичне застосування домашніх завдань, структурованих за принципами S.M.A.R.T., сприяє перенесенню терапевтичних змін у повсякденне життя, а використання робочих листів, щоденників самоспостереження та інших інструментів дозволяє фіксувати динаміку стану та підтримувати активну участь військовослужбовця в процесі змін.</w:t>
      </w:r>
    </w:p>
    <w:p w14:paraId="7137AB70" w14:textId="77777777" w:rsidR="00B51242" w:rsidRDefault="008E4E86">
      <w:pPr>
        <w:spacing w:line="360" w:lineRule="auto"/>
        <w:ind w:firstLine="737"/>
        <w:jc w:val="both"/>
      </w:pPr>
      <w:r>
        <w:rPr>
          <w:sz w:val="28"/>
          <w:szCs w:val="28"/>
        </w:rPr>
        <w:t xml:space="preserve">Таким чином, актуальність обраної теми зумовлена, з одного боку, масштабністю проблеми ПТСР серед військовослужбовців в умовах повномасштабної війни, а з іншого – необхідністю науково обґрунтованого пошуку максимально ефективних поєднань технік когнітивно-поведінкової </w:t>
      </w:r>
      <w:r>
        <w:rPr>
          <w:sz w:val="28"/>
          <w:szCs w:val="28"/>
        </w:rPr>
        <w:lastRenderedPageBreak/>
        <w:t>терапії, тілесно-орієнтованих підходів і EMDR у форматі інтегративної психологічної підтримки.</w:t>
      </w:r>
    </w:p>
    <w:p w14:paraId="1521B2A3" w14:textId="77777777" w:rsidR="00B51242" w:rsidRDefault="008E4E86">
      <w:pPr>
        <w:spacing w:line="360" w:lineRule="auto"/>
        <w:ind w:firstLine="737"/>
        <w:jc w:val="both"/>
      </w:pPr>
      <w:r>
        <w:rPr>
          <w:sz w:val="28"/>
          <w:szCs w:val="28"/>
        </w:rPr>
        <w:t>Об’єктом даного дослідження є інтеграція когнітивно-поведінкової терапії у структурі комплексної психологічної підтримки військовослужбовців із посттравматичним стресовим розладом.</w:t>
      </w:r>
    </w:p>
    <w:p w14:paraId="50591C9E" w14:textId="77777777" w:rsidR="00B51242" w:rsidRDefault="008E4E86">
      <w:pPr>
        <w:spacing w:line="360" w:lineRule="auto"/>
        <w:ind w:firstLine="737"/>
        <w:jc w:val="both"/>
      </w:pPr>
      <w:r>
        <w:rPr>
          <w:sz w:val="28"/>
          <w:szCs w:val="28"/>
        </w:rPr>
        <w:t>Предмет дослідження становлять техніки когнітивно-поведінкової терапії (класичні та «третьої хвилі»), тілесно-орієнтованої терапії, а також використання елементів EMDR-терапії при роботі з травматичним досвідом у військовослужбовців.</w:t>
      </w:r>
    </w:p>
    <w:p w14:paraId="7210B403" w14:textId="77777777" w:rsidR="00B51242" w:rsidRDefault="008E4E86">
      <w:pPr>
        <w:spacing w:line="360" w:lineRule="auto"/>
        <w:ind w:firstLine="737"/>
        <w:jc w:val="both"/>
      </w:pPr>
      <w:r>
        <w:rPr>
          <w:sz w:val="28"/>
          <w:szCs w:val="28"/>
        </w:rPr>
        <w:t>Метою роботи є вивчення впливу технік когнітивно-поведінкової терапії на процес психологічного відновлення військовослужбовців із посттравматичним стресовим розладом, виокремлення серед них найбільш ефективних та їх поєднання з елементами тілесно-орієнтованої терапії й EMDR для розробки інтегративного методу психологічної підтримки.</w:t>
      </w:r>
    </w:p>
    <w:p w14:paraId="3F9B36A9" w14:textId="77777777" w:rsidR="00B51242" w:rsidRDefault="008E4E86">
      <w:pPr>
        <w:spacing w:line="360" w:lineRule="auto"/>
        <w:ind w:firstLine="737"/>
        <w:jc w:val="both"/>
      </w:pPr>
      <w:r>
        <w:rPr>
          <w:sz w:val="28"/>
          <w:szCs w:val="28"/>
        </w:rPr>
        <w:t>Для досягнення поставленої мети в роботі передбачається розв’язання таких завдань:</w:t>
      </w:r>
    </w:p>
    <w:p w14:paraId="2875851A" w14:textId="77777777" w:rsidR="00B51242" w:rsidRDefault="008E4E86">
      <w:pPr>
        <w:spacing w:line="360" w:lineRule="auto"/>
        <w:ind w:firstLine="737"/>
        <w:jc w:val="both"/>
      </w:pPr>
      <w:r>
        <w:rPr>
          <w:sz w:val="28"/>
          <w:szCs w:val="28"/>
        </w:rPr>
        <w:t>– проаналізувати сучасні техніки когнітивно-поведінкової терапії у контексті роботи з ПТСР;</w:t>
      </w:r>
    </w:p>
    <w:p w14:paraId="50384078" w14:textId="77777777" w:rsidR="00B51242" w:rsidRDefault="008E4E86">
      <w:pPr>
        <w:spacing w:line="360" w:lineRule="auto"/>
        <w:ind w:firstLine="737"/>
        <w:jc w:val="both"/>
      </w:pPr>
      <w:r>
        <w:rPr>
          <w:sz w:val="28"/>
          <w:szCs w:val="28"/>
        </w:rPr>
        <w:t>– вивчити можливості використання елементів тілесно-орієнтованої терапії для підвищення ефективності психокорекції;</w:t>
      </w:r>
    </w:p>
    <w:p w14:paraId="35E6F4C9" w14:textId="77777777" w:rsidR="00B51242" w:rsidRDefault="008E4E86">
      <w:pPr>
        <w:spacing w:line="360" w:lineRule="auto"/>
        <w:ind w:firstLine="737"/>
        <w:jc w:val="both"/>
      </w:pPr>
      <w:r>
        <w:rPr>
          <w:sz w:val="28"/>
          <w:szCs w:val="28"/>
        </w:rPr>
        <w:t>– дослідити потенціал застосування елементів EMDR-терапії у подоланні травматичного досвіду військовослужбовців;</w:t>
      </w:r>
    </w:p>
    <w:p w14:paraId="72A93B47" w14:textId="77777777" w:rsidR="00B51242" w:rsidRDefault="008E4E86">
      <w:pPr>
        <w:spacing w:line="360" w:lineRule="auto"/>
        <w:ind w:firstLine="737"/>
        <w:jc w:val="both"/>
      </w:pPr>
      <w:r>
        <w:rPr>
          <w:sz w:val="28"/>
          <w:szCs w:val="28"/>
        </w:rPr>
        <w:t>– виокремити та описати найбільш ефективні практичні інструменти роботи (робочі листи, щоденники, допоміжні матеріали), релевантні для запропонованої програми;</w:t>
      </w:r>
    </w:p>
    <w:p w14:paraId="04E94AC1" w14:textId="77777777" w:rsidR="00B51242" w:rsidRDefault="008E4E86">
      <w:pPr>
        <w:spacing w:line="360" w:lineRule="auto"/>
        <w:ind w:firstLine="737"/>
        <w:jc w:val="both"/>
      </w:pPr>
      <w:r>
        <w:rPr>
          <w:sz w:val="28"/>
          <w:szCs w:val="28"/>
        </w:rPr>
        <w:t>– опрацювати та адаптувати когнітивні моделі ПТСР для застосування у роботі з військовослужбовцями;</w:t>
      </w:r>
    </w:p>
    <w:p w14:paraId="408152ED" w14:textId="77777777" w:rsidR="00B51242" w:rsidRDefault="008E4E86">
      <w:pPr>
        <w:spacing w:line="360" w:lineRule="auto"/>
        <w:ind w:firstLine="737"/>
        <w:jc w:val="both"/>
      </w:pPr>
      <w:r>
        <w:rPr>
          <w:sz w:val="28"/>
          <w:szCs w:val="28"/>
        </w:rPr>
        <w:t>– провести поведінкові експерименти та проаналізувати їх вплив на редукцію симптомів ПТСР;</w:t>
      </w:r>
    </w:p>
    <w:p w14:paraId="5DE96225" w14:textId="77777777" w:rsidR="00B51242" w:rsidRDefault="008E4E86">
      <w:pPr>
        <w:tabs>
          <w:tab w:val="left" w:pos="723"/>
          <w:tab w:val="left" w:pos="962"/>
        </w:tabs>
        <w:spacing w:line="360" w:lineRule="auto"/>
        <w:ind w:firstLine="737"/>
        <w:jc w:val="both"/>
      </w:pPr>
      <w:r>
        <w:rPr>
          <w:sz w:val="28"/>
          <w:szCs w:val="28"/>
        </w:rPr>
        <w:lastRenderedPageBreak/>
        <w:t>– організувати психологічну підтримку таким чином, щоб систематичні структуровані домашні завдання, розроблені з урахуванням підходу S.M.A.R.T., сприяли закріпленню терапевтичних змін;</w:t>
      </w:r>
    </w:p>
    <w:p w14:paraId="4B7DFC96" w14:textId="77777777" w:rsidR="00B51242" w:rsidRDefault="008E4E86">
      <w:pPr>
        <w:spacing w:line="360" w:lineRule="auto"/>
        <w:ind w:firstLine="737"/>
        <w:jc w:val="both"/>
      </w:pPr>
      <w:r>
        <w:rPr>
          <w:sz w:val="28"/>
          <w:szCs w:val="28"/>
        </w:rPr>
        <w:t>– узагальнити результати емпіричної частини дослідження та сформулювати практичні рекомендації щодо психологічної підтримки військовослужбовців із ПТСР в інтегративному форматі.</w:t>
      </w:r>
    </w:p>
    <w:p w14:paraId="7AF823FF" w14:textId="77777777" w:rsidR="00B51242" w:rsidRDefault="008E4E86">
      <w:pPr>
        <w:spacing w:line="360" w:lineRule="auto"/>
        <w:ind w:firstLine="737"/>
        <w:jc w:val="both"/>
      </w:pPr>
      <w:r>
        <w:rPr>
          <w:sz w:val="28"/>
          <w:szCs w:val="28"/>
        </w:rPr>
        <w:t>Гіпотеза дослідження полягає в припущенні, що поєднання певних технік когнітивно-поведінкової терапії з інтеграцією окремих елементів тілесно-орієнтованої терапії та EMDR на відповідних етапах лікування може забезпечити більш високий рівень ефективності психологічної підтримки військовослужбовців із посттравматичним стресовим розладом, ніж використання лише одного з цих методів у ізольованому вигляді.</w:t>
      </w:r>
    </w:p>
    <w:p w14:paraId="5980E98E" w14:textId="77777777" w:rsidR="00B51242" w:rsidRDefault="008E4E86">
      <w:pPr>
        <w:spacing w:line="360" w:lineRule="auto"/>
        <w:ind w:firstLine="737"/>
        <w:jc w:val="both"/>
      </w:pPr>
      <w:r>
        <w:rPr>
          <w:sz w:val="28"/>
          <w:szCs w:val="28"/>
        </w:rPr>
        <w:t>Для перевірки гіпотези та розв’язання поставлених завдань було застосовано комплекс методів. Теоретичні методи включають аналіз, синтез, порівняння та узагальнення даних наукової літератури та сучасних досліджень, що дозволило окреслити основні підходи до лікування ПТСР, визначити місце когнітивно-поведінкової терапії, тілесно-орієнтованих методів та EMDR у сучасній практиці, а також сформувати власне бачення можливостей їх інтеграції.</w:t>
      </w:r>
    </w:p>
    <w:p w14:paraId="32D11A6D" w14:textId="77777777" w:rsidR="00B51242" w:rsidRDefault="008E4E86">
      <w:pPr>
        <w:spacing w:line="360" w:lineRule="auto"/>
        <w:ind w:firstLine="737"/>
        <w:jc w:val="both"/>
      </w:pPr>
      <w:r>
        <w:rPr>
          <w:sz w:val="28"/>
          <w:szCs w:val="28"/>
        </w:rPr>
        <w:t>Емпіричні методи передбачають дослідження ефективності різних форм психологічної підтримки військовослужбовців із ПТСР, використання психодіагностичних методик для оцінки динаміки психологічного стану учасників, зокрема змін у рівні тривоги, депресивності, гіперзбудження та інших ключових симптомів.</w:t>
      </w:r>
    </w:p>
    <w:p w14:paraId="6A87A802" w14:textId="77777777" w:rsidR="00B51242" w:rsidRDefault="008E4E86">
      <w:pPr>
        <w:spacing w:line="360" w:lineRule="auto"/>
        <w:ind w:firstLine="737"/>
        <w:jc w:val="both"/>
      </w:pPr>
      <w:r>
        <w:rPr>
          <w:sz w:val="28"/>
          <w:szCs w:val="28"/>
        </w:rPr>
        <w:t>Статистичні методи застосовуються для кількісної обробки отриманих результатів, виявлення закономірностей і взаємозв’язків між використаними психотерапевтичними техніками та рівнем психологічного благополуччя військовослужбовців, а також для оцінки значущості відмінностей до та після реалізації програми.</w:t>
      </w:r>
    </w:p>
    <w:p w14:paraId="7FB31CB8" w14:textId="77777777" w:rsidR="00B51242" w:rsidRDefault="008E4E86">
      <w:pPr>
        <w:spacing w:line="360" w:lineRule="auto"/>
        <w:ind w:firstLine="737"/>
        <w:jc w:val="both"/>
      </w:pPr>
      <w:r>
        <w:rPr>
          <w:sz w:val="28"/>
          <w:szCs w:val="28"/>
        </w:rPr>
        <w:lastRenderedPageBreak/>
        <w:t>Практичні методи включають безпосереднє впровадження та апробацію інтегративної програми психологічної підтримки, що поєднує техніки класичної когнітивно-поведінкової терапії, елементи терапії опрацювання травми та методи EMDR. Структурована психокорекційна робота охоплює когнітивні інтервенції, спрямовані на ідентифікацію та трансформацію дезадаптивних переконань, застосування стабілізуючих тілесно-орієнтованих технік, переробку травматичної пам’яті за допомогою відповідно інтегрованих елементів EMDR, а також проведення поведінкових експериментів, покликаних зменшити уникнення та розширити поведінковий репертуар.</w:t>
      </w:r>
    </w:p>
    <w:p w14:paraId="5E309813" w14:textId="77777777" w:rsidR="00B51242" w:rsidRDefault="008E4E86">
      <w:pPr>
        <w:spacing w:line="360" w:lineRule="auto"/>
        <w:ind w:firstLine="737"/>
        <w:jc w:val="both"/>
      </w:pPr>
      <w:r>
        <w:rPr>
          <w:sz w:val="28"/>
          <w:szCs w:val="28"/>
        </w:rPr>
        <w:t>Теоретичне значення роботи полягає в подальшому розвитку уявлень про можливості інтеграції когнітивно-поведінкової терапії, тілесно-орієнтованих підходів та EMDR у контексті психологічної підтримки військовослужбовців із ПТСР. Практичне значення полягає у розробці структурованого плану психологічної підтримки, який може бути використаний практичними психологами, психотерапевтами та фахівцями центрів психологічної реабілітації для роботи з військовослужбовцями, що мають симптоми посттравматичного стресового розладу.</w:t>
      </w:r>
    </w:p>
    <w:p w14:paraId="1337D235" w14:textId="77777777" w:rsidR="00B51242" w:rsidRDefault="008E4E86">
      <w:pPr>
        <w:spacing w:line="360" w:lineRule="auto"/>
        <w:ind w:firstLine="737"/>
        <w:jc w:val="both"/>
      </w:pPr>
      <w:r>
        <w:rPr>
          <w:sz w:val="28"/>
          <w:szCs w:val="28"/>
        </w:rPr>
        <w:t xml:space="preserve">Структурно магістерська робота складається зі вступу, чотирьох розділів, висновків, списку використаних джерел та додатків. У першому розділі подано організацію емпіричного дослідження, визначено науковий апарат і охарактеризовано вибірку. Другий розділ присвячено теоретичним засадам: історичним аспектам вивчення ПТСР, еволюції когнітивно-поведінкової терапії, аналізу ПТСР з погляду когнітивно-поведінкових моделей та розгляду основних проблем психологічної допомоги військовослужбовцям. У третьому розділі розкрито проблематику психологічної підтримки військовослужбовців із ПТСР та шляхи її вирішення на основі інтегративного підходу, представлено комплекс методів і поетапний план психологічної підтримки. Четвертий розділ містить опис </w:t>
      </w:r>
      <w:r>
        <w:rPr>
          <w:sz w:val="28"/>
          <w:szCs w:val="28"/>
        </w:rPr>
        <w:lastRenderedPageBreak/>
        <w:t>емпіричного дослідження ефективності розробленої програми, інтерпретацію та аналіз отриманих результатів.</w:t>
      </w:r>
    </w:p>
    <w:p w14:paraId="4B1F511A" w14:textId="77777777" w:rsidR="00B51242" w:rsidRDefault="00B51242">
      <w:pPr>
        <w:spacing w:line="360" w:lineRule="auto"/>
        <w:ind w:firstLine="737"/>
        <w:jc w:val="both"/>
        <w:rPr>
          <w:sz w:val="28"/>
          <w:szCs w:val="28"/>
        </w:rPr>
      </w:pPr>
    </w:p>
    <w:p w14:paraId="65F9C3DC" w14:textId="77777777" w:rsidR="00B51242" w:rsidRDefault="00B51242">
      <w:pPr>
        <w:spacing w:line="360" w:lineRule="auto"/>
        <w:ind w:firstLine="737"/>
        <w:jc w:val="both"/>
        <w:rPr>
          <w:sz w:val="28"/>
          <w:szCs w:val="28"/>
        </w:rPr>
      </w:pPr>
    </w:p>
    <w:p w14:paraId="5023141B" w14:textId="77777777" w:rsidR="00B51242" w:rsidRDefault="00B51242">
      <w:pPr>
        <w:spacing w:line="360" w:lineRule="auto"/>
        <w:ind w:firstLine="737"/>
        <w:jc w:val="both"/>
        <w:rPr>
          <w:sz w:val="28"/>
          <w:szCs w:val="28"/>
        </w:rPr>
      </w:pPr>
    </w:p>
    <w:p w14:paraId="1F3B1409" w14:textId="77777777" w:rsidR="00B51242" w:rsidRDefault="00B51242">
      <w:pPr>
        <w:spacing w:line="360" w:lineRule="auto"/>
        <w:ind w:firstLine="737"/>
        <w:jc w:val="both"/>
        <w:rPr>
          <w:sz w:val="28"/>
          <w:szCs w:val="28"/>
        </w:rPr>
      </w:pPr>
    </w:p>
    <w:p w14:paraId="562C75D1" w14:textId="77777777" w:rsidR="00B51242" w:rsidRDefault="00B51242">
      <w:pPr>
        <w:spacing w:line="360" w:lineRule="auto"/>
        <w:ind w:firstLine="737"/>
        <w:jc w:val="both"/>
        <w:rPr>
          <w:sz w:val="28"/>
          <w:szCs w:val="28"/>
        </w:rPr>
      </w:pPr>
    </w:p>
    <w:p w14:paraId="664355AD" w14:textId="77777777" w:rsidR="00B51242" w:rsidRDefault="00B51242">
      <w:pPr>
        <w:spacing w:line="360" w:lineRule="auto"/>
        <w:ind w:firstLine="737"/>
        <w:jc w:val="both"/>
        <w:rPr>
          <w:sz w:val="28"/>
          <w:szCs w:val="28"/>
        </w:rPr>
      </w:pPr>
    </w:p>
    <w:p w14:paraId="1A965116" w14:textId="77777777" w:rsidR="00B51242" w:rsidRDefault="00B51242">
      <w:pPr>
        <w:spacing w:line="360" w:lineRule="auto"/>
        <w:ind w:firstLine="737"/>
        <w:jc w:val="both"/>
        <w:rPr>
          <w:sz w:val="28"/>
          <w:szCs w:val="28"/>
        </w:rPr>
      </w:pPr>
    </w:p>
    <w:p w14:paraId="7DF4E37C" w14:textId="77777777" w:rsidR="00B51242" w:rsidRDefault="00B51242">
      <w:pPr>
        <w:spacing w:line="360" w:lineRule="auto"/>
        <w:ind w:firstLine="737"/>
        <w:jc w:val="both"/>
        <w:rPr>
          <w:sz w:val="28"/>
          <w:szCs w:val="28"/>
        </w:rPr>
      </w:pPr>
    </w:p>
    <w:p w14:paraId="44FB30F8" w14:textId="77777777" w:rsidR="00B51242" w:rsidRDefault="00B51242">
      <w:pPr>
        <w:spacing w:line="360" w:lineRule="auto"/>
        <w:ind w:firstLine="737"/>
        <w:jc w:val="both"/>
        <w:rPr>
          <w:sz w:val="28"/>
          <w:szCs w:val="28"/>
        </w:rPr>
      </w:pPr>
    </w:p>
    <w:p w14:paraId="1DA6542E" w14:textId="77777777" w:rsidR="00B51242" w:rsidRDefault="00B51242">
      <w:pPr>
        <w:spacing w:line="360" w:lineRule="auto"/>
        <w:ind w:firstLine="737"/>
        <w:jc w:val="both"/>
        <w:rPr>
          <w:sz w:val="28"/>
          <w:szCs w:val="28"/>
        </w:rPr>
      </w:pPr>
    </w:p>
    <w:p w14:paraId="3A6F06A0" w14:textId="77777777" w:rsidR="00B51242" w:rsidRDefault="00454211">
      <w:pPr>
        <w:jc w:val="center"/>
      </w:pPr>
      <w:hyperlink w:anchor="__RefHeading___Toc182165562">
        <w:r w:rsidR="008E4E86">
          <w:rPr>
            <w:rStyle w:val="InternetLink"/>
            <w:rFonts w:eastAsia="Calibri"/>
            <w:color w:val="000000"/>
            <w:sz w:val="28"/>
            <w:szCs w:val="28"/>
            <w:u w:val="none"/>
          </w:rPr>
          <w:t xml:space="preserve">РОЗДІЛ </w:t>
        </w:r>
      </w:hyperlink>
      <w:hyperlink w:anchor="__RefHeading___Toc182165562">
        <w:r w:rsidR="008E4E86">
          <w:rPr>
            <w:rStyle w:val="InternetLink"/>
            <w:rFonts w:eastAsia="Calibri"/>
            <w:color w:val="000000"/>
            <w:sz w:val="28"/>
            <w:szCs w:val="28"/>
            <w:u w:val="none"/>
          </w:rPr>
          <w:t>І</w:t>
        </w:r>
      </w:hyperlink>
      <w:hyperlink w:anchor="__RefHeading___Toc182165562">
        <w:r w:rsidR="008E4E86">
          <w:rPr>
            <w:rStyle w:val="InternetLink"/>
            <w:rFonts w:eastAsia="Calibri"/>
            <w:color w:val="000000"/>
            <w:sz w:val="28"/>
            <w:szCs w:val="28"/>
            <w:u w:val="none"/>
          </w:rPr>
          <w:t xml:space="preserve">. </w:t>
        </w:r>
      </w:hyperlink>
      <w:r w:rsidR="008E4E86">
        <w:rPr>
          <w:rStyle w:val="InternetLink"/>
          <w:rFonts w:eastAsia="Calibri"/>
          <w:color w:val="000000"/>
          <w:sz w:val="28"/>
          <w:szCs w:val="28"/>
          <w:u w:val="none"/>
        </w:rPr>
        <w:t>ОРГАНІЗАЦІЯ ЕМПІРИЧНОГО ДОСЛІДЖЕННЯ</w:t>
      </w:r>
      <w:r w:rsidR="008E4E86">
        <w:rPr>
          <w:color w:val="000000"/>
          <w:sz w:val="28"/>
          <w:szCs w:val="28"/>
        </w:rPr>
        <w:t xml:space="preserve">                                                              </w:t>
      </w:r>
    </w:p>
    <w:p w14:paraId="5512C82E" w14:textId="77777777" w:rsidR="00B51242" w:rsidRDefault="008E4E86">
      <w:pPr>
        <w:rPr>
          <w:color w:val="000000"/>
        </w:rPr>
      </w:pPr>
      <w:r>
        <w:rPr>
          <w:color w:val="000000"/>
          <w:sz w:val="28"/>
          <w:szCs w:val="28"/>
        </w:rPr>
        <w:t xml:space="preserve">                </w:t>
      </w:r>
    </w:p>
    <w:p w14:paraId="065576A7" w14:textId="77777777" w:rsidR="00B51242" w:rsidRDefault="008E4E86">
      <w:pPr>
        <w:spacing w:line="360" w:lineRule="auto"/>
        <w:ind w:firstLine="737"/>
        <w:jc w:val="both"/>
      </w:pPr>
      <w:r>
        <w:rPr>
          <w:b/>
          <w:bCs/>
          <w:color w:val="000000"/>
          <w:sz w:val="28"/>
          <w:szCs w:val="28"/>
        </w:rPr>
        <w:t>1</w:t>
      </w:r>
      <w:r>
        <w:rPr>
          <w:b/>
          <w:bCs/>
          <w:color w:val="000000"/>
          <w:sz w:val="28"/>
          <w:szCs w:val="28"/>
          <w:lang w:val="ru-RU"/>
        </w:rPr>
        <w:t>.</w:t>
      </w:r>
      <w:r>
        <w:rPr>
          <w:b/>
          <w:bCs/>
          <w:color w:val="000000"/>
          <w:sz w:val="28"/>
          <w:szCs w:val="28"/>
        </w:rPr>
        <w:t>1.</w:t>
      </w:r>
      <w:r>
        <w:rPr>
          <w:b/>
          <w:bCs/>
          <w:color w:val="000000"/>
          <w:sz w:val="28"/>
          <w:szCs w:val="28"/>
          <w:lang w:val="ru-RU"/>
        </w:rPr>
        <w:t xml:space="preserve"> </w:t>
      </w:r>
      <w:r>
        <w:rPr>
          <w:b/>
          <w:bCs/>
          <w:color w:val="000000"/>
          <w:sz w:val="28"/>
          <w:szCs w:val="28"/>
        </w:rPr>
        <w:t>Науковий апарат дослідження.</w:t>
      </w:r>
    </w:p>
    <w:p w14:paraId="6792ECA4" w14:textId="77777777" w:rsidR="00B51242" w:rsidRDefault="008E4E86">
      <w:pPr>
        <w:snapToGrid w:val="0"/>
        <w:spacing w:line="360" w:lineRule="auto"/>
        <w:ind w:firstLine="737"/>
        <w:jc w:val="both"/>
        <w:rPr>
          <w:b/>
          <w:bCs/>
        </w:rPr>
      </w:pPr>
      <w:r>
        <w:rPr>
          <w:b/>
          <w:bCs/>
          <w:color w:val="000000"/>
          <w:sz w:val="28"/>
          <w:szCs w:val="28"/>
        </w:rPr>
        <w:t>Актуальгність теми</w:t>
      </w:r>
    </w:p>
    <w:p w14:paraId="679D841B" w14:textId="77777777" w:rsidR="00B51242" w:rsidRDefault="008E4E86">
      <w:pPr>
        <w:spacing w:line="360" w:lineRule="auto"/>
        <w:ind w:firstLine="737"/>
        <w:jc w:val="both"/>
      </w:pPr>
      <w:r>
        <w:rPr>
          <w:color w:val="000000"/>
          <w:sz w:val="28"/>
          <w:szCs w:val="28"/>
        </w:rPr>
        <w:t>В умовах повномасштабної війни, коли вся територія України перебуває під систематичними ракетними ударами та атаками безпілотних апаратів, населення постійно зазнає впливу інтенсивних стресових факторів. Для цивільного населення ці обставини формують стійке відчуття загрози життю та безпеці, що вже саме по собі суттєво підвищує ризик розвитку посттравматичних стресових реакцій. Однак найбільш уразливою групою є військовослужбовці, які протягом тривалого часу виконують бойові завдання в умовах, що перевищують межі фізичних, емоційних та когнітивних ресурсів людини. Хронічний вплив бойового стресу, перевантаження, полон, втрата побратимів, перебування у середовищі постійної небезпеки та неможливість повноцінного відновлення створюють високий ризик формування посттравматичного стресового розладу.</w:t>
      </w:r>
    </w:p>
    <w:p w14:paraId="5B0A0EA8" w14:textId="77777777" w:rsidR="00B51242" w:rsidRDefault="008E4E86">
      <w:pPr>
        <w:spacing w:line="360" w:lineRule="auto"/>
        <w:ind w:firstLine="737"/>
        <w:jc w:val="both"/>
      </w:pPr>
      <w:r>
        <w:rPr>
          <w:color w:val="000000"/>
          <w:sz w:val="28"/>
          <w:szCs w:val="28"/>
        </w:rPr>
        <w:t xml:space="preserve">Особливої актуальності проблема ПТСР набуде після завершення бойових дій, коли відкладені або приховані наслідки травматичного досвіду почнуть проявлятися з більшою інтенсивністю. Наукові дослідження </w:t>
      </w:r>
      <w:r>
        <w:rPr>
          <w:color w:val="000000"/>
          <w:sz w:val="28"/>
          <w:szCs w:val="28"/>
        </w:rPr>
        <w:lastRenderedPageBreak/>
        <w:t>свідчать про те, що клінічні симптоми ПТСР можуть виникати або погіршуватися навіть через 2–3 роки після впливу травмувальних подій, коли рівень мобілізаційної готовності знижується, а нервова система переходить у фазу відстроченої реакції на пережите.</w:t>
      </w:r>
      <w:r>
        <w:rPr>
          <w:rFonts w:ascii="Trebuchet MS" w:hAnsi="Trebuchet MS"/>
          <w:color w:val="000000"/>
          <w:sz w:val="22"/>
        </w:rPr>
        <w:t xml:space="preserve"> </w:t>
      </w:r>
    </w:p>
    <w:p w14:paraId="41E1D7A0" w14:textId="77777777" w:rsidR="00B51242" w:rsidRDefault="008E4E86">
      <w:pPr>
        <w:spacing w:line="360" w:lineRule="auto"/>
        <w:ind w:firstLine="737"/>
        <w:jc w:val="both"/>
      </w:pPr>
      <w:r>
        <w:rPr>
          <w:rStyle w:val="StrongEmphasis"/>
          <w:sz w:val="28"/>
          <w:szCs w:val="28"/>
        </w:rPr>
        <w:t>Об’єкт дослідження</w:t>
      </w:r>
    </w:p>
    <w:p w14:paraId="4168D4F6" w14:textId="77777777" w:rsidR="00B51242" w:rsidRDefault="008E4E86">
      <w:pPr>
        <w:spacing w:line="360" w:lineRule="auto"/>
        <w:ind w:firstLine="737"/>
        <w:jc w:val="both"/>
      </w:pPr>
      <w:r>
        <w:rPr>
          <w:sz w:val="28"/>
          <w:szCs w:val="28"/>
        </w:rPr>
        <w:t>Інтеграція когнітивно-поведінкової терапії у структурі комплексної психологічної підтримки військовослужбовців із ПТСР.</w:t>
      </w:r>
    </w:p>
    <w:p w14:paraId="7C8BA49A" w14:textId="77777777" w:rsidR="00B51242" w:rsidRDefault="008E4E86">
      <w:pPr>
        <w:spacing w:line="360" w:lineRule="auto"/>
        <w:ind w:firstLine="737"/>
        <w:jc w:val="both"/>
      </w:pPr>
      <w:r>
        <w:rPr>
          <w:rStyle w:val="StrongEmphasis"/>
          <w:sz w:val="28"/>
          <w:szCs w:val="28"/>
        </w:rPr>
        <w:t>Предмет дослідження</w:t>
      </w:r>
    </w:p>
    <w:p w14:paraId="17E30F90" w14:textId="77777777" w:rsidR="00B51242" w:rsidRDefault="008E4E86">
      <w:pPr>
        <w:spacing w:line="360" w:lineRule="auto"/>
        <w:ind w:firstLine="737"/>
        <w:jc w:val="both"/>
      </w:pPr>
      <w:r>
        <w:rPr>
          <w:color w:val="000000"/>
          <w:sz w:val="28"/>
          <w:szCs w:val="28"/>
        </w:rPr>
        <w:t>Техніки когнітивно-поведінкової терапії (класичні, “третьої хвилі), тілесно-орієнтованої терапії, а також використання EMDR-терапії при роботі з травмою.</w:t>
      </w:r>
    </w:p>
    <w:p w14:paraId="676A3129" w14:textId="77777777" w:rsidR="00B51242" w:rsidRDefault="008E4E86">
      <w:pPr>
        <w:spacing w:line="360" w:lineRule="auto"/>
        <w:ind w:firstLine="737"/>
        <w:jc w:val="both"/>
      </w:pPr>
      <w:r>
        <w:rPr>
          <w:rStyle w:val="StrongEmphasis"/>
          <w:color w:val="000000"/>
          <w:sz w:val="28"/>
          <w:szCs w:val="28"/>
        </w:rPr>
        <w:t>Мета і завдання дослідження</w:t>
      </w:r>
    </w:p>
    <w:p w14:paraId="0D0BBA06" w14:textId="77777777" w:rsidR="00B51242" w:rsidRDefault="008E4E86">
      <w:pPr>
        <w:spacing w:line="360" w:lineRule="auto"/>
        <w:ind w:firstLine="737"/>
        <w:jc w:val="both"/>
      </w:pPr>
      <w:r>
        <w:rPr>
          <w:rStyle w:val="StrongEmphasis"/>
          <w:b w:val="0"/>
          <w:bCs w:val="0"/>
          <w:color w:val="000000"/>
          <w:sz w:val="28"/>
          <w:szCs w:val="28"/>
        </w:rPr>
        <w:t>М</w:t>
      </w:r>
      <w:r>
        <w:rPr>
          <w:color w:val="000000"/>
          <w:sz w:val="28"/>
          <w:szCs w:val="28"/>
        </w:rPr>
        <w:t>етою дослідження є вивчення впливу технік когнітивно-поведінкової терапії на процес відновлення військовослужбовців із ПТСР, виокремлення серед них максимально ефективних, комбінація з ТОТ та EMDR для розробки інтегративного методу психологічної підтримки.</w:t>
      </w:r>
    </w:p>
    <w:p w14:paraId="471399A1" w14:textId="77777777" w:rsidR="00B51242" w:rsidRDefault="008E4E86">
      <w:pPr>
        <w:spacing w:line="360" w:lineRule="auto"/>
        <w:ind w:firstLine="737"/>
        <w:jc w:val="both"/>
      </w:pPr>
      <w:r>
        <w:rPr>
          <w:sz w:val="28"/>
          <w:szCs w:val="28"/>
        </w:rPr>
        <w:t>Для досягнення поставленої мети передбачається виконання таких завдань:</w:t>
      </w:r>
    </w:p>
    <w:p w14:paraId="497857E8" w14:textId="77777777" w:rsidR="00B51242" w:rsidRDefault="008E4E86">
      <w:pPr>
        <w:spacing w:line="360" w:lineRule="auto"/>
        <w:ind w:firstLine="737"/>
        <w:jc w:val="both"/>
      </w:pPr>
      <w:r>
        <w:rPr>
          <w:sz w:val="28"/>
          <w:szCs w:val="28"/>
        </w:rPr>
        <w:t>- здійснити аналіз сучасних технік когнітивно-поведінкової терапії;</w:t>
      </w:r>
    </w:p>
    <w:p w14:paraId="7BBE83FB" w14:textId="77777777" w:rsidR="00B51242" w:rsidRDefault="008E4E86">
      <w:pPr>
        <w:spacing w:line="360" w:lineRule="auto"/>
        <w:ind w:firstLine="737"/>
        <w:jc w:val="both"/>
      </w:pPr>
      <w:r>
        <w:rPr>
          <w:sz w:val="28"/>
          <w:szCs w:val="28"/>
        </w:rPr>
        <w:t>- вивчити можливості використання елементів ТОТ;</w:t>
      </w:r>
    </w:p>
    <w:p w14:paraId="28CE5E80" w14:textId="77777777" w:rsidR="00B51242" w:rsidRDefault="008E4E86">
      <w:pPr>
        <w:spacing w:line="360" w:lineRule="auto"/>
        <w:ind w:firstLine="737"/>
        <w:jc w:val="both"/>
      </w:pPr>
      <w:r>
        <w:rPr>
          <w:sz w:val="28"/>
          <w:szCs w:val="28"/>
        </w:rPr>
        <w:t xml:space="preserve">- </w:t>
      </w:r>
      <w:bookmarkStart w:id="2" w:name="__DdeLink__3577_1906600747"/>
      <w:r>
        <w:rPr>
          <w:sz w:val="28"/>
          <w:szCs w:val="28"/>
        </w:rPr>
        <w:t>вивчити можливості використання елементів</w:t>
      </w:r>
      <w:bookmarkEnd w:id="2"/>
      <w:r>
        <w:rPr>
          <w:sz w:val="28"/>
          <w:szCs w:val="28"/>
        </w:rPr>
        <w:t xml:space="preserve"> EMDR-терапії у подоланні травматичного досвіду;</w:t>
      </w:r>
    </w:p>
    <w:p w14:paraId="4A9464EB" w14:textId="77777777" w:rsidR="00B51242" w:rsidRDefault="008E4E86">
      <w:pPr>
        <w:spacing w:line="360" w:lineRule="auto"/>
        <w:ind w:firstLine="737"/>
        <w:jc w:val="both"/>
      </w:pPr>
      <w:r>
        <w:rPr>
          <w:sz w:val="28"/>
          <w:szCs w:val="28"/>
        </w:rPr>
        <w:t>- виокремити найбільш ефективні інструменти роботи, зокрема робочі листи, щоденники та інші допоміжні матеріали;</w:t>
      </w:r>
    </w:p>
    <w:p w14:paraId="5F8F38EF" w14:textId="77777777" w:rsidR="00B51242" w:rsidRDefault="008E4E86">
      <w:pPr>
        <w:spacing w:line="360" w:lineRule="auto"/>
        <w:ind w:firstLine="737"/>
        <w:jc w:val="both"/>
      </w:pPr>
      <w:r>
        <w:rPr>
          <w:sz w:val="28"/>
          <w:szCs w:val="28"/>
        </w:rPr>
        <w:t>- узагальнити результати дослідження та розробити практичні рекомендації щодо психологічної підтримки військовослужбовців із ПТСР.</w:t>
      </w:r>
    </w:p>
    <w:p w14:paraId="41DCC202" w14:textId="77777777" w:rsidR="00B51242" w:rsidRDefault="008E4E86">
      <w:pPr>
        <w:spacing w:line="360" w:lineRule="auto"/>
        <w:ind w:firstLine="737"/>
        <w:jc w:val="both"/>
      </w:pPr>
      <w:r>
        <w:rPr>
          <w:sz w:val="28"/>
          <w:szCs w:val="28"/>
        </w:rPr>
        <w:t xml:space="preserve">- </w:t>
      </w:r>
      <w:bookmarkStart w:id="3" w:name="__DdeLink__3579_1906600747"/>
      <w:r>
        <w:rPr>
          <w:sz w:val="28"/>
          <w:szCs w:val="28"/>
        </w:rPr>
        <w:t>опрацювати та адаптувати когнітивні модел</w:t>
      </w:r>
      <w:bookmarkEnd w:id="3"/>
      <w:r>
        <w:rPr>
          <w:sz w:val="28"/>
          <w:szCs w:val="28"/>
        </w:rPr>
        <w:t>і для застосування у роботі з військовослужбовцями;</w:t>
      </w:r>
    </w:p>
    <w:p w14:paraId="2AED7544" w14:textId="77777777" w:rsidR="00B51242" w:rsidRDefault="008E4E86">
      <w:pPr>
        <w:spacing w:line="360" w:lineRule="auto"/>
        <w:ind w:firstLine="737"/>
        <w:jc w:val="both"/>
      </w:pPr>
      <w:r>
        <w:rPr>
          <w:color w:val="000000"/>
          <w:sz w:val="28"/>
          <w:szCs w:val="28"/>
        </w:rPr>
        <w:t>- провести поведінкові експерименти та дослідити їх</w:t>
      </w:r>
      <w:bookmarkStart w:id="4" w:name="__DdeLink__3171_40738163051"/>
      <w:r>
        <w:rPr>
          <w:color w:val="000000"/>
          <w:sz w:val="28"/>
          <w:szCs w:val="28"/>
        </w:rPr>
        <w:t xml:space="preserve"> вплив на редукцію симптомів ПТСР;</w:t>
      </w:r>
      <w:bookmarkEnd w:id="4"/>
    </w:p>
    <w:p w14:paraId="4BFB1274" w14:textId="77777777" w:rsidR="00B51242" w:rsidRDefault="008E4E86">
      <w:pPr>
        <w:spacing w:line="360" w:lineRule="auto"/>
        <w:ind w:firstLine="737"/>
        <w:jc w:val="both"/>
      </w:pPr>
      <w:r>
        <w:rPr>
          <w:color w:val="000000"/>
          <w:sz w:val="28"/>
          <w:szCs w:val="28"/>
        </w:rPr>
        <w:lastRenderedPageBreak/>
        <w:t xml:space="preserve">- для покращення ефективності психолонічної підтримки військовослужбовцям постійно давати структуровані домашні завдання (використовуючи підхід </w:t>
      </w:r>
      <w:r>
        <w:rPr>
          <w:color w:val="000000"/>
          <w:sz w:val="28"/>
          <w:szCs w:val="28"/>
          <w:lang w:val="en-US"/>
        </w:rPr>
        <w:t>S</w:t>
      </w:r>
      <w:r w:rsidRPr="00D3629B">
        <w:rPr>
          <w:color w:val="000000"/>
          <w:sz w:val="28"/>
          <w:szCs w:val="28"/>
          <w:lang w:val="ru-RU"/>
        </w:rPr>
        <w:t>.</w:t>
      </w:r>
      <w:r>
        <w:rPr>
          <w:color w:val="000000"/>
          <w:sz w:val="28"/>
          <w:szCs w:val="28"/>
          <w:lang w:val="en-US"/>
        </w:rPr>
        <w:t>M</w:t>
      </w:r>
      <w:r w:rsidRPr="00D3629B">
        <w:rPr>
          <w:color w:val="000000"/>
          <w:sz w:val="28"/>
          <w:szCs w:val="28"/>
          <w:lang w:val="ru-RU"/>
        </w:rPr>
        <w:t>.</w:t>
      </w:r>
      <w:r>
        <w:rPr>
          <w:color w:val="000000"/>
          <w:sz w:val="28"/>
          <w:szCs w:val="28"/>
          <w:lang w:val="en-US"/>
        </w:rPr>
        <w:t>A</w:t>
      </w:r>
      <w:r w:rsidRPr="00D3629B">
        <w:rPr>
          <w:color w:val="000000"/>
          <w:sz w:val="28"/>
          <w:szCs w:val="28"/>
          <w:lang w:val="ru-RU"/>
        </w:rPr>
        <w:t>.</w:t>
      </w:r>
      <w:r>
        <w:rPr>
          <w:color w:val="000000"/>
          <w:sz w:val="28"/>
          <w:szCs w:val="28"/>
          <w:lang w:val="en-US"/>
        </w:rPr>
        <w:t>R</w:t>
      </w:r>
      <w:r w:rsidRPr="00D3629B">
        <w:rPr>
          <w:color w:val="000000"/>
          <w:sz w:val="28"/>
          <w:szCs w:val="28"/>
          <w:lang w:val="ru-RU"/>
        </w:rPr>
        <w:t>.</w:t>
      </w:r>
      <w:r>
        <w:rPr>
          <w:color w:val="000000"/>
          <w:sz w:val="28"/>
          <w:szCs w:val="28"/>
          <w:lang w:val="en-US"/>
        </w:rPr>
        <w:t>T</w:t>
      </w:r>
      <w:r w:rsidRPr="00D3629B">
        <w:rPr>
          <w:color w:val="000000"/>
          <w:sz w:val="28"/>
          <w:szCs w:val="28"/>
          <w:lang w:val="ru-RU"/>
        </w:rPr>
        <w:t>.)</w:t>
      </w:r>
    </w:p>
    <w:p w14:paraId="0A05B964" w14:textId="77777777" w:rsidR="00B51242" w:rsidRDefault="008E4E86">
      <w:pPr>
        <w:spacing w:line="360" w:lineRule="auto"/>
        <w:ind w:firstLine="737"/>
        <w:jc w:val="both"/>
      </w:pPr>
      <w:r>
        <w:rPr>
          <w:rStyle w:val="StrongEmphasis"/>
          <w:sz w:val="28"/>
          <w:szCs w:val="28"/>
        </w:rPr>
        <w:t>Гіпотеза дослідження</w:t>
      </w:r>
    </w:p>
    <w:p w14:paraId="509EC6B7" w14:textId="77777777" w:rsidR="00B51242" w:rsidRDefault="008E4E86">
      <w:pPr>
        <w:spacing w:line="360" w:lineRule="auto"/>
        <w:ind w:firstLine="737"/>
        <w:jc w:val="both"/>
      </w:pPr>
      <w:r>
        <w:rPr>
          <w:sz w:val="28"/>
          <w:szCs w:val="28"/>
        </w:rPr>
        <w:t>Поєднання певних технік КПТ з інтеграцією окремих елементів ТОТ та EMDR на відповідних етапах лікування можуть забезпечити максимально ефективний результат психологічної підтримки військовослужбовців із ПТСР.</w:t>
      </w:r>
    </w:p>
    <w:p w14:paraId="67095AB1" w14:textId="77777777" w:rsidR="00B51242" w:rsidRDefault="008E4E86">
      <w:pPr>
        <w:spacing w:line="360" w:lineRule="auto"/>
        <w:ind w:firstLine="737"/>
        <w:jc w:val="both"/>
      </w:pPr>
      <w:r>
        <w:rPr>
          <w:rStyle w:val="StrongEmphasis"/>
          <w:sz w:val="28"/>
          <w:szCs w:val="28"/>
        </w:rPr>
        <w:t>Методи дослідження</w:t>
      </w:r>
    </w:p>
    <w:p w14:paraId="36360C34" w14:textId="77777777" w:rsidR="00B51242" w:rsidRDefault="008E4E86">
      <w:pPr>
        <w:spacing w:line="360" w:lineRule="auto"/>
        <w:ind w:firstLine="737"/>
        <w:jc w:val="both"/>
      </w:pPr>
      <w:r>
        <w:rPr>
          <w:rStyle w:val="StrongEmphasis"/>
          <w:sz w:val="28"/>
          <w:szCs w:val="28"/>
        </w:rPr>
        <w:t>Теоретичні:</w:t>
      </w:r>
      <w:r>
        <w:rPr>
          <w:sz w:val="28"/>
          <w:szCs w:val="28"/>
        </w:rPr>
        <w:t xml:space="preserve"> аналіз наукової літератури та статей, що дозволить окреслити сучасні підходи, оцінити ефективність різних технік когнітивно-поведінкової терапії, узагальнити й систематизувати отримані знання.</w:t>
      </w:r>
    </w:p>
    <w:p w14:paraId="1C8D504F" w14:textId="77777777" w:rsidR="00B51242" w:rsidRDefault="008E4E86">
      <w:pPr>
        <w:spacing w:line="360" w:lineRule="auto"/>
        <w:ind w:firstLine="737"/>
        <w:jc w:val="both"/>
      </w:pPr>
      <w:r>
        <w:rPr>
          <w:rStyle w:val="StrongEmphasis"/>
          <w:sz w:val="28"/>
          <w:szCs w:val="28"/>
        </w:rPr>
        <w:t>Емпіричні:</w:t>
      </w:r>
      <w:r>
        <w:rPr>
          <w:sz w:val="28"/>
          <w:szCs w:val="28"/>
        </w:rPr>
        <w:t xml:space="preserve"> дослідження ефективності різних методів психологічної підтримки військовослужбовців із ПТСР; використання психодіагностичних методик для оцінки динаміки змін у психологічному стані учасників.</w:t>
      </w:r>
    </w:p>
    <w:p w14:paraId="26D41F39" w14:textId="77777777" w:rsidR="00B51242" w:rsidRDefault="008E4E86">
      <w:pPr>
        <w:spacing w:line="360" w:lineRule="auto"/>
        <w:ind w:firstLine="737"/>
        <w:jc w:val="both"/>
      </w:pPr>
      <w:r>
        <w:rPr>
          <w:rStyle w:val="StrongEmphasis"/>
          <w:sz w:val="28"/>
          <w:szCs w:val="28"/>
        </w:rPr>
        <w:t>Статистичні:</w:t>
      </w:r>
      <w:r>
        <w:rPr>
          <w:sz w:val="28"/>
          <w:szCs w:val="28"/>
        </w:rPr>
        <w:t xml:space="preserve"> застосування методів статистичного аналізу з метою встановлення взаємозв’язку між використаними техніками психологічної підтримки, рівнем психологічного благополуччя та зменшенням  інтенсивності психотравматичних симптомів у військовослужбовців. </w:t>
      </w:r>
      <w:r w:rsidRPr="00D3629B">
        <w:rPr>
          <w:sz w:val="28"/>
        </w:rPr>
        <w:t xml:space="preserve">                                                                                                                                                                                               </w:t>
      </w:r>
      <w:r>
        <w:rPr>
          <w:b/>
          <w:bCs/>
          <w:color w:val="FF0000"/>
          <w:sz w:val="28"/>
          <w:szCs w:val="28"/>
        </w:rPr>
        <w:t xml:space="preserve">                                                                                                                                         </w:t>
      </w:r>
    </w:p>
    <w:p w14:paraId="4E2ADB77" w14:textId="77777777" w:rsidR="00B51242" w:rsidRDefault="008E4E86">
      <w:pPr>
        <w:spacing w:line="360" w:lineRule="auto"/>
        <w:ind w:firstLine="737"/>
        <w:jc w:val="both"/>
      </w:pPr>
      <w:r>
        <w:rPr>
          <w:b/>
          <w:bCs/>
          <w:color w:val="000000"/>
          <w:sz w:val="28"/>
          <w:szCs w:val="28"/>
        </w:rPr>
        <w:t>Практичний: п</w:t>
      </w:r>
      <w:r>
        <w:rPr>
          <w:color w:val="000000"/>
          <w:sz w:val="28"/>
          <w:szCs w:val="28"/>
        </w:rPr>
        <w:t>рактичні методи охоплюють безпосереднє впровадження та апробацію психотерапевтичних інтервенцій, спрямованих на підвищення ефективності психологічної підтримки військовослужбовців із ПТСР. З огляду на поставлену мету, практична частина дослідження передбачає розробку, адаптацію та застосування інтегративної програми, що поєднує техніки класичної КПТ, елементи ТОТ та методи дезенсибілізації і репроцесингу рухами очей, як окремих елементів EMDR.</w:t>
      </w:r>
    </w:p>
    <w:p w14:paraId="32FFD4BA" w14:textId="77777777" w:rsidR="00B51242" w:rsidRDefault="008E4E86">
      <w:pPr>
        <w:spacing w:line="360" w:lineRule="auto"/>
        <w:ind w:firstLine="737"/>
        <w:jc w:val="both"/>
      </w:pPr>
      <w:r>
        <w:rPr>
          <w:sz w:val="28"/>
          <w:szCs w:val="28"/>
        </w:rPr>
        <w:t>У процесі реалізації програми проводиться структурована психокорекційна робота, яка включає:</w:t>
      </w:r>
    </w:p>
    <w:p w14:paraId="31A5B334" w14:textId="77777777" w:rsidR="00B51242" w:rsidRDefault="008E4E86">
      <w:pPr>
        <w:spacing w:line="360" w:lineRule="auto"/>
        <w:ind w:firstLine="737"/>
        <w:jc w:val="both"/>
      </w:pPr>
      <w:r>
        <w:rPr>
          <w:rStyle w:val="StrongEmphasis"/>
          <w:b w:val="0"/>
          <w:bCs w:val="0"/>
          <w:sz w:val="28"/>
          <w:szCs w:val="28"/>
        </w:rPr>
        <w:lastRenderedPageBreak/>
        <w:t>- застосування когнітивних інтервенцій</w:t>
      </w:r>
      <w:r>
        <w:rPr>
          <w:sz w:val="28"/>
          <w:szCs w:val="28"/>
        </w:rPr>
        <w:t>, спрямованих на ідентифікацію та реконструкцію дезадаптивних переконань, що підтримують симптоматику ПТСР;</w:t>
      </w:r>
    </w:p>
    <w:p w14:paraId="1890665E" w14:textId="77777777" w:rsidR="00B51242" w:rsidRDefault="008E4E86">
      <w:pPr>
        <w:spacing w:line="360" w:lineRule="auto"/>
        <w:ind w:firstLine="737"/>
        <w:jc w:val="both"/>
      </w:pPr>
      <w:r>
        <w:rPr>
          <w:sz w:val="28"/>
          <w:szCs w:val="28"/>
        </w:rPr>
        <w:t xml:space="preserve">- </w:t>
      </w:r>
      <w:r>
        <w:rPr>
          <w:rStyle w:val="StrongEmphasis"/>
          <w:b w:val="0"/>
          <w:bCs w:val="0"/>
          <w:sz w:val="28"/>
          <w:szCs w:val="28"/>
        </w:rPr>
        <w:t>використання технік емоційної та фізіологічної стабілізації</w:t>
      </w:r>
      <w:r>
        <w:rPr>
          <w:sz w:val="28"/>
          <w:szCs w:val="28"/>
        </w:rPr>
        <w:t>, характерних для ТОТ, з метою підвищення толерантності до стресу й формування навичок саморегуляції;</w:t>
      </w:r>
    </w:p>
    <w:p w14:paraId="7ADBADAF" w14:textId="77777777" w:rsidR="00B51242" w:rsidRDefault="008E4E86">
      <w:pPr>
        <w:spacing w:line="360" w:lineRule="auto"/>
        <w:ind w:firstLine="737"/>
        <w:jc w:val="both"/>
      </w:pPr>
      <w:r>
        <w:rPr>
          <w:sz w:val="28"/>
          <w:szCs w:val="28"/>
        </w:rPr>
        <w:t xml:space="preserve">- </w:t>
      </w:r>
      <w:r>
        <w:rPr>
          <w:rStyle w:val="StrongEmphasis"/>
          <w:b w:val="0"/>
          <w:bCs w:val="0"/>
          <w:sz w:val="28"/>
          <w:szCs w:val="28"/>
        </w:rPr>
        <w:t>введення елементів EMDR</w:t>
      </w:r>
      <w:r>
        <w:rPr>
          <w:sz w:val="28"/>
          <w:szCs w:val="28"/>
        </w:rPr>
        <w:t>, орієнтованих на зниження інтенсивності афективних реакцій;</w:t>
      </w:r>
    </w:p>
    <w:p w14:paraId="4B176700" w14:textId="77777777" w:rsidR="00B51242" w:rsidRDefault="008E4E86">
      <w:pPr>
        <w:spacing w:line="360" w:lineRule="auto"/>
        <w:ind w:firstLine="737"/>
        <w:jc w:val="both"/>
      </w:pPr>
      <w:r>
        <w:rPr>
          <w:rStyle w:val="StrongEmphasis"/>
          <w:b w:val="0"/>
          <w:bCs w:val="0"/>
          <w:sz w:val="28"/>
          <w:szCs w:val="28"/>
        </w:rPr>
        <w:t>- проведення поведінкових експериментів</w:t>
      </w:r>
      <w:r>
        <w:rPr>
          <w:sz w:val="28"/>
          <w:szCs w:val="28"/>
        </w:rPr>
        <w:t>, спрямованих на перевірку нових когнітивних гіпотез, зменшення уникнення, підвищення функціональності та редукцію симптомів ПТСР.</w:t>
      </w:r>
    </w:p>
    <w:p w14:paraId="6DEA7A97" w14:textId="77777777" w:rsidR="00B51242" w:rsidRDefault="008E4E86">
      <w:pPr>
        <w:spacing w:line="360" w:lineRule="auto"/>
        <w:jc w:val="both"/>
      </w:pPr>
      <w:r>
        <w:rPr>
          <w:sz w:val="28"/>
          <w:szCs w:val="28"/>
        </w:rPr>
        <w:t xml:space="preserve">Практичні методи також передбачають активне використання структурованих матеріалів, таких як робочі листи, щоденники спостережень, таблиці для відстеження тригерів, інструменти для моніторингу рівня стресу та планувальні форми для поведінкових експериментів. Значну увагу приділено </w:t>
      </w:r>
      <w:r>
        <w:rPr>
          <w:rStyle w:val="StrongEmphasis"/>
          <w:b w:val="0"/>
          <w:bCs w:val="0"/>
          <w:sz w:val="28"/>
          <w:szCs w:val="28"/>
        </w:rPr>
        <w:t>домашнім завданням</w:t>
      </w:r>
      <w:r>
        <w:rPr>
          <w:sz w:val="28"/>
          <w:szCs w:val="28"/>
        </w:rPr>
        <w:t>, які формулюються за принципами S.M.A.R.T. і забезпечують перенесення терапевтичних навичок у повсякденну діяльність військовослужбовців.</w:t>
      </w:r>
    </w:p>
    <w:p w14:paraId="369F6AA7" w14:textId="77777777" w:rsidR="00B51242" w:rsidRDefault="008E4E86">
      <w:pPr>
        <w:spacing w:line="360" w:lineRule="auto"/>
        <w:ind w:firstLine="737"/>
        <w:jc w:val="both"/>
      </w:pPr>
      <w:r>
        <w:rPr>
          <w:sz w:val="28"/>
          <w:szCs w:val="28"/>
        </w:rPr>
        <w:t xml:space="preserve">У межах практичної частини здійснюється також адаптація й апробація релевантних когнітивних моделей (зокрема моделей переробки травми), їх модифікація для роботи з військовослужбовцями та інтеграція у терапевтичний процес. Практична реалізація включає систематичне спостереження за динамікою психологічного стану учасників, документування змін та оцінювання ефективності використаних технік на основі отриманих якісних і кількісних даних. </w:t>
      </w:r>
    </w:p>
    <w:p w14:paraId="635887C0" w14:textId="77777777" w:rsidR="00B51242" w:rsidRDefault="008E4E86">
      <w:pPr>
        <w:spacing w:line="360" w:lineRule="auto"/>
        <w:ind w:firstLine="737"/>
        <w:jc w:val="both"/>
      </w:pPr>
      <w:r>
        <w:rPr>
          <w:rStyle w:val="StrongEmphasis"/>
          <w:rFonts w:cs="Times New Roman"/>
          <w:color w:val="000000"/>
          <w:sz w:val="28"/>
          <w:szCs w:val="28"/>
        </w:rPr>
        <w:t>Теоретична значущість роботи</w:t>
      </w:r>
    </w:p>
    <w:p w14:paraId="32275913" w14:textId="77777777" w:rsidR="00B51242" w:rsidRDefault="008E4E86">
      <w:pPr>
        <w:spacing w:line="360" w:lineRule="auto"/>
        <w:ind w:firstLine="737"/>
        <w:jc w:val="both"/>
      </w:pPr>
      <w:r>
        <w:rPr>
          <w:sz w:val="28"/>
          <w:szCs w:val="28"/>
        </w:rPr>
        <w:t xml:space="preserve">Теоретична значущість магістерської роботи полягає у поглибленні наукових уявлень про можливості застосування когнітивно-поведінкової терапії в системі психологічної підтримки військовослужбовців із посттравматичним стресовим розладом. У роботі систематизовано сучасні </w:t>
      </w:r>
      <w:r>
        <w:rPr>
          <w:sz w:val="28"/>
          <w:szCs w:val="28"/>
        </w:rPr>
        <w:lastRenderedPageBreak/>
        <w:t>наукові підходи до розуміння ПТСР як багаторівневого психічного розладу, що включає когнітивні, емоційні, поведінкові та фізіологічні компоненти.</w:t>
      </w:r>
    </w:p>
    <w:p w14:paraId="64F0DBEF" w14:textId="77777777" w:rsidR="00B51242" w:rsidRDefault="008E4E86">
      <w:pPr>
        <w:spacing w:line="360" w:lineRule="auto"/>
        <w:jc w:val="both"/>
      </w:pPr>
      <w:r>
        <w:rPr>
          <w:sz w:val="28"/>
          <w:szCs w:val="28"/>
        </w:rPr>
        <w:t>Дослідження розширює теоретичні уявлення про еволюцію КПТ від класичних моделей до підходів «третьої хвилі» у контексті роботи з бойовою психотравмою. Обґрунтовано доцільність інтеграції КПТ з елементами тілесно-орієнтованої терапії та EMDR, що сприяє формуванню цілісного</w:t>
      </w:r>
    </w:p>
    <w:p w14:paraId="51C72615" w14:textId="77777777" w:rsidR="00B51242" w:rsidRDefault="008E4E86">
      <w:pPr>
        <w:spacing w:line="360" w:lineRule="auto"/>
        <w:jc w:val="both"/>
      </w:pPr>
      <w:r>
        <w:rPr>
          <w:sz w:val="28"/>
          <w:szCs w:val="28"/>
        </w:rPr>
        <w:t>наукового бачення інтегративних моделей психологічної допомоги при ПТСР.</w:t>
      </w:r>
    </w:p>
    <w:p w14:paraId="38A79A23" w14:textId="77777777" w:rsidR="00B51242" w:rsidRDefault="008E4E86">
      <w:pPr>
        <w:spacing w:line="360" w:lineRule="auto"/>
        <w:ind w:firstLine="737"/>
        <w:jc w:val="both"/>
      </w:pPr>
      <w:r>
        <w:rPr>
          <w:sz w:val="28"/>
          <w:szCs w:val="28"/>
        </w:rPr>
        <w:t>Уточнено роль когнітивних викривлень, дезадаптивних переконань, механізмів уникнення та гіперзбудження у підтриманні симптоматики ПТСР у військовослужбовців. Теоретично обґрунтовано значення стабілізаційного етапу, експозиційних методів, поведінкових експериментів і системи структурованих домашніх завдань у процесі психотерапевтичної роботи з даною категорією осіб.</w:t>
      </w:r>
    </w:p>
    <w:p w14:paraId="6E895107" w14:textId="77777777" w:rsidR="00B51242" w:rsidRDefault="008E4E86">
      <w:pPr>
        <w:spacing w:line="360" w:lineRule="auto"/>
        <w:ind w:firstLine="737"/>
        <w:jc w:val="both"/>
      </w:pPr>
      <w:r>
        <w:rPr>
          <w:rStyle w:val="StrongEmphasis"/>
          <w:sz w:val="28"/>
          <w:szCs w:val="28"/>
        </w:rPr>
        <w:t>Практична значущість результатів</w:t>
      </w:r>
    </w:p>
    <w:p w14:paraId="072EA0EB" w14:textId="77777777" w:rsidR="00B51242" w:rsidRDefault="008E4E86">
      <w:pPr>
        <w:spacing w:line="360" w:lineRule="auto"/>
        <w:ind w:firstLine="737"/>
        <w:jc w:val="both"/>
      </w:pPr>
      <w:r>
        <w:rPr>
          <w:sz w:val="28"/>
          <w:szCs w:val="28"/>
        </w:rPr>
        <w:t xml:space="preserve">Практична значущість магістерської роботи полягає в можливості </w:t>
      </w:r>
      <w:r>
        <w:rPr>
          <w:rStyle w:val="StrongEmphasis"/>
          <w:b w:val="0"/>
          <w:bCs w:val="0"/>
          <w:sz w:val="28"/>
          <w:szCs w:val="28"/>
        </w:rPr>
        <w:t>безпосереднього використання розробленого інтегративного плану психологічної підтримки</w:t>
      </w:r>
      <w:r>
        <w:rPr>
          <w:sz w:val="28"/>
          <w:szCs w:val="28"/>
        </w:rPr>
        <w:t xml:space="preserve"> у діяльності практичних психологів, психотерапевтів, фахівців центрів психологічної реабілітації, військових психологів та закладів, що надають психологічну допомогу військовослужбовцям із ПТСР.</w:t>
      </w:r>
    </w:p>
    <w:p w14:paraId="0B1A7310" w14:textId="77777777" w:rsidR="00B51242" w:rsidRDefault="008E4E86">
      <w:pPr>
        <w:spacing w:line="360" w:lineRule="auto"/>
        <w:ind w:firstLine="737"/>
        <w:jc w:val="both"/>
      </w:pPr>
      <w:r>
        <w:rPr>
          <w:sz w:val="28"/>
          <w:szCs w:val="28"/>
        </w:rPr>
        <w:t xml:space="preserve">Запропонований поетапний план роботи, що включає стабілізацію, емоційну та фізіологічну регуляцію, когнітивну реструктуризацію, експозиційну терапію, поведінкові експерименти, опрацювання травматичного досвіду, розвиток міжособистісних відносин і профілактику рецидивів, може бути використаний як </w:t>
      </w:r>
      <w:r>
        <w:rPr>
          <w:rStyle w:val="StrongEmphasis"/>
          <w:b w:val="0"/>
          <w:bCs w:val="0"/>
          <w:sz w:val="28"/>
          <w:szCs w:val="28"/>
        </w:rPr>
        <w:t>готова модель психотерапевтичного супроводу</w:t>
      </w:r>
      <w:r>
        <w:rPr>
          <w:sz w:val="28"/>
          <w:szCs w:val="28"/>
        </w:rPr>
        <w:t xml:space="preserve"> військовослужбовців із ПТСР.</w:t>
      </w:r>
    </w:p>
    <w:p w14:paraId="0ECD904E" w14:textId="77777777" w:rsidR="00B51242" w:rsidRDefault="008E4E86">
      <w:pPr>
        <w:spacing w:line="360" w:lineRule="auto"/>
        <w:ind w:firstLine="737"/>
        <w:jc w:val="both"/>
      </w:pPr>
      <w:r>
        <w:rPr>
          <w:sz w:val="28"/>
          <w:szCs w:val="28"/>
        </w:rPr>
        <w:t xml:space="preserve">Практичну цінність мають розроблені та систематизовані </w:t>
      </w:r>
      <w:r>
        <w:rPr>
          <w:rStyle w:val="StrongEmphasis"/>
          <w:b w:val="0"/>
          <w:bCs w:val="0"/>
          <w:sz w:val="28"/>
          <w:szCs w:val="28"/>
        </w:rPr>
        <w:t xml:space="preserve">робочі листи, щоденники самоспостереження, інструменти моніторингу тригерів і рівня стресу, а також система домашніх завдань, побудована за принципами </w:t>
      </w:r>
      <w:r>
        <w:rPr>
          <w:rStyle w:val="StrongEmphasis"/>
          <w:b w:val="0"/>
          <w:bCs w:val="0"/>
          <w:sz w:val="28"/>
          <w:szCs w:val="28"/>
        </w:rPr>
        <w:lastRenderedPageBreak/>
        <w:t>S.M.A.R.T.</w:t>
      </w:r>
      <w:r>
        <w:rPr>
          <w:sz w:val="28"/>
          <w:szCs w:val="28"/>
        </w:rPr>
        <w:t>, що дозволяє підвищити ефективність та стійкість отриманих терапевтичних результатів.</w:t>
      </w:r>
    </w:p>
    <w:p w14:paraId="2E148D72" w14:textId="77777777" w:rsidR="00B51242" w:rsidRDefault="008E4E86">
      <w:pPr>
        <w:spacing w:line="360" w:lineRule="auto"/>
        <w:ind w:firstLine="737"/>
        <w:jc w:val="both"/>
      </w:pPr>
      <w:r>
        <w:rPr>
          <w:sz w:val="28"/>
          <w:szCs w:val="28"/>
        </w:rPr>
        <w:t>Матеріали дослідження можуть використовуватися:</w:t>
      </w:r>
    </w:p>
    <w:p w14:paraId="54D0F57A" w14:textId="77777777" w:rsidR="00B51242" w:rsidRDefault="008E4E86">
      <w:pPr>
        <w:spacing w:line="360" w:lineRule="auto"/>
        <w:ind w:firstLine="737"/>
        <w:jc w:val="both"/>
      </w:pPr>
      <w:r>
        <w:rPr>
          <w:sz w:val="28"/>
          <w:szCs w:val="28"/>
        </w:rPr>
        <w:t>- у практиці психологічної реабілітації військовослужбовців;</w:t>
      </w:r>
    </w:p>
    <w:p w14:paraId="690ED3D3" w14:textId="77777777" w:rsidR="00B51242" w:rsidRDefault="008E4E86">
      <w:pPr>
        <w:spacing w:line="360" w:lineRule="auto"/>
        <w:ind w:firstLine="737"/>
        <w:jc w:val="both"/>
      </w:pPr>
      <w:r>
        <w:rPr>
          <w:sz w:val="28"/>
          <w:szCs w:val="28"/>
        </w:rPr>
        <w:t>- у роботі з профілактики рецидивів ПТСР;</w:t>
      </w:r>
    </w:p>
    <w:p w14:paraId="3C96F9F7" w14:textId="77777777" w:rsidR="00B51242" w:rsidRDefault="008E4E86">
      <w:pPr>
        <w:spacing w:line="360" w:lineRule="auto"/>
        <w:ind w:firstLine="737"/>
        <w:jc w:val="both"/>
      </w:pPr>
      <w:r>
        <w:rPr>
          <w:sz w:val="28"/>
          <w:szCs w:val="28"/>
        </w:rPr>
        <w:t>- у підготовці та підвищенні кваліфікації військових психологів;</w:t>
      </w:r>
    </w:p>
    <w:p w14:paraId="117C18B2" w14:textId="77777777" w:rsidR="00B51242" w:rsidRDefault="008E4E86">
      <w:pPr>
        <w:spacing w:line="360" w:lineRule="auto"/>
        <w:ind w:firstLine="737"/>
        <w:jc w:val="both"/>
      </w:pPr>
      <w:r>
        <w:rPr>
          <w:sz w:val="28"/>
          <w:szCs w:val="28"/>
        </w:rPr>
        <w:t>- у навчальному процесі закладів вищої освіти за спеціальністю «Психологія»;</w:t>
      </w:r>
    </w:p>
    <w:p w14:paraId="7F8DA017" w14:textId="77777777" w:rsidR="00B51242" w:rsidRDefault="008E4E86">
      <w:pPr>
        <w:spacing w:line="360" w:lineRule="auto"/>
        <w:ind w:firstLine="737"/>
        <w:jc w:val="both"/>
      </w:pPr>
      <w:r>
        <w:rPr>
          <w:sz w:val="28"/>
          <w:szCs w:val="28"/>
        </w:rPr>
        <w:t>- при розробці тренінгових і стабілізаційних програм для осіб, які зазнали бойової психотравми.</w:t>
      </w:r>
    </w:p>
    <w:p w14:paraId="696A24C5" w14:textId="77777777" w:rsidR="00B51242" w:rsidRDefault="008E4E86">
      <w:pPr>
        <w:spacing w:line="360" w:lineRule="auto"/>
        <w:ind w:firstLine="737"/>
        <w:jc w:val="both"/>
      </w:pPr>
      <w:r>
        <w:rPr>
          <w:b/>
          <w:bCs/>
          <w:color w:val="000000"/>
          <w:sz w:val="28"/>
          <w:szCs w:val="28"/>
        </w:rPr>
        <w:t>База дослідження:</w:t>
      </w:r>
      <w:r>
        <w:rPr>
          <w:color w:val="FF0000"/>
          <w:sz w:val="28"/>
          <w:szCs w:val="28"/>
        </w:rPr>
        <w:t xml:space="preserve"> </w:t>
      </w:r>
      <w:r>
        <w:rPr>
          <w:color w:val="000000"/>
          <w:sz w:val="28"/>
          <w:szCs w:val="28"/>
        </w:rPr>
        <w:t xml:space="preserve">Центр ментального та психічного здоровя на кафедрі психіатрії Одеського національного медичного університету. </w:t>
      </w:r>
    </w:p>
    <w:p w14:paraId="54E11D2A" w14:textId="77777777" w:rsidR="00B51242" w:rsidRDefault="00B51242">
      <w:pPr>
        <w:pStyle w:val="2"/>
        <w:spacing w:before="0" w:after="0" w:line="360" w:lineRule="auto"/>
        <w:ind w:firstLine="737"/>
        <w:jc w:val="both"/>
        <w:rPr>
          <w:rStyle w:val="InternetLink"/>
          <w:color w:val="000000"/>
          <w:sz w:val="28"/>
          <w:szCs w:val="28"/>
          <w:u w:val="none"/>
        </w:rPr>
      </w:pPr>
    </w:p>
    <w:p w14:paraId="31126E5D" w14:textId="77777777" w:rsidR="00B51242" w:rsidRDefault="00B51242">
      <w:pPr>
        <w:pStyle w:val="2"/>
        <w:spacing w:before="0" w:after="0" w:line="360" w:lineRule="auto"/>
        <w:ind w:firstLine="737"/>
        <w:jc w:val="both"/>
        <w:rPr>
          <w:rStyle w:val="InternetLink"/>
          <w:color w:val="000000"/>
          <w:sz w:val="28"/>
          <w:szCs w:val="28"/>
          <w:u w:val="none"/>
        </w:rPr>
      </w:pPr>
    </w:p>
    <w:p w14:paraId="40A89DAB" w14:textId="77777777" w:rsidR="00B51242" w:rsidRDefault="008E4E86">
      <w:pPr>
        <w:pStyle w:val="2"/>
        <w:spacing w:before="0" w:after="0" w:line="360" w:lineRule="auto"/>
        <w:ind w:firstLine="737"/>
        <w:jc w:val="both"/>
      </w:pPr>
      <w:r>
        <w:rPr>
          <w:rStyle w:val="InternetLink"/>
          <w:color w:val="000000"/>
          <w:sz w:val="28"/>
          <w:szCs w:val="28"/>
          <w:u w:val="none"/>
        </w:rPr>
        <w:t>1</w:t>
      </w:r>
      <w:r>
        <w:rPr>
          <w:rStyle w:val="InternetLink"/>
          <w:rFonts w:eastAsia="Calibri"/>
          <w:color w:val="000000"/>
          <w:sz w:val="28"/>
          <w:szCs w:val="28"/>
          <w:u w:val="none"/>
        </w:rPr>
        <w:t xml:space="preserve">.2. Характеристика вибірки дослідження </w:t>
      </w:r>
      <w:r>
        <w:rPr>
          <w:rStyle w:val="InternetLink"/>
          <w:rFonts w:eastAsia="Calibri"/>
          <w:b w:val="0"/>
          <w:bCs w:val="0"/>
          <w:color w:val="000000"/>
          <w:sz w:val="28"/>
          <w:szCs w:val="28"/>
          <w:u w:val="none"/>
        </w:rPr>
        <w:t xml:space="preserve">    </w:t>
      </w:r>
    </w:p>
    <w:p w14:paraId="67F533A8" w14:textId="77777777" w:rsidR="00B51242" w:rsidRDefault="008E4E86">
      <w:pPr>
        <w:spacing w:line="360" w:lineRule="auto"/>
        <w:ind w:firstLine="737"/>
        <w:jc w:val="both"/>
      </w:pPr>
      <w:r>
        <w:rPr>
          <w:rStyle w:val="InternetLink"/>
          <w:rFonts w:eastAsia="Calibri"/>
          <w:color w:val="000000"/>
          <w:sz w:val="28"/>
          <w:szCs w:val="28"/>
          <w:u w:val="none"/>
        </w:rPr>
        <w:t xml:space="preserve">Емпіричне дослідження проводилося на базі вибірки, до якої увійшли </w:t>
      </w:r>
      <w:r>
        <w:rPr>
          <w:rStyle w:val="StrongEmphasis"/>
          <w:b w:val="0"/>
          <w:bCs w:val="0"/>
          <w:color w:val="000000"/>
          <w:sz w:val="28"/>
          <w:szCs w:val="28"/>
        </w:rPr>
        <w:t>30 отримувачів психологічних послуг</w:t>
      </w:r>
      <w:r>
        <w:rPr>
          <w:rStyle w:val="InternetLink"/>
          <w:color w:val="000000"/>
          <w:sz w:val="28"/>
          <w:szCs w:val="28"/>
          <w:u w:val="none"/>
        </w:rPr>
        <w:t>,</w:t>
      </w:r>
      <w:r>
        <w:rPr>
          <w:rStyle w:val="InternetLink"/>
          <w:rFonts w:eastAsia="Calibri"/>
          <w:color w:val="000000"/>
          <w:sz w:val="28"/>
          <w:szCs w:val="28"/>
          <w:u w:val="none"/>
        </w:rPr>
        <w:t xml:space="preserve"> що мають підтверджений діагноз посттравматичного стресового розладу. Усі учасники дослідження є </w:t>
      </w:r>
      <w:r>
        <w:rPr>
          <w:rStyle w:val="StrongEmphasis"/>
          <w:b w:val="0"/>
          <w:bCs w:val="0"/>
          <w:color w:val="000000"/>
          <w:sz w:val="28"/>
          <w:szCs w:val="28"/>
        </w:rPr>
        <w:t>військовослужбовцями</w:t>
      </w:r>
      <w:r>
        <w:rPr>
          <w:rStyle w:val="InternetLink"/>
          <w:rFonts w:eastAsia="Calibri"/>
          <w:color w:val="000000"/>
          <w:sz w:val="28"/>
          <w:szCs w:val="28"/>
          <w:u w:val="none"/>
        </w:rPr>
        <w:t>, які брали безпосередню участь у бойових діях або виконували завдання в умовах підвищеної бойової загрози. Саме ця професійна група була обрана як цільова, оскільки військовослужбовці належать до категорії осіб із найвищим рівнем ризику розвитку ПТСР внаслідок хронічного психотравмувального впливу.</w:t>
      </w:r>
    </w:p>
    <w:p w14:paraId="50DF65B6" w14:textId="77777777" w:rsidR="00B51242" w:rsidRDefault="008E4E86">
      <w:pPr>
        <w:spacing w:line="360" w:lineRule="auto"/>
        <w:ind w:firstLine="737"/>
        <w:jc w:val="both"/>
      </w:pPr>
      <w:r>
        <w:rPr>
          <w:rStyle w:val="StrongEmphasis"/>
          <w:b w:val="0"/>
          <w:bCs w:val="0"/>
          <w:sz w:val="28"/>
          <w:szCs w:val="28"/>
        </w:rPr>
        <w:t>Вікові межі вибірки</w:t>
      </w:r>
      <w:r>
        <w:rPr>
          <w:sz w:val="28"/>
          <w:szCs w:val="28"/>
        </w:rPr>
        <w:t xml:space="preserve"> становили від </w:t>
      </w:r>
      <w:r>
        <w:rPr>
          <w:rStyle w:val="StrongEmphasis"/>
          <w:b w:val="0"/>
          <w:bCs w:val="0"/>
          <w:sz w:val="28"/>
          <w:szCs w:val="28"/>
        </w:rPr>
        <w:t>20 до 52 років</w:t>
      </w:r>
      <w:r>
        <w:rPr>
          <w:sz w:val="28"/>
          <w:szCs w:val="28"/>
        </w:rPr>
        <w:t>, що дозволяє охопити як осіб молодого віку, так і військовослужбовців середньої зрілості. Такий віковий діапазон є репрезентативним для сучасного контингенту військових та дає змогу простежити особливості прояву ПТСР у різні періоди дорослого життя. Водночас вікові відмінності не розглядалися як окремий фактор аналізу, оскільки основний акцент дослідження зосереджено на ефективності психотерапевтичного втручання.</w:t>
      </w:r>
    </w:p>
    <w:p w14:paraId="66A083A3" w14:textId="77777777" w:rsidR="00B51242" w:rsidRDefault="008E4E86">
      <w:pPr>
        <w:spacing w:line="360" w:lineRule="auto"/>
        <w:ind w:firstLine="737"/>
        <w:jc w:val="both"/>
      </w:pPr>
      <w:r>
        <w:rPr>
          <w:rStyle w:val="StrongEmphasis"/>
          <w:b w:val="0"/>
          <w:bCs w:val="0"/>
          <w:sz w:val="28"/>
          <w:szCs w:val="28"/>
        </w:rPr>
        <w:lastRenderedPageBreak/>
        <w:t>Стать, рівень освіти та попередня цивільна професія</w:t>
      </w:r>
      <w:r>
        <w:rPr>
          <w:sz w:val="28"/>
          <w:szCs w:val="28"/>
        </w:rPr>
        <w:t xml:space="preserve"> учасників дослідження не виступали обмежувальними або диференціювальними критеріями. Такий підхід зумовлений тим, що у військовому середовищі психотравмувальний вплив бойових дій має універсальний характер і здатний формувати подібні клінічні прояви незалежно від соціально-демографічних характеристик. Включення до вибірки осіб з різним освітнім рівнем і соціальним досвідом дозволило підвищити екологічну валідність дослідження та наблизити його результати до реальних умов функціонування системи психологічної підтримки військовослужбовців.</w:t>
      </w:r>
    </w:p>
    <w:p w14:paraId="5029BC23" w14:textId="77777777" w:rsidR="00B51242" w:rsidRDefault="008E4E86">
      <w:pPr>
        <w:spacing w:line="360" w:lineRule="auto"/>
        <w:ind w:firstLine="737"/>
        <w:jc w:val="both"/>
      </w:pPr>
      <w:r>
        <w:rPr>
          <w:rStyle w:val="StrongEmphasis"/>
          <w:b w:val="0"/>
          <w:bCs w:val="0"/>
          <w:sz w:val="28"/>
          <w:szCs w:val="28"/>
        </w:rPr>
        <w:t>Клінічною умовою включення до вибірки</w:t>
      </w:r>
      <w:r>
        <w:rPr>
          <w:sz w:val="28"/>
          <w:szCs w:val="28"/>
        </w:rPr>
        <w:t xml:space="preserve"> була наявність </w:t>
      </w:r>
      <w:r>
        <w:rPr>
          <w:rStyle w:val="StrongEmphasis"/>
          <w:b w:val="0"/>
          <w:bCs w:val="0"/>
          <w:sz w:val="28"/>
          <w:szCs w:val="28"/>
        </w:rPr>
        <w:t>підтвердженого діагнозу ПТСР</w:t>
      </w:r>
      <w:r>
        <w:rPr>
          <w:sz w:val="28"/>
          <w:szCs w:val="28"/>
        </w:rPr>
        <w:t xml:space="preserve"> без супутніх коморбідних психічних розладів. Усі учасники перед початком дослідження проходили відповідне психіатричне або клініко-психологічне обстеження, результати якого підтверджували наявність симптомів посттравматичного стресового розладу відповідно до сучасних діагностичних критеріїв. До дослідження не включалися особи з вираженими психотичними станами, важкими формами залежностей, органічними ураженнями головного мозку або тяжкими депресивними розладами з високим суїцидальним ризиком, оскільки наявність таких коморбідних станів могла б істотно вплинути на перебіг психотерапії та ускладнити інтерпретацію отриманих результатів.</w:t>
      </w:r>
    </w:p>
    <w:p w14:paraId="64DA512E" w14:textId="77777777" w:rsidR="00B51242" w:rsidRDefault="008E4E86">
      <w:pPr>
        <w:spacing w:line="360" w:lineRule="auto"/>
        <w:ind w:firstLine="737"/>
        <w:jc w:val="both"/>
      </w:pPr>
      <w:r>
        <w:rPr>
          <w:rStyle w:val="StrongEmphasis"/>
          <w:b w:val="0"/>
          <w:bCs w:val="0"/>
          <w:sz w:val="28"/>
          <w:szCs w:val="28"/>
        </w:rPr>
        <w:t>Метод формування вибірки</w:t>
      </w:r>
      <w:r>
        <w:rPr>
          <w:sz w:val="28"/>
          <w:szCs w:val="28"/>
        </w:rPr>
        <w:t xml:space="preserve"> – </w:t>
      </w:r>
      <w:r>
        <w:rPr>
          <w:rStyle w:val="StrongEmphasis"/>
          <w:b w:val="0"/>
          <w:bCs w:val="0"/>
          <w:sz w:val="28"/>
          <w:szCs w:val="28"/>
        </w:rPr>
        <w:t>цілеспрямований відбір</w:t>
      </w:r>
      <w:r>
        <w:rPr>
          <w:sz w:val="28"/>
          <w:szCs w:val="28"/>
        </w:rPr>
        <w:t>, який здійснювався відповідно до чітко визначених критеріїв включення та виключення. Такий підхід є доцільним для клініко-психологічних досліджень, спрямованих на вивчення ефективності конкретного психотерапевтичного втручання у чітко окресленій цільовій групі. Основними критеріями включення були: статус військовослужбовця, участь у бойових діях або перебування в зоні бойових завдань, наявність підтвердженого діагнозу ПТСР, готовність до співпраці у межах психологічної підтримки та усвідомлена згода на участь у дослідженні.</w:t>
      </w:r>
    </w:p>
    <w:p w14:paraId="6452F320" w14:textId="77777777" w:rsidR="00B51242" w:rsidRDefault="008E4E86">
      <w:pPr>
        <w:spacing w:line="360" w:lineRule="auto"/>
        <w:ind w:firstLine="737"/>
        <w:jc w:val="both"/>
      </w:pPr>
      <w:r>
        <w:rPr>
          <w:sz w:val="28"/>
          <w:szCs w:val="28"/>
        </w:rPr>
        <w:lastRenderedPageBreak/>
        <w:t>Усі учасники дослідження були поінформовані про мету, завдання, зміст та тривалість психотерапевтичної роботи, а також про можливість припинити участь у дослідженні на будь-якому етапі без негативних наслідків для отримання подальшої психологічної допомоги. Дотримання принципів добровільності, конфіденційності та етичності є базовою умовою проведення психологічних досліджень, особливо у роботі з психотравмованими контингентами.</w:t>
      </w:r>
    </w:p>
    <w:p w14:paraId="12023E66" w14:textId="77777777" w:rsidR="00B51242" w:rsidRDefault="008E4E86">
      <w:pPr>
        <w:spacing w:line="360" w:lineRule="auto"/>
        <w:ind w:firstLine="737"/>
        <w:jc w:val="both"/>
      </w:pPr>
      <w:r>
        <w:rPr>
          <w:sz w:val="28"/>
          <w:szCs w:val="28"/>
        </w:rPr>
        <w:t>Сформована вибірка за своїми кількісними та якісними характеристиками є достатньою для проведення пілотного емпіричного дослідження ефективності запропонованої інтегративної програми психологічної підтримки. Її особливістю є однорідність за ключовим клінічним показником – наявністю посттравматичного стресового розладу, що дозволяє більш точно відстежувати динаміку змін психологічного стану під впливом застосованих психотерапевтичних методів та робити обґрунтовані висновки щодо результативності запропонованого підходу.</w:t>
      </w:r>
    </w:p>
    <w:p w14:paraId="71A3D090" w14:textId="77777777" w:rsidR="00B51242" w:rsidRDefault="008E4E86">
      <w:pPr>
        <w:pStyle w:val="2"/>
        <w:spacing w:before="0" w:after="0" w:line="360" w:lineRule="auto"/>
        <w:ind w:firstLine="737"/>
        <w:jc w:val="both"/>
      </w:pPr>
      <w:r>
        <w:rPr>
          <w:rStyle w:val="InternetLink"/>
          <w:color w:val="000000"/>
          <w:sz w:val="28"/>
          <w:szCs w:val="28"/>
          <w:u w:val="none"/>
        </w:rPr>
        <w:t xml:space="preserve">Висновки до розділу 1. </w:t>
      </w:r>
    </w:p>
    <w:p w14:paraId="36FB7BC4" w14:textId="77777777" w:rsidR="00B51242" w:rsidRDefault="008E4E86">
      <w:pPr>
        <w:spacing w:line="360" w:lineRule="auto"/>
        <w:ind w:firstLine="737"/>
        <w:jc w:val="both"/>
      </w:pPr>
      <w:r>
        <w:rPr>
          <w:rStyle w:val="InternetLink"/>
          <w:color w:val="000000"/>
          <w:sz w:val="28"/>
          <w:szCs w:val="28"/>
          <w:u w:val="none"/>
        </w:rPr>
        <w:t>У першому розділі було теоретично та методологічно обґрунтовано необхідність проведення емпіричного дослідження, спрямованого на оцінку ефективності КПТ та її інтеграції з елементами ТОТ і елементів EMDR у роботі з військовослужбовцями, які пережили бойову психотравму. Аналіз соціально-політичного контексту функціонування українського суспільства в умовах повномасштабної війни засвідчив надзвичайну актуальність проблематики ПТСР та необхідність створення науково обґрунтованих, практично застосовних протоколів психологічної підтримки. Показано, що військовослужбовці становлять групу підвищеного ризику, для якої характерним є стійкий та хронічний вплив стресорів, що значно підвищує ймовірність розвитку ПТСР та зумовлює потребу в цілісних, інтегративних підходах до психотерапії.</w:t>
      </w:r>
    </w:p>
    <w:p w14:paraId="5680EC82" w14:textId="77777777" w:rsidR="00B51242" w:rsidRDefault="008E4E86">
      <w:pPr>
        <w:spacing w:line="360" w:lineRule="auto"/>
        <w:ind w:firstLine="737"/>
        <w:jc w:val="both"/>
      </w:pPr>
      <w:r>
        <w:rPr>
          <w:color w:val="000000"/>
          <w:sz w:val="28"/>
          <w:szCs w:val="28"/>
        </w:rPr>
        <w:t xml:space="preserve">У межах наукового апарату дослідження визначено об’єкт, предмет, мету, гіпотезу та завдання, що забезпечило логічну побудову всієї </w:t>
      </w:r>
      <w:r>
        <w:rPr>
          <w:color w:val="000000"/>
          <w:sz w:val="28"/>
          <w:szCs w:val="28"/>
        </w:rPr>
        <w:lastRenderedPageBreak/>
        <w:t>дослідницької програми. Сформульована гіпотеза про можливість підвищення ефективності психологічної підтримки за рахунок комбінування технік КПТ з елементами ТОТ та EMDR знайшла своє обґрунтування у сучасних наукових підходах та клінічних рекомендаціях. Узгодженість теоретичної бази з емпіричними інструментами забезпечила методологічну цілісність дослідження.</w:t>
      </w:r>
    </w:p>
    <w:p w14:paraId="3257CBB9" w14:textId="77777777" w:rsidR="00B51242" w:rsidRDefault="008E4E86">
      <w:pPr>
        <w:spacing w:line="360" w:lineRule="auto"/>
        <w:ind w:firstLine="737"/>
        <w:jc w:val="both"/>
      </w:pPr>
      <w:r>
        <w:rPr>
          <w:color w:val="000000"/>
          <w:sz w:val="28"/>
          <w:szCs w:val="28"/>
        </w:rPr>
        <w:t>У розділі було детально визначено комплекс методів – теоретичних, емпіричних, статистичних і практичних – що дозволяє всебічно вивчити динаміку психічного стану військовослужбовців під впливом інтегративної програми. Застосування психодіагностичних методик, поведінкових експериментів, структурованих інтервенцій та аналізу когнітивних моделей забезпечує багатовимірний підхід до дослідження ПТСР та процесу відновлення. Особливу увагу приділено практичним методам, що передбачають поетапне впровадження технік КПТ, ТОТ та EMDR, використання робочих листів, щоденників, інструментів моніторингу та системи домашніх завдань за принципами S.M.A.R.T., що формує підґрунтя для реальної, клінічно застосовної терапевтичної програми.</w:t>
      </w:r>
    </w:p>
    <w:p w14:paraId="61D103AD" w14:textId="77777777" w:rsidR="00B51242" w:rsidRDefault="008E4E86">
      <w:pPr>
        <w:spacing w:line="360" w:lineRule="auto"/>
        <w:ind w:firstLine="737"/>
        <w:jc w:val="both"/>
      </w:pPr>
      <w:r>
        <w:rPr>
          <w:color w:val="000000"/>
          <w:sz w:val="28"/>
          <w:szCs w:val="28"/>
        </w:rPr>
        <w:t>Було сформовано емпіричну вибірку, що складається з 30 військовослужбовців із підтвердженим діагнозом ПТСР. Дотримання критеріїв включення та виключення дозволило отримати однорідну за ключовими клінічними параметрами групу, що підвищує достовірність і валідність дослідження. Віковий, соціально-демографічний та професійний профіль учасників забезпечує репрезентативність вибірки для цільової популяції. Окремо підкреслено суворе дотримання етичних вимог – добровільності, конфіденційності, інформованості та права на припинення участі.</w:t>
      </w:r>
    </w:p>
    <w:p w14:paraId="48F18173" w14:textId="77777777" w:rsidR="00B51242" w:rsidRDefault="008E4E86">
      <w:pPr>
        <w:spacing w:line="360" w:lineRule="auto"/>
        <w:ind w:firstLine="737"/>
        <w:jc w:val="both"/>
      </w:pPr>
      <w:r>
        <w:rPr>
          <w:color w:val="000000"/>
          <w:sz w:val="28"/>
          <w:szCs w:val="28"/>
        </w:rPr>
        <w:t>Результати першого розділу дозволяють стверджувати, що дослідження має теоретично обґрунтовану та методологічно виважену основу. Чітко визначена структура наукового апарату, продумана система методів, а також належним чином сформована вибірка створюють необхідні передумови для проведення емпіричного вивчення ефективності інтегративного підходу, спрямованого на психологічну підтримку військовослужбовців із ПТСР. Отримані положення забезпечують логічний перехід до аналізу теоретичних засад досліджуваного феномену та подальшої практичної реалізації розробленої програми терапевтичної роботи.</w:t>
      </w:r>
    </w:p>
    <w:p w14:paraId="2DE403A5" w14:textId="77777777" w:rsidR="00B51242" w:rsidRDefault="00B51242">
      <w:pPr>
        <w:pStyle w:val="2"/>
        <w:spacing w:line="360" w:lineRule="auto"/>
        <w:jc w:val="both"/>
        <w:rPr>
          <w:rStyle w:val="InternetLink"/>
          <w:color w:val="000000"/>
          <w:sz w:val="28"/>
          <w:szCs w:val="28"/>
          <w:u w:val="none"/>
        </w:rPr>
      </w:pPr>
    </w:p>
    <w:p w14:paraId="62431CDC" w14:textId="77777777" w:rsidR="00B51242" w:rsidRDefault="00B51242">
      <w:pPr>
        <w:pStyle w:val="2"/>
        <w:rPr>
          <w:rFonts w:ascii="Noto Sans;Helvetica;Roboto;Aria" w:hAnsi="Noto Sans;Helvetica;Roboto;Aria" w:hint="eastAsia"/>
          <w:color w:val="FF0000"/>
          <w:sz w:val="28"/>
          <w:szCs w:val="28"/>
        </w:rPr>
      </w:pPr>
    </w:p>
    <w:p w14:paraId="49E398E2" w14:textId="77777777" w:rsidR="00B51242" w:rsidRDefault="00B51242">
      <w:pPr>
        <w:spacing w:line="360" w:lineRule="auto"/>
        <w:rPr>
          <w:b/>
          <w:bCs/>
          <w:sz w:val="28"/>
          <w:szCs w:val="28"/>
        </w:rPr>
      </w:pPr>
    </w:p>
    <w:p w14:paraId="16287F21" w14:textId="77777777" w:rsidR="00B51242" w:rsidRPr="00D3629B" w:rsidRDefault="00B51242">
      <w:pPr>
        <w:spacing w:line="360" w:lineRule="auto"/>
        <w:rPr>
          <w:b/>
          <w:bCs/>
          <w:sz w:val="28"/>
          <w:szCs w:val="28"/>
        </w:rPr>
      </w:pPr>
    </w:p>
    <w:p w14:paraId="5BE93A62" w14:textId="77777777" w:rsidR="00B51242" w:rsidRDefault="00B51242">
      <w:pPr>
        <w:tabs>
          <w:tab w:val="center" w:leader="dot" w:pos="9628"/>
        </w:tabs>
        <w:snapToGrid w:val="0"/>
        <w:spacing w:after="100" w:line="360" w:lineRule="auto"/>
      </w:pPr>
    </w:p>
    <w:p w14:paraId="384BA73E" w14:textId="77777777" w:rsidR="00B51242" w:rsidRDefault="00B51242">
      <w:pPr>
        <w:tabs>
          <w:tab w:val="center" w:leader="dot" w:pos="9628"/>
        </w:tabs>
        <w:snapToGrid w:val="0"/>
        <w:spacing w:after="100" w:line="360" w:lineRule="auto"/>
      </w:pPr>
    </w:p>
    <w:p w14:paraId="34B3F2EB" w14:textId="77777777" w:rsidR="00B51242" w:rsidRDefault="00B51242">
      <w:pPr>
        <w:tabs>
          <w:tab w:val="center" w:leader="dot" w:pos="9628"/>
        </w:tabs>
        <w:snapToGrid w:val="0"/>
        <w:spacing w:after="100" w:line="360" w:lineRule="auto"/>
      </w:pPr>
    </w:p>
    <w:p w14:paraId="7D34F5C7" w14:textId="77777777" w:rsidR="00B51242" w:rsidRDefault="00B51242">
      <w:pPr>
        <w:tabs>
          <w:tab w:val="center" w:leader="dot" w:pos="9628"/>
        </w:tabs>
        <w:snapToGrid w:val="0"/>
        <w:spacing w:after="100" w:line="360" w:lineRule="auto"/>
      </w:pPr>
    </w:p>
    <w:p w14:paraId="4E4E7C8D" w14:textId="77777777" w:rsidR="00B51242" w:rsidRDefault="00454211">
      <w:pPr>
        <w:tabs>
          <w:tab w:val="center" w:leader="dot" w:pos="9628"/>
        </w:tabs>
        <w:snapToGrid w:val="0"/>
        <w:spacing w:after="100" w:line="360" w:lineRule="auto"/>
        <w:jc w:val="center"/>
        <w:rPr>
          <w:rStyle w:val="InternetLink"/>
          <w:rFonts w:eastAsia="Calibri"/>
          <w:color w:val="000000"/>
          <w:sz w:val="28"/>
          <w:u w:val="none"/>
        </w:rPr>
      </w:pPr>
      <w:hyperlink w:anchor="__RefHeading___Toc182165545">
        <w:r w:rsidR="008E4E86">
          <w:rPr>
            <w:rStyle w:val="InternetLink"/>
            <w:rFonts w:eastAsia="Calibri"/>
            <w:color w:val="000000"/>
            <w:sz w:val="28"/>
            <w:u w:val="none"/>
          </w:rPr>
          <w:t>РОЗДІЛ IІ. ТЕОРЕТИЧНІ ОСНОВИ ПРЕДМЕТА ТА ЗАСОБІВ ДОСЛІДЖЕННЯ</w:t>
        </w:r>
      </w:hyperlink>
    </w:p>
    <w:p w14:paraId="007BA2DD" w14:textId="77777777" w:rsidR="00B51242" w:rsidRDefault="008E4E86">
      <w:pPr>
        <w:tabs>
          <w:tab w:val="center" w:leader="dot" w:pos="9628"/>
        </w:tabs>
        <w:snapToGrid w:val="0"/>
        <w:spacing w:line="360" w:lineRule="auto"/>
        <w:ind w:firstLine="737"/>
        <w:jc w:val="both"/>
      </w:pPr>
      <w:r>
        <w:rPr>
          <w:rStyle w:val="InternetLink"/>
          <w:b/>
          <w:bCs/>
          <w:color w:val="000000"/>
          <w:sz w:val="28"/>
          <w:szCs w:val="28"/>
          <w:u w:val="none"/>
        </w:rPr>
        <w:t>2.1. Історичні аспекти  ПТСР, як наймолодшого психічного захворювання. Еволюція психологічних методвів у контексті ПТСР.</w:t>
      </w:r>
    </w:p>
    <w:p w14:paraId="4ED954BE" w14:textId="77777777" w:rsidR="00B51242" w:rsidRDefault="008E4E86">
      <w:pPr>
        <w:spacing w:line="360" w:lineRule="auto"/>
        <w:ind w:left="2268"/>
        <w:jc w:val="both"/>
        <w:rPr>
          <w:color w:val="000000"/>
        </w:rPr>
      </w:pPr>
      <w:r>
        <w:rPr>
          <w:bCs/>
          <w:color w:val="000000"/>
          <w:sz w:val="28"/>
          <w:szCs w:val="28"/>
        </w:rPr>
        <w:t>“</w:t>
      </w:r>
      <w:bookmarkStart w:id="5" w:name="__DdeLink__523_185109480411"/>
      <w:r>
        <w:rPr>
          <w:bCs/>
          <w:color w:val="000000"/>
          <w:sz w:val="28"/>
          <w:szCs w:val="28"/>
        </w:rPr>
        <w:t xml:space="preserve">На початку двадцять першого століття посттравматичний стресовий розлад є, мабуть, найшвидше зростаючим і найвпливовішим діагнозом в американській психіатрії”. </w:t>
      </w:r>
    </w:p>
    <w:p w14:paraId="15C71B9B" w14:textId="77777777" w:rsidR="00B51242" w:rsidRDefault="008E4E86">
      <w:pPr>
        <w:spacing w:line="360" w:lineRule="auto"/>
        <w:ind w:left="2268"/>
        <w:jc w:val="both"/>
        <w:rPr>
          <w:color w:val="000000"/>
        </w:rPr>
      </w:pPr>
      <w:r>
        <w:rPr>
          <w:bCs/>
          <w:color w:val="000000"/>
          <w:sz w:val="28"/>
          <w:szCs w:val="28"/>
        </w:rPr>
        <w:t xml:space="preserve">                                            Пол Лернер і Марк С. Мікале,</w:t>
      </w:r>
      <w:bookmarkEnd w:id="5"/>
    </w:p>
    <w:p w14:paraId="3FFDDCCB" w14:textId="77777777" w:rsidR="00B51242" w:rsidRDefault="008E4E86">
      <w:pPr>
        <w:spacing w:line="360" w:lineRule="auto"/>
        <w:ind w:firstLine="737"/>
        <w:jc w:val="both"/>
      </w:pPr>
      <w:r>
        <w:rPr>
          <w:sz w:val="28"/>
          <w:szCs w:val="28"/>
        </w:rPr>
        <w:t xml:space="preserve">Кожне захворювання має своє унікальне минуле й власну історію становлення. Після того як хвороба розпізнана, отримує назву та наукове пояснення, вона набуває чітких меж у медичному й соціальному просторі. Втім, у випадку розладів, проявами яких є емоційні та поведінкові стани, шлях до такого визнання є значно складнішим, ніж у разі захворювань, що мають очевидні, візуально помітні ознаки. Тут ідентичність хвороби формується не через зовнішні симптоми, а через внутрішній людський досвід. Беззаперечно, і чоловіки, і жінки в усі історичні періоди зіштовхувалися з обставинами, що перевищували їхні життєві ресурси, викликали сильні емоції, страх, відчай чи втрати. Проте залишається відкритим питання: чи завжди ці стани розумілися і називалися тим поняттям, яке ми сьогодні визначаємо як посттравматичний стресовий розлад </w:t>
      </w:r>
      <w:r w:rsidRPr="00D3629B">
        <w:rPr>
          <w:rStyle w:val="InternetLink"/>
          <w:rFonts w:eastAsia="Calibri"/>
          <w:color w:val="111111"/>
          <w:sz w:val="28"/>
          <w:szCs w:val="28"/>
          <w:u w:val="none"/>
        </w:rPr>
        <w:t>[ 31]?</w:t>
      </w:r>
    </w:p>
    <w:p w14:paraId="637DA865" w14:textId="77777777" w:rsidR="00B51242" w:rsidRDefault="008E4E86">
      <w:pPr>
        <w:spacing w:line="360" w:lineRule="auto"/>
        <w:ind w:firstLine="737"/>
        <w:jc w:val="both"/>
      </w:pPr>
      <w:r>
        <w:rPr>
          <w:bCs/>
          <w:color w:val="000000"/>
          <w:sz w:val="28"/>
          <w:szCs w:val="28"/>
        </w:rPr>
        <w:t>Для глибшого розуміння феномену ПТСР, доцільним є вивчення історичного контексту формування уявлень про психологічну травму та еволюції підходів до її подолання. Як показує історико-психологічний аналіз, ставлення до наслідків травматичних подій змінювалося залежно від соціально-культурних умов, етапів розвитку медицини та психіатрії. У зв’язку з цим доцільним є укладання хронологічної таблиці, яка дозволяє систематизувати ключові етапи становлення поняття ПТСР, виявити домінантні клінічні підходи в різні історичні періоди, а також простежити трансформацію моделей психосоціальної допомоги</w:t>
      </w:r>
      <w:r>
        <w:rPr>
          <w:color w:val="000000"/>
          <w:sz w:val="28"/>
          <w:szCs w:val="28"/>
        </w:rPr>
        <w:t xml:space="preserve"> (Додаток А).</w:t>
      </w:r>
    </w:p>
    <w:p w14:paraId="20C9D929" w14:textId="77777777" w:rsidR="00B51242" w:rsidRDefault="008E4E86">
      <w:pPr>
        <w:spacing w:line="360" w:lineRule="auto"/>
        <w:ind w:firstLine="737"/>
        <w:jc w:val="both"/>
      </w:pPr>
      <w:r>
        <w:rPr>
          <w:rStyle w:val="StrongEmphasis"/>
          <w:b w:val="0"/>
          <w:color w:val="000000"/>
          <w:sz w:val="28"/>
          <w:szCs w:val="28"/>
        </w:rPr>
        <w:t>Для здійснення повноцінного порівняльного аналізу з DSM, було проведено дослідження різних редакцій МКХ, розробленої ВООЗ. Аналіз</w:t>
      </w:r>
      <w:r>
        <w:rPr>
          <w:rStyle w:val="StrongEmphasis"/>
          <w:b w:val="0"/>
          <w:color w:val="C9211E"/>
          <w:sz w:val="28"/>
          <w:szCs w:val="28"/>
        </w:rPr>
        <w:t xml:space="preserve"> </w:t>
      </w:r>
      <w:r>
        <w:rPr>
          <w:rStyle w:val="StrongEmphasis"/>
          <w:b w:val="0"/>
          <w:color w:val="000000"/>
          <w:sz w:val="28"/>
          <w:szCs w:val="28"/>
        </w:rPr>
        <w:t>охоплював еволюцію підходів до класифікації та діагностики психічних розладів у МКХ, зокрема у контексті відповідності сучасним клінічним та епідеміологічним потребам, а також ступеня узгодженості з критеріями, запропонованими DSM.</w:t>
      </w:r>
      <w:r>
        <w:rPr>
          <w:rStyle w:val="StrongEmphasis"/>
          <w:b w:val="0"/>
          <w:bCs w:val="0"/>
          <w:color w:val="FF4000"/>
          <w:sz w:val="28"/>
          <w:szCs w:val="28"/>
        </w:rPr>
        <w:t xml:space="preserve"> </w:t>
      </w:r>
    </w:p>
    <w:p w14:paraId="4F67469D" w14:textId="77777777" w:rsidR="00B51242" w:rsidRDefault="008E4E86">
      <w:pPr>
        <w:spacing w:line="360" w:lineRule="auto"/>
        <w:ind w:firstLine="737"/>
        <w:jc w:val="both"/>
      </w:pPr>
      <w:r>
        <w:rPr>
          <w:color w:val="000000"/>
          <w:sz w:val="28"/>
          <w:szCs w:val="28"/>
        </w:rPr>
        <w:t>Далі складено п</w:t>
      </w:r>
      <w:r>
        <w:rPr>
          <w:color w:val="000000"/>
          <w:sz w:val="28"/>
          <w:szCs w:val="28"/>
          <w:lang w:val="ru-RU"/>
        </w:rPr>
        <w:t>ор</w:t>
      </w:r>
      <w:r>
        <w:rPr>
          <w:color w:val="000000"/>
          <w:sz w:val="28"/>
          <w:szCs w:val="28"/>
        </w:rPr>
        <w:t xml:space="preserve">івняльну таблицю визначення ПТСП та  кластерів за МКХ-11 та DSM-5-TR (Додаток Б). Порівняння дозволило визначити спільні риси й принципові відмінності між двома системами класифікації, зокрема в аспектах термінології, діагностичних критеріїв та концептуальних підходів до опису психопатології </w:t>
      </w:r>
      <w:r w:rsidRPr="00D3629B">
        <w:rPr>
          <w:rStyle w:val="InternetLink"/>
          <w:rFonts w:eastAsia="Calibri"/>
          <w:color w:val="000000"/>
          <w:sz w:val="28"/>
          <w:szCs w:val="28"/>
          <w:u w:val="none"/>
        </w:rPr>
        <w:t>[40].</w:t>
      </w:r>
    </w:p>
    <w:p w14:paraId="79B6288A" w14:textId="77777777" w:rsidR="00B51242" w:rsidRDefault="008E4E86">
      <w:pPr>
        <w:spacing w:line="360" w:lineRule="auto"/>
        <w:ind w:firstLine="737"/>
        <w:jc w:val="both"/>
      </w:pPr>
      <w:r>
        <w:rPr>
          <w:color w:val="000000"/>
          <w:sz w:val="28"/>
          <w:szCs w:val="28"/>
        </w:rPr>
        <w:t>Слід зазначити:</w:t>
      </w:r>
    </w:p>
    <w:p w14:paraId="654E7CD5" w14:textId="77777777" w:rsidR="00B51242" w:rsidRDefault="008E4E86">
      <w:pPr>
        <w:tabs>
          <w:tab w:val="left" w:pos="0"/>
        </w:tabs>
        <w:spacing w:line="360" w:lineRule="auto"/>
        <w:ind w:left="707"/>
        <w:jc w:val="both"/>
      </w:pPr>
      <w:r>
        <w:rPr>
          <w:rStyle w:val="StrongEmphasis"/>
          <w:b w:val="0"/>
          <w:bCs w:val="0"/>
          <w:color w:val="000000"/>
          <w:sz w:val="28"/>
          <w:szCs w:val="28"/>
        </w:rPr>
        <w:t>- DSM</w:t>
      </w:r>
      <w:r>
        <w:rPr>
          <w:color w:val="000000"/>
          <w:sz w:val="28"/>
          <w:szCs w:val="28"/>
        </w:rPr>
        <w:t xml:space="preserve"> більше фокусується на </w:t>
      </w:r>
      <w:r>
        <w:rPr>
          <w:rStyle w:val="StrongEmphasis"/>
          <w:b w:val="0"/>
          <w:bCs w:val="0"/>
          <w:color w:val="000000"/>
          <w:sz w:val="28"/>
          <w:szCs w:val="28"/>
        </w:rPr>
        <w:t>клінічній деталізації симптомів</w:t>
      </w:r>
      <w:r>
        <w:rPr>
          <w:color w:val="000000"/>
          <w:sz w:val="28"/>
          <w:szCs w:val="28"/>
        </w:rPr>
        <w:t>, часто переглядає підхід до класифікації, активно впливає на дослідження та практику в США.</w:t>
      </w:r>
    </w:p>
    <w:p w14:paraId="241BAD53" w14:textId="77777777" w:rsidR="00B51242" w:rsidRDefault="008E4E86">
      <w:pPr>
        <w:tabs>
          <w:tab w:val="left" w:pos="0"/>
        </w:tabs>
        <w:spacing w:line="360" w:lineRule="auto"/>
        <w:ind w:left="707"/>
        <w:jc w:val="both"/>
      </w:pPr>
      <w:r>
        <w:rPr>
          <w:rStyle w:val="StrongEmphasis"/>
          <w:b w:val="0"/>
          <w:bCs w:val="0"/>
          <w:color w:val="000000"/>
          <w:sz w:val="28"/>
          <w:szCs w:val="28"/>
        </w:rPr>
        <w:t xml:space="preserve">- </w:t>
      </w:r>
      <w:r>
        <w:rPr>
          <w:rStyle w:val="StrongEmphasis"/>
          <w:b w:val="0"/>
          <w:color w:val="000000"/>
          <w:sz w:val="28"/>
          <w:szCs w:val="28"/>
        </w:rPr>
        <w:t xml:space="preserve">МКХ  більш </w:t>
      </w:r>
      <w:r>
        <w:rPr>
          <w:rStyle w:val="StrongEmphasis"/>
          <w:b w:val="0"/>
          <w:bCs w:val="0"/>
          <w:color w:val="000000"/>
          <w:sz w:val="28"/>
          <w:szCs w:val="28"/>
        </w:rPr>
        <w:t xml:space="preserve">чітко відображає соціальні, гуманітарні аспекти ПТСР (наприклад, К-ПТСР), тому </w:t>
      </w:r>
      <w:r>
        <w:rPr>
          <w:rStyle w:val="StrongEmphasis"/>
          <w:b w:val="0"/>
          <w:color w:val="000000"/>
          <w:sz w:val="28"/>
          <w:szCs w:val="28"/>
        </w:rPr>
        <w:t>має ширше міжнародне охоплення порівняно з DSM, і саме МКХ-11 сьогодні використовується в офіційній медичній системі більшості країн, зокрема й України.</w:t>
      </w:r>
    </w:p>
    <w:p w14:paraId="2734C3ED" w14:textId="77777777" w:rsidR="00B51242" w:rsidRDefault="008E4E86">
      <w:pPr>
        <w:tabs>
          <w:tab w:val="left" w:pos="0"/>
        </w:tabs>
        <w:spacing w:line="360" w:lineRule="auto"/>
        <w:ind w:left="707"/>
        <w:jc w:val="both"/>
      </w:pPr>
      <w:r>
        <w:rPr>
          <w:color w:val="000000"/>
          <w:sz w:val="28"/>
          <w:szCs w:val="28"/>
        </w:rPr>
        <w:t xml:space="preserve">- Найновіші редакції (DSM-5 і МКХ-11) мають багато спільного, але </w:t>
      </w:r>
      <w:r>
        <w:rPr>
          <w:rStyle w:val="StrongEmphasis"/>
          <w:b w:val="0"/>
          <w:bCs w:val="0"/>
          <w:color w:val="000000"/>
          <w:sz w:val="28"/>
          <w:szCs w:val="28"/>
        </w:rPr>
        <w:t>МКХ-11 включає К-ПТСР</w:t>
      </w:r>
      <w:r>
        <w:rPr>
          <w:color w:val="000000"/>
          <w:sz w:val="28"/>
          <w:szCs w:val="28"/>
        </w:rPr>
        <w:t>, що не представлено як окремий діагноз у DSM-5 (там – підвиди ПТСР).</w:t>
      </w:r>
    </w:p>
    <w:p w14:paraId="6BEB4F04" w14:textId="77777777" w:rsidR="00B51242" w:rsidRDefault="008E4E86">
      <w:pPr>
        <w:tabs>
          <w:tab w:val="left" w:pos="0"/>
        </w:tabs>
        <w:spacing w:line="360" w:lineRule="auto"/>
        <w:ind w:firstLine="737"/>
        <w:jc w:val="both"/>
      </w:pPr>
      <w:r>
        <w:rPr>
          <w:sz w:val="28"/>
          <w:szCs w:val="28"/>
        </w:rPr>
        <w:t>З висоти майже півстолітньої дистанції попереднє беззаперечне домінування суто соціальних підходів до розуміння психічних розладів сьогодні виглядає певною мірою однобічним. У сучасних дослідженнях, клінічній практиці та навіть у популярній культурі все більшого значення набувають редукціоністські моделі, які пояснюють природу психічних захворювань через особливості мозку, нейрохімічні процеси та генетичні механізми. У цьому сенсі й посттравматичний стресовий розлад поступово змінює своє тлумачення — від явища, що насамперед пов’язане із соціальною травматизацією, до стану, який дедалі частіше розглядається як результат змін у функціонуванні мозку.</w:t>
      </w:r>
    </w:p>
    <w:p w14:paraId="19CC605B" w14:textId="77777777" w:rsidR="00B51242" w:rsidRDefault="008E4E86">
      <w:pPr>
        <w:tabs>
          <w:tab w:val="left" w:pos="0"/>
        </w:tabs>
        <w:spacing w:line="360" w:lineRule="auto"/>
        <w:ind w:firstLine="737"/>
        <w:jc w:val="both"/>
      </w:pPr>
      <w:r>
        <w:rPr>
          <w:sz w:val="28"/>
          <w:szCs w:val="28"/>
        </w:rPr>
        <w:t xml:space="preserve">Оглядаючись назад, здається очевидним, що «безмозка» психіатрія попереднього періоду була такою ж інтелектуально поверхневою, як і «безрозумна» психіатрія сучасної епохи. І соціокультурні, і біологічні фактори, а також їхні взаємозв’язки є критичними аспектами всіх психічних розладів </w:t>
      </w:r>
      <w:r w:rsidRPr="00D3629B">
        <w:rPr>
          <w:rStyle w:val="InternetLink"/>
          <w:rFonts w:eastAsia="Calibri"/>
          <w:color w:val="111111"/>
          <w:sz w:val="28"/>
          <w:szCs w:val="28"/>
          <w:u w:val="none"/>
        </w:rPr>
        <w:t>[31].</w:t>
      </w:r>
    </w:p>
    <w:p w14:paraId="157E2AA3" w14:textId="77777777" w:rsidR="00B51242" w:rsidRDefault="008E4E86">
      <w:pPr>
        <w:tabs>
          <w:tab w:val="left" w:pos="0"/>
        </w:tabs>
        <w:spacing w:line="360" w:lineRule="auto"/>
        <w:ind w:firstLine="737"/>
        <w:jc w:val="both"/>
      </w:pPr>
      <w:r>
        <w:rPr>
          <w:sz w:val="28"/>
          <w:szCs w:val="28"/>
        </w:rPr>
        <w:t>Результати проведеного дослідження дозволяють дійти низки концептуальних і практичних висновків щодо історичного становлення поняття ПТСР та трансформації підходів до його діагностики й лікування в контексті розвитку психіатричної науки та міжнародних класифікацій психічних розладів.</w:t>
      </w:r>
    </w:p>
    <w:p w14:paraId="001AA553" w14:textId="77777777" w:rsidR="00B51242" w:rsidRDefault="008E4E86">
      <w:pPr>
        <w:tabs>
          <w:tab w:val="left" w:pos="0"/>
        </w:tabs>
        <w:spacing w:line="360" w:lineRule="auto"/>
        <w:ind w:firstLine="737"/>
        <w:jc w:val="both"/>
      </w:pPr>
      <w:r>
        <w:rPr>
          <w:color w:val="000000"/>
          <w:sz w:val="28"/>
          <w:szCs w:val="28"/>
        </w:rPr>
        <w:t>По-перше, здійснений історичний аналіз засвідчив, що симптоми ПТСР фіксувалися у військових конфліктах ще з біблійної доби однак упродовж тривалого часу не мали систематизованого діагностичного оформлення. Тодішні прояви (тремор, параліч, флешбеки, уникнення, дратівливість, соматичні симптоми) трактувалися як “особиста слабкість”, "неврастенія", "втома бою", "шок від снарядів", що ускладнювало створення ефективних моделей лікування.</w:t>
      </w:r>
    </w:p>
    <w:p w14:paraId="3BD968BF" w14:textId="77777777" w:rsidR="00B51242" w:rsidRDefault="008E4E86">
      <w:pPr>
        <w:tabs>
          <w:tab w:val="left" w:pos="0"/>
        </w:tabs>
        <w:spacing w:line="360" w:lineRule="auto"/>
        <w:ind w:firstLine="737"/>
        <w:jc w:val="both"/>
      </w:pPr>
      <w:r>
        <w:rPr>
          <w:sz w:val="28"/>
          <w:szCs w:val="28"/>
        </w:rPr>
        <w:t>По-друге, етапність становлення діагнозу ПТСР чітко простежується у контексті оновлень системи DSM Американської психіатричної асоціації. Вперше ПТСР як окрема нозологічна одиниця був визнаний у DSM-III (1980), головним чином на хвилі наслідків війни у В’єтнамі та активності ветеранських рухів. Подальші редакції (DSM-IV, DSM-5) значно деталізували симптоматику розладу, що дозволило наблизити діагностичні критерії до клінічної реальності.</w:t>
      </w:r>
    </w:p>
    <w:p w14:paraId="0F2F9472" w14:textId="77777777" w:rsidR="00B51242" w:rsidRDefault="008E4E86">
      <w:pPr>
        <w:tabs>
          <w:tab w:val="left" w:pos="0"/>
        </w:tabs>
        <w:spacing w:line="360" w:lineRule="auto"/>
        <w:ind w:firstLine="737"/>
        <w:jc w:val="both"/>
      </w:pPr>
      <w:r>
        <w:rPr>
          <w:sz w:val="28"/>
          <w:szCs w:val="28"/>
        </w:rPr>
        <w:t>Зокрема, у DSM-5 (2013) відбулася суттєва зміна: ПТСР було виведено з категорії "тривожних розладів" та включено до нової групи – "Розлади, пов’язані з травмою і стресом". У цій редакції чітко виокремлено чотири основні симптоматичні кластери: (1) нав’язливі спогади, (2) уникнення стимулів, пов’язаних із травмою, (3) негативні зміни у когнітивній сфері та настрої, (4) гіперзбудження. Вперше окремо прописано критерії діагностики для дітей віком до 6 років, що засвідчує прагнення до вікової адаптації діагностичних підходів.</w:t>
      </w:r>
    </w:p>
    <w:p w14:paraId="4B1423FD" w14:textId="77777777" w:rsidR="00B51242" w:rsidRDefault="008E4E86">
      <w:pPr>
        <w:tabs>
          <w:tab w:val="left" w:pos="0"/>
        </w:tabs>
        <w:spacing w:line="360" w:lineRule="auto"/>
        <w:ind w:firstLine="737"/>
        <w:jc w:val="both"/>
      </w:pPr>
      <w:r>
        <w:rPr>
          <w:sz w:val="28"/>
          <w:szCs w:val="28"/>
        </w:rPr>
        <w:t xml:space="preserve">По-третє, оновлена редакція Міжнародної класифікації хвороб – </w:t>
      </w:r>
      <w:r>
        <w:rPr>
          <w:rStyle w:val="StrongEmphasis"/>
          <w:b w:val="0"/>
          <w:bCs w:val="0"/>
          <w:sz w:val="28"/>
          <w:szCs w:val="28"/>
        </w:rPr>
        <w:t>МКХ-11</w:t>
      </w:r>
      <w:r>
        <w:rPr>
          <w:sz w:val="28"/>
          <w:szCs w:val="28"/>
        </w:rPr>
        <w:t xml:space="preserve">, прийнята ВООЗ у 2018 році (з офіційним набуттям чинності з 2022 року), запропонувала концептуально новий підхід до структурування ПТСР. У МКХ-11 ПТСР представлено як розлад із трьома ключовими кластерами симптомів: (1) травматичні спогади (інтрузії), (2) уникнення, (3) постійне відчуття загрози. Уперше на офіційному рівні введено діагноз </w:t>
      </w:r>
      <w:r>
        <w:rPr>
          <w:rStyle w:val="StrongEmphasis"/>
          <w:b w:val="0"/>
          <w:bCs w:val="0"/>
          <w:color w:val="000000"/>
          <w:sz w:val="28"/>
          <w:szCs w:val="28"/>
        </w:rPr>
        <w:t>"Комплексний посттравматичний стресовий розлад" (К-ПТСР)</w:t>
      </w:r>
      <w:r>
        <w:rPr>
          <w:color w:val="000000"/>
          <w:sz w:val="28"/>
          <w:szCs w:val="28"/>
        </w:rPr>
        <w:t xml:space="preserve">, </w:t>
      </w:r>
      <w:r>
        <w:rPr>
          <w:sz w:val="28"/>
          <w:szCs w:val="28"/>
        </w:rPr>
        <w:t>що враховує наслідки тривалого або багаторазового травмуючого впливу. Додатково до основних симптомів К-ПТСР включає хронічну емоційну дисрегуляцію, стійку негативну самооцінку та значущі труднощі у міжособистісних стосунках.</w:t>
      </w:r>
    </w:p>
    <w:p w14:paraId="2A793456" w14:textId="77777777" w:rsidR="00B51242" w:rsidRDefault="008E4E86">
      <w:pPr>
        <w:tabs>
          <w:tab w:val="left" w:pos="0"/>
        </w:tabs>
        <w:spacing w:line="360" w:lineRule="auto"/>
        <w:ind w:firstLine="737"/>
        <w:jc w:val="both"/>
      </w:pPr>
      <w:r>
        <w:rPr>
          <w:sz w:val="28"/>
          <w:szCs w:val="28"/>
        </w:rPr>
        <w:t>Порівняльний аналіз класифікаційних систем DSM-5 та МКХ-11 дозволяє констатувати спільну тенденцію до комплексного розуміння ПТСР як мультифакторного та багатовимірного явища. Водночас між системами простежується низка відмінностей: DSM-5 надає більш деталізовані клінічні критерії з розширеною психопатологічною структурою, тоді як МКХ-11 демонструє спрощений і практично орієнтований підхід, що враховує світову психіатричну практику з урахуванням культурної варіативності.</w:t>
      </w:r>
    </w:p>
    <w:p w14:paraId="63C531F2" w14:textId="77777777" w:rsidR="00B51242" w:rsidRDefault="008E4E86">
      <w:pPr>
        <w:tabs>
          <w:tab w:val="left" w:pos="0"/>
        </w:tabs>
        <w:spacing w:line="360" w:lineRule="auto"/>
        <w:ind w:firstLine="737"/>
        <w:jc w:val="both"/>
      </w:pPr>
      <w:r>
        <w:rPr>
          <w:sz w:val="28"/>
          <w:szCs w:val="28"/>
        </w:rPr>
        <w:t xml:space="preserve">Щодо лікування, обидві системи орієнтуються на інтегративні підходи, до яких входять: когнітивно-поведінкова терапія, методи десенсибілізації і репроцесінгу за допомогою рухів очей (EMDR), фармакотерапія (особливо інгібітори зворотного захоплення серотоніну), а також психоосвітні, сімейні та групові інтервенції. </w:t>
      </w:r>
    </w:p>
    <w:p w14:paraId="12E58D80" w14:textId="77777777" w:rsidR="00B51242" w:rsidRDefault="008E4E86">
      <w:pPr>
        <w:tabs>
          <w:tab w:val="left" w:pos="0"/>
        </w:tabs>
        <w:spacing w:line="360" w:lineRule="auto"/>
        <w:ind w:firstLine="737"/>
        <w:jc w:val="both"/>
      </w:pPr>
      <w:r>
        <w:rPr>
          <w:sz w:val="28"/>
          <w:szCs w:val="28"/>
        </w:rPr>
        <w:t>Отже, історичний та порівняльно-аналітичний огляд свідчить про те, що сучасне розуміння та лікування ПТСР є результатом тривалої еволюції наукової думки, що пройшла шлях від розпливчастих спостережень до структурованих діагностичних систем із чіткими критеріями та перевіреними терапевтичними стратегіями. Подальші дослідження у цій сфері є вкрай важливими в умовах зростання частоти травматичних подій у світі.</w:t>
      </w:r>
    </w:p>
    <w:p w14:paraId="0D99FB69" w14:textId="77777777" w:rsidR="00B51242" w:rsidRDefault="008E4E86">
      <w:pPr>
        <w:tabs>
          <w:tab w:val="left" w:pos="0"/>
        </w:tabs>
        <w:spacing w:line="360" w:lineRule="auto"/>
        <w:ind w:firstLine="737"/>
        <w:jc w:val="both"/>
      </w:pPr>
      <w:r>
        <w:rPr>
          <w:bCs/>
          <w:color w:val="000000"/>
          <w:sz w:val="28"/>
          <w:szCs w:val="28"/>
        </w:rPr>
        <w:t xml:space="preserve">Хочеться завершити розділ словами Чарльза Е. Розенберга: “ПТСР займає визнане місце в сучасному культурному ландшафті, у словнику як політичних дебатів, так і медичної діагностики. Це соціальна сутність, яка може претендувати на біографічне минуле — і майбутнє </w:t>
      </w:r>
      <w:r w:rsidRPr="00D3629B">
        <w:rPr>
          <w:rStyle w:val="InternetLink"/>
          <w:rFonts w:eastAsia="Calibri"/>
          <w:color w:val="000000"/>
          <w:sz w:val="28"/>
          <w:szCs w:val="28"/>
          <w:u w:val="none"/>
          <w:lang w:val="ru-RU"/>
        </w:rPr>
        <w:t xml:space="preserve">[31]”. </w:t>
      </w:r>
      <w:r>
        <w:rPr>
          <w:b/>
          <w:bCs/>
        </w:rPr>
        <w:t xml:space="preserve">                                                                                                        </w:t>
      </w:r>
    </w:p>
    <w:p w14:paraId="0B4020A7" w14:textId="77777777" w:rsidR="00B51242" w:rsidRDefault="00B51242">
      <w:pPr>
        <w:sectPr w:rsidR="00B51242">
          <w:headerReference w:type="default" r:id="rId7"/>
          <w:pgSz w:w="11906" w:h="16838"/>
          <w:pgMar w:top="895" w:right="908" w:bottom="1092" w:left="1736" w:header="838" w:footer="0" w:gutter="0"/>
          <w:cols w:space="720"/>
          <w:formProt w:val="0"/>
          <w:docGrid w:linePitch="100"/>
        </w:sectPr>
      </w:pPr>
    </w:p>
    <w:p w14:paraId="73AC908F" w14:textId="77777777" w:rsidR="00B51242" w:rsidRDefault="008E4E86">
      <w:pPr>
        <w:tabs>
          <w:tab w:val="center" w:leader="dot" w:pos="9344"/>
        </w:tabs>
        <w:snapToGrid w:val="0"/>
        <w:spacing w:line="360" w:lineRule="auto"/>
        <w:ind w:firstLine="737"/>
        <w:jc w:val="both"/>
      </w:pPr>
      <w:r>
        <w:rPr>
          <w:rStyle w:val="InternetLink"/>
          <w:b/>
          <w:bCs/>
          <w:color w:val="000000"/>
          <w:sz w:val="28"/>
          <w:szCs w:val="28"/>
          <w:u w:val="none"/>
        </w:rPr>
        <w:t>2.2. Дослідження розвитку КПТ від зародження до третьої хвилі.</w:t>
      </w:r>
    </w:p>
    <w:p w14:paraId="648B44BD" w14:textId="77777777" w:rsidR="00B51242" w:rsidRDefault="008E4E86">
      <w:pPr>
        <w:spacing w:line="360" w:lineRule="auto"/>
        <w:ind w:firstLine="737"/>
        <w:jc w:val="both"/>
        <w:rPr>
          <w:sz w:val="28"/>
          <w:szCs w:val="28"/>
          <w:highlight w:val="yellow"/>
        </w:rPr>
      </w:pPr>
      <w:r>
        <w:rPr>
          <w:sz w:val="28"/>
          <w:szCs w:val="28"/>
        </w:rPr>
        <w:t>Уявлення про хворобу ніколи не є однаковим для всіх — воно формується під впливом культури, соціального середовища та особистого життєвого досвіду. Те, що в межах однієї спільноти розцінюється як патологія, в іншій може сприйматися як допустимий або навіть нормальний стан. Окрім цього, стрімкий розвиток медицини докорінно змінив спосіб переживання хвороби: сучасна людина дедалі частіше має справу не з тілесними відчуттями, а з показниками аналізів, результатами обстежень, медичними висновками та алгоритмами лікування.</w:t>
      </w:r>
    </w:p>
    <w:p w14:paraId="37785467" w14:textId="77777777" w:rsidR="00B51242" w:rsidRDefault="008E4E86">
      <w:pPr>
        <w:tabs>
          <w:tab w:val="left" w:pos="685"/>
        </w:tabs>
        <w:spacing w:line="360" w:lineRule="auto"/>
        <w:ind w:firstLine="737"/>
        <w:jc w:val="both"/>
      </w:pPr>
      <w:r>
        <w:rPr>
          <w:sz w:val="28"/>
          <w:szCs w:val="28"/>
        </w:rPr>
        <w:t>Таке зміщення фокусу породжує нові психологічні переживання — відчуття віддаленості від власного тіла, зростання залежності від думки фахівців, тривогу перед процесами, які неможливо безпосередньо відчути, але які проголошуються як загрозливі. У цьому сенсі хвороба постає не лише як медичний факт, а й як глибока внутрішня подія, що потребує емоційного осмислення, підтримки з боку оточення, пошуку нових адаптаційних стратегій і переосмислення власного життєвого досві</w:t>
      </w:r>
      <w:r>
        <w:rPr>
          <w:color w:val="000000"/>
          <w:sz w:val="28"/>
          <w:szCs w:val="28"/>
        </w:rPr>
        <w:t>ду</w:t>
      </w:r>
      <w:r w:rsidRPr="00D3629B">
        <w:rPr>
          <w:rStyle w:val="InternetLink"/>
          <w:rFonts w:eastAsia="Calibri"/>
          <w:color w:val="000000"/>
          <w:sz w:val="28"/>
          <w:szCs w:val="28"/>
          <w:u w:val="none"/>
        </w:rPr>
        <w:t>[31].</w:t>
      </w:r>
    </w:p>
    <w:p w14:paraId="157A7963" w14:textId="77777777" w:rsidR="00B51242" w:rsidRDefault="008E4E86">
      <w:pPr>
        <w:tabs>
          <w:tab w:val="left" w:pos="685"/>
        </w:tabs>
        <w:spacing w:line="360" w:lineRule="auto"/>
        <w:ind w:firstLine="737"/>
        <w:jc w:val="both"/>
      </w:pPr>
      <w:r>
        <w:rPr>
          <w:rStyle w:val="InternetLink"/>
          <w:color w:val="000000"/>
          <w:sz w:val="28"/>
          <w:szCs w:val="28"/>
          <w:u w:val="none"/>
        </w:rPr>
        <w:t xml:space="preserve">У професійній спільноті давно усталилося уявлення, що психологія як наука має порівняно коротку історію, проте її інтелектуальні витоки сягають значно глибших часів. Для більшості практиків психологічні методи вже існують як даність, і вони рідко звертаються до того, як ці ідеї формувалися. Натомість творці основних напрямів психології мислили інакше: намагаючись обґрунтувати та впорядкувати власні підходи, вони активно спиралися на філософські системи та релігійні традиції, які слугували для них теоретичним підґрунтям і джерелом концептуальної ясності. </w:t>
      </w:r>
      <w:r w:rsidRPr="00D3629B">
        <w:rPr>
          <w:rStyle w:val="InternetLink"/>
          <w:rFonts w:eastAsia="Calibri"/>
          <w:color w:val="000000"/>
          <w:sz w:val="28"/>
          <w:szCs w:val="28"/>
          <w:u w:val="none"/>
          <w:lang w:val="ru-RU"/>
        </w:rPr>
        <w:t>[10]</w:t>
      </w:r>
    </w:p>
    <w:p w14:paraId="046B59F1" w14:textId="77777777" w:rsidR="00B51242" w:rsidRDefault="008E4E86">
      <w:pPr>
        <w:tabs>
          <w:tab w:val="left" w:pos="685"/>
        </w:tabs>
        <w:spacing w:line="360" w:lineRule="auto"/>
        <w:ind w:firstLine="737"/>
        <w:jc w:val="both"/>
      </w:pPr>
      <w:r>
        <w:rPr>
          <w:rStyle w:val="InternetLink"/>
          <w:rFonts w:eastAsia="Calibri"/>
          <w:color w:val="000000"/>
          <w:sz w:val="28"/>
          <w:szCs w:val="28"/>
          <w:u w:val="none"/>
        </w:rPr>
        <w:t>Виникнення КПТ стало результатом глибокого переосмислення філософських засад, наукових досліджень мислення та поведінки, а також практичного досвіду роботи з психічними розладами.</w:t>
      </w:r>
    </w:p>
    <w:p w14:paraId="02B5C1AF" w14:textId="77777777" w:rsidR="00B51242" w:rsidRDefault="008E4E86">
      <w:pPr>
        <w:tabs>
          <w:tab w:val="left" w:pos="685"/>
        </w:tabs>
        <w:spacing w:line="360" w:lineRule="auto"/>
        <w:ind w:firstLine="737"/>
        <w:jc w:val="both"/>
      </w:pPr>
      <w:r>
        <w:rPr>
          <w:rStyle w:val="InternetLink"/>
          <w:rFonts w:eastAsia="Calibri"/>
          <w:color w:val="000000"/>
          <w:sz w:val="28"/>
          <w:szCs w:val="28"/>
          <w:u w:val="none"/>
        </w:rPr>
        <w:t>Формування КПТ відбувалося поступово, у діалозі між ідеями біхевіоризму, когнітивної психології, філософії раціоналізму та експериментальної науки.</w:t>
      </w:r>
    </w:p>
    <w:p w14:paraId="5909CDC2" w14:textId="77777777" w:rsidR="00B51242" w:rsidRDefault="008E4E86">
      <w:pPr>
        <w:tabs>
          <w:tab w:val="left" w:pos="685"/>
        </w:tabs>
        <w:spacing w:line="360" w:lineRule="auto"/>
        <w:ind w:firstLine="737"/>
        <w:jc w:val="both"/>
      </w:pPr>
      <w:r>
        <w:rPr>
          <w:color w:val="000000"/>
          <w:sz w:val="28"/>
          <w:szCs w:val="28"/>
        </w:rPr>
        <w:t>Щоб краще зрозуміти, як саме складалися передумови цього підходу, як змінювались його концепції, і які методи були запроваджені на кожному етапі розвитку, доцільно звернутись до узагальнювальної таблиці, що відображає ключові віхи становлення КПТ (Додаток В).</w:t>
      </w:r>
    </w:p>
    <w:p w14:paraId="08E7C6CA" w14:textId="77777777" w:rsidR="00B51242" w:rsidRDefault="008E4E86">
      <w:pPr>
        <w:tabs>
          <w:tab w:val="left" w:pos="685"/>
        </w:tabs>
        <w:spacing w:line="360" w:lineRule="auto"/>
        <w:ind w:firstLine="737"/>
        <w:jc w:val="both"/>
      </w:pPr>
      <w:r>
        <w:rPr>
          <w:rStyle w:val="InternetLink"/>
          <w:color w:val="000000"/>
          <w:sz w:val="28"/>
          <w:szCs w:val="28"/>
          <w:u w:val="none"/>
        </w:rPr>
        <w:t xml:space="preserve">Еволюція когнітивно-поведінкової терапії (КПТ) демонструє глибокий зв’язок між філософськими ідеями, науковими підходами та практичними психотерапевтичними методами. Історичний розвиток цього напряму показує, що КПТ не виникла раптово, а є результатом багатовікового пошуку відповідей на фундаментальні запитання: </w:t>
      </w:r>
      <w:r>
        <w:rPr>
          <w:rStyle w:val="a3"/>
          <w:i w:val="0"/>
          <w:iCs w:val="0"/>
          <w:color w:val="000000"/>
          <w:sz w:val="28"/>
          <w:szCs w:val="28"/>
        </w:rPr>
        <w:t>що таке страждання</w:t>
      </w:r>
      <w:r>
        <w:rPr>
          <w:rStyle w:val="InternetLink"/>
          <w:color w:val="000000"/>
          <w:sz w:val="28"/>
          <w:szCs w:val="28"/>
          <w:u w:val="none"/>
        </w:rPr>
        <w:t xml:space="preserve">, </w:t>
      </w:r>
      <w:r>
        <w:rPr>
          <w:rStyle w:val="a3"/>
          <w:i w:val="0"/>
          <w:iCs w:val="0"/>
          <w:color w:val="000000"/>
          <w:sz w:val="28"/>
          <w:szCs w:val="28"/>
        </w:rPr>
        <w:t>як людина переживає свої думки й емоції</w:t>
      </w:r>
      <w:r>
        <w:rPr>
          <w:rStyle w:val="InternetLink"/>
          <w:color w:val="000000"/>
          <w:sz w:val="28"/>
          <w:szCs w:val="28"/>
          <w:u w:val="none"/>
        </w:rPr>
        <w:t xml:space="preserve">, </w:t>
      </w:r>
      <w:r>
        <w:rPr>
          <w:rStyle w:val="a3"/>
          <w:i w:val="0"/>
          <w:iCs w:val="0"/>
          <w:color w:val="000000"/>
          <w:sz w:val="28"/>
          <w:szCs w:val="28"/>
        </w:rPr>
        <w:t>яким чином можна змінити поведінку та вплинути на внутрішній стан</w:t>
      </w:r>
      <w:r>
        <w:rPr>
          <w:rStyle w:val="InternetLink"/>
          <w:color w:val="000000"/>
          <w:sz w:val="28"/>
          <w:szCs w:val="28"/>
          <w:u w:val="none"/>
        </w:rPr>
        <w:t>.</w:t>
      </w:r>
    </w:p>
    <w:p w14:paraId="6A9EA2AA" w14:textId="77777777" w:rsidR="00B51242" w:rsidRDefault="008E4E86">
      <w:pPr>
        <w:tabs>
          <w:tab w:val="center" w:leader="dot" w:pos="9344"/>
        </w:tabs>
        <w:snapToGrid w:val="0"/>
        <w:spacing w:line="360" w:lineRule="auto"/>
        <w:ind w:firstLine="850"/>
        <w:jc w:val="both"/>
        <w:rPr>
          <w:color w:val="000000"/>
          <w:sz w:val="28"/>
          <w:szCs w:val="28"/>
        </w:rPr>
      </w:pPr>
      <w:r>
        <w:rPr>
          <w:color w:val="000000"/>
          <w:sz w:val="28"/>
          <w:szCs w:val="28"/>
        </w:rPr>
        <w:t>Від стоїчної думки, яка підкреслювала значення раціонального ставлення до подій, через асоціанізм та біхевіоралізм, що заклали наукове підґрунтя вивчення поведінки, до когнітивної революції XX століття — усі ці етапи поступово інтегрувались у єдину модель. КПТ стала тією формою терапії, яка поєднала експериментальну перевірку, структуру, гуманістичні цінності та практичну ефективність.</w:t>
      </w:r>
    </w:p>
    <w:p w14:paraId="65174F79" w14:textId="77777777" w:rsidR="00B51242" w:rsidRDefault="008E4E86">
      <w:pPr>
        <w:tabs>
          <w:tab w:val="center" w:leader="dot" w:pos="9344"/>
        </w:tabs>
        <w:snapToGrid w:val="0"/>
        <w:spacing w:line="360" w:lineRule="auto"/>
        <w:ind w:firstLine="850"/>
        <w:jc w:val="both"/>
      </w:pPr>
      <w:r>
        <w:rPr>
          <w:color w:val="000000"/>
          <w:sz w:val="28"/>
          <w:szCs w:val="28"/>
        </w:rPr>
        <w:t xml:space="preserve">Завдяки когнітивному повороту, ініційованому Аароном Беком, Альбертом Еллісом та іншими дослідниками, була розроблена концепція, за якою </w:t>
      </w:r>
      <w:r>
        <w:rPr>
          <w:rStyle w:val="StrongEmphasis"/>
          <w:b w:val="0"/>
          <w:bCs w:val="0"/>
          <w:color w:val="000000"/>
          <w:sz w:val="28"/>
          <w:szCs w:val="28"/>
        </w:rPr>
        <w:t>не події, а інтерпретації впливають на наш емоційний стан</w:t>
      </w:r>
      <w:r>
        <w:rPr>
          <w:color w:val="000000"/>
          <w:sz w:val="28"/>
          <w:szCs w:val="28"/>
        </w:rPr>
        <w:t xml:space="preserve">. Це дозволило розробити дієві інструменти зміни мислення та поведінки, що стали основою класичної КПТ.                 </w:t>
      </w:r>
    </w:p>
    <w:p w14:paraId="5C127066" w14:textId="77777777" w:rsidR="00B51242" w:rsidRDefault="008E4E86">
      <w:pPr>
        <w:tabs>
          <w:tab w:val="center" w:leader="dot" w:pos="9344"/>
        </w:tabs>
        <w:snapToGrid w:val="0"/>
        <w:spacing w:line="360" w:lineRule="auto"/>
        <w:ind w:firstLine="850"/>
        <w:jc w:val="both"/>
      </w:pPr>
      <w:r>
        <w:rPr>
          <w:color w:val="000000"/>
          <w:sz w:val="28"/>
          <w:szCs w:val="28"/>
        </w:rPr>
        <w:t xml:space="preserve">У свою чергу, сучасний етап розвитку — так звана «третя хвиля» КПТ — значно розширює традиційні межі методу. Він включає підходи, які акцентують увагу не лише на зміні змісту думок, а й на зміні </w:t>
      </w:r>
      <w:r>
        <w:rPr>
          <w:rStyle w:val="StrongEmphasis"/>
          <w:b w:val="0"/>
          <w:bCs w:val="0"/>
          <w:color w:val="000000"/>
          <w:sz w:val="28"/>
          <w:szCs w:val="28"/>
        </w:rPr>
        <w:t>ставлення до думок</w:t>
      </w:r>
      <w:r>
        <w:rPr>
          <w:color w:val="000000"/>
          <w:sz w:val="28"/>
          <w:szCs w:val="28"/>
        </w:rPr>
        <w:t xml:space="preserve">, розвитку </w:t>
      </w:r>
      <w:r>
        <w:rPr>
          <w:rStyle w:val="StrongEmphasis"/>
          <w:b w:val="0"/>
          <w:bCs w:val="0"/>
          <w:color w:val="000000"/>
          <w:sz w:val="28"/>
          <w:szCs w:val="28"/>
        </w:rPr>
        <w:t>усвідомленості, прийняття, співчуття до себе</w:t>
      </w:r>
      <w:r>
        <w:rPr>
          <w:color w:val="000000"/>
          <w:sz w:val="28"/>
          <w:szCs w:val="28"/>
        </w:rPr>
        <w:t xml:space="preserve"> та орієнтації на </w:t>
      </w:r>
      <w:r>
        <w:rPr>
          <w:rStyle w:val="StrongEmphasis"/>
          <w:b w:val="0"/>
          <w:bCs w:val="0"/>
          <w:color w:val="000000"/>
          <w:sz w:val="28"/>
          <w:szCs w:val="28"/>
        </w:rPr>
        <w:t>цінності й сенс</w:t>
      </w:r>
      <w:r>
        <w:rPr>
          <w:color w:val="000000"/>
          <w:sz w:val="28"/>
          <w:szCs w:val="28"/>
        </w:rPr>
        <w:t>. Це зробило КПТ більш гнучкою, чутливою до контексту та ефективною в роботі з різними групами клієнтів — від дітей до людей із хронічними або травматичними станами.</w:t>
      </w:r>
    </w:p>
    <w:p w14:paraId="22D0445B" w14:textId="77777777" w:rsidR="00B51242" w:rsidRDefault="008E4E86">
      <w:pPr>
        <w:tabs>
          <w:tab w:val="center" w:leader="dot" w:pos="9344"/>
        </w:tabs>
        <w:snapToGrid w:val="0"/>
        <w:spacing w:line="360" w:lineRule="auto"/>
        <w:ind w:firstLine="850"/>
        <w:jc w:val="both"/>
      </w:pPr>
      <w:r>
        <w:rPr>
          <w:rStyle w:val="InternetLink"/>
          <w:color w:val="000000"/>
          <w:sz w:val="28"/>
          <w:szCs w:val="28"/>
          <w:u w:val="none"/>
        </w:rPr>
        <w:t>Когнітивно-поведінкова терапія сьогодні посідає провідне місце серед психотерапевтичних підходів у світі й належить до найкраще вивчених методів допомоги. Її поширення значною мірою пов’язане не лише з науковою доказовістю, а й зі злагодженою системою навчання та підготовки фахівців. Саме з цією метою у 1994 році Аарон Бек разом із дочкою Джудіт Бек заснували незалежний некомерційний Інститут когнітивно-поведінкової терапії (Beck Institute). Організація визначила своєю місією підвищення якості життя людей через розвиток і вдосконалення КПТ, підтримку фахівців та впровадження інновацій у навчання й наукові дослідження.</w:t>
      </w:r>
    </w:p>
    <w:p w14:paraId="3B4D08BE" w14:textId="77777777" w:rsidR="00B51242" w:rsidRDefault="008E4E86">
      <w:pPr>
        <w:spacing w:line="360" w:lineRule="auto"/>
        <w:jc w:val="both"/>
        <w:rPr>
          <w:color w:val="000000"/>
          <w:sz w:val="28"/>
          <w:szCs w:val="28"/>
        </w:rPr>
      </w:pPr>
      <w:r>
        <w:rPr>
          <w:color w:val="000000"/>
          <w:sz w:val="28"/>
          <w:szCs w:val="28"/>
        </w:rPr>
        <w:t>За роки діяльності Інститутом було підготовлено понад 28 тисяч спеціалістів у сфері психічного здоров’я зі 130 країн світу. Навчання включало очні й дистанційні програми, супервізії, а також підготовку провідних дослідників, які сьогодні формують науковий дискурс у галузі КПТ.</w:t>
      </w:r>
    </w:p>
    <w:p w14:paraId="7ABC52BD" w14:textId="77777777" w:rsidR="00B51242" w:rsidRDefault="008E4E86">
      <w:pPr>
        <w:spacing w:line="360" w:lineRule="auto"/>
        <w:ind w:firstLine="737"/>
        <w:jc w:val="both"/>
        <w:rPr>
          <w:color w:val="000000"/>
          <w:sz w:val="28"/>
          <w:szCs w:val="28"/>
        </w:rPr>
      </w:pPr>
      <w:r>
        <w:rPr>
          <w:color w:val="000000"/>
          <w:sz w:val="28"/>
          <w:szCs w:val="28"/>
        </w:rPr>
        <w:t>Одним із найбільш масштабних і успішних прикладів впровадження КПТ стала програма «Improving Access to Psychological Therapies» (IAPT) у Великій Британії. Ідея програми виникла завдяки співпраці професора Девіда М. Кларка — одного з найвідоміших дослідників КПТ — та економіста лорда Річарда Лейярда. Їхньою спільною метою було не тільки зробити психотерапію доступною для широких верств населення, а й реформувати підходи до надання психологічної допомоги в рамках Національної служби охорони здоров’я Англії (NHS).</w:t>
      </w:r>
    </w:p>
    <w:p w14:paraId="4C15B1A2" w14:textId="77777777" w:rsidR="00B51242" w:rsidRDefault="008E4E86">
      <w:pPr>
        <w:spacing w:line="360" w:lineRule="auto"/>
        <w:ind w:firstLine="737"/>
        <w:jc w:val="both"/>
        <w:rPr>
          <w:color w:val="000000"/>
          <w:sz w:val="28"/>
          <w:szCs w:val="28"/>
        </w:rPr>
      </w:pPr>
      <w:r>
        <w:rPr>
          <w:color w:val="000000"/>
          <w:sz w:val="28"/>
          <w:szCs w:val="28"/>
        </w:rPr>
        <w:t>У межах IAPT понад 10 500 клініцистів пройшли навчання методам КПТ та іншим доказовим психотерапевтичним технікам. Станом на 2019 рік щорічно програмою користувалися близько одного мільйона громадян, із яких понад половина проходила повний курс лікування. Особливо цінним є те, що програма збирала показники ефективності для 99% клієнтів, що робить її одним із наймасштабніших джерел даних у галузі психотерапії.</w:t>
      </w:r>
    </w:p>
    <w:p w14:paraId="0C881D51" w14:textId="77777777" w:rsidR="00B51242" w:rsidRDefault="008E4E86">
      <w:pPr>
        <w:spacing w:line="360" w:lineRule="auto"/>
        <w:jc w:val="both"/>
        <w:rPr>
          <w:rStyle w:val="InternetLink"/>
          <w:highlight w:val="yellow"/>
        </w:rPr>
      </w:pPr>
      <w:r>
        <w:rPr>
          <w:color w:val="000000"/>
          <w:sz w:val="28"/>
          <w:szCs w:val="28"/>
        </w:rPr>
        <w:t xml:space="preserve">Згідно з результатами, приблизно дві третини учасників (67%) демонстрували помітне зниження симптомів тривоги або депресії після проходження лікування, а кожен другий (51%) досяг показників, що дозволяли класифікувати його як такого, хто одужав. Це не тільки підтверджує цінність КПТ, а й демонструє потенціал системних програм для підвищення психічного здоров’я населення загалом. До 2024 року було поставлено амбітну мету — підвищити охоплення майже вдвічі, до 1,9 мільйона людей щороку. Досвід IAPT показав, що посилення доступу до доказової психотерапії може бути не лише ефективним у клінічному сенсі, а й економічно виправданим. Саме тому цей підхід сьогодні розглядають як можливу модель для країн, які прагнуть реагувати на зростання глобальної кризи психічного здоров’я </w:t>
      </w:r>
      <w:r w:rsidRPr="00D3629B">
        <w:rPr>
          <w:rStyle w:val="InternetLink"/>
          <w:color w:val="000000"/>
          <w:sz w:val="28"/>
          <w:szCs w:val="28"/>
          <w:u w:val="none"/>
          <w:lang w:val="ru-RU"/>
        </w:rPr>
        <w:t>[51].</w:t>
      </w:r>
    </w:p>
    <w:p w14:paraId="1DF09F94" w14:textId="77777777" w:rsidR="00B51242" w:rsidRDefault="008E4E86">
      <w:pPr>
        <w:tabs>
          <w:tab w:val="center" w:leader="dot" w:pos="9344"/>
        </w:tabs>
        <w:snapToGrid w:val="0"/>
        <w:spacing w:line="360" w:lineRule="auto"/>
        <w:ind w:firstLine="850"/>
        <w:jc w:val="both"/>
      </w:pPr>
      <w:r>
        <w:rPr>
          <w:color w:val="000000"/>
          <w:sz w:val="28"/>
          <w:szCs w:val="28"/>
        </w:rPr>
        <w:t xml:space="preserve">Когнітивно-поведінкова терапія є яскравим прикладом того, як </w:t>
      </w:r>
      <w:r>
        <w:rPr>
          <w:rStyle w:val="StrongEmphasis"/>
          <w:b w:val="0"/>
          <w:bCs w:val="0"/>
          <w:color w:val="000000"/>
          <w:sz w:val="28"/>
          <w:szCs w:val="28"/>
        </w:rPr>
        <w:t>філософські принципи можуть перетворюватися на практичні інструменти допомоги людині</w:t>
      </w:r>
      <w:r>
        <w:rPr>
          <w:color w:val="000000"/>
          <w:sz w:val="28"/>
          <w:szCs w:val="28"/>
        </w:rPr>
        <w:t>, зберігаючи при цьому наукову обґрунтованість і відкритість до подальшого розвитку.</w:t>
      </w:r>
    </w:p>
    <w:p w14:paraId="136C3AEA" w14:textId="77777777" w:rsidR="00B51242" w:rsidRDefault="008E4E86">
      <w:pPr>
        <w:tabs>
          <w:tab w:val="center" w:leader="dot" w:pos="9344"/>
        </w:tabs>
        <w:snapToGrid w:val="0"/>
        <w:spacing w:line="360" w:lineRule="auto"/>
        <w:ind w:firstLine="737"/>
        <w:jc w:val="both"/>
      </w:pPr>
      <w:r>
        <w:rPr>
          <w:rStyle w:val="InternetLink"/>
          <w:rFonts w:eastAsia="Times New Roman" w:cs="Times New Roman"/>
          <w:b/>
          <w:bCs/>
          <w:color w:val="000000"/>
          <w:sz w:val="28"/>
          <w:szCs w:val="28"/>
          <w:u w:val="none"/>
        </w:rPr>
        <w:t xml:space="preserve">2.3. ПТСР з огляду КПТ          </w:t>
      </w:r>
      <w:r>
        <w:rPr>
          <w:rStyle w:val="InternetLink"/>
          <w:rFonts w:eastAsia="Times New Roman" w:cs="Times New Roman"/>
          <w:b/>
          <w:bCs/>
          <w:sz w:val="28"/>
          <w:szCs w:val="28"/>
          <w:u w:val="none"/>
        </w:rPr>
        <w:t xml:space="preserve">                                                                                                                    </w:t>
      </w:r>
    </w:p>
    <w:p w14:paraId="3A28454C" w14:textId="77777777" w:rsidR="00B51242" w:rsidRDefault="008E4E86">
      <w:pPr>
        <w:tabs>
          <w:tab w:val="center" w:leader="dot" w:pos="9344"/>
        </w:tabs>
        <w:snapToGrid w:val="0"/>
        <w:spacing w:line="360" w:lineRule="auto"/>
        <w:ind w:firstLine="737"/>
        <w:jc w:val="both"/>
      </w:pPr>
      <w:r>
        <w:rPr>
          <w:rStyle w:val="InternetLink"/>
          <w:rFonts w:eastAsia="Times New Roman" w:cs="Times New Roman"/>
          <w:color w:val="000000"/>
          <w:sz w:val="28"/>
          <w:szCs w:val="28"/>
          <w:u w:val="none"/>
        </w:rPr>
        <w:t xml:space="preserve">Еволюція КПТ призвела до появи низки нових психотерапевтичних методів. </w:t>
      </w:r>
      <w:r>
        <w:rPr>
          <w:rStyle w:val="StrongEmphasis"/>
          <w:rFonts w:eastAsia="Times New Roman" w:cs="Times New Roman"/>
          <w:b w:val="0"/>
          <w:bCs w:val="0"/>
          <w:color w:val="000000"/>
          <w:sz w:val="28"/>
          <w:szCs w:val="28"/>
        </w:rPr>
        <w:t>Питання переваги новітніх психотерапевтичних методів над традиційними підходами залишається предметом активного академічного обговорення.</w:t>
      </w:r>
      <w:r>
        <w:rPr>
          <w:rStyle w:val="InternetLink"/>
          <w:rFonts w:eastAsia="Times New Roman" w:cs="Times New Roman"/>
          <w:color w:val="000000"/>
          <w:sz w:val="28"/>
          <w:szCs w:val="28"/>
          <w:u w:val="none"/>
        </w:rPr>
        <w:t xml:space="preserve"> Зокрема, в галузі КПТ актуальним є аналіз того, чи техніки так званої «третьої хвилі» КПТ перевершують класичні, перевірені часом моделі за ефективністю в лікуванні ПТСР. З огляду на це, одне із головних питань даного розділу є критичне осмислення та систематизований аналіз інтервенцій третьої хвилі (зокрема, терапії прийняття і відповідальності, mindfulness-орієнтованих підходів, compassion-focused therapy та ін.) у порівнянні з традиційними методами когнітивної реструктуризації та експозиції, які довели свою ефективність у численних  клінічних випробуваннях. </w:t>
      </w:r>
    </w:p>
    <w:p w14:paraId="6BFA1DBF" w14:textId="77777777" w:rsidR="00B51242" w:rsidRDefault="008E4E86">
      <w:pPr>
        <w:tabs>
          <w:tab w:val="center" w:leader="dot" w:pos="9344"/>
        </w:tabs>
        <w:snapToGrid w:val="0"/>
        <w:spacing w:line="360" w:lineRule="auto"/>
        <w:ind w:firstLine="737"/>
        <w:jc w:val="both"/>
      </w:pPr>
      <w:r>
        <w:rPr>
          <w:rStyle w:val="InternetLink"/>
          <w:rFonts w:eastAsia="Times New Roman" w:cs="Times New Roman"/>
          <w:color w:val="000000"/>
          <w:sz w:val="28"/>
          <w:szCs w:val="28"/>
          <w:u w:val="none"/>
        </w:rPr>
        <w:t>Також важливим завданням цього розділу є ґрунтовне з’ясування сутності КПТ, а саме TF-CBT та визначення емпірично підтверджених механізмів її ефективності. У сучасній психотерапевтичній науці TF-CBT розглядається як провідний доказовий підхід до лікування посттравматичного стресового розладу, який поєднує когнітивні, експозиційні та навичкові інтервенції для цілеспрямованого опрацювання травматичного досвіду. Аналіз структурних компонентів цього методу, його теоретичних підвалин та результатів клінічних досліджень дозволяє не лише окреслити ключові принципи терапії, але й продемонструвати, яким чином TF-CBT сприяє редукції симптоматики ПТСР, підвищенню адаптивних копінг-стратегій та відновленню функціонування пацієнтів. Таким чином, систематичне висвітлення природи та ефективності травмофокусованої КПТ є необхідною умовою для розуміння її ролі у сучасних клінічних протоколах і практиках лікування травматичних розладів.</w:t>
      </w:r>
    </w:p>
    <w:p w14:paraId="3248969D" w14:textId="77777777" w:rsidR="00B51242" w:rsidRDefault="008E4E86">
      <w:pPr>
        <w:tabs>
          <w:tab w:val="center" w:leader="dot" w:pos="9344"/>
        </w:tabs>
        <w:snapToGrid w:val="0"/>
        <w:spacing w:line="360" w:lineRule="auto"/>
        <w:ind w:firstLine="737"/>
        <w:jc w:val="both"/>
      </w:pPr>
      <w:r>
        <w:rPr>
          <w:rStyle w:val="InternetLink"/>
          <w:rFonts w:eastAsia="Times New Roman" w:cs="Times New Roman"/>
          <w:color w:val="000000"/>
          <w:sz w:val="28"/>
          <w:szCs w:val="28"/>
          <w:u w:val="none"/>
        </w:rPr>
        <w:t xml:space="preserve">На жаль, кількість рандомізованих контрольованих досліджень, спрямованих на безпосереднє порівняння традиційних когнітивно-поведінкових технік із підходами так званої «третьої хвилі» КПТ, залишається обмеженою. Це особливо помітно у вибірках, що охоплюють військовослужбовців із посттравматичним стресовим розладом, де емпірична база все ще формується. </w:t>
      </w:r>
    </w:p>
    <w:p w14:paraId="5656C01B" w14:textId="77777777" w:rsidR="00B51242" w:rsidRDefault="008E4E86">
      <w:pPr>
        <w:tabs>
          <w:tab w:val="center" w:leader="dot" w:pos="9344"/>
        </w:tabs>
        <w:snapToGrid w:val="0"/>
        <w:spacing w:line="360" w:lineRule="auto"/>
        <w:ind w:firstLine="737"/>
        <w:jc w:val="both"/>
      </w:pPr>
      <w:r>
        <w:rPr>
          <w:rStyle w:val="InternetLink"/>
          <w:rFonts w:eastAsia="Times New Roman" w:cs="Times New Roman"/>
          <w:color w:val="000000"/>
          <w:sz w:val="28"/>
          <w:szCs w:val="28"/>
          <w:u w:val="none"/>
        </w:rPr>
        <w:t xml:space="preserve">Всеж таки, у межах дослідження було здійснено огляд емпіричних даних, зокрема метааналізів та клінічних протоколів,  що дозволила зіставити ключові характеристики, механізми дії та клінічні показання класичних і новітніх підходів КПТ у лікуванні ПТСР.  </w:t>
      </w:r>
    </w:p>
    <w:p w14:paraId="1D7B270A" w14:textId="77777777" w:rsidR="00B51242" w:rsidRDefault="00B51242">
      <w:pPr>
        <w:pStyle w:val="1"/>
        <w:tabs>
          <w:tab w:val="center" w:leader="dot" w:pos="9344"/>
        </w:tabs>
        <w:snapToGrid w:val="0"/>
        <w:spacing w:before="0" w:after="0" w:line="360" w:lineRule="auto"/>
        <w:jc w:val="right"/>
        <w:rPr>
          <w:rStyle w:val="InternetLink"/>
          <w:rFonts w:eastAsia="Times New Roman" w:cs="Times New Roman"/>
          <w:b w:val="0"/>
          <w:bCs w:val="0"/>
          <w:color w:val="000000"/>
          <w:sz w:val="28"/>
          <w:szCs w:val="28"/>
          <w:u w:val="none"/>
        </w:rPr>
      </w:pPr>
    </w:p>
    <w:p w14:paraId="3783A2C0" w14:textId="77777777" w:rsidR="00B51242" w:rsidRDefault="008E4E86">
      <w:pPr>
        <w:pStyle w:val="1"/>
        <w:tabs>
          <w:tab w:val="center" w:leader="dot" w:pos="9344"/>
        </w:tabs>
        <w:snapToGrid w:val="0"/>
        <w:spacing w:before="0" w:after="0" w:line="360" w:lineRule="auto"/>
        <w:jc w:val="right"/>
      </w:pPr>
      <w:r>
        <w:rPr>
          <w:rStyle w:val="InternetLink"/>
          <w:rFonts w:eastAsia="Times New Roman" w:cs="Times New Roman"/>
          <w:b w:val="0"/>
          <w:bCs w:val="0"/>
          <w:color w:val="000000"/>
          <w:sz w:val="28"/>
          <w:szCs w:val="28"/>
          <w:u w:val="none"/>
        </w:rPr>
        <w:t>Таблиця 2.1.</w:t>
      </w:r>
    </w:p>
    <w:p w14:paraId="530183C6" w14:textId="77777777" w:rsidR="00B51242" w:rsidRDefault="008E4E86">
      <w:pPr>
        <w:pStyle w:val="1"/>
        <w:tabs>
          <w:tab w:val="center" w:leader="dot" w:pos="9344"/>
        </w:tabs>
        <w:snapToGrid w:val="0"/>
        <w:spacing w:before="0" w:after="0" w:line="360" w:lineRule="auto"/>
        <w:jc w:val="center"/>
      </w:pPr>
      <w:r>
        <w:rPr>
          <w:rStyle w:val="InternetLink"/>
          <w:rFonts w:eastAsia="Times New Roman" w:cs="Times New Roman"/>
          <w:b w:val="0"/>
          <w:bCs w:val="0"/>
          <w:color w:val="000000"/>
          <w:sz w:val="28"/>
          <w:szCs w:val="28"/>
          <w:u w:val="none"/>
        </w:rPr>
        <w:t>Основні характеристики підходів.</w:t>
      </w:r>
    </w:p>
    <w:tbl>
      <w:tblPr>
        <w:tblW w:w="8640" w:type="dxa"/>
        <w:tblInd w:w="-108" w:type="dxa"/>
        <w:tblLook w:val="04A0" w:firstRow="1" w:lastRow="0" w:firstColumn="1" w:lastColumn="0" w:noHBand="0" w:noVBand="1"/>
      </w:tblPr>
      <w:tblGrid>
        <w:gridCol w:w="2880"/>
        <w:gridCol w:w="2880"/>
        <w:gridCol w:w="2880"/>
      </w:tblGrid>
      <w:tr w:rsidR="00B51242" w14:paraId="46342D9C" w14:textId="77777777">
        <w:tc>
          <w:tcPr>
            <w:tcW w:w="2880" w:type="dxa"/>
            <w:shd w:val="clear" w:color="auto" w:fill="auto"/>
          </w:tcPr>
          <w:p w14:paraId="32D39C90" w14:textId="77777777" w:rsidR="00B51242" w:rsidRDefault="008E4E86">
            <w:r>
              <w:t>Параметр</w:t>
            </w:r>
          </w:p>
        </w:tc>
        <w:tc>
          <w:tcPr>
            <w:tcW w:w="2880" w:type="dxa"/>
            <w:shd w:val="clear" w:color="auto" w:fill="auto"/>
          </w:tcPr>
          <w:p w14:paraId="0795CD01" w14:textId="77777777" w:rsidR="00B51242" w:rsidRDefault="008E4E86">
            <w:r>
              <w:t>Класичний КПТ</w:t>
            </w:r>
          </w:p>
        </w:tc>
        <w:tc>
          <w:tcPr>
            <w:tcW w:w="2880" w:type="dxa"/>
            <w:shd w:val="clear" w:color="auto" w:fill="auto"/>
          </w:tcPr>
          <w:p w14:paraId="7D8F391C" w14:textId="77777777" w:rsidR="00B51242" w:rsidRDefault="008E4E86">
            <w:r>
              <w:t>Техніки третьої хвилі КПТ</w:t>
            </w:r>
          </w:p>
        </w:tc>
      </w:tr>
      <w:tr w:rsidR="00B51242" w14:paraId="22BB87F9" w14:textId="77777777">
        <w:tc>
          <w:tcPr>
            <w:tcW w:w="2880" w:type="dxa"/>
            <w:shd w:val="clear" w:color="auto" w:fill="auto"/>
          </w:tcPr>
          <w:p w14:paraId="38DDCCB4" w14:textId="77777777" w:rsidR="00B51242" w:rsidRDefault="008E4E86">
            <w:r>
              <w:t>Основна мета</w:t>
            </w:r>
          </w:p>
        </w:tc>
        <w:tc>
          <w:tcPr>
            <w:tcW w:w="2880" w:type="dxa"/>
            <w:shd w:val="clear" w:color="auto" w:fill="auto"/>
          </w:tcPr>
          <w:p w14:paraId="19F9AE4A" w14:textId="77777777" w:rsidR="00B51242" w:rsidRDefault="008E4E86">
            <w:r>
              <w:t>Зміна дисфункціональних думок, переконань, уникнення</w:t>
            </w:r>
          </w:p>
        </w:tc>
        <w:tc>
          <w:tcPr>
            <w:tcW w:w="2880" w:type="dxa"/>
            <w:shd w:val="clear" w:color="auto" w:fill="auto"/>
          </w:tcPr>
          <w:p w14:paraId="42F9CBF1" w14:textId="77777777" w:rsidR="00B51242" w:rsidRDefault="008E4E86">
            <w:r>
              <w:t>Збільшення психологічної гнучкості, прийняття досвіду</w:t>
            </w:r>
          </w:p>
        </w:tc>
      </w:tr>
      <w:tr w:rsidR="00B51242" w14:paraId="40DB6770" w14:textId="77777777">
        <w:tc>
          <w:tcPr>
            <w:tcW w:w="2880" w:type="dxa"/>
            <w:shd w:val="clear" w:color="auto" w:fill="auto"/>
          </w:tcPr>
          <w:p w14:paraId="7B8B7FDE" w14:textId="77777777" w:rsidR="00B51242" w:rsidRDefault="008E4E86">
            <w:r>
              <w:t>Методи</w:t>
            </w:r>
          </w:p>
        </w:tc>
        <w:tc>
          <w:tcPr>
            <w:tcW w:w="2880" w:type="dxa"/>
            <w:shd w:val="clear" w:color="auto" w:fill="auto"/>
          </w:tcPr>
          <w:p w14:paraId="527FD16D" w14:textId="77777777" w:rsidR="00B51242" w:rsidRDefault="008E4E86">
            <w:r>
              <w:t>Експозиція, когнітивна реструктуризація</w:t>
            </w:r>
          </w:p>
        </w:tc>
        <w:tc>
          <w:tcPr>
            <w:tcW w:w="2880" w:type="dxa"/>
            <w:shd w:val="clear" w:color="auto" w:fill="auto"/>
          </w:tcPr>
          <w:p w14:paraId="10A6AEF2" w14:textId="77777777" w:rsidR="00B51242" w:rsidRDefault="008E4E86">
            <w:r>
              <w:t>Mindfulness, ACT, DBT, CFT</w:t>
            </w:r>
          </w:p>
        </w:tc>
      </w:tr>
      <w:tr w:rsidR="00B51242" w14:paraId="7FB5F6D7" w14:textId="77777777">
        <w:tc>
          <w:tcPr>
            <w:tcW w:w="2880" w:type="dxa"/>
            <w:shd w:val="clear" w:color="auto" w:fill="auto"/>
          </w:tcPr>
          <w:p w14:paraId="03709C23" w14:textId="77777777" w:rsidR="00B51242" w:rsidRDefault="008E4E86">
            <w:r>
              <w:t>Підхід до думок</w:t>
            </w:r>
          </w:p>
        </w:tc>
        <w:tc>
          <w:tcPr>
            <w:tcW w:w="2880" w:type="dxa"/>
            <w:shd w:val="clear" w:color="auto" w:fill="auto"/>
          </w:tcPr>
          <w:p w14:paraId="4334280B" w14:textId="77777777" w:rsidR="00B51242" w:rsidRDefault="008E4E86">
            <w:r>
              <w:t>Ідентифікація і зміна 'помилок мислення'</w:t>
            </w:r>
          </w:p>
        </w:tc>
        <w:tc>
          <w:tcPr>
            <w:tcW w:w="2880" w:type="dxa"/>
            <w:shd w:val="clear" w:color="auto" w:fill="auto"/>
          </w:tcPr>
          <w:p w14:paraId="797B2FC2" w14:textId="77777777" w:rsidR="00B51242" w:rsidRDefault="008E4E86">
            <w:r>
              <w:t>Дистанціювання, прийняття думок як ментальних подій</w:t>
            </w:r>
          </w:p>
        </w:tc>
      </w:tr>
      <w:tr w:rsidR="00B51242" w14:paraId="08D67C5F" w14:textId="77777777">
        <w:tc>
          <w:tcPr>
            <w:tcW w:w="2880" w:type="dxa"/>
            <w:shd w:val="clear" w:color="auto" w:fill="auto"/>
          </w:tcPr>
          <w:p w14:paraId="0947B8EF" w14:textId="77777777" w:rsidR="00B51242" w:rsidRDefault="008E4E86">
            <w:r>
              <w:t>Уникнення</w:t>
            </w:r>
          </w:p>
        </w:tc>
        <w:tc>
          <w:tcPr>
            <w:tcW w:w="2880" w:type="dxa"/>
            <w:shd w:val="clear" w:color="auto" w:fill="auto"/>
          </w:tcPr>
          <w:p w14:paraId="1E0DA473" w14:textId="77777777" w:rsidR="00B51242" w:rsidRDefault="008E4E86">
            <w:r>
              <w:t>Пряме подолання уникнення</w:t>
            </w:r>
          </w:p>
        </w:tc>
        <w:tc>
          <w:tcPr>
            <w:tcW w:w="2880" w:type="dxa"/>
            <w:shd w:val="clear" w:color="auto" w:fill="auto"/>
          </w:tcPr>
          <w:p w14:paraId="0A40FAD3" w14:textId="77777777" w:rsidR="00B51242" w:rsidRDefault="008E4E86">
            <w:r>
              <w:t>Переосмислення уникнення як спроба контролю</w:t>
            </w:r>
          </w:p>
        </w:tc>
      </w:tr>
      <w:tr w:rsidR="00B51242" w14:paraId="4388C83A" w14:textId="77777777">
        <w:tc>
          <w:tcPr>
            <w:tcW w:w="2880" w:type="dxa"/>
            <w:shd w:val="clear" w:color="auto" w:fill="auto"/>
          </w:tcPr>
          <w:p w14:paraId="749E03E8" w14:textId="77777777" w:rsidR="00B51242" w:rsidRDefault="008E4E86">
            <w:r>
              <w:t>Психоосвіта</w:t>
            </w:r>
          </w:p>
        </w:tc>
        <w:tc>
          <w:tcPr>
            <w:tcW w:w="2880" w:type="dxa"/>
            <w:shd w:val="clear" w:color="auto" w:fill="auto"/>
          </w:tcPr>
          <w:p w14:paraId="498C5358" w14:textId="77777777" w:rsidR="00B51242" w:rsidRDefault="008E4E86">
            <w:r>
              <w:t>Про симптоми і реакції</w:t>
            </w:r>
          </w:p>
        </w:tc>
        <w:tc>
          <w:tcPr>
            <w:tcW w:w="2880" w:type="dxa"/>
            <w:shd w:val="clear" w:color="auto" w:fill="auto"/>
          </w:tcPr>
          <w:p w14:paraId="7222365A" w14:textId="77777777" w:rsidR="00B51242" w:rsidRDefault="008E4E86">
            <w:r>
              <w:t>Навчання навичкам присутності і самоспівчуття</w:t>
            </w:r>
          </w:p>
        </w:tc>
      </w:tr>
    </w:tbl>
    <w:p w14:paraId="5B1F0100" w14:textId="77777777" w:rsidR="00B51242" w:rsidRDefault="008E4E86">
      <w:pPr>
        <w:tabs>
          <w:tab w:val="center" w:leader="dot" w:pos="9344"/>
        </w:tabs>
        <w:snapToGrid w:val="0"/>
        <w:spacing w:line="360" w:lineRule="auto"/>
        <w:jc w:val="both"/>
      </w:pPr>
      <w:r>
        <w:t xml:space="preserve">                                                                                                          </w:t>
      </w:r>
    </w:p>
    <w:p w14:paraId="217F6BB4" w14:textId="77777777" w:rsidR="00B51242" w:rsidRDefault="008E4E86">
      <w:pPr>
        <w:tabs>
          <w:tab w:val="center" w:leader="dot" w:pos="9344"/>
        </w:tabs>
        <w:snapToGrid w:val="0"/>
        <w:spacing w:line="360" w:lineRule="auto"/>
        <w:ind w:firstLine="737"/>
        <w:jc w:val="both"/>
      </w:pPr>
      <w:r>
        <w:rPr>
          <w:rStyle w:val="InternetLink"/>
          <w:color w:val="000000"/>
          <w:sz w:val="28"/>
          <w:szCs w:val="28"/>
          <w:u w:val="none"/>
        </w:rPr>
        <w:t xml:space="preserve">У межах роботи було проаналізовано мета-аналіз Benfer та колег (2021), у якому узагальнено результати 37 досліджень із загальною вибіркою 1268 осіб, майже половину з яких (46 %) становили ветерани Сполучених Штатів. Автори оцінювали, наскільки ефективними є терапії «третьої хвилі» когнітивно-поведінкової терапії у зниженні проявів посттравматичного стресу. На основі отриманих даних мною було підготовлено порівняльну таблицю, у якій зіставлено ключові характеристики та результати класичної КПТ і підходів «третьої хвилі». Детальні матеріали цього порівняння наведені в додатку (Додаток Г) </w:t>
      </w:r>
      <w:r w:rsidRPr="00D3629B">
        <w:rPr>
          <w:rStyle w:val="InternetLink"/>
          <w:color w:val="000000"/>
          <w:sz w:val="28"/>
          <w:szCs w:val="28"/>
          <w:u w:val="none"/>
        </w:rPr>
        <w:t>[33].</w:t>
      </w:r>
    </w:p>
    <w:p w14:paraId="16FD7B68" w14:textId="77777777" w:rsidR="00B51242" w:rsidRDefault="008E4E86">
      <w:pPr>
        <w:tabs>
          <w:tab w:val="center" w:leader="dot" w:pos="9344"/>
        </w:tabs>
        <w:snapToGrid w:val="0"/>
        <w:spacing w:line="360" w:lineRule="auto"/>
        <w:ind w:firstLine="737"/>
        <w:jc w:val="both"/>
      </w:pPr>
      <w:r>
        <w:rPr>
          <w:sz w:val="28"/>
          <w:szCs w:val="28"/>
        </w:rPr>
        <w:t xml:space="preserve">Дослідження свідчать про те, що класична когнітивно-поведінкова терапія демонструє більш виражену ефективність порівняно з техніками «третьої хвилі» КПТ. У низці емпіричних робіт зазначається, що традиційні когнітивні та поведінкові інтервенції забезпечують швидше зниження симптомів, більш стабільні результати та кращу відтворюваність терапевтичних ефектів у різних клінічних вибірках. Така перевага пов’язана з чіткістю структурованих процедур класичного КПТ, наявністю широкої доказової бази та високим рівнем стандартизації протоколів, що дозволяє ефективно застосовувати їх у терапевтичній практиці та у контексті клінічних досліджень. </w:t>
      </w:r>
    </w:p>
    <w:p w14:paraId="4F904CB7" w14:textId="77777777" w:rsidR="00B51242" w:rsidRDefault="00B51242">
      <w:pPr>
        <w:sectPr w:rsidR="00B51242">
          <w:type w:val="continuous"/>
          <w:pgSz w:w="11906" w:h="16838"/>
          <w:pgMar w:top="895" w:right="908" w:bottom="1092" w:left="1736" w:header="838" w:footer="0" w:gutter="0"/>
          <w:cols w:space="720"/>
          <w:formProt w:val="0"/>
          <w:docGrid w:linePitch="100"/>
        </w:sectPr>
      </w:pPr>
    </w:p>
    <w:p w14:paraId="351FEA17" w14:textId="77777777" w:rsidR="00B51242" w:rsidRDefault="008E4E86">
      <w:pPr>
        <w:tabs>
          <w:tab w:val="center" w:leader="dot" w:pos="9344"/>
        </w:tabs>
        <w:snapToGrid w:val="0"/>
        <w:spacing w:line="360" w:lineRule="auto"/>
        <w:ind w:firstLine="737"/>
        <w:jc w:val="both"/>
      </w:pPr>
      <w:r>
        <w:rPr>
          <w:rStyle w:val="InternetLink"/>
          <w:b/>
          <w:bCs/>
          <w:color w:val="000000"/>
          <w:sz w:val="28"/>
          <w:szCs w:val="28"/>
          <w:u w:val="none"/>
        </w:rPr>
        <w:t xml:space="preserve">Когнітивна модель посттравматичного стресового розладу. </w:t>
      </w:r>
    </w:p>
    <w:p w14:paraId="34EC78F6" w14:textId="77777777" w:rsidR="00B51242" w:rsidRDefault="008E4E86">
      <w:pPr>
        <w:tabs>
          <w:tab w:val="center" w:leader="dot" w:pos="9344"/>
        </w:tabs>
        <w:snapToGrid w:val="0"/>
        <w:spacing w:line="360" w:lineRule="auto"/>
        <w:ind w:firstLine="737"/>
        <w:jc w:val="both"/>
      </w:pPr>
      <w:r>
        <w:rPr>
          <w:rStyle w:val="InternetLink"/>
          <w:color w:val="000000"/>
          <w:sz w:val="28"/>
          <w:szCs w:val="28"/>
          <w:u w:val="none"/>
        </w:rPr>
        <w:t xml:space="preserve">На сьогодні, травмофокусована когнітивно-поведінкова терапія (TF-CBT) ваважається найбільш ефективною при роботі з травмою. Вона накопичила достатній обсяг емпіричних даних, який дозволяє ґрунтовно вивчати цей підхід та формувати цілісне наукове уявлення про його ефективність. Наявні рандомізовані контрольовані дослідження, метааналітичні огляди та клінічні настанови послідовно підтверджують терапевтичну дієвість TF-CBT у подоланні посттравматичних симптомів, що створює надійну доказову базу для подальшого розвитку концептуальних моделей і вдосконалення практичних протоколів застосування цього методу. </w:t>
      </w:r>
    </w:p>
    <w:p w14:paraId="6C0AD926" w14:textId="77777777" w:rsidR="00B51242" w:rsidRDefault="008E4E86">
      <w:pPr>
        <w:tabs>
          <w:tab w:val="center" w:leader="dot" w:pos="9344"/>
        </w:tabs>
        <w:snapToGrid w:val="0"/>
        <w:spacing w:line="360" w:lineRule="auto"/>
        <w:ind w:firstLine="737"/>
        <w:jc w:val="both"/>
      </w:pPr>
      <w:r>
        <w:rPr>
          <w:rStyle w:val="InternetLink"/>
          <w:color w:val="000000"/>
          <w:sz w:val="28"/>
          <w:szCs w:val="28"/>
          <w:u w:val="none"/>
        </w:rPr>
        <w:t>ТФ-КПТ це узагальнена назва для низки когнітивно-поведінкових інтервенцій класичного КПТ, що базуються на спільному принципі: безпечне та поступове опрацювання травматичних спогадів з метою зниження симптомів посттравматичного стресу та формування адаптивних когнітивних схем. Її концептуальні основи були закладені працями Едни Фоа, Патрісії Ресік, Енке Ехлерс та Девіда Кларка, чиї протоколи стали ядром сучасних клінічних рекомендацій із лікування ПТСР.</w:t>
      </w:r>
    </w:p>
    <w:p w14:paraId="3F85A4BE" w14:textId="77777777" w:rsidR="00B51242" w:rsidRDefault="008E4E86">
      <w:pPr>
        <w:tabs>
          <w:tab w:val="center" w:leader="dot" w:pos="9344"/>
        </w:tabs>
        <w:snapToGrid w:val="0"/>
        <w:spacing w:line="360" w:lineRule="auto"/>
        <w:ind w:firstLine="737"/>
        <w:jc w:val="both"/>
      </w:pPr>
      <w:r>
        <w:rPr>
          <w:rStyle w:val="StrongEmphasis"/>
          <w:sz w:val="28"/>
          <w:szCs w:val="28"/>
        </w:rPr>
        <w:t>Edna Foa</w:t>
      </w:r>
      <w:r>
        <w:rPr>
          <w:sz w:val="28"/>
          <w:szCs w:val="28"/>
        </w:rPr>
        <w:t xml:space="preserve">, </w:t>
      </w:r>
      <w:r>
        <w:rPr>
          <w:rStyle w:val="StrongEmphasis"/>
          <w:sz w:val="28"/>
          <w:szCs w:val="28"/>
        </w:rPr>
        <w:t>Barbara Rothbaum</w:t>
      </w:r>
      <w:r>
        <w:rPr>
          <w:sz w:val="28"/>
          <w:szCs w:val="28"/>
        </w:rPr>
        <w:t xml:space="preserve">, </w:t>
      </w:r>
      <w:r>
        <w:rPr>
          <w:rStyle w:val="StrongEmphasis"/>
          <w:sz w:val="28"/>
          <w:szCs w:val="28"/>
        </w:rPr>
        <w:t>David Riggs</w:t>
      </w:r>
      <w:r>
        <w:rPr>
          <w:sz w:val="28"/>
          <w:szCs w:val="28"/>
        </w:rPr>
        <w:t xml:space="preserve"> — засновники </w:t>
      </w:r>
      <w:r>
        <w:rPr>
          <w:rStyle w:val="StrongEmphasis"/>
          <w:b w:val="0"/>
          <w:bCs w:val="0"/>
          <w:sz w:val="28"/>
          <w:szCs w:val="28"/>
        </w:rPr>
        <w:t>Prolonged Exposure (PE)</w:t>
      </w:r>
      <w:r>
        <w:rPr>
          <w:sz w:val="28"/>
          <w:szCs w:val="28"/>
        </w:rPr>
        <w:t xml:space="preserve">, одного з перших і найвідоміших травмофокусованих варіантів КПТ.Вперше описано у 1989 р., теоретично обґрунтовано в роботах Foa &amp; Kozak (1986) — модель емоційної обробки травми. Саме PE вважається історично </w:t>
      </w:r>
      <w:r>
        <w:rPr>
          <w:rStyle w:val="StrongEmphasis"/>
          <w:b w:val="0"/>
          <w:bCs w:val="0"/>
          <w:sz w:val="28"/>
          <w:szCs w:val="28"/>
        </w:rPr>
        <w:t>першою формою TF-CBT</w:t>
      </w:r>
      <w:r>
        <w:rPr>
          <w:sz w:val="28"/>
          <w:szCs w:val="28"/>
        </w:rPr>
        <w:t>.</w:t>
      </w:r>
    </w:p>
    <w:p w14:paraId="5BC8EF16" w14:textId="77777777" w:rsidR="00B51242" w:rsidRDefault="008E4E86">
      <w:pPr>
        <w:tabs>
          <w:tab w:val="center" w:leader="dot" w:pos="9344"/>
        </w:tabs>
        <w:snapToGrid w:val="0"/>
        <w:spacing w:line="360" w:lineRule="auto"/>
        <w:ind w:firstLine="737"/>
        <w:jc w:val="both"/>
      </w:pPr>
      <w:r>
        <w:rPr>
          <w:rStyle w:val="StrongEmphasis"/>
          <w:sz w:val="28"/>
          <w:szCs w:val="28"/>
        </w:rPr>
        <w:t>Patricia Resick</w:t>
      </w:r>
      <w:r>
        <w:rPr>
          <w:sz w:val="28"/>
          <w:szCs w:val="28"/>
        </w:rPr>
        <w:t xml:space="preserve">, </w:t>
      </w:r>
      <w:r>
        <w:rPr>
          <w:rStyle w:val="StrongEmphasis"/>
          <w:sz w:val="28"/>
          <w:szCs w:val="28"/>
        </w:rPr>
        <w:t>Candice Monson</w:t>
      </w:r>
      <w:r>
        <w:rPr>
          <w:sz w:val="28"/>
          <w:szCs w:val="28"/>
        </w:rPr>
        <w:t xml:space="preserve">, </w:t>
      </w:r>
      <w:r>
        <w:rPr>
          <w:rStyle w:val="StrongEmphasis"/>
          <w:sz w:val="28"/>
          <w:szCs w:val="28"/>
        </w:rPr>
        <w:t>Kathleen Chard</w:t>
      </w:r>
      <w:r>
        <w:rPr>
          <w:sz w:val="28"/>
          <w:szCs w:val="28"/>
        </w:rPr>
        <w:t xml:space="preserve"> — розробниці </w:t>
      </w:r>
      <w:r>
        <w:rPr>
          <w:rStyle w:val="StrongEmphasis"/>
          <w:b w:val="0"/>
          <w:bCs w:val="0"/>
          <w:sz w:val="28"/>
          <w:szCs w:val="28"/>
        </w:rPr>
        <w:t>Cognitive Processing Therapy (CPT)</w:t>
      </w:r>
      <w:r>
        <w:rPr>
          <w:sz w:val="28"/>
          <w:szCs w:val="28"/>
        </w:rPr>
        <w:t xml:space="preserve"> (1993 р.). CPT — когнітивно-фокусований варіант TF-CBT, спрямований на переоцінку переконань, що сформувались під впливом травми.</w:t>
      </w:r>
    </w:p>
    <w:p w14:paraId="6AA1380C" w14:textId="77777777" w:rsidR="00B51242" w:rsidRDefault="008E4E86">
      <w:pPr>
        <w:tabs>
          <w:tab w:val="center" w:leader="dot" w:pos="9344"/>
        </w:tabs>
        <w:snapToGrid w:val="0"/>
        <w:spacing w:line="360" w:lineRule="auto"/>
        <w:ind w:firstLine="737"/>
        <w:jc w:val="both"/>
      </w:pPr>
      <w:r>
        <w:rPr>
          <w:rStyle w:val="StrongEmphasis"/>
          <w:sz w:val="28"/>
          <w:szCs w:val="28"/>
        </w:rPr>
        <w:t>Anke Ehlers</w:t>
      </w:r>
      <w:r>
        <w:rPr>
          <w:sz w:val="28"/>
          <w:szCs w:val="28"/>
        </w:rPr>
        <w:t xml:space="preserve"> і </w:t>
      </w:r>
      <w:r>
        <w:rPr>
          <w:rStyle w:val="StrongEmphasis"/>
          <w:sz w:val="28"/>
          <w:szCs w:val="28"/>
        </w:rPr>
        <w:t>David M. Clark</w:t>
      </w:r>
      <w:r>
        <w:rPr>
          <w:sz w:val="28"/>
          <w:szCs w:val="28"/>
        </w:rPr>
        <w:t xml:space="preserve"> — автори </w:t>
      </w:r>
      <w:r>
        <w:rPr>
          <w:rStyle w:val="StrongEmphasis"/>
          <w:b w:val="0"/>
          <w:bCs w:val="0"/>
          <w:sz w:val="28"/>
          <w:szCs w:val="28"/>
        </w:rPr>
        <w:t>Cognitive Therapy for PTSD (CT-PTSD)</w:t>
      </w:r>
      <w:r>
        <w:rPr>
          <w:sz w:val="28"/>
          <w:szCs w:val="28"/>
        </w:rPr>
        <w:t xml:space="preserve"> (2000 р.). Їхня модель конкретизувала когнітивні механізми (негативні оцінки, фрагментоване кодування пам’яті) і надала емпірично перевірену форму TF-CBT, яку зараз активно використовують у клінічних протоколах NICE і ISTSS.</w:t>
      </w:r>
    </w:p>
    <w:p w14:paraId="55BFD934" w14:textId="77777777" w:rsidR="00B51242" w:rsidRDefault="008E4E86">
      <w:pPr>
        <w:tabs>
          <w:tab w:val="center" w:leader="dot" w:pos="9344"/>
        </w:tabs>
        <w:snapToGrid w:val="0"/>
        <w:spacing w:line="360" w:lineRule="auto"/>
        <w:ind w:firstLine="737"/>
        <w:jc w:val="both"/>
      </w:pPr>
      <w:r>
        <w:rPr>
          <w:rStyle w:val="StrongEmphasis"/>
          <w:color w:val="000000"/>
          <w:sz w:val="28"/>
          <w:szCs w:val="28"/>
        </w:rPr>
        <w:t>Еднай Ехлерс (Anke Ehlers)</w:t>
      </w:r>
      <w:r>
        <w:rPr>
          <w:rStyle w:val="InternetLink"/>
          <w:b/>
          <w:bCs/>
          <w:color w:val="000000"/>
          <w:sz w:val="28"/>
          <w:szCs w:val="28"/>
          <w:u w:val="none"/>
        </w:rPr>
        <w:t xml:space="preserve"> і </w:t>
      </w:r>
      <w:r>
        <w:rPr>
          <w:rStyle w:val="StrongEmphasis"/>
          <w:color w:val="000000"/>
          <w:sz w:val="28"/>
          <w:szCs w:val="28"/>
        </w:rPr>
        <w:t>Девід М. Кларк (David M. Clark)</w:t>
      </w:r>
      <w:r>
        <w:rPr>
          <w:rStyle w:val="InternetLink"/>
          <w:color w:val="000000"/>
          <w:sz w:val="28"/>
          <w:szCs w:val="28"/>
          <w:u w:val="none"/>
        </w:rPr>
        <w:t xml:space="preserve"> є </w:t>
      </w:r>
      <w:r>
        <w:rPr>
          <w:rStyle w:val="StrongEmphasis"/>
          <w:b w:val="0"/>
          <w:bCs w:val="0"/>
          <w:color w:val="000000"/>
          <w:sz w:val="28"/>
          <w:szCs w:val="28"/>
        </w:rPr>
        <w:t>ключовими фігурами у когнітивно-поведінковій моделі ПТСР</w:t>
      </w:r>
      <w:r>
        <w:rPr>
          <w:rStyle w:val="InternetLink"/>
          <w:color w:val="000000"/>
          <w:sz w:val="28"/>
          <w:szCs w:val="28"/>
          <w:u w:val="none"/>
        </w:rPr>
        <w:t xml:space="preserve">. Їхній внесок не просто в описі симптомів, а у </w:t>
      </w:r>
      <w:r>
        <w:rPr>
          <w:rStyle w:val="StrongEmphasis"/>
          <w:b w:val="0"/>
          <w:bCs w:val="0"/>
          <w:color w:val="000000"/>
          <w:sz w:val="28"/>
          <w:szCs w:val="28"/>
        </w:rPr>
        <w:t>створенні цілісної когнітивної теорії розвитку та підтримання ПТСР</w:t>
      </w:r>
      <w:r>
        <w:rPr>
          <w:rStyle w:val="InternetLink"/>
          <w:color w:val="000000"/>
          <w:sz w:val="28"/>
          <w:szCs w:val="28"/>
          <w:u w:val="none"/>
        </w:rPr>
        <w:t>, яка стала основою для сучасної травмофокусованої когнітивно-поведінкової терапії КПТ.</w:t>
      </w:r>
    </w:p>
    <w:p w14:paraId="3ACC24D1" w14:textId="77777777" w:rsidR="00B51242" w:rsidRDefault="008E4E86">
      <w:pPr>
        <w:tabs>
          <w:tab w:val="center" w:leader="dot" w:pos="9344"/>
        </w:tabs>
        <w:snapToGrid w:val="0"/>
        <w:spacing w:line="360" w:lineRule="auto"/>
        <w:ind w:firstLine="737"/>
        <w:jc w:val="both"/>
      </w:pPr>
      <w:r>
        <w:rPr>
          <w:rStyle w:val="InternetLink"/>
          <w:color w:val="000000"/>
          <w:sz w:val="28"/>
          <w:szCs w:val="28"/>
          <w:u w:val="none"/>
        </w:rPr>
        <w:t>У межах сучасних уявлень про психологічні механізми ПТСР зазвичай виділяють дві ключові когнітивні особливості, що впливають на перебіг розладу після пережитої травматичної події. Перша пов’язана зі специфічним характером травматичної пам’яті, друга — з тим, як людина інтерпретує саму травму і її наслідки.</w:t>
      </w:r>
    </w:p>
    <w:p w14:paraId="004F5E4F" w14:textId="77777777" w:rsidR="00B51242" w:rsidRDefault="008E4E86">
      <w:pPr>
        <w:tabs>
          <w:tab w:val="center" w:leader="dot" w:pos="9344"/>
        </w:tabs>
        <w:snapToGrid w:val="0"/>
        <w:spacing w:line="360" w:lineRule="auto"/>
        <w:ind w:firstLine="737"/>
        <w:jc w:val="both"/>
      </w:pPr>
      <w:r>
        <w:rPr>
          <w:sz w:val="28"/>
          <w:szCs w:val="28"/>
        </w:rPr>
        <w:t>Зазвичай особи, у яких формується хронічний ПТСР, надають травматичній події надмірно негативних і навіть персоналізованих значень. Такі інтерпретації підсилюють відчуття постійної загрози й спотворюють сприйняття безпеки у теперішньому. Одночасно травма впливає на нормальне функціонування автобіографічної пам’яті: події втрачають чіткі часові межі, зменшується контекстуалізація, натомість посилюються асоціативні зв’язки, що провокує часті повторні переживання — яскраві спогади, нічні кошмари, флешбеки.</w:t>
      </w:r>
    </w:p>
    <w:p w14:paraId="43191F8E" w14:textId="77777777" w:rsidR="00B51242" w:rsidRDefault="008E4E86">
      <w:pPr>
        <w:tabs>
          <w:tab w:val="center" w:leader="dot" w:pos="9344"/>
        </w:tabs>
        <w:snapToGrid w:val="0"/>
        <w:spacing w:line="360" w:lineRule="auto"/>
        <w:ind w:firstLine="737"/>
        <w:jc w:val="both"/>
      </w:pPr>
      <w:r>
        <w:rPr>
          <w:sz w:val="28"/>
          <w:szCs w:val="28"/>
        </w:rPr>
        <w:t>На те, якою мірою ці механізми проявляться, впливають різні чинники: інтенсивність і тривалість травматичної події, її вплив на життя людини; індивідуальний попередній досвід подолання складних ситуацій; переконання щодо світу і власної спроможності; наявні копінг-стратегії; загальний рівень психічної стійкості та особистісні риси.</w:t>
      </w:r>
    </w:p>
    <w:p w14:paraId="154EDF0C" w14:textId="77777777" w:rsidR="00B51242" w:rsidRDefault="008E4E86">
      <w:pPr>
        <w:spacing w:line="360" w:lineRule="auto"/>
        <w:jc w:val="both"/>
      </w:pPr>
      <w:r>
        <w:rPr>
          <w:sz w:val="28"/>
          <w:szCs w:val="28"/>
        </w:rPr>
        <w:t>Через порушення часової послідовності подій і постійне відчуття, що небезпека нібито триває, людина легко потрапляє під дію тригерів — зовнішніх або внутрішніх сигналів, які запускають болісні спогади. Унаслідок цього вона перебуває у стані підвищеної тривожності, у постійній готовності реагувати на уявну загрозу та відчуває цілу гамму негативних емоцій, серед яких домінують страх і напруга.</w:t>
      </w:r>
    </w:p>
    <w:p w14:paraId="1135C0F7" w14:textId="77777777" w:rsidR="00B51242" w:rsidRDefault="008E4E86">
      <w:pPr>
        <w:spacing w:line="360" w:lineRule="auto"/>
        <w:ind w:firstLine="680"/>
        <w:jc w:val="both"/>
      </w:pPr>
      <w:r>
        <w:rPr>
          <w:sz w:val="28"/>
          <w:szCs w:val="28"/>
        </w:rPr>
        <w:t xml:space="preserve">Не менш важливим є те, як саме людина оцінює свою травму. Негативні переконання на кшталт «я ні з чим не впораюся», «небезпека всюди», «зі мною постійно стається щось погане», «я залишуся сам» лише посилюють симптоматику та підживлюють відчуття безпорадності. Вони взаємодіють із симптомами ПТСР у двонаправлений спосіб: інтрузії та емоційна реактивність підсилюють негативні думки, а ті, у свою чергу, провокують нові симптоми. </w:t>
      </w:r>
    </w:p>
    <w:p w14:paraId="57DCF291" w14:textId="77777777" w:rsidR="00B51242" w:rsidRDefault="008E4E86">
      <w:pPr>
        <w:spacing w:after="26" w:line="360" w:lineRule="auto"/>
        <w:ind w:firstLine="737"/>
        <w:jc w:val="both"/>
      </w:pPr>
      <w:r>
        <w:rPr>
          <w:sz w:val="28"/>
          <w:szCs w:val="28"/>
        </w:rPr>
        <w:t xml:space="preserve">Прагнучи зменшити ці переживання, люди часто вдаються до стратегій контролю або уникання. Вони перестають говорити про травму, уникають ситуацій чи людей, що нагадують про події, намагаються «зайняти голову» сторонніми справами, інколи вдаються до алкоголю чи заспокійливих препаратів, або ж емоційно відсторонюються від оточення. Хоча такі стратегії можуть тимчасово знижувати напругу, у довгостроковій перспективі вони лише затримують опрацювання травми та заважають формуванню нових, більш адаптивних оцінок </w:t>
      </w:r>
      <w:r w:rsidRPr="00D3629B">
        <w:rPr>
          <w:rStyle w:val="InternetLink"/>
          <w:color w:val="000000"/>
          <w:sz w:val="28"/>
          <w:szCs w:val="28"/>
          <w:u w:val="none"/>
        </w:rPr>
        <w:t>[7]</w:t>
      </w:r>
    </w:p>
    <w:p w14:paraId="3688ACAC" w14:textId="77777777" w:rsidR="00B51242" w:rsidRDefault="008E4E86">
      <w:pPr>
        <w:tabs>
          <w:tab w:val="center" w:leader="dot" w:pos="9344"/>
        </w:tabs>
        <w:snapToGrid w:val="0"/>
        <w:spacing w:line="360" w:lineRule="auto"/>
        <w:jc w:val="right"/>
      </w:pPr>
      <w:r>
        <w:rPr>
          <w:noProof/>
        </w:rPr>
        <w:drawing>
          <wp:anchor distT="0" distB="0" distL="0" distR="0" simplePos="0" relativeHeight="2" behindDoc="0" locked="0" layoutInCell="1" allowOverlap="1" wp14:anchorId="6214CAD8" wp14:editId="07777777">
            <wp:simplePos x="0" y="0"/>
            <wp:positionH relativeFrom="column">
              <wp:posOffset>63500</wp:posOffset>
            </wp:positionH>
            <wp:positionV relativeFrom="paragraph">
              <wp:posOffset>629920</wp:posOffset>
            </wp:positionV>
            <wp:extent cx="5711825" cy="4657090"/>
            <wp:effectExtent l="0" t="0" r="0" b="0"/>
            <wp:wrapSquare wrapText="largest"/>
            <wp:docPr id="1"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2"/>
                    <pic:cNvPicPr>
                      <a:picLocks noChangeAspect="1" noChangeArrowheads="1"/>
                    </pic:cNvPicPr>
                  </pic:nvPicPr>
                  <pic:blipFill>
                    <a:blip r:embed="rId8"/>
                    <a:stretch>
                      <a:fillRect/>
                    </a:stretch>
                  </pic:blipFill>
                  <pic:spPr bwMode="auto">
                    <a:xfrm>
                      <a:off x="0" y="0"/>
                      <a:ext cx="5711825" cy="4657090"/>
                    </a:xfrm>
                    <a:prstGeom prst="rect">
                      <a:avLst/>
                    </a:prstGeom>
                  </pic:spPr>
                </pic:pic>
              </a:graphicData>
            </a:graphic>
          </wp:anchor>
        </w:drawing>
      </w:r>
      <w:r>
        <w:rPr>
          <w:color w:val="000000"/>
          <w:sz w:val="28"/>
          <w:szCs w:val="28"/>
        </w:rPr>
        <w:t>Таблиця 2.</w:t>
      </w:r>
      <w:r w:rsidRPr="00D3629B">
        <w:rPr>
          <w:color w:val="000000"/>
          <w:sz w:val="28"/>
          <w:szCs w:val="28"/>
          <w:lang w:val="ru-RU"/>
        </w:rPr>
        <w:t>2</w:t>
      </w:r>
      <w:r>
        <w:rPr>
          <w:color w:val="000000"/>
          <w:sz w:val="28"/>
          <w:szCs w:val="28"/>
        </w:rPr>
        <w:t xml:space="preserve"> </w:t>
      </w:r>
    </w:p>
    <w:p w14:paraId="554B1791" w14:textId="77777777" w:rsidR="00B51242" w:rsidRDefault="008E4E86">
      <w:pPr>
        <w:tabs>
          <w:tab w:val="center" w:leader="dot" w:pos="9344"/>
        </w:tabs>
        <w:snapToGrid w:val="0"/>
        <w:spacing w:line="360" w:lineRule="auto"/>
        <w:jc w:val="center"/>
        <w:rPr>
          <w:sz w:val="28"/>
          <w:szCs w:val="28"/>
        </w:rPr>
      </w:pPr>
      <w:r>
        <w:rPr>
          <w:rStyle w:val="InternetLink"/>
          <w:color w:val="000000"/>
          <w:sz w:val="28"/>
          <w:szCs w:val="28"/>
          <w:u w:val="none"/>
        </w:rPr>
        <w:t xml:space="preserve">Когнітивна модель посттравматичного стресового розладу Ехлерс – Кларка </w:t>
      </w:r>
    </w:p>
    <w:p w14:paraId="1AA738BB" w14:textId="77777777" w:rsidR="00B51242" w:rsidRDefault="008E4E86">
      <w:pPr>
        <w:tabs>
          <w:tab w:val="center" w:leader="dot" w:pos="9344"/>
        </w:tabs>
        <w:snapToGrid w:val="0"/>
        <w:spacing w:line="360" w:lineRule="auto"/>
        <w:jc w:val="both"/>
      </w:pPr>
      <w:r>
        <w:rPr>
          <w:rStyle w:val="InternetLink"/>
          <w:color w:val="000000"/>
          <w:sz w:val="28"/>
          <w:szCs w:val="28"/>
          <w:u w:val="none"/>
        </w:rPr>
        <w:t xml:space="preserve">Стрілки показують характер відношень (чорні – призводить до…; білі – впливає на…; сірі – перешкоджає змінам у…) </w:t>
      </w:r>
      <w:r>
        <w:rPr>
          <w:rStyle w:val="InternetLink"/>
          <w:color w:val="000000"/>
          <w:sz w:val="28"/>
          <w:szCs w:val="28"/>
          <w:u w:val="none"/>
          <w:lang w:val="en-US"/>
        </w:rPr>
        <w:t>[7]</w:t>
      </w:r>
    </w:p>
    <w:p w14:paraId="06971CD3" w14:textId="77777777" w:rsidR="00B51242" w:rsidRDefault="00B51242">
      <w:pPr>
        <w:sectPr w:rsidR="00B51242">
          <w:type w:val="continuous"/>
          <w:pgSz w:w="11906" w:h="16838"/>
          <w:pgMar w:top="895" w:right="908" w:bottom="1092" w:left="1736" w:header="838" w:footer="0" w:gutter="0"/>
          <w:cols w:space="720"/>
          <w:formProt w:val="0"/>
          <w:docGrid w:linePitch="100"/>
        </w:sectPr>
      </w:pPr>
    </w:p>
    <w:p w14:paraId="1A2DF9A1" w14:textId="77777777" w:rsidR="00B51242" w:rsidRDefault="008E4E86">
      <w:pPr>
        <w:tabs>
          <w:tab w:val="center" w:leader="dot" w:pos="9344"/>
        </w:tabs>
        <w:snapToGrid w:val="0"/>
        <w:spacing w:line="360" w:lineRule="auto"/>
        <w:ind w:firstLine="737"/>
        <w:jc w:val="both"/>
      </w:pPr>
      <w:r>
        <w:rPr>
          <w:rStyle w:val="InternetLink"/>
          <w:b/>
          <w:bCs/>
          <w:color w:val="000000"/>
          <w:sz w:val="28"/>
          <w:szCs w:val="28"/>
          <w:u w:val="none"/>
        </w:rPr>
        <w:t xml:space="preserve">Оксфордський підхід до  </w:t>
      </w:r>
      <w:r>
        <w:rPr>
          <w:rStyle w:val="InternetLink"/>
          <w:b/>
          <w:bCs/>
          <w:color w:val="000000"/>
          <w:sz w:val="28"/>
          <w:szCs w:val="28"/>
          <w:u w:val="none"/>
          <w:lang w:val="en-US"/>
        </w:rPr>
        <w:t>TF</w:t>
      </w:r>
      <w:r>
        <w:rPr>
          <w:rStyle w:val="StrongEmphasis"/>
          <w:color w:val="000000"/>
          <w:sz w:val="28"/>
          <w:szCs w:val="28"/>
        </w:rPr>
        <w:t>-</w:t>
      </w:r>
      <w:r>
        <w:rPr>
          <w:rStyle w:val="StrongEmphasis"/>
          <w:color w:val="000000"/>
          <w:sz w:val="28"/>
          <w:szCs w:val="28"/>
          <w:lang w:val="en-US"/>
        </w:rPr>
        <w:t>CBT</w:t>
      </w:r>
    </w:p>
    <w:p w14:paraId="65AE5FB1" w14:textId="77777777" w:rsidR="00B51242" w:rsidRDefault="008E4E86">
      <w:pPr>
        <w:tabs>
          <w:tab w:val="center" w:leader="dot" w:pos="9344"/>
        </w:tabs>
        <w:snapToGrid w:val="0"/>
        <w:spacing w:line="360" w:lineRule="auto"/>
        <w:ind w:firstLine="737"/>
        <w:jc w:val="both"/>
      </w:pPr>
      <w:r>
        <w:rPr>
          <w:rStyle w:val="InternetLink"/>
          <w:color w:val="auto"/>
          <w:sz w:val="28"/>
          <w:szCs w:val="28"/>
          <w:u w:val="none"/>
        </w:rPr>
        <w:t xml:space="preserve">У процесі вивчення КПТ підходів до лікування ПТСР привернув увагу так званий </w:t>
      </w:r>
      <w:r>
        <w:rPr>
          <w:rStyle w:val="StrongEmphasis"/>
          <w:b w:val="0"/>
          <w:bCs w:val="0"/>
          <w:sz w:val="28"/>
          <w:szCs w:val="28"/>
        </w:rPr>
        <w:t>Оксфордський підхід</w:t>
      </w:r>
      <w:r>
        <w:rPr>
          <w:rStyle w:val="InternetLink"/>
          <w:color w:val="auto"/>
          <w:sz w:val="28"/>
          <w:szCs w:val="28"/>
          <w:u w:val="none"/>
        </w:rPr>
        <w:t xml:space="preserve">, який базується на </w:t>
      </w:r>
      <w:r>
        <w:rPr>
          <w:rStyle w:val="InternetLink"/>
          <w:color w:val="auto"/>
          <w:sz w:val="28"/>
          <w:szCs w:val="28"/>
          <w:u w:val="none"/>
          <w:lang w:val="en-US"/>
        </w:rPr>
        <w:t>TF</w:t>
      </w:r>
      <w:r>
        <w:rPr>
          <w:rStyle w:val="StrongEmphasis"/>
          <w:b w:val="0"/>
          <w:bCs w:val="0"/>
          <w:sz w:val="28"/>
          <w:szCs w:val="28"/>
        </w:rPr>
        <w:t>-</w:t>
      </w:r>
      <w:r>
        <w:rPr>
          <w:rStyle w:val="StrongEmphasis"/>
          <w:b w:val="0"/>
          <w:bCs w:val="0"/>
          <w:sz w:val="28"/>
          <w:szCs w:val="28"/>
          <w:lang w:val="en-US"/>
        </w:rPr>
        <w:t>CBT</w:t>
      </w:r>
      <w:r>
        <w:rPr>
          <w:rStyle w:val="InternetLink"/>
          <w:color w:val="auto"/>
          <w:sz w:val="28"/>
          <w:szCs w:val="28"/>
          <w:u w:val="none"/>
        </w:rPr>
        <w:t xml:space="preserve"> без застосування традиційного підготовчого етапу. Особливістю даної моделі є </w:t>
      </w:r>
      <w:r>
        <w:rPr>
          <w:rStyle w:val="StrongEmphasis"/>
          <w:b w:val="0"/>
          <w:bCs w:val="0"/>
          <w:sz w:val="28"/>
          <w:szCs w:val="28"/>
        </w:rPr>
        <w:t>негайний перехід до опрацювання травматичних спогадів</w:t>
      </w:r>
      <w:r>
        <w:rPr>
          <w:rStyle w:val="InternetLink"/>
          <w:color w:val="auto"/>
          <w:sz w:val="28"/>
          <w:szCs w:val="28"/>
          <w:u w:val="none"/>
        </w:rPr>
        <w:t>, без розширеної фази стабілізації, яка зазвичай передує експозиційним втручанням у класичних протоколах.</w:t>
      </w:r>
    </w:p>
    <w:p w14:paraId="020FF7FF" w14:textId="77777777" w:rsidR="00B51242" w:rsidRDefault="008E4E86">
      <w:pPr>
        <w:tabs>
          <w:tab w:val="center" w:leader="dot" w:pos="9344"/>
        </w:tabs>
        <w:snapToGrid w:val="0"/>
        <w:spacing w:line="360" w:lineRule="auto"/>
        <w:ind w:firstLine="737"/>
        <w:jc w:val="both"/>
      </w:pPr>
      <w:r>
        <w:rPr>
          <w:rStyle w:val="InternetLink"/>
          <w:color w:val="000000"/>
          <w:sz w:val="28"/>
          <w:szCs w:val="28"/>
          <w:u w:val="none"/>
        </w:rPr>
        <w:t xml:space="preserve">Цей підхід зацікавив  швидкоїю </w:t>
      </w:r>
      <w:r>
        <w:rPr>
          <w:rStyle w:val="StrongEmphasis"/>
          <w:b w:val="0"/>
          <w:bCs w:val="0"/>
          <w:color w:val="000000"/>
          <w:sz w:val="28"/>
          <w:szCs w:val="28"/>
        </w:rPr>
        <w:t>психологічною реабілітацією військовослужбовців</w:t>
      </w:r>
      <w:r>
        <w:rPr>
          <w:rStyle w:val="InternetLink"/>
          <w:color w:val="000000"/>
          <w:sz w:val="28"/>
          <w:szCs w:val="28"/>
          <w:u w:val="none"/>
        </w:rPr>
        <w:t xml:space="preserve">, адже передбачає </w:t>
      </w:r>
      <w:r>
        <w:rPr>
          <w:rStyle w:val="StrongEmphasis"/>
          <w:b w:val="0"/>
          <w:bCs w:val="0"/>
          <w:color w:val="000000"/>
          <w:sz w:val="28"/>
          <w:szCs w:val="28"/>
        </w:rPr>
        <w:t>значно коротші строки терапії</w:t>
      </w:r>
      <w:r>
        <w:rPr>
          <w:rStyle w:val="InternetLink"/>
          <w:color w:val="000000"/>
          <w:sz w:val="28"/>
          <w:szCs w:val="28"/>
          <w:u w:val="none"/>
        </w:rPr>
        <w:t xml:space="preserve"> без зниження ефективності втручання. Скорочення тривалості лікування є </w:t>
      </w:r>
      <w:r>
        <w:rPr>
          <w:rStyle w:val="StrongEmphasis"/>
          <w:b w:val="0"/>
          <w:bCs w:val="0"/>
          <w:color w:val="000000"/>
          <w:sz w:val="28"/>
          <w:szCs w:val="28"/>
        </w:rPr>
        <w:t>вкрай актуальним з точки зору оперативного повернення військових до строю</w:t>
      </w:r>
      <w:r>
        <w:rPr>
          <w:rStyle w:val="InternetLink"/>
          <w:color w:val="000000"/>
          <w:sz w:val="28"/>
          <w:szCs w:val="28"/>
          <w:u w:val="none"/>
        </w:rPr>
        <w:t xml:space="preserve">, особливо в умовах активних бойових дій або тривалого протистояння, де потреба в досвідчених бійцях є критичною. </w:t>
      </w:r>
    </w:p>
    <w:p w14:paraId="4A243C6A" w14:textId="77777777" w:rsidR="00B51242" w:rsidRDefault="008E4E86">
      <w:pPr>
        <w:spacing w:line="360" w:lineRule="auto"/>
        <w:jc w:val="both"/>
      </w:pPr>
      <w:r>
        <w:rPr>
          <w:rStyle w:val="InternetLink"/>
          <w:color w:val="000000"/>
          <w:sz w:val="28"/>
          <w:szCs w:val="28"/>
          <w:u w:val="none"/>
        </w:rPr>
        <w:t xml:space="preserve">Одже, неофіційна назва – оксфордський підхід до терапії ПТСР – виникла через асоціацію з місцем праці авторів – Оксфордським центром тривожних розладів і травми. В 2005 році </w:t>
      </w:r>
      <w:r>
        <w:rPr>
          <w:rStyle w:val="StrongEmphasis"/>
          <w:b w:val="0"/>
          <w:bCs w:val="0"/>
          <w:color w:val="000000"/>
          <w:sz w:val="28"/>
          <w:szCs w:val="28"/>
        </w:rPr>
        <w:t>професоркою Аном Елерс (Anke Ehlers)</w:t>
      </w:r>
      <w:r>
        <w:rPr>
          <w:rStyle w:val="InternetLink"/>
          <w:color w:val="000000"/>
          <w:sz w:val="28"/>
          <w:szCs w:val="28"/>
          <w:u w:val="none"/>
        </w:rPr>
        <w:t xml:space="preserve"> у співпраці з </w:t>
      </w:r>
      <w:r>
        <w:rPr>
          <w:rStyle w:val="StrongEmphasis"/>
          <w:b w:val="0"/>
          <w:bCs w:val="0"/>
          <w:color w:val="000000"/>
          <w:sz w:val="28"/>
          <w:szCs w:val="28"/>
        </w:rPr>
        <w:t>Давидом Кларком (David M. Clark)</w:t>
      </w:r>
      <w:r>
        <w:rPr>
          <w:rStyle w:val="InternetLink"/>
          <w:color w:val="000000"/>
          <w:sz w:val="28"/>
          <w:szCs w:val="28"/>
          <w:u w:val="none"/>
        </w:rPr>
        <w:t xml:space="preserve"> та колегами в Оксфордському центрі тривожних розладів (</w:t>
      </w:r>
      <w:r>
        <w:rPr>
          <w:rStyle w:val="a3"/>
          <w:i w:val="0"/>
          <w:iCs w:val="0"/>
          <w:color w:val="000000"/>
          <w:sz w:val="28"/>
          <w:szCs w:val="28"/>
        </w:rPr>
        <w:t>Oxford Centre for Anxiety Disorders and Trauma</w:t>
      </w:r>
      <w:r>
        <w:rPr>
          <w:rStyle w:val="InternetLink"/>
          <w:color w:val="000000"/>
          <w:sz w:val="28"/>
          <w:szCs w:val="28"/>
          <w:u w:val="none"/>
        </w:rPr>
        <w:t>), який є частиною Інституту психіатрії, психології та неврології при Королівському коледжі Лондона (</w:t>
      </w:r>
      <w:r>
        <w:rPr>
          <w:rStyle w:val="a3"/>
          <w:i w:val="0"/>
          <w:iCs w:val="0"/>
          <w:color w:val="000000"/>
          <w:sz w:val="28"/>
          <w:szCs w:val="28"/>
        </w:rPr>
        <w:t>King’s College London</w:t>
      </w:r>
      <w:r>
        <w:rPr>
          <w:rStyle w:val="InternetLink"/>
          <w:color w:val="000000"/>
          <w:sz w:val="28"/>
          <w:szCs w:val="28"/>
          <w:u w:val="none"/>
        </w:rPr>
        <w:t>). запропонували так звану когнітивну терапію ПТСР (cognitive therapy for PTSD)</w:t>
      </w:r>
    </w:p>
    <w:p w14:paraId="197E933D" w14:textId="77777777" w:rsidR="00B51242" w:rsidRDefault="008E4E86">
      <w:pPr>
        <w:spacing w:line="360" w:lineRule="auto"/>
        <w:ind w:firstLine="737"/>
        <w:jc w:val="both"/>
      </w:pPr>
      <w:r>
        <w:rPr>
          <w:color w:val="000000"/>
          <w:sz w:val="28"/>
          <w:szCs w:val="28"/>
        </w:rPr>
        <w:t xml:space="preserve">Оксфордський варіант </w:t>
      </w:r>
      <w:r>
        <w:rPr>
          <w:rStyle w:val="InternetLink"/>
          <w:color w:val="000000"/>
          <w:sz w:val="28"/>
          <w:szCs w:val="28"/>
          <w:u w:val="none"/>
          <w:lang w:val="en-US"/>
        </w:rPr>
        <w:t>TF</w:t>
      </w:r>
      <w:r>
        <w:rPr>
          <w:rStyle w:val="StrongEmphasis"/>
          <w:b w:val="0"/>
          <w:bCs w:val="0"/>
          <w:color w:val="000000"/>
          <w:sz w:val="28"/>
          <w:szCs w:val="28"/>
        </w:rPr>
        <w:t>-</w:t>
      </w:r>
      <w:r>
        <w:rPr>
          <w:rStyle w:val="StrongEmphasis"/>
          <w:b w:val="0"/>
          <w:bCs w:val="0"/>
          <w:color w:val="000000"/>
          <w:sz w:val="28"/>
          <w:szCs w:val="28"/>
          <w:lang w:val="en-US"/>
        </w:rPr>
        <w:t>CBT</w:t>
      </w:r>
      <w:r>
        <w:rPr>
          <w:color w:val="000000"/>
          <w:sz w:val="28"/>
          <w:szCs w:val="28"/>
        </w:rPr>
        <w:t xml:space="preserve"> спирається на уявлення про те, як формується та підтримується симптоматика ПТСР. В основі моделі лежить три ключові терапевтичні завдання: по-перше, визначити й змінити негативні особистісні значення, які людина надає травматичній події та її наслідкам; по-друге, зменшити інтенсивність повторних переживань і навчити клієнта розрізняти тригери; по-третє, поступово ліквідувати ті способи поведінки та мислення, які підтримують розлад.</w:t>
      </w:r>
    </w:p>
    <w:p w14:paraId="158019D3" w14:textId="77777777" w:rsidR="00B51242" w:rsidRDefault="008E4E86">
      <w:pPr>
        <w:spacing w:line="360" w:lineRule="auto"/>
        <w:ind w:firstLine="737"/>
        <w:jc w:val="both"/>
      </w:pPr>
      <w:r>
        <w:rPr>
          <w:color w:val="000000"/>
          <w:sz w:val="28"/>
          <w:szCs w:val="28"/>
        </w:rPr>
        <w:t>Для досягнення першої мети застосовується процедура оновлення травматичних спогадів (updating trauma memories). Вона передбачає виділення найболючіших моментів події — так званих «гарячих точок» — і подальше переосмислення того, що вони означають для людини зараз. Клієнту пропонують переглянути власні інтерпретації, наблизити їх до реалістичного бачення ситуації та сформувати нові особистісні значення. Це може здійснюватися різними способами: через усну реконструкцію історії («тепер я знаю, що…») або через уявні образи, у яких травматичні моменти постають у новому, менш загрозливому контексті.</w:t>
      </w:r>
    </w:p>
    <w:p w14:paraId="7EC2CB62" w14:textId="77777777" w:rsidR="00B51242" w:rsidRDefault="008E4E86">
      <w:pPr>
        <w:spacing w:line="360" w:lineRule="auto"/>
        <w:ind w:firstLine="737"/>
        <w:jc w:val="both"/>
      </w:pPr>
      <w:r>
        <w:rPr>
          <w:color w:val="000000"/>
          <w:sz w:val="28"/>
          <w:szCs w:val="28"/>
        </w:rPr>
        <w:t>Для другого завдання — зменшення симптомів повторного переживання — використовують низку технік: уявне відтворення травматичної ситуації (imaginal reliving), деталізоване письмове описання події, повернення на місце, де вона відбулася, а також дискримінацію тригерів. Остання методика допомагає людині зрозуміти, що реакція виникає на спогад, а не на актуальну небезпеку. За можливості важливу роль відіграє безпечне зіткнення з тригерами в реальних умовах під супроводом терапевта, щоб клієнт переконався: сам стимул не несе загрози.</w:t>
      </w:r>
    </w:p>
    <w:p w14:paraId="03F5B902" w14:textId="77777777" w:rsidR="00B51242" w:rsidRDefault="008E4E86">
      <w:pPr>
        <w:spacing w:line="360" w:lineRule="auto"/>
        <w:ind w:firstLine="737"/>
        <w:jc w:val="both"/>
      </w:pPr>
      <w:r>
        <w:rPr>
          <w:color w:val="000000"/>
          <w:sz w:val="28"/>
          <w:szCs w:val="28"/>
        </w:rPr>
        <w:t>Третій блок спрямований на зміну дезадаптивних стратегій поведінки та сприймання. Застосовуються обговорення, сократівські діалоги та поведінкові експерименти, у межах яких клієнт має змогу перевірити власні переконання та побачити, що старі способи реагування не сприяють одужанню. Цей процес відкриває можливість для формування більш ефективних моделей мислення та поведінки.</w:t>
      </w:r>
    </w:p>
    <w:p w14:paraId="4665910E" w14:textId="77777777" w:rsidR="00B51242" w:rsidRDefault="008E4E86">
      <w:pPr>
        <w:spacing w:line="360" w:lineRule="auto"/>
        <w:ind w:firstLine="737"/>
        <w:jc w:val="both"/>
      </w:pPr>
      <w:r>
        <w:rPr>
          <w:color w:val="000000"/>
          <w:sz w:val="28"/>
          <w:szCs w:val="28"/>
        </w:rPr>
        <w:t>Окремо наголошується, що терапевтичний план у межах оксфордського підходу завжди адаптується до конкретної людини. Ураховують особливості самої травми, попередній досвід, особистісні риси, рівень розвитку когнітивних навичок та інші чинники, що можуть впливати на здатність до відновлення. Такий індивідуалізований підхід дозволяє зробити терапію максимально чутливою до потреб клієнта та забезпечити глибшу роботу з травматичними переживаннями.</w:t>
      </w:r>
    </w:p>
    <w:p w14:paraId="726C2754" w14:textId="77777777" w:rsidR="00B51242" w:rsidRDefault="008E4E86">
      <w:pPr>
        <w:spacing w:line="360" w:lineRule="auto"/>
        <w:ind w:firstLine="737"/>
        <w:jc w:val="both"/>
      </w:pPr>
      <w:r>
        <w:rPr>
          <w:rStyle w:val="InternetLink"/>
          <w:color w:val="000000"/>
          <w:sz w:val="28"/>
          <w:szCs w:val="28"/>
          <w:u w:val="none"/>
        </w:rPr>
        <w:t xml:space="preserve">У процесі вивчення ефективності Оксфордського підходу до лікування ПТСР було проаналізовано емпіричні докази на підтримку цієї моделі. Зокрема, увагу привернуло масштабне клінічни дослідження, що мало на меті оцінити доцільність підготовчого лікування перед травмофокусованою терапією у контексті системи охорони психічного здоров’я ветеранів війни США. Дослідження було підтримане </w:t>
      </w:r>
      <w:r>
        <w:rPr>
          <w:rStyle w:val="InternetLink"/>
          <w:color w:val="1B1B1B"/>
          <w:sz w:val="28"/>
          <w:szCs w:val="28"/>
          <w:u w:val="none"/>
        </w:rPr>
        <w:t>Міністерством у справах ветеранів США</w:t>
      </w:r>
      <w:r>
        <w:rPr>
          <w:rStyle w:val="InternetLink"/>
          <w:color w:val="1B1B1B"/>
          <w:sz w:val="20"/>
          <w:szCs w:val="20"/>
          <w:u w:val="none"/>
        </w:rPr>
        <w:t xml:space="preserve"> </w:t>
      </w:r>
      <w:r>
        <w:rPr>
          <w:rStyle w:val="InternetLink"/>
          <w:color w:val="000000"/>
          <w:sz w:val="28"/>
          <w:szCs w:val="28"/>
          <w:u w:val="none"/>
        </w:rPr>
        <w:t xml:space="preserve">У дослідженні взяли участь 948 ветеранів, які проходили лікування у 10 клініках системи VHA (Veterans Health Administration) </w:t>
      </w:r>
      <w:r w:rsidRPr="00D3629B">
        <w:rPr>
          <w:rStyle w:val="InternetLink"/>
          <w:color w:val="000000"/>
          <w:sz w:val="28"/>
          <w:szCs w:val="28"/>
          <w:u w:val="none"/>
        </w:rPr>
        <w:t>[39]</w:t>
      </w:r>
      <w:r>
        <w:rPr>
          <w:rStyle w:val="InternetLink"/>
          <w:color w:val="000000"/>
          <w:sz w:val="28"/>
          <w:szCs w:val="28"/>
          <w:u w:val="none"/>
        </w:rPr>
        <w:t>.</w:t>
      </w:r>
    </w:p>
    <w:p w14:paraId="0C09A9C9" w14:textId="77777777" w:rsidR="00B51242" w:rsidRDefault="008E4E86">
      <w:pPr>
        <w:spacing w:line="360" w:lineRule="auto"/>
        <w:ind w:firstLine="737"/>
        <w:jc w:val="both"/>
      </w:pPr>
      <w:r>
        <w:rPr>
          <w:rStyle w:val="InternetLink"/>
          <w:color w:val="000000"/>
          <w:sz w:val="28"/>
          <w:szCs w:val="28"/>
          <w:u w:val="none"/>
        </w:rPr>
        <w:t>Проведене дослідження є надзвичайно інформативним та заслуговує на увагу, оскільки демонструє можливість, а у певних випадках — доцільність, застосування травмофокусованої терапії без попереднього підготовчого етапу. Зокрема, це стосується військовослужбовців з високим рівнем мотивації, наявною соціальною підтримкою та низьким рівнем уникальної поведінки. Отримані результати набувають особливої значущості в контексті лікування комбатантів, які прагнуть якнайшвидшого повернення до виконання службових обов’язків у підрозділі.</w:t>
      </w:r>
      <w:r>
        <w:rPr>
          <w:b/>
          <w:bCs/>
          <w:color w:val="C9211E"/>
          <w:sz w:val="28"/>
          <w:szCs w:val="28"/>
        </w:rPr>
        <w:t xml:space="preserve">                                 </w:t>
      </w:r>
    </w:p>
    <w:p w14:paraId="3CDE05D5" w14:textId="77777777" w:rsidR="00B51242" w:rsidRDefault="008E4E86">
      <w:pPr>
        <w:tabs>
          <w:tab w:val="center" w:leader="dot" w:pos="9344"/>
        </w:tabs>
        <w:snapToGrid w:val="0"/>
        <w:spacing w:line="360" w:lineRule="auto"/>
        <w:ind w:firstLine="737"/>
        <w:jc w:val="both"/>
      </w:pPr>
      <w:r>
        <w:rPr>
          <w:b/>
          <w:bCs/>
          <w:color w:val="000000"/>
          <w:sz w:val="28"/>
          <w:szCs w:val="28"/>
        </w:rPr>
        <w:t>2.4. Проблематика психологічної допомоги військовослужбовцям із ПТСР</w:t>
      </w:r>
    </w:p>
    <w:p w14:paraId="2A29DD88" w14:textId="77777777" w:rsidR="00B51242" w:rsidRDefault="008E4E86">
      <w:pPr>
        <w:tabs>
          <w:tab w:val="center" w:leader="dot" w:pos="9344"/>
        </w:tabs>
        <w:snapToGrid w:val="0"/>
        <w:spacing w:line="360" w:lineRule="auto"/>
        <w:ind w:firstLine="737"/>
        <w:jc w:val="both"/>
      </w:pPr>
      <w:r>
        <w:rPr>
          <w:color w:val="000000"/>
          <w:sz w:val="28"/>
          <w:szCs w:val="28"/>
        </w:rPr>
        <w:t xml:space="preserve">У межах окресленої проблематики психологічної допомоги було визначено низку ключових аспектів, що потребують окремого та поглибленого аналізу. Насамперед ідеться про явища, які суттєво впливають на ефективність терапевтичних втручань та перебіг відновлення військовослужбовців із ПТСР. До таких аспектів належать </w:t>
      </w:r>
      <w:r>
        <w:rPr>
          <w:rStyle w:val="StrongEmphasis"/>
          <w:b w:val="0"/>
          <w:bCs w:val="0"/>
          <w:color w:val="000000"/>
          <w:sz w:val="28"/>
          <w:szCs w:val="28"/>
        </w:rPr>
        <w:t>відсів із лікування, рецидив симптоматики, депресивні прояви та гіперзбудження</w:t>
      </w:r>
      <w:r>
        <w:rPr>
          <w:color w:val="000000"/>
          <w:sz w:val="28"/>
          <w:szCs w:val="28"/>
        </w:rPr>
        <w:t>. Кожен із зазначених компонентів має свою специфіку та клінічне значення.</w:t>
      </w:r>
    </w:p>
    <w:p w14:paraId="5E15FB84" w14:textId="77777777" w:rsidR="00B51242" w:rsidRDefault="008E4E86">
      <w:pPr>
        <w:tabs>
          <w:tab w:val="center" w:leader="dot" w:pos="9344"/>
        </w:tabs>
        <w:snapToGrid w:val="0"/>
        <w:spacing w:line="360" w:lineRule="auto"/>
        <w:ind w:firstLine="737"/>
        <w:jc w:val="both"/>
      </w:pPr>
      <w:r>
        <w:rPr>
          <w:rStyle w:val="StrongEmphasis"/>
          <w:b w:val="0"/>
          <w:bCs w:val="0"/>
          <w:color w:val="000000"/>
          <w:sz w:val="28"/>
          <w:szCs w:val="28"/>
        </w:rPr>
        <w:t>Відсів</w:t>
      </w:r>
      <w:r>
        <w:rPr>
          <w:color w:val="000000"/>
          <w:sz w:val="28"/>
          <w:szCs w:val="28"/>
        </w:rPr>
        <w:t xml:space="preserve"> розглядається як один із головних викликів сучасної психотерапевтичної практики, оскільки дострокове припинення лікування знижує шанси на стабільне відновлення та викривлює оцінку ефективності терапії. Аналіз цього явища дозволяє визначити, які фактори — індивідуальні, методичні чи організаційні — сприяють перериванню лікування та яким чином ці ризики можна мінімізувати.</w:t>
      </w:r>
    </w:p>
    <w:p w14:paraId="58C38273" w14:textId="77777777" w:rsidR="00B51242" w:rsidRDefault="008E4E86">
      <w:pPr>
        <w:tabs>
          <w:tab w:val="center" w:leader="dot" w:pos="9344"/>
        </w:tabs>
        <w:snapToGrid w:val="0"/>
        <w:spacing w:line="360" w:lineRule="auto"/>
        <w:ind w:firstLine="737"/>
        <w:jc w:val="both"/>
      </w:pPr>
      <w:r>
        <w:rPr>
          <w:rStyle w:val="StrongEmphasis"/>
          <w:b w:val="0"/>
          <w:bCs w:val="0"/>
          <w:color w:val="000000"/>
          <w:sz w:val="28"/>
          <w:szCs w:val="28"/>
        </w:rPr>
        <w:t>Рецидив симптомів ПТСР</w:t>
      </w:r>
      <w:r>
        <w:rPr>
          <w:color w:val="000000"/>
          <w:sz w:val="28"/>
          <w:szCs w:val="28"/>
        </w:rPr>
        <w:t xml:space="preserve"> становить не менш важливу проблему, адже навіть після успішного завершення терапевтичного курсу частина пацієнтів може знову стикатися з поверненням інтрузивних спогадів, уникання, підвищеної тривожності чи емоційної нестабільності. Дослідження факторів, що зумовлюють рецидиви, є необхідним для розробки програм довготривалої підтримки та підвищення стійкості до стресових подій у майбутньому.</w:t>
      </w:r>
    </w:p>
    <w:p w14:paraId="711045A6" w14:textId="77777777" w:rsidR="00B51242" w:rsidRDefault="008E4E86">
      <w:pPr>
        <w:tabs>
          <w:tab w:val="center" w:leader="dot" w:pos="9344"/>
        </w:tabs>
        <w:snapToGrid w:val="0"/>
        <w:spacing w:line="360" w:lineRule="auto"/>
        <w:ind w:firstLine="737"/>
        <w:jc w:val="both"/>
      </w:pPr>
      <w:r>
        <w:rPr>
          <w:color w:val="000000"/>
          <w:sz w:val="28"/>
          <w:szCs w:val="28"/>
        </w:rPr>
        <w:t xml:space="preserve">Окремо виділяється </w:t>
      </w:r>
      <w:r>
        <w:rPr>
          <w:rStyle w:val="StrongEmphasis"/>
          <w:b w:val="0"/>
          <w:bCs w:val="0"/>
          <w:color w:val="000000"/>
          <w:sz w:val="28"/>
          <w:szCs w:val="28"/>
        </w:rPr>
        <w:t>гіперзбудження</w:t>
      </w:r>
      <w:r>
        <w:rPr>
          <w:color w:val="000000"/>
          <w:sz w:val="28"/>
          <w:szCs w:val="28"/>
        </w:rPr>
        <w:t>, яке проявляється підвищеною пильністю, труднощами зі сном, посиленою реактивністю на зовнішні стимули. Це не лише один із найпоширеніших симптомів ПТСР, але й фактор, що суттєво ускладнює повсякденне функціонування та може перешкоджати терапевтичному процесу. Дослідження механізмів гіперзбудження сприяє розробці більш ефективних методів його регуляції.</w:t>
      </w:r>
    </w:p>
    <w:p w14:paraId="19C34EF4" w14:textId="77777777" w:rsidR="00B51242" w:rsidRDefault="008E4E86">
      <w:pPr>
        <w:spacing w:line="360" w:lineRule="auto"/>
        <w:jc w:val="both"/>
      </w:pPr>
      <w:r>
        <w:rPr>
          <w:color w:val="000000"/>
          <w:sz w:val="28"/>
          <w:szCs w:val="28"/>
        </w:rPr>
        <w:t>Виокремлення та дослідження цих чотирьох напрямів — відсіву, рецидиву, депресивних проявів та гіперзбудження — дозволяє сформувати цілісне уявлення про ключові виклики, з якими стикаються військовослужбовці із ПТСР, та створює підґрунтя для вдосконалення системи психологічної допомоги на всіх етапах лікування та реабілітації.</w:t>
      </w:r>
    </w:p>
    <w:p w14:paraId="7392FA29" w14:textId="77777777" w:rsidR="00B51242" w:rsidRDefault="008E4E86">
      <w:pPr>
        <w:tabs>
          <w:tab w:val="center" w:leader="dot" w:pos="9344"/>
        </w:tabs>
        <w:snapToGrid w:val="0"/>
        <w:spacing w:line="360" w:lineRule="auto"/>
        <w:ind w:firstLine="737"/>
        <w:jc w:val="both"/>
      </w:pPr>
      <w:r>
        <w:rPr>
          <w:b/>
          <w:bCs/>
          <w:color w:val="000000"/>
          <w:sz w:val="28"/>
          <w:szCs w:val="28"/>
        </w:rPr>
        <w:t>Дослідження проблеми відсіву</w:t>
      </w:r>
    </w:p>
    <w:p w14:paraId="23BAB71B" w14:textId="77777777" w:rsidR="00B51242" w:rsidRDefault="008E4E86">
      <w:pPr>
        <w:tabs>
          <w:tab w:val="center" w:leader="dot" w:pos="9344"/>
        </w:tabs>
        <w:snapToGrid w:val="0"/>
        <w:spacing w:line="360" w:lineRule="auto"/>
        <w:ind w:firstLine="737"/>
        <w:jc w:val="both"/>
      </w:pPr>
      <w:r>
        <w:rPr>
          <w:color w:val="000000"/>
          <w:sz w:val="28"/>
          <w:szCs w:val="28"/>
        </w:rPr>
        <w:t>Проблема відсіву учасників з досліджень і клінічного лікування ПТСР залишається актуальною та складною. У численних дослідженнях зазначається, що середній рівень відсіву становить близько 16 %, що піднімає важливе питання щодо факторів, які спричиняють припинення участі пацієнтів у терапевтичному процесі. Незважаючи на сталість цього показника, у науковому середовищі досі тривають активні дискусії щодо того, чи зумовлений відсів безпосередньо характером терапевтичного втручання (наприклад, травмофокусовані підходи), чи ж він є наслідком інших змінних, таких як індивідуальні характеристики пацієнтів, контекст лікування або соціальні чинники.</w:t>
      </w:r>
    </w:p>
    <w:p w14:paraId="57E477DD" w14:textId="77777777" w:rsidR="00B51242" w:rsidRDefault="008E4E86">
      <w:pPr>
        <w:tabs>
          <w:tab w:val="center" w:leader="dot" w:pos="9344"/>
        </w:tabs>
        <w:snapToGrid w:val="0"/>
        <w:spacing w:line="360" w:lineRule="auto"/>
        <w:ind w:firstLine="737"/>
        <w:jc w:val="both"/>
      </w:pPr>
      <w:r>
        <w:rPr>
          <w:color w:val="000000"/>
          <w:sz w:val="28"/>
          <w:szCs w:val="28"/>
        </w:rPr>
        <w:t>Для з’ясування причин цього явища було проаналізовано дані масштабного дослідження, мета якого полягала у виявленні факторів, що зумовлюють відсів у ході лікування ПТСР. Дані для аналізу були зібрані на основі досліджень, відібраних у процесі систематичного огляду ефективності психологічних інтервенцій для дорослих із ПТСР, проведеного в рамках оновлення Керівних принципів лікування, розроблених Міжнародним товариством досліджень травматичного стресу (ISTSS).</w:t>
      </w:r>
    </w:p>
    <w:p w14:paraId="33AB3A5C" w14:textId="77777777" w:rsidR="00B51242" w:rsidRDefault="008E4E86">
      <w:pPr>
        <w:tabs>
          <w:tab w:val="center" w:leader="dot" w:pos="9344"/>
        </w:tabs>
        <w:snapToGrid w:val="0"/>
        <w:spacing w:line="360" w:lineRule="auto"/>
        <w:ind w:firstLine="737"/>
        <w:jc w:val="both"/>
      </w:pPr>
      <w:r>
        <w:rPr>
          <w:color w:val="000000"/>
          <w:sz w:val="28"/>
          <w:szCs w:val="28"/>
        </w:rPr>
        <w:t>Дослідження здійснювалося з дотриманням Кокранівських стандартів — визнаного міжнародного підходу до проведення систематичних оглядів і метааналізів, що розроблений у межах діяльності Cochrane Collaboration. Ця міжнародна некомерційна організація спеціалізується на акумуляції та критичному аналізі доказів щодо ефективності медичних втручань, з метою формування науково обґрунтованої клінічної практики.</w:t>
      </w:r>
    </w:p>
    <w:p w14:paraId="5E0DA883" w14:textId="77777777" w:rsidR="00B51242" w:rsidRDefault="008E4E86">
      <w:pPr>
        <w:tabs>
          <w:tab w:val="center" w:leader="dot" w:pos="9344"/>
        </w:tabs>
        <w:snapToGrid w:val="0"/>
        <w:spacing w:line="360" w:lineRule="auto"/>
        <w:ind w:firstLine="737"/>
        <w:jc w:val="both"/>
      </w:pPr>
      <w:r>
        <w:rPr>
          <w:color w:val="000000"/>
          <w:sz w:val="28"/>
          <w:szCs w:val="28"/>
        </w:rPr>
        <w:t>Основна мета Кокранівських стандартів полягає у забезпеченні високої якості, об’єктивності, надійності та відтворюваності систематичних оглядів, щоб результати могли бути застосовані для ухвалення клінічних рішень, створення настанов та формування політик у сфері охорони здоров’я.</w:t>
      </w:r>
    </w:p>
    <w:p w14:paraId="42752387" w14:textId="77777777" w:rsidR="00B51242" w:rsidRDefault="008E4E86">
      <w:pPr>
        <w:tabs>
          <w:tab w:val="center" w:leader="dot" w:pos="9344"/>
        </w:tabs>
        <w:snapToGrid w:val="0"/>
        <w:spacing w:line="360" w:lineRule="auto"/>
        <w:ind w:firstLine="737"/>
        <w:jc w:val="both"/>
      </w:pPr>
      <w:r>
        <w:rPr>
          <w:color w:val="000000"/>
          <w:sz w:val="28"/>
          <w:szCs w:val="28"/>
        </w:rPr>
        <w:t xml:space="preserve">Оригінальний Кокрейнівський огляд включав 70 рандомізованих контрольованих досліджень (РКД). Пошук за оновленнями виявив 5500 потенційно відповідних досліджень, опублікованих з 2008 року. Були переглянуті анотації та отримані повнотекстові копії для 203 потенційно релевантних досліджень. Сорок чотири нові РКД відповідали критеріям включення до огляду та повідомляли про дані про вибуття з участі на момент оцінки після лікування. В результаті загалом було включено 115 РКД із 7724 учасниками. </w:t>
      </w:r>
      <w:r>
        <w:rPr>
          <w:rStyle w:val="StrongEmphasis"/>
          <w:b w:val="0"/>
          <w:color w:val="000000"/>
          <w:sz w:val="28"/>
          <w:szCs w:val="28"/>
        </w:rPr>
        <w:t xml:space="preserve">Також для з'ясування факту впливу </w:t>
      </w:r>
      <w:r>
        <w:rPr>
          <w:rStyle w:val="StrongEmphasis"/>
          <w:b w:val="0"/>
          <w:bCs w:val="0"/>
          <w:color w:val="000000"/>
          <w:sz w:val="28"/>
          <w:szCs w:val="28"/>
        </w:rPr>
        <w:t>расової, етнічнї та соціальна належності</w:t>
      </w:r>
      <w:r>
        <w:rPr>
          <w:color w:val="000000"/>
          <w:sz w:val="28"/>
          <w:szCs w:val="28"/>
        </w:rPr>
        <w:t xml:space="preserve"> дослідження проводи</w:t>
      </w:r>
      <w:r>
        <w:rPr>
          <w:bCs/>
          <w:color w:val="000000"/>
          <w:sz w:val="28"/>
          <w:szCs w:val="28"/>
        </w:rPr>
        <w:t xml:space="preserve">лись в багатьох країнах, більшості з яких були в Європі та США але були ще Австралія, Китай, Іран, Туреччина/Сірія, Уганда. </w:t>
      </w:r>
    </w:p>
    <w:p w14:paraId="0358A986" w14:textId="77777777" w:rsidR="00B51242" w:rsidRDefault="008E4E86">
      <w:pPr>
        <w:tabs>
          <w:tab w:val="center" w:leader="dot" w:pos="9344"/>
        </w:tabs>
        <w:snapToGrid w:val="0"/>
        <w:spacing w:line="360" w:lineRule="auto"/>
        <w:ind w:firstLine="737"/>
        <w:jc w:val="both"/>
      </w:pPr>
      <w:r>
        <w:rPr>
          <w:bCs/>
          <w:color w:val="000000"/>
          <w:sz w:val="28"/>
          <w:szCs w:val="28"/>
        </w:rPr>
        <w:t>Оригінальний Кокрейнівський огляд охоплював 70 рандомізованих контрольованих досліджень. Під час пошуку нових джерел було ідентифіковано близько 5500 потенційно релевантних публікацій, опублікованих після 2008 року. Після аналізу анотацій та відбору повнотекстових статей до подальшого розгляду залишили 203 роботи, з яких 44 нові РКД відповідали всім критеріям включення й містили дані щодо відсіву учасників після завершення лікування. У результаті оновлений огляд включив уже 115 рандомізованих досліджень із загальною вибіркою 7724 особи,</w:t>
      </w:r>
      <w:r>
        <w:rPr>
          <w:color w:val="000000"/>
          <w:sz w:val="28"/>
          <w:szCs w:val="28"/>
        </w:rPr>
        <w:t xml:space="preserve"> до огляду також увійшли дослідження з Австралії, Китаю, Ірану, Туреччини/Сирії та Уганди, що підвищує доказовість отриманих висновків.</w:t>
      </w:r>
    </w:p>
    <w:p w14:paraId="2CC11DAE" w14:textId="77777777" w:rsidR="00B51242" w:rsidRDefault="008E4E86">
      <w:pPr>
        <w:tabs>
          <w:tab w:val="center" w:leader="dot" w:pos="9344"/>
        </w:tabs>
        <w:snapToGrid w:val="0"/>
        <w:spacing w:line="360" w:lineRule="auto"/>
        <w:ind w:firstLine="737"/>
        <w:jc w:val="both"/>
      </w:pPr>
      <w:r>
        <w:rPr>
          <w:color w:val="000000"/>
          <w:sz w:val="28"/>
          <w:szCs w:val="28"/>
        </w:rPr>
        <w:t xml:space="preserve">Результати дослідження підкреслюють важливість того, щоб пацієнти мали можливість обирати метод лікування, який здається їм найбільш прийнятним та зрозумілим. Така гнучкість потенційно зменшує рівень відсіву, адже люди охочіше залишаються на терапії, коли відчувають відповідність між власними потребами та запропонованим методом. З огляду на те, що ПТСР проявляється дуже неоднорідно й може включати широкий спектр симптомів, глибше розуміння причин припинення лікування є ключовим для ефективного спрямування пацієнтів до найбільш відповідних доказових підходів. Дані свідчать, що проблема відсіву є багатофакторною: її причини можуть різнитися залежно від типу терапії, характеристики пацієнтів та клінічного контексту. Для зменшення частоти припинення лікування, ймовірно, потрібна комплексна стратегія. Одним із перспективних варіантів є поетапна модель допомоги, яка передбачає індивідуалізований вибір інтервенцій, можливість стабілізації на початкових етапах та системне усунення бар’єрів, що заважають пацієнтам продовжувати терапію. Такий підхід дозволяє підвищити ефективність лікування й адаптувати його до потреб різних підгруп осіб із посттравматичним стресовим розладом </w:t>
      </w:r>
      <w:r w:rsidRPr="00D3629B">
        <w:rPr>
          <w:color w:val="000000"/>
          <w:sz w:val="28"/>
          <w:szCs w:val="28"/>
        </w:rPr>
        <w:t>[37].</w:t>
      </w:r>
    </w:p>
    <w:p w14:paraId="5746F34F" w14:textId="77777777" w:rsidR="00B51242" w:rsidRDefault="008E4E86">
      <w:pPr>
        <w:tabs>
          <w:tab w:val="center" w:leader="dot" w:pos="9344"/>
        </w:tabs>
        <w:snapToGrid w:val="0"/>
        <w:spacing w:line="360" w:lineRule="auto"/>
        <w:ind w:firstLine="737"/>
        <w:jc w:val="both"/>
      </w:pPr>
      <w:r>
        <w:rPr>
          <w:b/>
          <w:bCs/>
          <w:color w:val="000000"/>
          <w:sz w:val="28"/>
          <w:szCs w:val="28"/>
        </w:rPr>
        <w:t>Дослідження рецидивів</w:t>
      </w:r>
    </w:p>
    <w:p w14:paraId="3FB8E21F" w14:textId="77777777" w:rsidR="00B51242" w:rsidRDefault="008E4E86">
      <w:pPr>
        <w:tabs>
          <w:tab w:val="center" w:leader="dot" w:pos="9344"/>
        </w:tabs>
        <w:snapToGrid w:val="0"/>
        <w:spacing w:line="360" w:lineRule="auto"/>
        <w:ind w:firstLine="737"/>
        <w:jc w:val="both"/>
      </w:pPr>
      <w:r w:rsidRPr="00D3629B">
        <w:rPr>
          <w:color w:val="000000"/>
          <w:sz w:val="28"/>
          <w:szCs w:val="28"/>
        </w:rPr>
        <w:t xml:space="preserve">У систематичному огляді, проведеному відповідно до методологічних стандартів </w:t>
      </w:r>
      <w:r>
        <w:rPr>
          <w:rStyle w:val="a3"/>
          <w:i w:val="0"/>
          <w:iCs w:val="0"/>
          <w:color w:val="000000"/>
          <w:sz w:val="28"/>
          <w:szCs w:val="28"/>
          <w:lang w:val="en-US"/>
        </w:rPr>
        <w:t>Cochrane</w:t>
      </w:r>
      <w:r w:rsidRPr="00D3629B">
        <w:rPr>
          <w:rStyle w:val="a3"/>
          <w:i w:val="0"/>
          <w:iCs w:val="0"/>
          <w:color w:val="000000"/>
          <w:sz w:val="28"/>
          <w:szCs w:val="28"/>
        </w:rPr>
        <w:t xml:space="preserve"> </w:t>
      </w:r>
      <w:r>
        <w:rPr>
          <w:rStyle w:val="a3"/>
          <w:i w:val="0"/>
          <w:iCs w:val="0"/>
          <w:color w:val="000000"/>
          <w:sz w:val="28"/>
          <w:szCs w:val="28"/>
          <w:lang w:val="en-US"/>
        </w:rPr>
        <w:t>Handbook</w:t>
      </w:r>
      <w:r w:rsidRPr="00D3629B">
        <w:rPr>
          <w:color w:val="000000"/>
          <w:sz w:val="28"/>
          <w:szCs w:val="28"/>
        </w:rPr>
        <w:t xml:space="preserve">, дослідники проаналізували наукові публікації за період 2003–2018 років, присвячені ветеранам бойових дій в Іраку та Афганістані, які проходили психотерапевтичне лікування з приводу бойового ПТСР. </w:t>
      </w:r>
      <w:r w:rsidRPr="00D3629B">
        <w:rPr>
          <w:color w:val="000000"/>
          <w:sz w:val="28"/>
          <w:szCs w:val="28"/>
          <w:lang w:val="ru-RU"/>
        </w:rPr>
        <w:t xml:space="preserve">Попри значний обсяг доступної літератури, до фінального аналізу були включені лише вісім робіт, що відповідали суворим критеріям відбору. Переважно це були рандомізовані контрольовані дослідження, які оцінювали ефективність стандартизованих терапевтичних підходів відповідно до рекомендацій </w:t>
      </w:r>
      <w:r>
        <w:rPr>
          <w:color w:val="000000"/>
          <w:sz w:val="28"/>
          <w:szCs w:val="28"/>
          <w:lang w:val="en-US"/>
        </w:rPr>
        <w:t>NICE</w:t>
      </w:r>
      <w:r w:rsidRPr="00D3629B">
        <w:rPr>
          <w:color w:val="000000"/>
          <w:sz w:val="28"/>
          <w:szCs w:val="28"/>
          <w:lang w:val="ru-RU"/>
        </w:rPr>
        <w:t xml:space="preserve">, </w:t>
      </w:r>
      <w:r>
        <w:rPr>
          <w:color w:val="000000"/>
          <w:sz w:val="28"/>
          <w:szCs w:val="28"/>
          <w:lang w:val="en-US"/>
        </w:rPr>
        <w:t>APA</w:t>
      </w:r>
      <w:r w:rsidRPr="00D3629B">
        <w:rPr>
          <w:color w:val="000000"/>
          <w:sz w:val="28"/>
          <w:szCs w:val="28"/>
          <w:lang w:val="ru-RU"/>
        </w:rPr>
        <w:t xml:space="preserve"> чи Департаменту у справах ветеранів США (</w:t>
      </w:r>
      <w:r>
        <w:rPr>
          <w:color w:val="000000"/>
          <w:sz w:val="28"/>
          <w:szCs w:val="28"/>
          <w:lang w:val="en-US"/>
        </w:rPr>
        <w:t>VA</w:t>
      </w:r>
      <w:r w:rsidRPr="00D3629B">
        <w:rPr>
          <w:color w:val="000000"/>
          <w:sz w:val="28"/>
          <w:szCs w:val="28"/>
          <w:lang w:val="ru-RU"/>
        </w:rPr>
        <w:t>).</w:t>
      </w:r>
    </w:p>
    <w:p w14:paraId="69932BD7" w14:textId="77777777" w:rsidR="00B51242" w:rsidRDefault="008E4E86">
      <w:pPr>
        <w:tabs>
          <w:tab w:val="center" w:leader="dot" w:pos="9344"/>
        </w:tabs>
        <w:snapToGrid w:val="0"/>
        <w:spacing w:line="360" w:lineRule="auto"/>
        <w:ind w:firstLine="737"/>
        <w:jc w:val="both"/>
      </w:pPr>
      <w:r>
        <w:rPr>
          <w:sz w:val="28"/>
          <w:szCs w:val="28"/>
        </w:rPr>
        <w:t xml:space="preserve">Хоча вибірки досліджуваних осіб суттєво відрізнялися за характеристиками, жодне з включених досліджень не надало достатньо повних даних щодо частоти рецидивів або повернення ПТСР-симптомів після завершення лікування. Ситуацію ускладнював і високий рівень </w:t>
      </w:r>
      <w:r>
        <w:rPr>
          <w:rStyle w:val="a3"/>
          <w:i w:val="0"/>
          <w:iCs w:val="0"/>
          <w:sz w:val="28"/>
          <w:szCs w:val="28"/>
        </w:rPr>
        <w:t>attrition bias</w:t>
      </w:r>
      <w:r>
        <w:rPr>
          <w:sz w:val="28"/>
          <w:szCs w:val="28"/>
        </w:rPr>
        <w:t>, зумовлений тим, що значна кількість учасників припиняла участь ще до завершення терапії або наступних вимірів, що знижує достовірність висновків щодо довготривалого ефекту лікування.</w:t>
      </w:r>
    </w:p>
    <w:p w14:paraId="2FA008D1" w14:textId="77777777" w:rsidR="00B51242" w:rsidRDefault="008E4E86">
      <w:pPr>
        <w:tabs>
          <w:tab w:val="center" w:leader="dot" w:pos="9344"/>
        </w:tabs>
        <w:snapToGrid w:val="0"/>
        <w:spacing w:line="360" w:lineRule="auto"/>
        <w:ind w:firstLine="737"/>
        <w:jc w:val="both"/>
      </w:pPr>
      <w:r>
        <w:rPr>
          <w:sz w:val="28"/>
          <w:szCs w:val="28"/>
        </w:rPr>
        <w:t xml:space="preserve">Щодо ефективності терапевтичних втручань, автори огляду зазначають, що клінічно значуще зменшення симптомів (наприклад, покращення на ≥15 балів за CAPS) спостерігалося у 49–70% пацієнтів. Проте незважаючи на позитивну динаміку, </w:t>
      </w:r>
      <w:r>
        <w:rPr>
          <w:rStyle w:val="StrongEmphasis"/>
          <w:b w:val="0"/>
          <w:bCs w:val="0"/>
          <w:sz w:val="28"/>
          <w:szCs w:val="28"/>
        </w:rPr>
        <w:t>60–72% ветеранів зберігали діагноз ПТСР після завершення курсу лікування</w:t>
      </w:r>
      <w:r>
        <w:rPr>
          <w:sz w:val="28"/>
          <w:szCs w:val="28"/>
        </w:rPr>
        <w:t>, незалежно від того, йшлося про травмофокусовані методи — такі як Cognitive Processing Therapy (CPT) чи Prolonged Exposure (PE) — або про інші доказові підходи. Це свідчить про те, що психотерапія хоч і знижує інтенсивність проявів, однак повного відновлення досягає далеко не кожен пацієнт.</w:t>
      </w:r>
    </w:p>
    <w:p w14:paraId="79DFEEEA" w14:textId="77777777" w:rsidR="00B51242" w:rsidRDefault="008E4E86">
      <w:pPr>
        <w:tabs>
          <w:tab w:val="center" w:leader="dot" w:pos="9344"/>
        </w:tabs>
        <w:snapToGrid w:val="0"/>
        <w:spacing w:line="360" w:lineRule="auto"/>
        <w:ind w:firstLine="737"/>
        <w:jc w:val="both"/>
      </w:pPr>
      <w:r>
        <w:rPr>
          <w:sz w:val="28"/>
          <w:szCs w:val="28"/>
        </w:rPr>
        <w:t>Додатковою методологічною проблемою стало те, що в більшості включених досліджень період спостереження був відносно коротким — не більше 12 місяців, а середній термін follow-up становив близько п’яти місяців. Така тривалість явно недостатня, щоб оцінити стійкість ремісії у довготривалій перспективі. Як наслідок, можливість визначити реальну частоту рецидивів або відстрочених повернень симптоматики виявилася суттєво обмеженою.</w:t>
      </w:r>
    </w:p>
    <w:p w14:paraId="5EEB8AF2" w14:textId="77777777" w:rsidR="00B51242" w:rsidRDefault="008E4E86">
      <w:pPr>
        <w:tabs>
          <w:tab w:val="center" w:leader="dot" w:pos="9344"/>
        </w:tabs>
        <w:snapToGrid w:val="0"/>
        <w:spacing w:line="360" w:lineRule="auto"/>
        <w:ind w:firstLine="737"/>
        <w:jc w:val="both"/>
      </w:pPr>
      <w:r>
        <w:rPr>
          <w:sz w:val="28"/>
          <w:szCs w:val="28"/>
        </w:rPr>
        <w:t>Узагальнюючи, автори систематичного огляду дійшли висновку, що наявні дані про рецидиви ПТСР у ветеранів Іраку й Афганістану є фрагментарними, непослідовними та не дозволяють зробити однозначні висновки щодо динаміки стану після лікування. З огляду на це вони наголосили на потребі у проведенні масштабніших досліджень з більшими вибірками, довшими періодами спостереження та більш детальним описом статистики щодо рецидивів і ремісії. Такий науковий підхід дозволив би краще зрозуміти реальний перебіг ПТСР після завершення терапії та визначити групи підвищеного ризику.</w:t>
      </w:r>
    </w:p>
    <w:p w14:paraId="01A08E3A" w14:textId="77777777" w:rsidR="00B51242" w:rsidRDefault="008E4E86">
      <w:pPr>
        <w:tabs>
          <w:tab w:val="center" w:leader="dot" w:pos="9344"/>
        </w:tabs>
        <w:snapToGrid w:val="0"/>
        <w:spacing w:line="360" w:lineRule="auto"/>
        <w:ind w:firstLine="737"/>
        <w:jc w:val="both"/>
      </w:pPr>
      <w:r>
        <w:rPr>
          <w:sz w:val="28"/>
          <w:szCs w:val="28"/>
        </w:rPr>
        <w:t xml:space="preserve">У ширшому контексті варто зазначити, що інші джерела частково підтверджують зазначені тенденції. За даними оглядів Департаменту у справах ветеранів США, у середньому приблизно 23% ветеранів, які повернулися з Іраку та Афганістану, мають діагноз ПТСР, хоча реальні оцінки відрізняються залежно від методології вибірки. Крім того, результати рандомізованих досліджень CPT і Prolonged Exposure демонструють, що попри високі показники покращення (49–70%), значна частина пацієнтів (60–72%) продовжує відповідати діагностичним критеріям ПТСР і після лікування </w:t>
      </w:r>
      <w:r w:rsidRPr="00D3629B">
        <w:rPr>
          <w:color w:val="000000"/>
          <w:sz w:val="28"/>
          <w:szCs w:val="28"/>
        </w:rPr>
        <w:t>[42]</w:t>
      </w:r>
      <w:r>
        <w:rPr>
          <w:sz w:val="28"/>
          <w:szCs w:val="28"/>
        </w:rPr>
        <w:t>.</w:t>
      </w:r>
    </w:p>
    <w:p w14:paraId="63C9DBDE" w14:textId="77777777" w:rsidR="00B51242" w:rsidRDefault="008E4E86">
      <w:pPr>
        <w:tabs>
          <w:tab w:val="center" w:leader="dot" w:pos="9344"/>
        </w:tabs>
        <w:snapToGrid w:val="0"/>
        <w:spacing w:line="360" w:lineRule="auto"/>
        <w:ind w:firstLine="737"/>
        <w:jc w:val="both"/>
      </w:pPr>
      <w:r>
        <w:rPr>
          <w:sz w:val="28"/>
          <w:szCs w:val="28"/>
        </w:rPr>
        <w:t>Навіть попри доведену ефективність травмофокусованих методів, сучасні дані свідчать, що у великої частини ветеранів симптоми ПТСР зберігаються або з часом повертаються. Це підкреслює актуальність подальших досліджень та необхідність формування довгострокових програм підтримки, орієнтованих не лише на зменшення симптоматики у момент лікування, а й на підтримання стійкої ремісії та профілактику рецидивів у майбутньому.</w:t>
      </w:r>
    </w:p>
    <w:p w14:paraId="466D73EF" w14:textId="77777777" w:rsidR="00B51242" w:rsidRDefault="008E4E86">
      <w:pPr>
        <w:tabs>
          <w:tab w:val="center" w:leader="dot" w:pos="9344"/>
        </w:tabs>
        <w:snapToGrid w:val="0"/>
        <w:spacing w:line="360" w:lineRule="auto"/>
        <w:ind w:firstLine="737"/>
        <w:jc w:val="both"/>
      </w:pPr>
      <w:r>
        <w:rPr>
          <w:rStyle w:val="InternetLink"/>
          <w:rFonts w:eastAsia="Times New Roman" w:cs="Times New Roman"/>
          <w:b/>
          <w:bCs/>
          <w:color w:val="000000"/>
          <w:sz w:val="28"/>
          <w:szCs w:val="28"/>
          <w:u w:val="none"/>
        </w:rPr>
        <w:t>Дослідження гендерної відмінності</w:t>
      </w:r>
    </w:p>
    <w:p w14:paraId="69F5DAFE" w14:textId="77777777" w:rsidR="00B51242" w:rsidRDefault="008E4E86">
      <w:pPr>
        <w:tabs>
          <w:tab w:val="center" w:leader="dot" w:pos="9344"/>
        </w:tabs>
        <w:snapToGrid w:val="0"/>
        <w:spacing w:line="360" w:lineRule="auto"/>
        <w:ind w:firstLine="737"/>
        <w:jc w:val="both"/>
      </w:pPr>
      <w:r>
        <w:rPr>
          <w:color w:val="000000"/>
          <w:sz w:val="28"/>
          <w:szCs w:val="28"/>
        </w:rPr>
        <w:t xml:space="preserve">У масштабному аналізі, що охоплював період з 1 жовтня 2017 року по 30 вересня 2020 року, було розглянуто дані 2 937 ветеранів, які завершили програми резидентного лікування ПТСР у системі Департаменту у справах ветеранів США (VA). Серед них </w:t>
      </w:r>
      <w:r>
        <w:rPr>
          <w:rStyle w:val="StrongEmphasis"/>
          <w:b w:val="0"/>
          <w:bCs w:val="0"/>
          <w:color w:val="000000"/>
          <w:sz w:val="28"/>
          <w:szCs w:val="28"/>
        </w:rPr>
        <w:t>14,3 % становили жінки</w:t>
      </w:r>
      <w:r>
        <w:rPr>
          <w:color w:val="000000"/>
          <w:sz w:val="28"/>
          <w:szCs w:val="28"/>
        </w:rPr>
        <w:t xml:space="preserve">, що дало змогу оцінити можливі гендерні розбіжності у відповіді на терапію. Для аналізу динаміки клінічних змін дослідники застосували лінійні змішані моделі, які дозволили простежити зміни симптоматики на трьох ключових етапах: </w:t>
      </w:r>
      <w:r>
        <w:rPr>
          <w:rStyle w:val="StrongEmphasis"/>
          <w:b w:val="0"/>
          <w:bCs w:val="0"/>
          <w:color w:val="000000"/>
          <w:sz w:val="28"/>
          <w:szCs w:val="28"/>
        </w:rPr>
        <w:t>у момент виписки</w:t>
      </w:r>
      <w:r>
        <w:rPr>
          <w:color w:val="000000"/>
          <w:sz w:val="28"/>
          <w:szCs w:val="28"/>
        </w:rPr>
        <w:t xml:space="preserve">, </w:t>
      </w:r>
      <w:r>
        <w:rPr>
          <w:rStyle w:val="StrongEmphasis"/>
          <w:b w:val="0"/>
          <w:bCs w:val="0"/>
          <w:color w:val="000000"/>
          <w:sz w:val="28"/>
          <w:szCs w:val="28"/>
        </w:rPr>
        <w:t>через чотири місяці</w:t>
      </w:r>
      <w:r>
        <w:rPr>
          <w:color w:val="000000"/>
          <w:sz w:val="28"/>
          <w:szCs w:val="28"/>
        </w:rPr>
        <w:t xml:space="preserve"> та </w:t>
      </w:r>
      <w:r>
        <w:rPr>
          <w:rStyle w:val="StrongEmphasis"/>
          <w:b w:val="0"/>
          <w:bCs w:val="0"/>
          <w:color w:val="000000"/>
          <w:sz w:val="28"/>
          <w:szCs w:val="28"/>
        </w:rPr>
        <w:t>через один рік</w:t>
      </w:r>
      <w:r>
        <w:rPr>
          <w:color w:val="000000"/>
          <w:sz w:val="28"/>
          <w:szCs w:val="28"/>
        </w:rPr>
        <w:t xml:space="preserve"> після завершення лікування.</w:t>
      </w:r>
    </w:p>
    <w:p w14:paraId="6141FDAA" w14:textId="77777777" w:rsidR="00B51242" w:rsidRDefault="008E4E86">
      <w:pPr>
        <w:tabs>
          <w:tab w:val="center" w:leader="dot" w:pos="9344"/>
        </w:tabs>
        <w:snapToGrid w:val="0"/>
        <w:spacing w:line="360" w:lineRule="auto"/>
        <w:ind w:firstLine="737"/>
        <w:jc w:val="both"/>
      </w:pPr>
      <w:r>
        <w:rPr>
          <w:color w:val="000000"/>
          <w:sz w:val="28"/>
          <w:szCs w:val="28"/>
        </w:rPr>
        <w:t xml:space="preserve">Результати продемонстрували виразне та стале зменшення симптомів ПТСР протягом усього періоду спостереження. Величина ефекту за Cohen’s d становила </w:t>
      </w:r>
      <w:r>
        <w:rPr>
          <w:rStyle w:val="StrongEmphasis"/>
          <w:b w:val="0"/>
          <w:bCs w:val="0"/>
          <w:color w:val="000000"/>
          <w:sz w:val="28"/>
          <w:szCs w:val="28"/>
        </w:rPr>
        <w:t>1,23 при виписці</w:t>
      </w:r>
      <w:r>
        <w:rPr>
          <w:color w:val="000000"/>
          <w:sz w:val="28"/>
          <w:szCs w:val="28"/>
        </w:rPr>
        <w:t xml:space="preserve">, </w:t>
      </w:r>
      <w:r>
        <w:rPr>
          <w:rStyle w:val="StrongEmphasis"/>
          <w:b w:val="0"/>
          <w:bCs w:val="0"/>
          <w:color w:val="000000"/>
          <w:sz w:val="28"/>
          <w:szCs w:val="28"/>
        </w:rPr>
        <w:t>0,97 через 4 місяці</w:t>
      </w:r>
      <w:r>
        <w:rPr>
          <w:color w:val="000000"/>
          <w:sz w:val="28"/>
          <w:szCs w:val="28"/>
        </w:rPr>
        <w:t xml:space="preserve">, і згодом навіть </w:t>
      </w:r>
      <w:r>
        <w:rPr>
          <w:rStyle w:val="StrongEmphasis"/>
          <w:b w:val="0"/>
          <w:bCs w:val="0"/>
          <w:color w:val="000000"/>
          <w:sz w:val="28"/>
          <w:szCs w:val="28"/>
        </w:rPr>
        <w:t>зростала до 1,51 через рік</w:t>
      </w:r>
      <w:r>
        <w:rPr>
          <w:color w:val="000000"/>
          <w:sz w:val="28"/>
          <w:szCs w:val="28"/>
        </w:rPr>
        <w:t xml:space="preserve">, що вказує на нарощення терапевтичного впливу з часом. Подібну динаміку зафіксовано і щодо депресивних симптомів: ефект був </w:t>
      </w:r>
      <w:r>
        <w:rPr>
          <w:rStyle w:val="StrongEmphasis"/>
          <w:b w:val="0"/>
          <w:bCs w:val="0"/>
          <w:color w:val="000000"/>
          <w:sz w:val="28"/>
          <w:szCs w:val="28"/>
        </w:rPr>
        <w:t>1,03 при виписці</w:t>
      </w:r>
      <w:r>
        <w:rPr>
          <w:color w:val="000000"/>
          <w:sz w:val="28"/>
          <w:szCs w:val="28"/>
        </w:rPr>
        <w:t xml:space="preserve">, </w:t>
      </w:r>
      <w:r>
        <w:rPr>
          <w:rStyle w:val="StrongEmphasis"/>
          <w:b w:val="0"/>
          <w:bCs w:val="0"/>
          <w:color w:val="000000"/>
          <w:sz w:val="28"/>
          <w:szCs w:val="28"/>
        </w:rPr>
        <w:t>0,94 через 4 місяці</w:t>
      </w:r>
      <w:r>
        <w:rPr>
          <w:color w:val="000000"/>
          <w:sz w:val="28"/>
          <w:szCs w:val="28"/>
        </w:rPr>
        <w:t xml:space="preserve">, і </w:t>
      </w:r>
      <w:r>
        <w:rPr>
          <w:rStyle w:val="StrongEmphasis"/>
          <w:b w:val="0"/>
          <w:bCs w:val="0"/>
          <w:color w:val="000000"/>
          <w:sz w:val="28"/>
          <w:szCs w:val="28"/>
        </w:rPr>
        <w:t>1,05 через рік</w:t>
      </w:r>
      <w:r>
        <w:rPr>
          <w:color w:val="000000"/>
          <w:sz w:val="28"/>
          <w:szCs w:val="28"/>
        </w:rPr>
        <w:t>, що також свідчить про збереження позитивних змін у довгостроковій перспективі.</w:t>
      </w:r>
    </w:p>
    <w:p w14:paraId="4471D35E" w14:textId="77777777" w:rsidR="00B51242" w:rsidRDefault="008E4E86">
      <w:pPr>
        <w:tabs>
          <w:tab w:val="center" w:leader="dot" w:pos="9344"/>
        </w:tabs>
        <w:snapToGrid w:val="0"/>
        <w:spacing w:line="360" w:lineRule="auto"/>
        <w:ind w:firstLine="737"/>
        <w:jc w:val="both"/>
      </w:pPr>
      <w:r>
        <w:rPr>
          <w:color w:val="000000"/>
          <w:sz w:val="28"/>
          <w:szCs w:val="28"/>
        </w:rPr>
        <w:t xml:space="preserve">Цікаво, що на момент завершення лікування </w:t>
      </w:r>
      <w:r>
        <w:rPr>
          <w:rStyle w:val="StrongEmphasis"/>
          <w:b w:val="0"/>
          <w:bCs w:val="0"/>
          <w:color w:val="000000"/>
          <w:sz w:val="28"/>
          <w:szCs w:val="28"/>
        </w:rPr>
        <w:t>жінки демонстрували помітно сильніше полегшення як ПТСР-, так і депресивних симптомів</w:t>
      </w:r>
      <w:r>
        <w:rPr>
          <w:color w:val="000000"/>
          <w:sz w:val="28"/>
          <w:szCs w:val="28"/>
        </w:rPr>
        <w:t xml:space="preserve"> (p &lt; .001). Це може свідчити про відмінності у початкових умовах, залученості до терапії або в чутливості до інтервенцій. Проте подальше спостереження через 4 місяці та через рік не виявило статистично значущих гендерних відмінностей: рівень поліпшення в обох групах став подібним, і жодна зі статей не мала переваги в довгостроковому ефекті лікування.</w:t>
      </w:r>
    </w:p>
    <w:p w14:paraId="509E6142" w14:textId="77777777" w:rsidR="00B51242" w:rsidRDefault="008E4E86">
      <w:pPr>
        <w:tabs>
          <w:tab w:val="center" w:leader="dot" w:pos="9344"/>
        </w:tabs>
        <w:snapToGrid w:val="0"/>
        <w:spacing w:line="360" w:lineRule="auto"/>
        <w:ind w:firstLine="737"/>
        <w:jc w:val="both"/>
      </w:pPr>
      <w:r>
        <w:rPr>
          <w:color w:val="000000"/>
          <w:sz w:val="28"/>
          <w:szCs w:val="28"/>
        </w:rPr>
        <w:t xml:space="preserve">Загалом результати цього дослідження підтверджують високу ефективність стаціонарних програм лікування ПТСР у системі VA. Значне зниження симптомів спостерігалося не лише одразу після завершення терапії, але й зберігалося протягом року. Хоча жінки демонстрували швидший початковий прогрес, у подальшому ці відмінності вирівнювалися, що вказує на загальну стабільність та універсальність отриманих терапевтичних ефектів для обох статей. Такі дані підкреслюють важливість резидентних програм як ефективного елементу системи психологічної допомоги ветеранам із ПТСР та підкреслюють необхідність подальшого вивчення чинників, які можуть впливати на різну динаміку поліпшення в коротко- та довгостроковій перспективі </w:t>
      </w:r>
      <w:r w:rsidRPr="00D3629B">
        <w:rPr>
          <w:rStyle w:val="InternetLink"/>
          <w:rFonts w:eastAsia="Times New Roman" w:cs="Times New Roman"/>
          <w:color w:val="000000"/>
          <w:sz w:val="28"/>
          <w:szCs w:val="28"/>
          <w:u w:val="none"/>
        </w:rPr>
        <w:t>[44]</w:t>
      </w:r>
      <w:r>
        <w:rPr>
          <w:rStyle w:val="InternetLink"/>
          <w:rFonts w:eastAsia="Times New Roman" w:cs="Times New Roman"/>
          <w:color w:val="000000"/>
          <w:sz w:val="28"/>
          <w:szCs w:val="28"/>
          <w:u w:val="none"/>
        </w:rPr>
        <w:t>.</w:t>
      </w:r>
    </w:p>
    <w:p w14:paraId="2BDC4A22" w14:textId="77777777" w:rsidR="00B51242" w:rsidRDefault="008E4E86">
      <w:pPr>
        <w:tabs>
          <w:tab w:val="center" w:leader="dot" w:pos="9344"/>
        </w:tabs>
        <w:snapToGrid w:val="0"/>
        <w:spacing w:line="360" w:lineRule="auto"/>
        <w:ind w:firstLine="737"/>
        <w:jc w:val="both"/>
      </w:pPr>
      <w:r>
        <w:rPr>
          <w:rStyle w:val="InternetLink"/>
          <w:b/>
          <w:bCs/>
          <w:color w:val="000000"/>
          <w:sz w:val="28"/>
          <w:szCs w:val="28"/>
          <w:u w:val="none"/>
        </w:rPr>
        <w:t>Дослідження гіперзбудження.</w:t>
      </w:r>
    </w:p>
    <w:p w14:paraId="2D84685C" w14:textId="77777777" w:rsidR="00B51242" w:rsidRDefault="008E4E86">
      <w:pPr>
        <w:tabs>
          <w:tab w:val="center" w:leader="dot" w:pos="9344"/>
        </w:tabs>
        <w:snapToGrid w:val="0"/>
        <w:spacing w:line="360" w:lineRule="auto"/>
        <w:ind w:firstLine="737"/>
        <w:jc w:val="both"/>
      </w:pPr>
      <w:r>
        <w:rPr>
          <w:color w:val="000000"/>
          <w:sz w:val="28"/>
          <w:szCs w:val="28"/>
        </w:rPr>
        <w:t xml:space="preserve">Представлене дослідження являє собою вторинний аналіз даних, отриманих у межах двох клінічних випробувань когнітивно-процесуальної терапії (CPT), проведених серед діючих військовослужбовців із діагностованим посттравматичним стресовим розладом. Учасники оцінювали інтенсивність симптомів за допомогою шкали PCL-5 до початку терапії та після її завершення. Симптом вважали наявним, якщо він отримував оцінку </w:t>
      </w:r>
      <w:r>
        <w:rPr>
          <w:rStyle w:val="StrongEmphasis"/>
          <w:b w:val="0"/>
          <w:bCs w:val="0"/>
          <w:color w:val="000000"/>
          <w:sz w:val="28"/>
          <w:szCs w:val="28"/>
        </w:rPr>
        <w:t>2 або вище</w:t>
      </w:r>
      <w:r>
        <w:rPr>
          <w:color w:val="000000"/>
          <w:sz w:val="28"/>
          <w:szCs w:val="28"/>
        </w:rPr>
        <w:t xml:space="preserve"> за чотирибальною шкалою (0–4), що відповідає мінімальному клінічному рівню прояву.</w:t>
      </w:r>
    </w:p>
    <w:p w14:paraId="530C18B1" w14:textId="77777777" w:rsidR="00B51242" w:rsidRDefault="008E4E86">
      <w:pPr>
        <w:tabs>
          <w:tab w:val="center" w:leader="dot" w:pos="9344"/>
        </w:tabs>
        <w:snapToGrid w:val="0"/>
        <w:spacing w:line="360" w:lineRule="auto"/>
        <w:ind w:firstLine="737"/>
        <w:jc w:val="both"/>
      </w:pPr>
      <w:r>
        <w:rPr>
          <w:color w:val="000000"/>
          <w:sz w:val="28"/>
          <w:szCs w:val="28"/>
        </w:rPr>
        <w:t xml:space="preserve">Застосування критеріїв надійної та клінічно значущої зміни дозволило виокремити три групи результатів: </w:t>
      </w:r>
      <w:r>
        <w:rPr>
          <w:rStyle w:val="StrongEmphasis"/>
          <w:b w:val="0"/>
          <w:bCs w:val="0"/>
          <w:color w:val="000000"/>
          <w:sz w:val="28"/>
          <w:szCs w:val="28"/>
        </w:rPr>
        <w:t>21 % військовослужбовців відповідали критеріям одужання (recovered)</w:t>
      </w:r>
      <w:r>
        <w:rPr>
          <w:color w:val="000000"/>
          <w:sz w:val="28"/>
          <w:szCs w:val="28"/>
        </w:rPr>
        <w:t xml:space="preserve">, </w:t>
      </w:r>
      <w:r>
        <w:rPr>
          <w:rStyle w:val="StrongEmphasis"/>
          <w:b w:val="0"/>
          <w:bCs w:val="0"/>
          <w:color w:val="000000"/>
          <w:sz w:val="28"/>
          <w:szCs w:val="28"/>
        </w:rPr>
        <w:t>18 % продемонстрували покращення (improved)</w:t>
      </w:r>
      <w:r>
        <w:rPr>
          <w:color w:val="000000"/>
          <w:sz w:val="28"/>
          <w:szCs w:val="28"/>
        </w:rPr>
        <w:t xml:space="preserve">, тоді як </w:t>
      </w:r>
      <w:r>
        <w:rPr>
          <w:rStyle w:val="StrongEmphasis"/>
          <w:b w:val="0"/>
          <w:bCs w:val="0"/>
          <w:color w:val="000000"/>
          <w:sz w:val="28"/>
          <w:szCs w:val="28"/>
        </w:rPr>
        <w:t>61 % залишилися субоптимальними респондентами (suboptimal responders)</w:t>
      </w:r>
      <w:r>
        <w:rPr>
          <w:color w:val="000000"/>
          <w:sz w:val="28"/>
          <w:szCs w:val="28"/>
        </w:rPr>
        <w:t>, тобто не досягли достатньої терапевтичної динаміки.</w:t>
      </w:r>
    </w:p>
    <w:p w14:paraId="2A1F701D" w14:textId="77777777" w:rsidR="00B51242" w:rsidRDefault="00B51242">
      <w:pPr>
        <w:sectPr w:rsidR="00B51242">
          <w:type w:val="continuous"/>
          <w:pgSz w:w="11906" w:h="16838"/>
          <w:pgMar w:top="895" w:right="908" w:bottom="1092" w:left="1736" w:header="838" w:footer="0" w:gutter="0"/>
          <w:cols w:space="720"/>
          <w:formProt w:val="0"/>
          <w:docGrid w:linePitch="100"/>
        </w:sectPr>
      </w:pPr>
    </w:p>
    <w:p w14:paraId="62D8D5E3" w14:textId="77777777" w:rsidR="00B51242" w:rsidRDefault="008E4E86">
      <w:pPr>
        <w:spacing w:line="360" w:lineRule="auto"/>
        <w:jc w:val="both"/>
      </w:pPr>
      <w:r>
        <w:rPr>
          <w:color w:val="000000"/>
          <w:sz w:val="28"/>
          <w:szCs w:val="28"/>
        </w:rPr>
        <w:t xml:space="preserve">Особливу увагу дослідники приділили симптомам, які були присутні на початку терапії, та проаналізували, наскільки часто вони зберігалися після лікування. Основний акцент зроблено на порівнянні </w:t>
      </w:r>
      <w:r>
        <w:rPr>
          <w:rStyle w:val="StrongEmphasis"/>
          <w:b w:val="0"/>
          <w:bCs w:val="0"/>
          <w:color w:val="000000"/>
          <w:sz w:val="28"/>
          <w:szCs w:val="28"/>
        </w:rPr>
        <w:t>категорії гіперзбудження</w:t>
      </w:r>
      <w:r>
        <w:rPr>
          <w:color w:val="000000"/>
          <w:sz w:val="28"/>
          <w:szCs w:val="28"/>
        </w:rPr>
        <w:t xml:space="preserve"> з іншими кластерними групами симптомів ПТСР. Результати показали, що навіть серед учасників, які продемонстрували покращення, </w:t>
      </w:r>
      <w:r>
        <w:rPr>
          <w:rStyle w:val="StrongEmphasis"/>
          <w:b w:val="0"/>
          <w:bCs w:val="0"/>
          <w:color w:val="000000"/>
          <w:sz w:val="28"/>
          <w:szCs w:val="28"/>
        </w:rPr>
        <w:t>гіперзбуджувальні симптоми залишалися у 69 %</w:t>
      </w:r>
      <w:r>
        <w:rPr>
          <w:color w:val="000000"/>
          <w:sz w:val="28"/>
          <w:szCs w:val="28"/>
        </w:rPr>
        <w:t xml:space="preserve">, тоді як частота збереження симптомів у решті кластерів становила </w:t>
      </w:r>
      <w:r>
        <w:rPr>
          <w:rStyle w:val="StrongEmphasis"/>
          <w:b w:val="0"/>
          <w:bCs w:val="0"/>
          <w:color w:val="000000"/>
          <w:sz w:val="28"/>
          <w:szCs w:val="28"/>
        </w:rPr>
        <w:t>49 %</w:t>
      </w:r>
      <w:r>
        <w:rPr>
          <w:color w:val="000000"/>
          <w:sz w:val="28"/>
          <w:szCs w:val="28"/>
        </w:rPr>
        <w:t xml:space="preserve"> (p &lt; .0001).</w:t>
      </w:r>
    </w:p>
    <w:p w14:paraId="48B5092B" w14:textId="77777777" w:rsidR="00B51242" w:rsidRDefault="008E4E86">
      <w:pPr>
        <w:spacing w:line="360" w:lineRule="auto"/>
        <w:ind w:firstLine="737"/>
        <w:jc w:val="both"/>
      </w:pPr>
      <w:r>
        <w:rPr>
          <w:color w:val="000000"/>
          <w:sz w:val="28"/>
          <w:szCs w:val="28"/>
        </w:rPr>
        <w:t xml:space="preserve">У групі тих, хто формально досягнув стану одужання, картина також виявилася нерівномірною: гіперзбудження зберігалося у </w:t>
      </w:r>
      <w:r>
        <w:rPr>
          <w:rStyle w:val="StrongEmphasis"/>
          <w:b w:val="0"/>
          <w:bCs w:val="0"/>
          <w:color w:val="000000"/>
          <w:sz w:val="28"/>
          <w:szCs w:val="28"/>
        </w:rPr>
        <w:t>26 %</w:t>
      </w:r>
      <w:r>
        <w:rPr>
          <w:color w:val="000000"/>
          <w:sz w:val="28"/>
          <w:szCs w:val="28"/>
        </w:rPr>
        <w:t xml:space="preserve">, тоді як </w:t>
      </w:r>
      <w:r>
        <w:rPr>
          <w:rStyle w:val="StrongEmphasis"/>
          <w:b w:val="0"/>
          <w:bCs w:val="0"/>
          <w:color w:val="000000"/>
          <w:sz w:val="28"/>
          <w:szCs w:val="28"/>
        </w:rPr>
        <w:t>симптоми повторного переживання — лише у 2 %</w:t>
      </w:r>
      <w:r>
        <w:rPr>
          <w:color w:val="000000"/>
          <w:sz w:val="28"/>
          <w:szCs w:val="28"/>
        </w:rPr>
        <w:t xml:space="preserve">, </w:t>
      </w:r>
      <w:r>
        <w:rPr>
          <w:rStyle w:val="StrongEmphasis"/>
          <w:b w:val="0"/>
          <w:bCs w:val="0"/>
          <w:color w:val="000000"/>
          <w:sz w:val="28"/>
          <w:szCs w:val="28"/>
        </w:rPr>
        <w:t>уникнення — у 3 %</w:t>
      </w:r>
      <w:r>
        <w:rPr>
          <w:color w:val="000000"/>
          <w:sz w:val="28"/>
          <w:szCs w:val="28"/>
        </w:rPr>
        <w:t xml:space="preserve">, а </w:t>
      </w:r>
      <w:r>
        <w:rPr>
          <w:rStyle w:val="StrongEmphasis"/>
          <w:b w:val="0"/>
          <w:bCs w:val="0"/>
          <w:color w:val="000000"/>
          <w:sz w:val="28"/>
          <w:szCs w:val="28"/>
        </w:rPr>
        <w:t>негативні когнітивно-емоційні зміни — у 4 %</w:t>
      </w:r>
      <w:r>
        <w:rPr>
          <w:color w:val="000000"/>
          <w:sz w:val="28"/>
          <w:szCs w:val="28"/>
        </w:rPr>
        <w:t xml:space="preserve"> (p &lt; .0001). Такий дисбаланс у розподілі залишкової симптоматики є статистично значущим і вказує на структурну стійкість гіперзбуджувального компонента ПТСР порівняно з іншими кластерами.</w:t>
      </w:r>
    </w:p>
    <w:p w14:paraId="77DC3B98" w14:textId="77777777" w:rsidR="00B51242" w:rsidRDefault="008E4E86">
      <w:pPr>
        <w:spacing w:line="360" w:lineRule="auto"/>
        <w:ind w:firstLine="737"/>
        <w:jc w:val="both"/>
      </w:pPr>
      <w:r>
        <w:rPr>
          <w:color w:val="000000"/>
          <w:sz w:val="28"/>
          <w:szCs w:val="28"/>
        </w:rPr>
        <w:t xml:space="preserve">На підставі отриманих даних автори роблять висновок, що навіть після успішного проходження CPT, коли пацієнт клінічно вважається таким, що «одужав», </w:t>
      </w:r>
      <w:r>
        <w:rPr>
          <w:rStyle w:val="StrongEmphasis"/>
          <w:b w:val="0"/>
          <w:bCs w:val="0"/>
          <w:color w:val="000000"/>
          <w:sz w:val="28"/>
          <w:szCs w:val="28"/>
        </w:rPr>
        <w:t>гіперзбуджувальна симптоматика є найбільш резистентною до терапевтичного впливу</w:t>
      </w:r>
      <w:r>
        <w:rPr>
          <w:color w:val="000000"/>
          <w:sz w:val="28"/>
          <w:szCs w:val="28"/>
        </w:rPr>
        <w:t xml:space="preserve">. До таких проявів належать надмірна пильність, дратівливість, підвищена реактивність переляку, труднощі з концентрацією та порушення сну. Саме ці симптоми виявляються найбільш стійкими, часто зберігаючись навіть тоді, коли інші компоненти ПТСР майже повністю або повністю компенсовані </w:t>
      </w:r>
      <w:r w:rsidRPr="00D3629B">
        <w:rPr>
          <w:color w:val="000000"/>
          <w:sz w:val="28"/>
          <w:szCs w:val="28"/>
        </w:rPr>
        <w:t>[66].</w:t>
      </w:r>
      <w:r>
        <w:rPr>
          <w:rStyle w:val="InternetLink"/>
          <w:color w:val="000000"/>
          <w:sz w:val="28"/>
          <w:szCs w:val="28"/>
          <w:highlight w:val="yellow"/>
          <w:u w:val="none"/>
        </w:rPr>
        <w:t xml:space="preserve">  </w:t>
      </w:r>
    </w:p>
    <w:p w14:paraId="578E692C" w14:textId="77777777" w:rsidR="00B51242" w:rsidRDefault="008E4E86">
      <w:pPr>
        <w:spacing w:line="360" w:lineRule="auto"/>
        <w:ind w:firstLine="737"/>
        <w:jc w:val="both"/>
      </w:pPr>
      <w:r>
        <w:rPr>
          <w:color w:val="000000"/>
          <w:sz w:val="28"/>
          <w:szCs w:val="28"/>
        </w:rPr>
        <w:t>У зв’язку з цим дослідники наголошують на важливості розробки та впровадження додаткових інтервенцій, спрямованих на цільову роботу з гіперзбудженням. Підкреслюється, що стандартного протоколу CPT може бути недостатньо для усунення симптомів цього кластеру, а отже, програми лікування ПТСР доцільно доповнювати техніками стабілізації, вправами для розвитку навичок регуляції фізіологічного збудження, а також можливими мультимодальними терапевтичними підходами.</w:t>
      </w:r>
    </w:p>
    <w:p w14:paraId="4AC532E1" w14:textId="77777777" w:rsidR="00B51242" w:rsidRDefault="008E4E86">
      <w:pPr>
        <w:spacing w:line="360" w:lineRule="auto"/>
        <w:ind w:firstLine="737"/>
        <w:jc w:val="both"/>
      </w:pPr>
      <w:r>
        <w:rPr>
          <w:rStyle w:val="InternetLink"/>
          <w:rFonts w:eastAsia="Times New Roman" w:cs="Times New Roman"/>
          <w:b/>
          <w:bCs/>
          <w:color w:val="000000"/>
          <w:sz w:val="28"/>
          <w:szCs w:val="28"/>
          <w:u w:val="none"/>
        </w:rPr>
        <w:t xml:space="preserve">Досдіджується лікування в умовах загрози та повторне травмування   </w:t>
      </w:r>
      <w:r>
        <w:rPr>
          <w:rStyle w:val="InternetLink"/>
          <w:rFonts w:eastAsia="Times New Roman" w:cs="Times New Roman"/>
          <w:b/>
          <w:bCs/>
          <w:color w:val="FF0000"/>
          <w:sz w:val="36"/>
          <w:szCs w:val="36"/>
          <w:u w:val="none"/>
        </w:rPr>
        <w:t xml:space="preserve">                                           </w:t>
      </w:r>
      <w:r>
        <w:rPr>
          <w:rFonts w:ascii="Merriweather;Georgia;Cambria;Ti" w:hAnsi="Merriweather;Georgia;Cambria;Ti"/>
          <w:color w:val="FF0000"/>
        </w:rPr>
        <w:t xml:space="preserve">                                                                                                                                                        </w:t>
      </w:r>
    </w:p>
    <w:p w14:paraId="5A2BBE4F" w14:textId="77777777" w:rsidR="00B51242" w:rsidRDefault="008E4E86">
      <w:pPr>
        <w:spacing w:line="360" w:lineRule="auto"/>
        <w:ind w:firstLine="737"/>
        <w:jc w:val="both"/>
      </w:pPr>
      <w:r>
        <w:rPr>
          <w:color w:val="000000"/>
          <w:sz w:val="28"/>
          <w:szCs w:val="28"/>
        </w:rPr>
        <w:t>Постає логічне питання: що саме говорять сучасні наукові дані про ефективність когнітивно-поведінкової терапії (КПТ) у роботі з військовослужбовцями, які перебувають безпосередньо у зоні активних бойових дій або під постійною загрозою повторної травматизації? Необхідність такого аналізу є очевидною, адже класичні рекомендації щодо лікування ПТСР переважно базуються на роботі з ветеранами, які вже перебувають у відносно безпечних умовах, або з цивільними особами після завершення травматичної події. Натомість для військових у бойових умовах ризик повторних травм є постійним, що ставить під сумнів універсальність стандартних протоколів терапії.</w:t>
      </w:r>
    </w:p>
    <w:p w14:paraId="107EB7A7" w14:textId="77777777" w:rsidR="00B51242" w:rsidRDefault="008E4E86">
      <w:pPr>
        <w:spacing w:line="360" w:lineRule="auto"/>
        <w:ind w:firstLine="737"/>
        <w:jc w:val="both"/>
      </w:pPr>
      <w:r>
        <w:rPr>
          <w:color w:val="000000"/>
          <w:sz w:val="28"/>
          <w:szCs w:val="28"/>
        </w:rPr>
        <w:t>Саме на цю прогалину звернула увагу Наомі Енніс, чия робота, підтримана Канадським інститутом досліджень охорони здоров’я, вперше систематизувала дані щодо використання травмоорієнтованих когнітивно-поведінкових втручань у популяціях, які залишаються у стані хронічної небезпеки. До моменту її дослідження наявні огляди (Fragkaki et al., 2016; Lahad et al., 2014) лише побіжно вказували на складності терапії в умовах повторної загрози, але не пропонували цілісного аналізу безпеки та ефективності таких втручань.</w:t>
      </w:r>
    </w:p>
    <w:p w14:paraId="6599FF5D" w14:textId="77777777" w:rsidR="00B51242" w:rsidRDefault="008E4E86">
      <w:pPr>
        <w:spacing w:line="360" w:lineRule="auto"/>
        <w:ind w:firstLine="737"/>
        <w:jc w:val="both"/>
      </w:pPr>
      <w:r>
        <w:rPr>
          <w:color w:val="000000"/>
          <w:sz w:val="28"/>
          <w:szCs w:val="28"/>
        </w:rPr>
        <w:t xml:space="preserve">У межах систематичного огляду було проаналізовано 3750 публікацій, з яких лише </w:t>
      </w:r>
      <w:r>
        <w:rPr>
          <w:rStyle w:val="StrongEmphasis"/>
          <w:b w:val="0"/>
          <w:bCs w:val="0"/>
          <w:color w:val="000000"/>
          <w:sz w:val="28"/>
          <w:szCs w:val="28"/>
        </w:rPr>
        <w:t>21 дослідження</w:t>
      </w:r>
      <w:r>
        <w:rPr>
          <w:color w:val="000000"/>
          <w:sz w:val="28"/>
          <w:szCs w:val="28"/>
        </w:rPr>
        <w:t xml:space="preserve"> відповідало критеріям включення. Усі вони стосувалися груп, які зазнають постійного ризику повторних травм. Серед них </w:t>
      </w:r>
      <w:r>
        <w:rPr>
          <w:rStyle w:val="StrongEmphasis"/>
          <w:b w:val="0"/>
          <w:bCs w:val="0"/>
          <w:color w:val="000000"/>
          <w:sz w:val="28"/>
          <w:szCs w:val="28"/>
        </w:rPr>
        <w:t>14 досліджень</w:t>
      </w:r>
      <w:r>
        <w:rPr>
          <w:color w:val="000000"/>
          <w:sz w:val="28"/>
          <w:szCs w:val="28"/>
        </w:rPr>
        <w:t xml:space="preserve"> охоплювали людей, які перебували в умовах бойових дій чи тривалого суспільного насильства; </w:t>
      </w:r>
      <w:r>
        <w:rPr>
          <w:rStyle w:val="StrongEmphasis"/>
          <w:b w:val="0"/>
          <w:bCs w:val="0"/>
          <w:color w:val="000000"/>
          <w:sz w:val="28"/>
          <w:szCs w:val="28"/>
        </w:rPr>
        <w:t>5 досліджень</w:t>
      </w:r>
      <w:r>
        <w:rPr>
          <w:color w:val="000000"/>
          <w:sz w:val="28"/>
          <w:szCs w:val="28"/>
        </w:rPr>
        <w:t xml:space="preserve"> — жертв домашнього насильства; ще </w:t>
      </w:r>
      <w:r>
        <w:rPr>
          <w:rStyle w:val="StrongEmphasis"/>
          <w:b w:val="0"/>
          <w:bCs w:val="0"/>
          <w:color w:val="000000"/>
          <w:sz w:val="28"/>
          <w:szCs w:val="28"/>
        </w:rPr>
        <w:t>2 роботи</w:t>
      </w:r>
      <w:r>
        <w:rPr>
          <w:color w:val="000000"/>
          <w:sz w:val="28"/>
          <w:szCs w:val="28"/>
        </w:rPr>
        <w:t xml:space="preserve"> описували професійні травматичні впливи (наприклад, у рятувальників). Якість усіх включених робіт оцінювалася як така, що варіює від «задовільної» до «доброї».</w:t>
      </w:r>
    </w:p>
    <w:p w14:paraId="0675925F" w14:textId="77777777" w:rsidR="00B51242" w:rsidRDefault="008E4E86">
      <w:pPr>
        <w:spacing w:line="360" w:lineRule="auto"/>
        <w:ind w:firstLine="737"/>
        <w:jc w:val="both"/>
      </w:pPr>
      <w:r>
        <w:rPr>
          <w:color w:val="000000"/>
          <w:sz w:val="28"/>
          <w:szCs w:val="28"/>
        </w:rPr>
        <w:t xml:space="preserve">Оцінка ефективності проводилась за змінами симптомів ПТСР до та після лікування, а також у порівнянні з контрольною групою «очікування лікування» (waitlist). Ефекти, які спостерігалися в інтервенційних групах, перебували у діапазоні </w:t>
      </w:r>
      <w:r>
        <w:rPr>
          <w:rStyle w:val="StrongEmphasis"/>
          <w:b w:val="0"/>
          <w:bCs w:val="0"/>
          <w:color w:val="000000"/>
          <w:sz w:val="28"/>
          <w:szCs w:val="28"/>
        </w:rPr>
        <w:t>середніх (medium)</w:t>
      </w:r>
      <w:r>
        <w:rPr>
          <w:color w:val="000000"/>
          <w:sz w:val="28"/>
          <w:szCs w:val="28"/>
        </w:rPr>
        <w:t xml:space="preserve"> до </w:t>
      </w:r>
      <w:r>
        <w:rPr>
          <w:rStyle w:val="StrongEmphasis"/>
          <w:b w:val="0"/>
          <w:bCs w:val="0"/>
          <w:color w:val="000000"/>
          <w:sz w:val="28"/>
          <w:szCs w:val="28"/>
        </w:rPr>
        <w:t>великих (large)</w:t>
      </w:r>
      <w:r>
        <w:rPr>
          <w:color w:val="000000"/>
          <w:sz w:val="28"/>
          <w:szCs w:val="28"/>
        </w:rPr>
        <w:t>, що свідчить про потенційну результативність травмофокусованої КПТ навіть для осіб, які не можуть вийти із ситуації загрози.</w:t>
      </w:r>
    </w:p>
    <w:p w14:paraId="68A27820" w14:textId="77777777" w:rsidR="00B51242" w:rsidRDefault="008E4E86">
      <w:pPr>
        <w:spacing w:line="360" w:lineRule="auto"/>
        <w:ind w:firstLine="737"/>
        <w:jc w:val="both"/>
      </w:pPr>
      <w:r>
        <w:rPr>
          <w:color w:val="000000"/>
          <w:sz w:val="28"/>
          <w:szCs w:val="28"/>
        </w:rPr>
        <w:t xml:space="preserve">Хоча у цьому огляді не було виокремлено військовослужбовців як окрему категорію, група «бойового та громадянського ризику» охоплювала саме тих учасників, що функціонують в умовах, близьких до бойових. Це дозволяє частково екстраполювати результати на військові контексти. Додаткові джерела також доповнюють загальну картину. Наприклад, рандомізовані дослідження за участю діючих військових і ветеранів демонструють, що як CPT (481 учасник у 5 дослідженнях), так і Prolonged Exposure (402 учасники у 4 дослідженнях) мають </w:t>
      </w:r>
      <w:r>
        <w:rPr>
          <w:rStyle w:val="StrongEmphasis"/>
          <w:b w:val="0"/>
          <w:bCs w:val="0"/>
          <w:color w:val="000000"/>
          <w:sz w:val="28"/>
          <w:szCs w:val="28"/>
        </w:rPr>
        <w:t>великі ефекти</w:t>
      </w:r>
      <w:r>
        <w:rPr>
          <w:color w:val="000000"/>
          <w:sz w:val="28"/>
          <w:szCs w:val="28"/>
        </w:rPr>
        <w:t xml:space="preserve"> (Cohen’s d 0.78–1.10), а </w:t>
      </w:r>
      <w:r>
        <w:rPr>
          <w:rStyle w:val="StrongEmphasis"/>
          <w:b w:val="0"/>
          <w:bCs w:val="0"/>
          <w:color w:val="000000"/>
          <w:sz w:val="28"/>
          <w:szCs w:val="28"/>
        </w:rPr>
        <w:t>49–70 %</w:t>
      </w:r>
      <w:r>
        <w:rPr>
          <w:color w:val="000000"/>
          <w:sz w:val="28"/>
          <w:szCs w:val="28"/>
        </w:rPr>
        <w:t xml:space="preserve"> учасників отримують клінічно значущі покращення (зниження симптоматики на 10–12 балів). Водночас </w:t>
      </w:r>
      <w:r>
        <w:rPr>
          <w:rStyle w:val="StrongEmphasis"/>
          <w:b w:val="0"/>
          <w:bCs w:val="0"/>
          <w:color w:val="000000"/>
          <w:sz w:val="28"/>
          <w:szCs w:val="28"/>
        </w:rPr>
        <w:t>60–72 %</w:t>
      </w:r>
      <w:r>
        <w:rPr>
          <w:color w:val="000000"/>
          <w:sz w:val="28"/>
          <w:szCs w:val="28"/>
        </w:rPr>
        <w:t xml:space="preserve"> все ще відповідають діагностичним критеріям ПТСР після завершення терапії, що підтверджує неповноту лікувального ефекту.</w:t>
      </w:r>
    </w:p>
    <w:p w14:paraId="48E432D4" w14:textId="77777777" w:rsidR="00B51242" w:rsidRDefault="008E4E86">
      <w:pPr>
        <w:spacing w:line="360" w:lineRule="auto"/>
        <w:ind w:firstLine="737"/>
        <w:jc w:val="both"/>
      </w:pPr>
      <w:r>
        <w:rPr>
          <w:color w:val="000000"/>
          <w:sz w:val="28"/>
          <w:szCs w:val="28"/>
        </w:rPr>
        <w:t xml:space="preserve">У ще одному систематичному огляді, присвяченому саме військовим — діючим і колишнім, — травмофокусовані CBT-інтервенції демонстрували ефекти, що перевищували </w:t>
      </w:r>
      <w:r>
        <w:rPr>
          <w:rStyle w:val="StrongEmphasis"/>
          <w:b w:val="0"/>
          <w:bCs w:val="0"/>
          <w:color w:val="000000"/>
          <w:sz w:val="28"/>
          <w:szCs w:val="28"/>
        </w:rPr>
        <w:t>0.80</w:t>
      </w:r>
      <w:r>
        <w:rPr>
          <w:color w:val="000000"/>
          <w:sz w:val="28"/>
          <w:szCs w:val="28"/>
        </w:rPr>
        <w:t>, тобто потрапляли до категорії клінічно значущих. Однак жодна терапія не отримала найвищий статус рекомендацій за класифікацією ISTSS: CPT, PE та групові модифікації CBT-TF оцінені лише на рівнях «standard» або навіть «emerging evidence», що свідчить про недостатню однорідність доказової бази та потребу в подальших дослідженнях.</w:t>
      </w:r>
    </w:p>
    <w:p w14:paraId="5766DCC7" w14:textId="77777777" w:rsidR="00B51242" w:rsidRDefault="008E4E86">
      <w:pPr>
        <w:spacing w:line="360" w:lineRule="auto"/>
        <w:ind w:firstLine="737"/>
        <w:jc w:val="both"/>
      </w:pPr>
      <w:r>
        <w:rPr>
          <w:color w:val="000000"/>
          <w:sz w:val="28"/>
          <w:szCs w:val="28"/>
        </w:rPr>
        <w:t xml:space="preserve">Повертаючись до систематичного огляду Наомі Енніс, варто підкреслити, що хоча результати щодо застосування КПТ у ситуаціях хронічної небезпеки загалом є обнадійливими, доказів все ще недостатньо, щоб однозначно стверджувати про їхню безпечність і ефективність саме </w:t>
      </w:r>
      <w:r>
        <w:rPr>
          <w:rStyle w:val="StrongEmphasis"/>
          <w:b w:val="0"/>
          <w:bCs w:val="0"/>
          <w:color w:val="000000"/>
          <w:sz w:val="28"/>
          <w:szCs w:val="28"/>
        </w:rPr>
        <w:t>в умовах активних бойових дій</w:t>
      </w:r>
      <w:r>
        <w:rPr>
          <w:color w:val="000000"/>
          <w:sz w:val="28"/>
          <w:szCs w:val="28"/>
        </w:rPr>
        <w:t xml:space="preserve">. Дані про довгострокові результати залишаються неповними, особливо щодо груп, які зазнають тривалих форм насильства. Крім того, актуальним залишається питання потенційних побічних ефектів лікування, зокрема ймовірності ретравматизації під час експозиційної роботи, хоча переконливих емпіричних підтверджень цього наразі немає </w:t>
      </w:r>
      <w:r w:rsidRPr="00D3629B">
        <w:rPr>
          <w:color w:val="000000"/>
          <w:sz w:val="28"/>
          <w:szCs w:val="28"/>
        </w:rPr>
        <w:t xml:space="preserve">[58]. </w:t>
      </w:r>
    </w:p>
    <w:p w14:paraId="1E835DAE" w14:textId="77777777" w:rsidR="00B51242" w:rsidRDefault="008E4E86">
      <w:pPr>
        <w:spacing w:line="360" w:lineRule="auto"/>
        <w:ind w:firstLine="737"/>
        <w:jc w:val="both"/>
      </w:pPr>
      <w:r>
        <w:rPr>
          <w:color w:val="000000"/>
          <w:sz w:val="28"/>
          <w:szCs w:val="28"/>
        </w:rPr>
        <w:t>У підсумку ці результати підкреслюють: навіть за наявності позитивних ефектів, травмофокусована КПТ у контексті постійної загрози потребує подальшого вивчення, адаптації та вдосконалення, особливо коли йдеться про військовослужбовців, які перебувають у зоні бойових дій і стикаються з повторними травматичними впливами.</w:t>
      </w:r>
    </w:p>
    <w:p w14:paraId="03EFCA41" w14:textId="77777777" w:rsidR="00B51242" w:rsidRDefault="00B51242">
      <w:pPr>
        <w:sectPr w:rsidR="00B51242">
          <w:type w:val="continuous"/>
          <w:pgSz w:w="11906" w:h="16838"/>
          <w:pgMar w:top="895" w:right="908" w:bottom="1092" w:left="1736" w:header="838" w:footer="0" w:gutter="0"/>
          <w:cols w:space="720"/>
          <w:formProt w:val="0"/>
          <w:docGrid w:linePitch="100"/>
        </w:sectPr>
      </w:pPr>
    </w:p>
    <w:p w14:paraId="7B7721F5" w14:textId="77777777" w:rsidR="00B51242" w:rsidRDefault="008E4E86">
      <w:pPr>
        <w:spacing w:line="360" w:lineRule="auto"/>
        <w:ind w:firstLine="737"/>
        <w:jc w:val="both"/>
      </w:pPr>
      <w:r>
        <w:rPr>
          <w:b/>
          <w:bCs/>
          <w:color w:val="000000"/>
          <w:sz w:val="28"/>
          <w:szCs w:val="28"/>
          <w:lang w:val="ru-RU"/>
        </w:rPr>
        <w:t>Виснов</w:t>
      </w:r>
      <w:r>
        <w:rPr>
          <w:b/>
          <w:bCs/>
          <w:color w:val="000000"/>
          <w:sz w:val="28"/>
          <w:szCs w:val="28"/>
        </w:rPr>
        <w:t>ки</w:t>
      </w:r>
      <w:r>
        <w:rPr>
          <w:b/>
          <w:bCs/>
          <w:color w:val="000000"/>
          <w:sz w:val="28"/>
          <w:szCs w:val="28"/>
          <w:lang w:val="ru-RU"/>
        </w:rPr>
        <w:t xml:space="preserve"> до</w:t>
      </w:r>
      <w:r>
        <w:rPr>
          <w:b/>
          <w:bCs/>
          <w:color w:val="000000"/>
          <w:sz w:val="28"/>
          <w:szCs w:val="28"/>
        </w:rPr>
        <w:t xml:space="preserve"> </w:t>
      </w:r>
      <w:r>
        <w:rPr>
          <w:b/>
          <w:bCs/>
          <w:color w:val="000000"/>
          <w:sz w:val="28"/>
          <w:szCs w:val="28"/>
          <w:lang w:val="ru-RU"/>
        </w:rPr>
        <w:t>розділу</w:t>
      </w:r>
      <w:r>
        <w:rPr>
          <w:b/>
          <w:bCs/>
          <w:color w:val="C9211E"/>
          <w:sz w:val="28"/>
          <w:szCs w:val="28"/>
          <w:lang w:val="ru-RU"/>
        </w:rPr>
        <w:t xml:space="preserve"> </w:t>
      </w:r>
      <w:r>
        <w:rPr>
          <w:b/>
          <w:bCs/>
          <w:color w:val="000000"/>
          <w:sz w:val="28"/>
          <w:szCs w:val="28"/>
        </w:rPr>
        <w:t>2.</w:t>
      </w:r>
    </w:p>
    <w:p w14:paraId="44729B8A" w14:textId="77777777" w:rsidR="00B51242" w:rsidRDefault="008E4E86">
      <w:pPr>
        <w:spacing w:line="360" w:lineRule="auto"/>
        <w:ind w:firstLine="737"/>
        <w:jc w:val="both"/>
      </w:pPr>
      <w:r>
        <w:rPr>
          <w:color w:val="000000"/>
          <w:sz w:val="28"/>
          <w:szCs w:val="28"/>
          <w:lang w:val="ru-RU"/>
        </w:rPr>
        <w:t>Присвячення значної уваги історичним аспектам ПТСР та КПТ під час психоосвітніх інтервенцій не є випадковим. Уся зібрана інформація планується бути інтегрованою до програм психоедукації, яка є важливим компонентом сучасної терапевтичної практики.</w:t>
      </w:r>
    </w:p>
    <w:p w14:paraId="0EA978C7" w14:textId="77777777" w:rsidR="00B51242" w:rsidRDefault="008E4E86">
      <w:pPr>
        <w:spacing w:line="360" w:lineRule="auto"/>
        <w:ind w:firstLine="737"/>
        <w:jc w:val="both"/>
      </w:pPr>
      <w:r>
        <w:rPr>
          <w:sz w:val="28"/>
          <w:szCs w:val="28"/>
        </w:rPr>
        <w:t>А у військовослужбовців, які часто стикаються з хронічним уникненням, недовірою до фахівців та слабким розумінням природи свого розладу, психоосвіта є критичним елементом підготовки  до терапії. Було помічено, історичний контекст, у якому розвивалися уявлення про психотравму, її наслідки та шляхи лікування, дає змогу пацієнтам глибше осмислити власний досвід, легше ідентифікувати симптоматику та знижує суб’єктивне відчуття «ненормальності» чи ізольованості.</w:t>
      </w:r>
    </w:p>
    <w:p w14:paraId="6C6BDE75" w14:textId="77777777" w:rsidR="00B51242" w:rsidRDefault="008E4E86">
      <w:pPr>
        <w:spacing w:line="360" w:lineRule="auto"/>
        <w:ind w:firstLine="737"/>
        <w:jc w:val="both"/>
      </w:pPr>
      <w:r>
        <w:rPr>
          <w:sz w:val="28"/>
          <w:szCs w:val="28"/>
        </w:rPr>
        <w:t xml:space="preserve">Крім того, включення історичного матеріалу в психоосвітню частину терапевтичного процесу сприяє підвищенню рівня залученості пацієнтів. Історичні паралелі викликають щире зацікавлення, сприяють формуванню довіри до методу та терапевта, а також слугують опорою для когнітивного переосмислення власного стану. Таким чином, історичний огляд не лише поглиблює розуміння феномену ПТСР і основ КПТ, а й виконує функцію мотиваційного ресурсу, який зміцнює терапевтичний альянс і підвищує ефективність подальшої роботи.  Передбачається, що такий підхід сприятиме зниженню рівня відсіву (передчасного припинення лікування), що є поширеною проблемою у роботі з пацієнтами з ПТСР. За результатами клінічних спостережень та досліджень, частота відмови від лікування у цій групі може сягати 20–30% залежно від контексту втручання (Imel et al., 2013; Kehle-Forbes et al., 2016). </w:t>
      </w:r>
    </w:p>
    <w:p w14:paraId="20615E51" w14:textId="77777777" w:rsidR="00B51242" w:rsidRDefault="008E4E86">
      <w:pPr>
        <w:spacing w:line="360" w:lineRule="auto"/>
        <w:ind w:firstLine="737"/>
        <w:jc w:val="both"/>
      </w:pPr>
      <w:r>
        <w:rPr>
          <w:sz w:val="28"/>
          <w:szCs w:val="28"/>
        </w:rPr>
        <w:t>Враховуючи ці міркування, поглиблене дослідження історії ПТСР та еволюції когнітивно-поведінкових підходів було не лише виправданим, а й необхідним елементом у структурі комплексного втручання, що поєднує психоосвіту, мотиваційну підтримку та підготовку до травмофокусованої терапії. Таким чином, історичний компонент відіграє не лише просвітницьку, а й клінічно релевантну роль у підвищенні ефективності терапевтичного процесу.</w:t>
      </w:r>
    </w:p>
    <w:p w14:paraId="7AE14915" w14:textId="77777777" w:rsidR="00B51242" w:rsidRDefault="008E4E86">
      <w:pPr>
        <w:spacing w:line="360" w:lineRule="auto"/>
        <w:ind w:firstLine="737"/>
        <w:jc w:val="both"/>
      </w:pPr>
      <w:r>
        <w:rPr>
          <w:b/>
          <w:bCs/>
          <w:color w:val="000000"/>
          <w:sz w:val="28"/>
          <w:szCs w:val="28"/>
        </w:rPr>
        <w:t>Висновок що до порівняння ефективності класичного КПТ та технік третьої хвилі КПТ у лікуванні ПТСР</w:t>
      </w:r>
    </w:p>
    <w:p w14:paraId="00178C6A" w14:textId="77777777" w:rsidR="00B51242" w:rsidRDefault="008E4E86">
      <w:pPr>
        <w:spacing w:line="360" w:lineRule="auto"/>
        <w:ind w:firstLine="737"/>
        <w:jc w:val="both"/>
      </w:pPr>
      <w:r>
        <w:rPr>
          <w:rStyle w:val="InternetLink"/>
          <w:rFonts w:eastAsia="Times New Roman" w:cs="Times New Roman"/>
          <w:color w:val="000000"/>
          <w:sz w:val="28"/>
          <w:szCs w:val="28"/>
          <w:u w:val="none"/>
        </w:rPr>
        <w:t xml:space="preserve">Дослідження, у яких безпосередньо порівнюється ефективність класичної когнітивно-поведінкової терапії та підходів так званої «третьої хвилі», засвідчило неочікувано обмежену кількість наукових публікацій, . Попри активний розвиток обох напрямів і наявність доказової бази для кожного з них окремо, комплексні порівняльні дослідження залишаються поодинокими, що ускладнює формування узагальнених висновків щодо їх відносної ефективності. </w:t>
      </w:r>
    </w:p>
    <w:p w14:paraId="75874966" w14:textId="77777777" w:rsidR="00B51242" w:rsidRDefault="008E4E86">
      <w:pPr>
        <w:tabs>
          <w:tab w:val="center" w:leader="dot" w:pos="9344"/>
        </w:tabs>
        <w:snapToGrid w:val="0"/>
        <w:spacing w:line="360" w:lineRule="auto"/>
        <w:ind w:firstLine="737"/>
        <w:jc w:val="both"/>
      </w:pPr>
      <w:r>
        <w:rPr>
          <w:rStyle w:val="InternetLink"/>
          <w:rFonts w:eastAsia="Times New Roman" w:cs="Times New Roman"/>
          <w:bCs/>
          <w:color w:val="000000"/>
          <w:sz w:val="28"/>
          <w:szCs w:val="28"/>
          <w:u w:val="none"/>
        </w:rPr>
        <w:t xml:space="preserve">Класична КПТ, зокрема когнітивна процесуальна терапія (CPT) та експозиційна терапія (PE), залишається першою лінією вибору при лікуванні ПТСР, особливо у випадках, коли травма має чітку часову та подієву локалізацію, як-от бойові дії чи дорожньо-транспортні пригоди. Його перевагами є висока структурованість, наявність значної доказової бази та стандартизованих протоколів, що забезпечує відтворюваність результатів. Водночас цей підхід може виявлятися складним для пацієнтів із вираженою уникальною поведінкою або низьким рівнем мотивації, що обмежує його ефективність у деяких клінічних випадках. У свою чергу, техніки третьої хвилі КПТ, зокрема терапія прийняття та відповідальності (ACT), компасіон-фокусована терапія (CFT) та діалектична поведінкова терапія (DBT), демонструють більшу гнучкість і здатність працювати з хронічними та комплексними формами ПТСР, особливо за наявності супутніх симптомів сорому, дисоціації, депресії та розладів харчової поведінки. Вони краще інтегрують емоційно-орієнтовані та майндфулнес-стратегії, що полегшує роботу з пацієнтами, для яких класичні методи виявляються надто інтенсивними або структурованими. Таким чином, інтегративний підхід, який поєднує елементи класичної та третьої хвилі КПТ, забезпечує можливість індивідуалізації терапевтичного процесу та оптимізації результатів лікування відповідно до клінічного профілю і потреб конкретного пацієнта. </w:t>
      </w:r>
    </w:p>
    <w:p w14:paraId="78F406AE" w14:textId="77777777" w:rsidR="00B51242" w:rsidRDefault="008E4E86">
      <w:pPr>
        <w:tabs>
          <w:tab w:val="center" w:leader="dot" w:pos="9344"/>
        </w:tabs>
        <w:snapToGrid w:val="0"/>
        <w:spacing w:line="360" w:lineRule="auto"/>
        <w:ind w:firstLine="737"/>
        <w:jc w:val="both"/>
      </w:pPr>
      <w:r>
        <w:rPr>
          <w:rStyle w:val="StrongEmphasis"/>
          <w:rFonts w:eastAsia="Times New Roman" w:cs="Times New Roman"/>
          <w:color w:val="000000"/>
          <w:sz w:val="28"/>
          <w:szCs w:val="28"/>
        </w:rPr>
        <w:t xml:space="preserve">Висновок щодо Оксфордського підходу </w:t>
      </w:r>
    </w:p>
    <w:p w14:paraId="3941461B" w14:textId="77777777" w:rsidR="00B51242" w:rsidRDefault="008E4E86">
      <w:pPr>
        <w:tabs>
          <w:tab w:val="center" w:leader="dot" w:pos="9344"/>
        </w:tabs>
        <w:snapToGrid w:val="0"/>
        <w:spacing w:line="360" w:lineRule="auto"/>
        <w:ind w:firstLine="737"/>
        <w:jc w:val="both"/>
      </w:pPr>
      <w:r>
        <w:rPr>
          <w:sz w:val="28"/>
          <w:szCs w:val="28"/>
        </w:rPr>
        <w:t>Так багато часу було використано для дослідження Оксфордського методу бо вбачалась перспектива швидкої реабілітації військовослужбовців. Але, попри доведену ефективність оксфордського підходу до травмотерапії, який передбачає системну роботу з наслідками психотравматичних подій, клінічний досвід та емпіричні спостереження вказують на значний рівень відсіву пацієнтів ще на початкових етапах терапевтичного процесу. Особливо виразно ця проблема проявляється в роботі з військовослужбовцями, які мають досвід участі в бойових діях.</w:t>
      </w:r>
    </w:p>
    <w:p w14:paraId="45683D86" w14:textId="77777777" w:rsidR="00B51242" w:rsidRDefault="008E4E86">
      <w:pPr>
        <w:tabs>
          <w:tab w:val="center" w:leader="dot" w:pos="9344"/>
        </w:tabs>
        <w:snapToGrid w:val="0"/>
        <w:spacing w:line="360" w:lineRule="auto"/>
        <w:ind w:firstLine="737"/>
        <w:jc w:val="both"/>
      </w:pPr>
      <w:r>
        <w:rPr>
          <w:sz w:val="28"/>
          <w:szCs w:val="28"/>
        </w:rPr>
        <w:t>Дані, отримані в рамках психотерапевтичної практики з військовими, свідчать, що основними бар’єрами до початку терапії є негативний або розчаровуючий досвід попередніх звернень до психологів, а також низький рівень обізнаності щодо природи ПТСР і можливостей його подолання. Зокрема, часто спостерігається викривлене уявлення про мету терапії, її тривалість та механізми впливу, що додатково ускладнює формування мотивації до змін.</w:t>
      </w:r>
    </w:p>
    <w:p w14:paraId="486A75C3" w14:textId="77777777" w:rsidR="00B51242" w:rsidRDefault="008E4E86">
      <w:pPr>
        <w:tabs>
          <w:tab w:val="center" w:leader="dot" w:pos="9344"/>
        </w:tabs>
        <w:snapToGrid w:val="0"/>
        <w:spacing w:line="360" w:lineRule="auto"/>
        <w:ind w:firstLine="737"/>
        <w:jc w:val="both"/>
      </w:pPr>
      <w:r>
        <w:rPr>
          <w:sz w:val="28"/>
          <w:szCs w:val="28"/>
        </w:rPr>
        <w:t>Слід зазначити, що однією з ключових характеристик ПТСР є уникнення — як когнітивне, так і поведінкове. Це означає, що сам розлад містить у своїй структурі механізм, який перешкоджає пошуку допомоги. Тому спроби розпочати безпосередню травмоорієнтовану роботу без належного підготовчого етапу часто завершуються достроковим припиненням терапії або низькою ефективністю втручання.</w:t>
      </w:r>
    </w:p>
    <w:p w14:paraId="6A2A7503" w14:textId="77777777" w:rsidR="00B51242" w:rsidRDefault="008E4E86">
      <w:pPr>
        <w:tabs>
          <w:tab w:val="center" w:leader="dot" w:pos="9344"/>
        </w:tabs>
        <w:snapToGrid w:val="0"/>
        <w:spacing w:line="360" w:lineRule="auto"/>
        <w:ind w:firstLine="737"/>
        <w:jc w:val="both"/>
      </w:pPr>
      <w:r>
        <w:rPr>
          <w:sz w:val="28"/>
          <w:szCs w:val="28"/>
        </w:rPr>
        <w:t>У цьому контексті особливої ваги набувають психоосвітні інтервенції та поступове формування терапевтичного альянсу. Довіра до спеціаліста, розуміння природи симптомів і механізмів їх підтримання, а також чітке усвідомлення етапів терапевтичного процесу — є критично важливими умовами готовності військовослужбовця до ефективної роботи з травматичним досвідом.</w:t>
      </w:r>
    </w:p>
    <w:p w14:paraId="43DBE9FC" w14:textId="77777777" w:rsidR="00B51242" w:rsidRDefault="008E4E86">
      <w:pPr>
        <w:tabs>
          <w:tab w:val="center" w:leader="dot" w:pos="9344"/>
        </w:tabs>
        <w:snapToGrid w:val="0"/>
        <w:spacing w:line="360" w:lineRule="auto"/>
        <w:ind w:firstLine="737"/>
        <w:jc w:val="both"/>
      </w:pPr>
      <w:r>
        <w:rPr>
          <w:sz w:val="28"/>
          <w:szCs w:val="28"/>
        </w:rPr>
        <w:t>Цей висновок узгоджується з результатами досліджень, що лише за наявності підготовчого етапу, зокрема психоосвіти та альянсоорієнтованого підходу, можливе успішне впровадження травмофокусованих протоколів у роботі з ПТСР особливо серед військовослужбовців  ЗСУ</w:t>
      </w:r>
    </w:p>
    <w:p w14:paraId="3C1AEBE6" w14:textId="77777777" w:rsidR="00B51242" w:rsidRDefault="008E4E86">
      <w:pPr>
        <w:tabs>
          <w:tab w:val="center" w:leader="dot" w:pos="9344"/>
        </w:tabs>
        <w:snapToGrid w:val="0"/>
        <w:spacing w:line="360" w:lineRule="auto"/>
        <w:ind w:firstLine="737"/>
        <w:jc w:val="both"/>
      </w:pPr>
      <w:r>
        <w:rPr>
          <w:b/>
          <w:bCs/>
          <w:color w:val="000000"/>
          <w:sz w:val="28"/>
          <w:szCs w:val="28"/>
        </w:rPr>
        <w:t>Висновки що до гендерної відмінності</w:t>
      </w:r>
    </w:p>
    <w:p w14:paraId="23A7F6D4" w14:textId="77777777" w:rsidR="00B51242" w:rsidRDefault="008E4E86">
      <w:pPr>
        <w:tabs>
          <w:tab w:val="center" w:leader="dot" w:pos="9344"/>
        </w:tabs>
        <w:snapToGrid w:val="0"/>
        <w:spacing w:line="360" w:lineRule="auto"/>
        <w:ind w:firstLine="737"/>
        <w:jc w:val="both"/>
      </w:pPr>
      <w:r>
        <w:rPr>
          <w:sz w:val="28"/>
          <w:szCs w:val="28"/>
        </w:rPr>
        <w:t xml:space="preserve">Дослідження впливу гендерних відмінностей та супутнього депресивного стану на перебіг лікування посттравматичного стресового розладу проводилося в межах ширшого комплексного аналізу. Отримані результати свідчать, що на початкових етапах терапії жінки демонструють більш виражену позитивну динаміку, що може бути пов’язано з вищим рівнем відкритості до психологічної взаємодії та готовністю до опрацювання травматичного досвіду. Водночас у довгостроковій перспективі показники ефективності лікування у представників обох статей вирівнюються, що свідчить про збереження позитивного ефекту незалежно від гендерної належності. </w:t>
      </w:r>
    </w:p>
    <w:p w14:paraId="46FDE11C" w14:textId="77777777" w:rsidR="00B51242" w:rsidRDefault="008E4E86">
      <w:pPr>
        <w:tabs>
          <w:tab w:val="center" w:leader="dot" w:pos="9344"/>
        </w:tabs>
        <w:snapToGrid w:val="0"/>
        <w:spacing w:line="360" w:lineRule="auto"/>
        <w:ind w:firstLine="737"/>
        <w:jc w:val="both"/>
      </w:pPr>
      <w:r>
        <w:rPr>
          <w:b/>
          <w:bCs/>
          <w:color w:val="000000"/>
          <w:sz w:val="28"/>
          <w:szCs w:val="28"/>
        </w:rPr>
        <w:t>Висновок що до проблем психологічної допомоги військовослужбовцям із ПТСР .</w:t>
      </w:r>
    </w:p>
    <w:p w14:paraId="6DE1DD09" w14:textId="77777777" w:rsidR="00B51242" w:rsidRDefault="008E4E86">
      <w:pPr>
        <w:tabs>
          <w:tab w:val="center" w:leader="dot" w:pos="9344"/>
        </w:tabs>
        <w:snapToGrid w:val="0"/>
        <w:spacing w:line="360" w:lineRule="auto"/>
        <w:ind w:firstLine="737"/>
        <w:jc w:val="both"/>
      </w:pPr>
      <w:bookmarkStart w:id="6" w:name="__DdeLink__6757_1001044082"/>
      <w:r>
        <w:rPr>
          <w:rStyle w:val="InternetLink"/>
          <w:rFonts w:eastAsia="Times New Roman" w:cs="Times New Roman"/>
          <w:bCs/>
          <w:color w:val="000000"/>
          <w:sz w:val="28"/>
          <w:szCs w:val="28"/>
          <w:u w:val="none"/>
        </w:rPr>
        <w:t>Попри досягнення сучасних підходів до лікування посттравматичного стресового розладу у військовослужбовців, низка проблем залишається актуальною та суттєво обмежує довготривалу ефективність психологічної допомоги.</w:t>
      </w:r>
      <w:bookmarkEnd w:id="6"/>
      <w:r>
        <w:rPr>
          <w:rStyle w:val="InternetLink"/>
          <w:rFonts w:eastAsia="Times New Roman" w:cs="Times New Roman"/>
          <w:bCs/>
          <w:color w:val="000000"/>
          <w:sz w:val="28"/>
          <w:szCs w:val="28"/>
          <w:u w:val="none"/>
        </w:rPr>
        <w:t xml:space="preserve"> Однією з ключових труднощів є високий рівень відсіву з терапевтичних програм, що зумовлений як об’єктивними чинниками бойового середовища, так і суб’єктивними бар’єрами, включно з недовірою до психологів, методів лікування, стигматизацією психічних розладів та труднощами у збереженні мотивації.</w:t>
      </w:r>
      <w:r>
        <w:rPr>
          <w:rStyle w:val="InternetLink"/>
          <w:rFonts w:eastAsia="Times New Roman" w:cs="Times New Roman"/>
          <w:bCs/>
          <w:color w:val="FF4000"/>
          <w:sz w:val="28"/>
          <w:szCs w:val="28"/>
          <w:u w:val="none"/>
        </w:rPr>
        <w:t xml:space="preserve"> </w:t>
      </w:r>
      <w:r>
        <w:rPr>
          <w:rStyle w:val="InternetLink"/>
          <w:rFonts w:eastAsia="Times New Roman" w:cs="Times New Roman"/>
          <w:bCs/>
          <w:color w:val="000000"/>
          <w:sz w:val="28"/>
          <w:szCs w:val="28"/>
          <w:u w:val="none"/>
        </w:rPr>
        <w:t xml:space="preserve"> Крім того, спостерігається значна частка рецидивів, що свідчить про вразливість отриманих результатів до повторних стресорів або тригерів, пов’язаних із досвідом бойових дій.  Навіть у випадках, коли лікування вважається успішним, у багатьох військовослужбовців зберігається синдром гіперзбудження, який проявляється підвищеною пильністю, емоційною збудливістю та порушеннями сну, навіть після завершення інтенсивної терапії. </w:t>
      </w:r>
      <w:r>
        <w:rPr>
          <w:rStyle w:val="InternetLink"/>
          <w:rFonts w:eastAsia="Times New Roman" w:cs="Times New Roman"/>
          <w:bCs/>
          <w:color w:val="FF4000"/>
          <w:sz w:val="28"/>
          <w:szCs w:val="28"/>
          <w:u w:val="none"/>
        </w:rPr>
        <w:t xml:space="preserve"> </w:t>
      </w:r>
    </w:p>
    <w:p w14:paraId="46C9D57A" w14:textId="77777777" w:rsidR="00B51242" w:rsidRDefault="008E4E86">
      <w:pPr>
        <w:tabs>
          <w:tab w:val="center" w:leader="dot" w:pos="9344"/>
        </w:tabs>
        <w:snapToGrid w:val="0"/>
        <w:spacing w:line="360" w:lineRule="auto"/>
        <w:ind w:firstLine="737"/>
        <w:jc w:val="both"/>
      </w:pPr>
      <w:r>
        <w:rPr>
          <w:rStyle w:val="InternetLink"/>
          <w:rFonts w:eastAsia="Times New Roman" w:cs="Times New Roman"/>
          <w:b/>
          <w:bCs/>
          <w:color w:val="000000"/>
          <w:sz w:val="28"/>
          <w:szCs w:val="28"/>
          <w:u w:val="none"/>
        </w:rPr>
        <w:t>Проблема відсіву</w:t>
      </w:r>
      <w:r>
        <w:rPr>
          <w:rStyle w:val="InternetLink"/>
          <w:rFonts w:eastAsia="Times New Roman" w:cs="Times New Roman"/>
          <w:bCs/>
          <w:color w:val="000000"/>
          <w:sz w:val="28"/>
          <w:szCs w:val="28"/>
          <w:u w:val="none"/>
        </w:rPr>
        <w:t>.</w:t>
      </w:r>
      <w:r>
        <w:rPr>
          <w:rStyle w:val="InternetLink"/>
          <w:rFonts w:eastAsia="Times New Roman" w:cs="Times New Roman"/>
          <w:bCs/>
          <w:color w:val="FF4000"/>
          <w:sz w:val="28"/>
          <w:szCs w:val="28"/>
          <w:u w:val="none"/>
        </w:rPr>
        <w:t xml:space="preserve"> </w:t>
      </w:r>
      <w:r>
        <w:rPr>
          <w:rStyle w:val="InternetLink"/>
          <w:rFonts w:eastAsia="Times New Roman" w:cs="Times New Roman"/>
          <w:bCs/>
          <w:color w:val="auto"/>
          <w:sz w:val="28"/>
          <w:szCs w:val="28"/>
          <w:u w:val="none"/>
        </w:rPr>
        <w:t>Вирішення проблеми відсіву</w:t>
      </w:r>
      <w:r>
        <w:rPr>
          <w:rStyle w:val="InternetLink"/>
          <w:rFonts w:eastAsia="Times New Roman" w:cs="Times New Roman"/>
          <w:bCs/>
          <w:color w:val="000000"/>
          <w:sz w:val="28"/>
          <w:szCs w:val="28"/>
          <w:u w:val="none"/>
        </w:rPr>
        <w:t xml:space="preserve"> військовослужбовців із програм психологічної допомоги при посттравматичному стресовому розладі доцільно розглядати через призму формування стійкого терапевтичного альянсу, що передбачає побудову довірливих, партнерських стосунків між фахівцем та пацієнтом. Важливим компонентом є цілеспрямована психоосвіта, яка не обмежується поверхневим ознайомленням із симптоматикою та методами лікування, а передбачає глибоке занурення у логіку та механізми обраного терапевтичного підходу. Такий підхід сприяє підвищенню внутрішньої мотивації та відчуття контролю над процесом одужання. Додатковим чинником є переорієнтація сприйняття власного стану: замість традиційної моделі, в якій військовослужбовець ідентифікує себе як «хворого», пропонується концепція тренувального підходу, де психотерапевтична робота подається у форматі розвитку та вдосконалення психологічних навичок. Перехід від позиції «я хворий» до позиції «я недостатньо тренований» зменшує стигматизацію, зміцнює віру у власні ресурси та підсилює готовність до активної участі у терапії, що у підсумку здатне суттєво знизити ризик дострокового припинення лікування. </w:t>
      </w:r>
    </w:p>
    <w:p w14:paraId="305A82D6" w14:textId="77777777" w:rsidR="00B51242" w:rsidRDefault="008E4E86">
      <w:pPr>
        <w:tabs>
          <w:tab w:val="center" w:leader="dot" w:pos="9344"/>
        </w:tabs>
        <w:snapToGrid w:val="0"/>
        <w:spacing w:line="360" w:lineRule="auto"/>
        <w:ind w:firstLine="737"/>
        <w:jc w:val="both"/>
      </w:pPr>
      <w:r>
        <w:rPr>
          <w:rStyle w:val="InternetLink"/>
          <w:rFonts w:eastAsia="Times New Roman" w:cs="Times New Roman"/>
          <w:b/>
          <w:bCs/>
          <w:color w:val="000000"/>
          <w:sz w:val="28"/>
          <w:szCs w:val="28"/>
          <w:u w:val="none"/>
        </w:rPr>
        <w:t>Проблема рецидиву.</w:t>
      </w:r>
      <w:r>
        <w:rPr>
          <w:rStyle w:val="InternetLink"/>
          <w:rFonts w:eastAsia="Times New Roman" w:cs="Times New Roman"/>
          <w:bCs/>
          <w:color w:val="000000"/>
          <w:sz w:val="28"/>
          <w:szCs w:val="28"/>
          <w:u w:val="none"/>
        </w:rPr>
        <w:t xml:space="preserve"> Лікуванні посттравматичного стресового розладу потребує відходу від шаблонних терапевтичних підходів та впровадження індивідуально сформованих планів лікування з використанням інтегративної методології, що поєднує ефективні елементи різних доказових напрямів психотерапії. Такий підхід передбачає створення більш тривалих і комплексних програм підтримки, які охоплюють не лише гостру фазу втручання, а й забезпечують довгостроковий моніторинг, профілактику рецидивів та системну роботу з хронічними залишковими симптомами. </w:t>
      </w:r>
    </w:p>
    <w:p w14:paraId="4AC94BFC" w14:textId="77777777" w:rsidR="00B51242" w:rsidRDefault="008E4E86">
      <w:pPr>
        <w:tabs>
          <w:tab w:val="center" w:leader="dot" w:pos="9344"/>
        </w:tabs>
        <w:snapToGrid w:val="0"/>
        <w:spacing w:line="360" w:lineRule="auto"/>
        <w:ind w:firstLine="737"/>
        <w:jc w:val="both"/>
      </w:pPr>
      <w:r>
        <w:rPr>
          <w:rStyle w:val="InternetLink"/>
          <w:rFonts w:eastAsia="Times New Roman" w:cs="Times New Roman"/>
          <w:b/>
          <w:bCs/>
          <w:color w:val="000000"/>
          <w:sz w:val="28"/>
          <w:szCs w:val="28"/>
          <w:u w:val="none"/>
        </w:rPr>
        <w:t>Проблема гіперзбудження.</w:t>
      </w:r>
      <w:r>
        <w:rPr>
          <w:rStyle w:val="InternetLink"/>
          <w:rFonts w:eastAsia="Times New Roman" w:cs="Times New Roman"/>
          <w:bCs/>
          <w:color w:val="000000"/>
          <w:sz w:val="28"/>
          <w:szCs w:val="28"/>
          <w:u w:val="none"/>
        </w:rPr>
        <w:t xml:space="preserve"> Особливої уваги потребує симптом гіперзбудження, який є одним із ключових діагностичних критеріїв ПТСР </w:t>
      </w:r>
      <w:r>
        <w:rPr>
          <w:rStyle w:val="InternetLink"/>
          <w:rFonts w:eastAsia="Times New Roman" w:cs="Times New Roman"/>
          <w:color w:val="000000"/>
          <w:sz w:val="28"/>
          <w:szCs w:val="28"/>
          <w:u w:val="none"/>
        </w:rPr>
        <w:t xml:space="preserve">(симптом з </w:t>
      </w:r>
      <w:r>
        <w:rPr>
          <w:rStyle w:val="StrongEmphasis"/>
          <w:rFonts w:eastAsia="Times New Roman" w:cs="Times New Roman"/>
          <w:b w:val="0"/>
          <w:bCs w:val="0"/>
          <w:color w:val="000000"/>
          <w:sz w:val="28"/>
          <w:szCs w:val="28"/>
        </w:rPr>
        <w:t>кластеру D відповідно DSM-5)</w:t>
      </w:r>
      <w:r>
        <w:rPr>
          <w:rStyle w:val="InternetLink"/>
          <w:rFonts w:eastAsia="Times New Roman" w:cs="Times New Roman"/>
          <w:bCs/>
          <w:color w:val="000000"/>
          <w:sz w:val="28"/>
          <w:szCs w:val="28"/>
          <w:u w:val="none"/>
        </w:rPr>
        <w:t xml:space="preserve"> та має виражений вплив на перебіг захворювання. Його стійка присутність навіть після завершення основного курсу лікування значно ускладнює відновлення та підвищує ризик повернення симптоматики. Саме тому робота з гіперзбудженням має розпочинатися вже на етапі початкової психоосвіти, оскільки своєчасне зменшення його інтенсивності сприяє підвищенню ефективності всієї терапевтичної програми. У межах подальшого дослідження планується приділити цьому симптому особливу увагу, розглядаючи його як один із пріоритетних напрямів клінічної корекції. </w:t>
      </w:r>
      <w:r>
        <w:rPr>
          <w:rStyle w:val="InternetLink"/>
          <w:rFonts w:eastAsia="Times New Roman" w:cs="Times New Roman"/>
          <w:bCs/>
          <w:color w:val="FF4000"/>
          <w:sz w:val="28"/>
          <w:szCs w:val="28"/>
          <w:u w:val="none"/>
        </w:rPr>
        <w:t xml:space="preserve"> </w:t>
      </w:r>
    </w:p>
    <w:p w14:paraId="77F71E41" w14:textId="77777777" w:rsidR="00B51242" w:rsidRDefault="008E4E86">
      <w:pPr>
        <w:spacing w:line="360" w:lineRule="auto"/>
        <w:jc w:val="both"/>
      </w:pPr>
      <w:r>
        <w:rPr>
          <w:rStyle w:val="InternetLink"/>
          <w:rFonts w:eastAsia="Times New Roman" w:cs="Times New Roman"/>
          <w:bCs/>
          <w:color w:val="000000"/>
          <w:sz w:val="28"/>
          <w:szCs w:val="28"/>
          <w:u w:val="none"/>
        </w:rPr>
        <w:t xml:space="preserve">      Вирішення ключових проблем, що постають у процесі психологічної допомоги військовослужбовцям із посттравматичним стресовим розладом (ПТСР), зокрема високого рівня відсіву з терапевтичних програм, рецидивів симптоматики та стійкого гіперзбудження, має визначальний вплив на загальну якість і результативність психотерапевтичного процесу. Наявність цих бар’єрів не лише знижує ефективність лікування, а й підриває довіру військовослужбовців до самої ідеї психологічної підтримки, що, у свою чергу, поглиблює ризики хроніфікації розладу та соціально-професійної дезадаптації.</w:t>
      </w:r>
    </w:p>
    <w:p w14:paraId="44270986" w14:textId="77777777" w:rsidR="00B51242" w:rsidRDefault="008E4E86">
      <w:pPr>
        <w:spacing w:line="360" w:lineRule="auto"/>
        <w:ind w:firstLine="737"/>
        <w:jc w:val="both"/>
      </w:pPr>
      <w:r>
        <w:rPr>
          <w:sz w:val="28"/>
          <w:szCs w:val="28"/>
        </w:rPr>
        <w:t>Оптимальним шляхом подолання зазначених труднощів вбачаю застосування інтегративного підходу, що поєднує елементи психоєдукації, тілесно-орієнтованої роботи, а також когнітивних та поведінкових технік. Психоєдукація виступає базисом, забезпечуючи підвищення рівня обізнаності військовослужбовців щодо природи ПТСР, механізмів розвитку симптомів та можливостей їх регуляції. Це зменшує стигматизацію, посилює мотивацію до участі у терапії та сприяє зниженню рівня відсіву.</w:t>
      </w:r>
    </w:p>
    <w:p w14:paraId="76140760" w14:textId="77777777" w:rsidR="00B51242" w:rsidRDefault="008E4E86">
      <w:pPr>
        <w:spacing w:line="360" w:lineRule="auto"/>
        <w:ind w:firstLine="737"/>
        <w:jc w:val="both"/>
      </w:pPr>
      <w:r>
        <w:rPr>
          <w:sz w:val="28"/>
          <w:szCs w:val="28"/>
        </w:rPr>
        <w:t>Тілесно-орієнтований компонент допомагає працювати з соматичними проявами гіперзбудження, відновлювати відчуття контролю над тілесними реакціями та регулювати фізіологічні кореляти тривоги. Через вправи на усвідомлення тіла, дихальні техніки та методи релаксації військовослужбовці отримують інструменти для саморегуляції у стресових умовах.</w:t>
      </w:r>
    </w:p>
    <w:p w14:paraId="7BE15288" w14:textId="77777777" w:rsidR="00B51242" w:rsidRDefault="008E4E86">
      <w:pPr>
        <w:spacing w:line="360" w:lineRule="auto"/>
        <w:ind w:firstLine="737"/>
        <w:jc w:val="both"/>
      </w:pPr>
      <w:r>
        <w:rPr>
          <w:sz w:val="28"/>
          <w:szCs w:val="28"/>
        </w:rPr>
        <w:t>Когнітивні техніки спрямовані на ідентифікацію і трансформацію дисфункційних переконань, що формуються внаслідок травматичного досвіду, зокрема почуття провини, сорому або надмірної загрози. Поведінковий компонент включає експозиційні вправи та поступове формування адаптивних моделей реагування, що дозволяє зменшити уникання, посилити толерантність до тригерів і запобігти рецидивам симптоматики.</w:t>
      </w:r>
    </w:p>
    <w:p w14:paraId="42B6A45D" w14:textId="77777777" w:rsidR="00B51242" w:rsidRDefault="008E4E86">
      <w:pPr>
        <w:spacing w:line="360" w:lineRule="auto"/>
        <w:ind w:firstLine="737"/>
        <w:jc w:val="both"/>
      </w:pPr>
      <w:r>
        <w:rPr>
          <w:sz w:val="28"/>
          <w:szCs w:val="28"/>
        </w:rPr>
        <w:t>Таким чином, інтегративний метод забезпечує комплексний вплив на різні рівні функціонування особистості — когнітивний, емоційний, поведінковий і соматичний. Поєднання зазначених напрямів створює синергетичний ефект, підвищує ефективність психологічної допомоги, знижує ризик відсіву та рецидивів, а також сприяє більш стійкому відновленню психічного здоров’я військовослужбовців.</w:t>
      </w:r>
    </w:p>
    <w:p w14:paraId="718CFD60" w14:textId="77777777" w:rsidR="00B51242" w:rsidRDefault="008E4E86">
      <w:pPr>
        <w:spacing w:line="360" w:lineRule="auto"/>
        <w:ind w:firstLine="737"/>
        <w:jc w:val="both"/>
      </w:pPr>
      <w:r>
        <w:rPr>
          <w:b/>
          <w:bCs/>
          <w:color w:val="000000"/>
          <w:sz w:val="28"/>
          <w:szCs w:val="28"/>
        </w:rPr>
        <w:t>Висновки що до лікування в зоні бойових дій</w:t>
      </w:r>
    </w:p>
    <w:p w14:paraId="40B38411" w14:textId="77777777" w:rsidR="00B51242" w:rsidRDefault="008E4E86">
      <w:pPr>
        <w:spacing w:line="360" w:lineRule="auto"/>
        <w:ind w:firstLine="737"/>
        <w:jc w:val="both"/>
      </w:pPr>
      <w:r>
        <w:rPr>
          <w:bCs/>
          <w:color w:val="000000"/>
          <w:sz w:val="28"/>
          <w:szCs w:val="28"/>
        </w:rPr>
        <w:t>Ефективність когнітивно-поведінкової терапії у наданні психологічної допомоги військовослужбовцям, які перебувають безпосередньо в умовах активних бойових дій, залишається дискусійним та недостатньо дослідженим питанням. Психологічний контекст бойових дій суттєво відрізняється від умов, у яких зазвичай застосовується класична травмофокусована КПТ, оскільки травматичний досвід не є завершеною подією, а часто має тривалий або повторюваний характер. Це зумовлює необхідність модифікації традиційного підходу, що базується на переосмисленні минулої події, у бік методів, орієнтованих на підтримку навичок виживання та емоційної регуляції «тут і зараз». Хоча кількість доказових досліджень у цій сфері обмежена, масштабне дослідження Наомі Енніс, профінансоване Канадським інститутом досліджень охорони здоров’я, продемонструвало, що результати застосування травмофокусованої КПТ у ситуаціях постійної загрози є обнадійливими, проте наявних даних поки недостатньо, щоб однозначно стверджувати про безпечність та ефективність цього підходу для військовослужбовців у бойових умовах. На цій підставі більш перспективним видається застосування адаптованих технік MBSR (Mindfulness-Based Stress Reduction), модифікованих для потреб та обмежень бойового середовища, оскільки вони дозволяють швидко стабілізувати емоційний стан, зменшити рівень фізіологічної активації та підтримати оперативну готовність. Водночас проблема психологічної стабілізації військовослужбовців у бойових умовах є надзвичайно масштабною і комплексною, виходить за межі завдань цього дослідження та потребує окремого цілеспрямованого наукового вивчення з урахуванням контексту реальних операційних середовищ.</w:t>
      </w:r>
      <w:r>
        <w:rPr>
          <w:b/>
          <w:bCs/>
          <w:sz w:val="28"/>
          <w:szCs w:val="28"/>
        </w:rPr>
        <w:t xml:space="preserve"> </w:t>
      </w:r>
    </w:p>
    <w:p w14:paraId="5F96A722" w14:textId="77777777" w:rsidR="00B51242" w:rsidRDefault="00B51242">
      <w:pPr>
        <w:spacing w:line="360" w:lineRule="auto"/>
        <w:jc w:val="both"/>
      </w:pPr>
    </w:p>
    <w:p w14:paraId="5B95CD12" w14:textId="77777777" w:rsidR="00B51242" w:rsidRDefault="00B51242"/>
    <w:p w14:paraId="5220BBB2" w14:textId="77777777" w:rsidR="00B51242" w:rsidRDefault="00B51242"/>
    <w:p w14:paraId="13CB595B" w14:textId="77777777" w:rsidR="00B51242" w:rsidRDefault="00B51242"/>
    <w:p w14:paraId="6D9C8D39" w14:textId="77777777" w:rsidR="00B51242" w:rsidRDefault="00B51242"/>
    <w:p w14:paraId="675E05EE" w14:textId="77777777" w:rsidR="00B51242" w:rsidRDefault="00B51242"/>
    <w:p w14:paraId="2FC17F8B" w14:textId="77777777" w:rsidR="00B51242" w:rsidRDefault="00B51242">
      <w:pPr>
        <w:rPr>
          <w:rStyle w:val="InternetLink"/>
          <w:rFonts w:eastAsia="Calibri"/>
          <w:b/>
          <w:bCs/>
          <w:color w:val="C9211E"/>
          <w:sz w:val="32"/>
          <w:szCs w:val="32"/>
        </w:rPr>
      </w:pPr>
    </w:p>
    <w:p w14:paraId="0A4F7224" w14:textId="77777777" w:rsidR="00B51242" w:rsidRDefault="00B51242">
      <w:pPr>
        <w:rPr>
          <w:rStyle w:val="InternetLink"/>
          <w:rFonts w:eastAsia="Calibri"/>
          <w:b/>
          <w:bCs/>
          <w:color w:val="C9211E"/>
          <w:sz w:val="32"/>
          <w:szCs w:val="32"/>
        </w:rPr>
      </w:pPr>
    </w:p>
    <w:p w14:paraId="4E5CA882" w14:textId="77777777" w:rsidR="00B51242" w:rsidRDefault="008E4E86">
      <w:pPr>
        <w:pStyle w:val="2"/>
        <w:spacing w:before="0" w:after="0" w:line="360" w:lineRule="auto"/>
        <w:jc w:val="center"/>
      </w:pPr>
      <w:r>
        <w:rPr>
          <w:rStyle w:val="InternetLink"/>
          <w:rFonts w:eastAsia="Calibri"/>
          <w:color w:val="000000"/>
          <w:sz w:val="28"/>
          <w:szCs w:val="28"/>
          <w:u w:val="none"/>
        </w:rPr>
        <w:t xml:space="preserve">РОЗДІЛ ІІІ. ДОСЛІДЖЕННЯ ПРОБЛЕМ ПСИХОЛОГІЧНОЇ ПІДТРИМКИ ВІЙСЬКОВОСЛУЖБОВЦІВ ІЗ ПТСР </w:t>
      </w:r>
    </w:p>
    <w:p w14:paraId="2AAB346D" w14:textId="77777777" w:rsidR="00B51242" w:rsidRDefault="008E4E86">
      <w:pPr>
        <w:pStyle w:val="2"/>
        <w:spacing w:before="0" w:after="0" w:line="360" w:lineRule="auto"/>
        <w:jc w:val="center"/>
      </w:pPr>
      <w:r>
        <w:rPr>
          <w:rStyle w:val="InternetLink"/>
          <w:rFonts w:eastAsia="Calibri"/>
          <w:color w:val="000000"/>
          <w:sz w:val="28"/>
          <w:szCs w:val="28"/>
          <w:u w:val="none"/>
        </w:rPr>
        <w:t xml:space="preserve">ТА ШЛЯХИ ЇХ ВИРІШЕННЯ.                                                                  </w:t>
      </w:r>
    </w:p>
    <w:p w14:paraId="03E024AB" w14:textId="77777777" w:rsidR="00B51242" w:rsidRDefault="008E4E86">
      <w:pPr>
        <w:pStyle w:val="2"/>
        <w:spacing w:before="0" w:after="0" w:line="360" w:lineRule="auto"/>
        <w:ind w:firstLine="737"/>
        <w:jc w:val="both"/>
      </w:pPr>
      <w:r>
        <w:rPr>
          <w:rStyle w:val="InternetLink"/>
          <w:rFonts w:eastAsia="Times New Roman" w:cs="Times New Roman"/>
          <w:color w:val="000000"/>
          <w:sz w:val="28"/>
          <w:szCs w:val="28"/>
          <w:u w:val="none"/>
        </w:rPr>
        <w:t xml:space="preserve">3.1. Інтегративний підхід </w:t>
      </w:r>
    </w:p>
    <w:p w14:paraId="59498CB1" w14:textId="77777777" w:rsidR="00B51242" w:rsidRDefault="008E4E86">
      <w:pPr>
        <w:spacing w:line="360" w:lineRule="auto"/>
        <w:ind w:firstLine="737"/>
        <w:jc w:val="both"/>
      </w:pPr>
      <w:r>
        <w:rPr>
          <w:rStyle w:val="InternetLink"/>
          <w:rFonts w:eastAsia="Times New Roman" w:cs="Times New Roman"/>
          <w:b/>
          <w:bCs/>
          <w:color w:val="000000"/>
          <w:sz w:val="28"/>
          <w:szCs w:val="28"/>
          <w:u w:val="none"/>
          <w:lang w:eastAsia="ru-RU"/>
        </w:rPr>
        <w:t>Завдання інтегративного підходу</w:t>
      </w:r>
      <w:r>
        <w:rPr>
          <w:rStyle w:val="InternetLink"/>
          <w:rFonts w:eastAsia="Times New Roman" w:cs="Times New Roman"/>
          <w:b/>
          <w:bCs/>
          <w:color w:val="C9211E"/>
          <w:sz w:val="36"/>
          <w:szCs w:val="36"/>
          <w:u w:val="none"/>
          <w:lang w:eastAsia="ru-RU"/>
        </w:rPr>
        <w:t xml:space="preserve">                                                                                                                          </w:t>
      </w:r>
    </w:p>
    <w:p w14:paraId="32BC925E" w14:textId="77777777" w:rsidR="00B51242" w:rsidRDefault="008E4E86">
      <w:pPr>
        <w:spacing w:line="360" w:lineRule="auto"/>
        <w:ind w:firstLine="737"/>
        <w:jc w:val="both"/>
      </w:pPr>
      <w:r>
        <w:rPr>
          <w:rStyle w:val="InternetLink"/>
          <w:rFonts w:eastAsia="Times New Roman" w:cs="Times New Roman"/>
          <w:color w:val="auto"/>
          <w:sz w:val="28"/>
          <w:szCs w:val="28"/>
          <w:u w:val="none"/>
        </w:rPr>
        <w:t>Надаючи психологічну підтримку, фахівець неминуче стикається з багаторівневими труднощами, що зумовлені як індивідуальними особливостями клієнта, так і зовнішніми соціальними, культурними та середовищними чинниками, при цьому невирішені локальні проблеми, залишаючись у прихованому вигляді, здатні акумулюватися та провокувати виникнення більш масштабних і комплексних труднощів, які ускладнюють процес терапевтичної взаємодії, знижують ефективність психологічних інтервенцій та сприяють розвитку вторинних дезадаптивних проявів.</w:t>
      </w:r>
    </w:p>
    <w:p w14:paraId="50729943" w14:textId="77777777" w:rsidR="00B51242" w:rsidRDefault="008E4E86">
      <w:pPr>
        <w:spacing w:line="360" w:lineRule="auto"/>
        <w:jc w:val="both"/>
      </w:pPr>
      <w:r>
        <w:rPr>
          <w:rStyle w:val="InternetLink"/>
          <w:rFonts w:eastAsia="Times New Roman" w:cs="Times New Roman"/>
          <w:color w:val="auto"/>
          <w:sz w:val="28"/>
          <w:szCs w:val="28"/>
          <w:u w:val="none"/>
        </w:rPr>
        <w:t>Спрямованість терапевтичного процесу на розв’язання ключових проблем передбачає наявність чіткого бачення бажаного результату, що у свою чергу створює можливість для обґрунтованого вибору відповідних методів та інструментів психологічного втручання .</w:t>
      </w:r>
    </w:p>
    <w:p w14:paraId="663617EE" w14:textId="77777777" w:rsidR="00B51242" w:rsidRDefault="008E4E86">
      <w:pPr>
        <w:spacing w:line="360" w:lineRule="auto"/>
        <w:ind w:firstLine="737"/>
        <w:jc w:val="both"/>
      </w:pPr>
      <w:r>
        <w:rPr>
          <w:rStyle w:val="InternetLink"/>
          <w:rFonts w:eastAsia="Times New Roman" w:cs="Times New Roman"/>
          <w:color w:val="auto"/>
          <w:sz w:val="28"/>
          <w:szCs w:val="28"/>
          <w:u w:val="none"/>
        </w:rPr>
        <w:t xml:space="preserve">У процесі дослідження ідентифіковано такі ключові проблемні питання психологічної підтримки військовослужбовців із ПТСР: </w:t>
      </w:r>
    </w:p>
    <w:p w14:paraId="6CAF65EC" w14:textId="77777777" w:rsidR="00B51242" w:rsidRDefault="008E4E86">
      <w:pPr>
        <w:spacing w:line="360" w:lineRule="auto"/>
        <w:ind w:firstLine="737"/>
        <w:jc w:val="both"/>
      </w:pPr>
      <w:r>
        <w:rPr>
          <w:rStyle w:val="InternetLink"/>
          <w:rFonts w:eastAsia="Times New Roman" w:cs="Times New Roman"/>
          <w:b/>
          <w:bCs/>
          <w:color w:val="auto"/>
          <w:sz w:val="28"/>
          <w:szCs w:val="28"/>
          <w:u w:val="none"/>
        </w:rPr>
        <w:t>Відсів</w:t>
      </w:r>
      <w:r>
        <w:rPr>
          <w:rStyle w:val="InternetLink"/>
          <w:rFonts w:eastAsia="Times New Roman" w:cs="Times New Roman"/>
          <w:color w:val="auto"/>
          <w:sz w:val="28"/>
          <w:szCs w:val="28"/>
          <w:u w:val="none"/>
        </w:rPr>
        <w:t xml:space="preserve"> пацієнтів у процесі психологічної допомоги є однією з найбільш актуальних проблем, яка знижує ефективність терапевтичного процесу та ускладнює досягнення стабільних результатів. У науковій літературі відсів пов’язується з низькою мотивацією, відсутністю очікуваних швидких результатів, страхом конфронтації з травматичними спогадами, недовірою до терапевта, соціальними та економічними бар’єрами, а також недостатнім розумінням суті та цілей терапії. </w:t>
      </w:r>
      <w:r>
        <w:rPr>
          <w:rStyle w:val="InternetLink"/>
          <w:rFonts w:eastAsia="Times New Roman" w:cs="Times New Roman"/>
          <w:color w:val="000000"/>
          <w:sz w:val="28"/>
          <w:szCs w:val="28"/>
          <w:u w:val="none"/>
        </w:rPr>
        <w:t>Ризики найбільшого відсіву приходиться на початковому етапі психологічної підтримки та на етапі роботою з травмою.</w:t>
      </w:r>
    </w:p>
    <w:p w14:paraId="374044B9" w14:textId="77777777" w:rsidR="00B51242" w:rsidRDefault="008E4E86">
      <w:pPr>
        <w:spacing w:line="360" w:lineRule="auto"/>
        <w:ind w:firstLine="737"/>
        <w:jc w:val="both"/>
      </w:pPr>
      <w:r>
        <w:rPr>
          <w:rStyle w:val="InternetLink"/>
          <w:rFonts w:eastAsia="Times New Roman" w:cs="Times New Roman"/>
          <w:color w:val="auto"/>
          <w:sz w:val="28"/>
          <w:szCs w:val="28"/>
          <w:u w:val="none"/>
        </w:rPr>
        <w:t>Шляхи вирішення цієї проблеми доцільно розглядати у кількох площинах:</w:t>
      </w:r>
    </w:p>
    <w:p w14:paraId="66418D6F" w14:textId="77777777" w:rsidR="00B51242" w:rsidRDefault="008E4E86">
      <w:pPr>
        <w:spacing w:line="360" w:lineRule="auto"/>
        <w:ind w:firstLine="737"/>
        <w:jc w:val="both"/>
      </w:pPr>
      <w:r>
        <w:rPr>
          <w:rStyle w:val="InternetLink"/>
          <w:rFonts w:eastAsia="Times New Roman" w:cs="Times New Roman"/>
          <w:color w:val="auto"/>
          <w:sz w:val="28"/>
          <w:szCs w:val="28"/>
          <w:u w:val="none"/>
        </w:rPr>
        <w:t>- По-перше, на етапі початкової зустрічі необхідно приділяти особливу увагу психоедукації, поясненню клієнту природи його симптомів, структури терапевтичного процесу та реалістичних очікувань від роботи, що сприяє формуванню довіри та зниженню рівня тривоги.</w:t>
      </w:r>
    </w:p>
    <w:p w14:paraId="737DFB49" w14:textId="77777777" w:rsidR="00B51242" w:rsidRDefault="008E4E86">
      <w:pPr>
        <w:spacing w:line="360" w:lineRule="auto"/>
        <w:ind w:firstLine="737"/>
        <w:jc w:val="both"/>
      </w:pPr>
      <w:r>
        <w:rPr>
          <w:rStyle w:val="InternetLink"/>
          <w:rFonts w:eastAsia="Times New Roman" w:cs="Times New Roman"/>
          <w:color w:val="auto"/>
          <w:sz w:val="28"/>
          <w:szCs w:val="28"/>
          <w:u w:val="none"/>
        </w:rPr>
        <w:t>- По-друге, важливим є створення міцного терапевтичного альянсу, заснованого на партнерських відносинах, де клієнт відчуває власну активну роль у процесі змін.</w:t>
      </w:r>
    </w:p>
    <w:p w14:paraId="697DCAF7" w14:textId="77777777" w:rsidR="00B51242" w:rsidRDefault="008E4E86">
      <w:pPr>
        <w:spacing w:line="360" w:lineRule="auto"/>
        <w:ind w:firstLine="737"/>
        <w:jc w:val="both"/>
      </w:pPr>
      <w:r>
        <w:rPr>
          <w:rStyle w:val="InternetLink"/>
          <w:rFonts w:eastAsia="Times New Roman" w:cs="Times New Roman"/>
          <w:color w:val="auto"/>
          <w:sz w:val="28"/>
          <w:szCs w:val="28"/>
          <w:u w:val="none"/>
        </w:rPr>
        <w:t>- По-третє, доцільним є впровадження гнучких форматів допомоги,  коротких структурованих сесій, поетапних програм, навчання тахнікам стабілізації, що зменшує ризик перевантаження та сприяє кращій адаптації клієнта до терапії.</w:t>
      </w:r>
    </w:p>
    <w:p w14:paraId="3E706AAD" w14:textId="77777777" w:rsidR="00B51242" w:rsidRDefault="008E4E86">
      <w:pPr>
        <w:spacing w:line="360" w:lineRule="auto"/>
        <w:ind w:firstLine="737"/>
        <w:jc w:val="both"/>
      </w:pPr>
      <w:r>
        <w:rPr>
          <w:rStyle w:val="InternetLink"/>
          <w:rFonts w:eastAsia="Times New Roman" w:cs="Times New Roman"/>
          <w:color w:val="auto"/>
          <w:sz w:val="28"/>
          <w:szCs w:val="28"/>
          <w:u w:val="none"/>
        </w:rPr>
        <w:t>- По-четверте, корисним є використання мотиваційного інтерв’ю та технік опрацювання когнітивних спотворень та поведінкових  дисфункцій, спрямованих на підвищення готовності до змін та подолання уникання.</w:t>
      </w:r>
    </w:p>
    <w:p w14:paraId="12A7869D" w14:textId="77777777" w:rsidR="00B51242" w:rsidRDefault="008E4E86">
      <w:pPr>
        <w:spacing w:line="360" w:lineRule="auto"/>
        <w:ind w:firstLine="737"/>
        <w:jc w:val="both"/>
      </w:pPr>
      <w:r>
        <w:rPr>
          <w:rStyle w:val="InternetLink"/>
          <w:rFonts w:eastAsia="Times New Roman" w:cs="Times New Roman"/>
          <w:color w:val="auto"/>
          <w:sz w:val="28"/>
          <w:szCs w:val="28"/>
          <w:u w:val="none"/>
        </w:rPr>
        <w:t>- По-п’яте, необхідно враховувати соціально-економічні фактори, зокрема надавати доступ до груп підтримки.</w:t>
      </w:r>
    </w:p>
    <w:p w14:paraId="650967AF" w14:textId="77777777" w:rsidR="00B51242" w:rsidRDefault="008E4E86">
      <w:pPr>
        <w:spacing w:line="360" w:lineRule="auto"/>
        <w:ind w:firstLine="737"/>
        <w:jc w:val="both"/>
      </w:pPr>
      <w:r>
        <w:rPr>
          <w:rStyle w:val="InternetLink"/>
          <w:rFonts w:eastAsia="Times New Roman" w:cs="Times New Roman"/>
          <w:color w:val="auto"/>
          <w:sz w:val="28"/>
          <w:szCs w:val="28"/>
          <w:u w:val="none"/>
        </w:rPr>
        <w:t xml:space="preserve">Дуже важливим є систематичний моніторинг прогресу та регулярне підкріплення навіть незначних досягнень допомагають утримувати клієнта в терапії, підвищуючи його відчуття контролю та власної ефективності, особливо на початку тренування. </w:t>
      </w:r>
    </w:p>
    <w:p w14:paraId="27453B00" w14:textId="77777777" w:rsidR="00B51242" w:rsidRDefault="008E4E86">
      <w:pPr>
        <w:spacing w:line="360" w:lineRule="auto"/>
        <w:ind w:firstLine="737"/>
        <w:jc w:val="both"/>
      </w:pPr>
      <w:r>
        <w:rPr>
          <w:rStyle w:val="InternetLink"/>
          <w:rFonts w:eastAsia="Times New Roman" w:cs="Times New Roman"/>
          <w:b/>
          <w:bCs/>
          <w:color w:val="auto"/>
          <w:sz w:val="28"/>
          <w:szCs w:val="28"/>
          <w:u w:val="none"/>
        </w:rPr>
        <w:t>Гіперзбудження</w:t>
      </w:r>
      <w:r>
        <w:rPr>
          <w:rStyle w:val="InternetLink"/>
          <w:rFonts w:eastAsia="Times New Roman" w:cs="Times New Roman"/>
          <w:color w:val="auto"/>
          <w:sz w:val="28"/>
          <w:szCs w:val="28"/>
          <w:u w:val="none"/>
        </w:rPr>
        <w:t xml:space="preserve"> (hyperarousal) є однією з центральних проблем у наданні психологічної допомоги, оскільки навіть при успішному лікуванні основних симптомів воно часто зберігається, перешкоджаючи повному відновленню та підтримуючи підвищену вразливість до рецидивів. </w:t>
      </w:r>
    </w:p>
    <w:p w14:paraId="7D4E7884" w14:textId="77777777" w:rsidR="00B51242" w:rsidRDefault="008E4E86">
      <w:pPr>
        <w:spacing w:line="360" w:lineRule="auto"/>
        <w:ind w:firstLine="737"/>
        <w:jc w:val="both"/>
      </w:pPr>
      <w:r>
        <w:rPr>
          <w:rStyle w:val="InternetLink"/>
          <w:rFonts w:eastAsia="Times New Roman" w:cs="Times New Roman"/>
          <w:color w:val="auto"/>
          <w:sz w:val="28"/>
          <w:szCs w:val="28"/>
          <w:u w:val="none"/>
        </w:rPr>
        <w:t xml:space="preserve">Такий стан зазвичай проявляється у вигляді підвищеної настороженості, порушень сну, дратівливості, соматичних реакцій та труднощів із концентрацією уваги. Для його подолання необхідне багаторівневе втручання. </w:t>
      </w:r>
    </w:p>
    <w:p w14:paraId="2A6A45D1" w14:textId="77777777" w:rsidR="00B51242" w:rsidRDefault="008E4E86">
      <w:pPr>
        <w:spacing w:line="360" w:lineRule="auto"/>
        <w:ind w:firstLine="737"/>
        <w:jc w:val="both"/>
      </w:pPr>
      <w:r>
        <w:rPr>
          <w:rStyle w:val="InternetLink"/>
          <w:rFonts w:eastAsia="Times New Roman" w:cs="Times New Roman"/>
          <w:color w:val="auto"/>
          <w:sz w:val="28"/>
          <w:szCs w:val="28"/>
          <w:u w:val="none"/>
        </w:rPr>
        <w:t>- По-перше, важливим є застосування технік саморегуляції, дихальних вправ, прогресивної м’язової релаксації, які сприяють зниженню фізіологічної активації.</w:t>
      </w:r>
    </w:p>
    <w:p w14:paraId="6D693524" w14:textId="77777777" w:rsidR="00B51242" w:rsidRDefault="008E4E86">
      <w:pPr>
        <w:spacing w:line="360" w:lineRule="auto"/>
        <w:ind w:firstLine="737"/>
        <w:jc w:val="both"/>
      </w:pPr>
      <w:r>
        <w:rPr>
          <w:rStyle w:val="InternetLink"/>
          <w:rFonts w:eastAsia="Times New Roman" w:cs="Times New Roman"/>
          <w:color w:val="auto"/>
          <w:sz w:val="28"/>
          <w:szCs w:val="28"/>
          <w:u w:val="none"/>
        </w:rPr>
        <w:t>- По-друге, ефективними виявляються елементи терапії, спрямовані на модифікацію катастрофічних інтерпретацій тілесних сигналів та навчання адаптивних копінг-стратегій.</w:t>
      </w:r>
    </w:p>
    <w:p w14:paraId="70BE9A42" w14:textId="77777777" w:rsidR="00B51242" w:rsidRDefault="008E4E86">
      <w:pPr>
        <w:spacing w:line="360" w:lineRule="auto"/>
        <w:ind w:firstLine="737"/>
        <w:jc w:val="both"/>
      </w:pPr>
      <w:r>
        <w:rPr>
          <w:rStyle w:val="InternetLink"/>
          <w:rFonts w:eastAsia="Times New Roman" w:cs="Times New Roman"/>
          <w:color w:val="auto"/>
          <w:sz w:val="28"/>
          <w:szCs w:val="28"/>
          <w:u w:val="none"/>
        </w:rPr>
        <w:t>- По-третє, доцільним є включення елементів експозиційної терапії з поступовою десенсибілізацією, що допомагає знизити гіперреактивність нервової системи на тригери.</w:t>
      </w:r>
    </w:p>
    <w:p w14:paraId="4088159B" w14:textId="77777777" w:rsidR="00B51242" w:rsidRDefault="008E4E86">
      <w:pPr>
        <w:spacing w:line="360" w:lineRule="auto"/>
        <w:ind w:firstLine="737"/>
        <w:jc w:val="both"/>
      </w:pPr>
      <w:r>
        <w:rPr>
          <w:rStyle w:val="InternetLink"/>
          <w:rFonts w:eastAsia="Times New Roman" w:cs="Times New Roman"/>
          <w:color w:val="auto"/>
          <w:sz w:val="28"/>
          <w:szCs w:val="28"/>
          <w:u w:val="none"/>
        </w:rPr>
        <w:t>- По-четверте, підбір технік та інтеграція підходів які будуть сприяти переробці травматичної пам’яті та зменшенню залишкового фізіологічного напруження.</w:t>
      </w:r>
    </w:p>
    <w:p w14:paraId="727C0BE2" w14:textId="77777777" w:rsidR="00B51242" w:rsidRDefault="008E4E86">
      <w:pPr>
        <w:spacing w:line="360" w:lineRule="auto"/>
        <w:ind w:firstLine="737"/>
        <w:jc w:val="both"/>
      </w:pPr>
      <w:r>
        <w:rPr>
          <w:rStyle w:val="InternetLink"/>
          <w:rFonts w:eastAsia="Times New Roman" w:cs="Times New Roman"/>
          <w:color w:val="auto"/>
          <w:sz w:val="28"/>
          <w:szCs w:val="28"/>
          <w:u w:val="none"/>
        </w:rPr>
        <w:t>- По-п’яте, важливо враховувати гігієну сну, оптимізацію фізичної активності та збалансоване навантаження, оскільки хронічна втома посилює прояви гіперзбудження.</w:t>
      </w:r>
    </w:p>
    <w:p w14:paraId="29360E8C" w14:textId="77777777" w:rsidR="00B51242" w:rsidRDefault="008E4E86">
      <w:pPr>
        <w:spacing w:line="360" w:lineRule="auto"/>
        <w:ind w:firstLine="737"/>
        <w:jc w:val="both"/>
      </w:pPr>
      <w:r>
        <w:rPr>
          <w:rStyle w:val="InternetLink"/>
          <w:rFonts w:eastAsia="Times New Roman" w:cs="Times New Roman"/>
          <w:color w:val="auto"/>
          <w:sz w:val="28"/>
          <w:szCs w:val="28"/>
          <w:u w:val="none"/>
        </w:rPr>
        <w:t xml:space="preserve">Основним принципом роботи з гіперзбудженням виступає систематичне тренування уповільнення, що охоплює як когнітивний, так і фізіологічний рівень функціювання. Уже на етапі психоосвітньої роботи доцільним є ознайомлення клієнта з базовими вправами, спрямованими на уповільнення рухів, поведінкових реакцій, а також формування навички для швидкого та повільного мислення. Зручним інструментом для цього є використання концепції Д. Канемана, викладеної у праці «Мислення швидке і повільне», яка дозволяє наочно продемонструвати функціювання двох систем обробки інформації: Системи 1, що забезпечує автоматичні та інтуїтивні реакції, та Системи 2, яка відповідає за свідоме, зважене й уповільнене мислення. Такий підхід створює методологічну основу для подальшого розвитку терапевтичних інтервенцій, спрямованих на зниження рівня гіперзбудження, а також забезпечує поступове формування навичок саморегуляції, які детальніше будуть розглянуті у наступних розділах </w:t>
      </w:r>
      <w:r w:rsidRPr="00D3629B">
        <w:rPr>
          <w:rStyle w:val="InternetLink"/>
          <w:rFonts w:eastAsia="Times New Roman" w:cs="Times New Roman"/>
          <w:color w:val="000000"/>
          <w:sz w:val="28"/>
          <w:szCs w:val="28"/>
          <w:u w:val="none"/>
        </w:rPr>
        <w:t>[8].</w:t>
      </w:r>
      <w:r>
        <w:t xml:space="preserve">                                                                                                                                                                                                                      </w:t>
      </w:r>
    </w:p>
    <w:p w14:paraId="5AE48A43" w14:textId="77777777" w:rsidR="00B51242" w:rsidRDefault="00B51242">
      <w:pPr>
        <w:spacing w:line="360" w:lineRule="auto"/>
        <w:ind w:firstLine="737"/>
        <w:jc w:val="both"/>
        <w:rPr>
          <w:rStyle w:val="InternetLink"/>
          <w:rFonts w:eastAsia="Times New Roman" w:cs="Times New Roman"/>
          <w:b/>
          <w:bCs/>
          <w:color w:val="000000"/>
          <w:sz w:val="28"/>
          <w:szCs w:val="28"/>
          <w:u w:val="none"/>
        </w:rPr>
      </w:pPr>
    </w:p>
    <w:p w14:paraId="288EB362" w14:textId="77777777" w:rsidR="00B51242" w:rsidRDefault="008E4E86">
      <w:pPr>
        <w:spacing w:line="360" w:lineRule="auto"/>
        <w:ind w:firstLine="737"/>
        <w:jc w:val="both"/>
      </w:pPr>
      <w:r>
        <w:rPr>
          <w:rStyle w:val="InternetLink"/>
          <w:rFonts w:eastAsia="Times New Roman" w:cs="Times New Roman"/>
          <w:b/>
          <w:bCs/>
          <w:color w:val="000000"/>
          <w:sz w:val="28"/>
          <w:szCs w:val="28"/>
          <w:u w:val="none"/>
        </w:rPr>
        <w:t>Рецидив.</w:t>
      </w:r>
    </w:p>
    <w:p w14:paraId="0197B434" w14:textId="77777777" w:rsidR="00B51242" w:rsidRDefault="008E4E86">
      <w:pPr>
        <w:spacing w:line="360" w:lineRule="auto"/>
        <w:ind w:firstLine="737"/>
        <w:jc w:val="both"/>
      </w:pPr>
      <w:r>
        <w:rPr>
          <w:rStyle w:val="InternetLink"/>
          <w:rFonts w:eastAsia="Times New Roman" w:cs="Times New Roman"/>
          <w:color w:val="000000"/>
          <w:sz w:val="28"/>
          <w:szCs w:val="28"/>
          <w:u w:val="none"/>
        </w:rPr>
        <w:t>У сучасних наукових дослідженнях проблема рецидиву посттравматичного стресового розладу (ПТСР) після завершення лікування, зокрема після застосування когнітивно-поведінкової терапії (КПТ), продовжує залишатися недостатньо визначеною та методологічно неоднорідною. Попри те що КПТ стабільно демонструє високу ефективність у зменшенні симптомів ПТСР серед військовослужбовців і ветеранів, повернення симптоматики в частини пацієнтів після ремісії залишається клінічно значущою проблемою.</w:t>
      </w:r>
    </w:p>
    <w:p w14:paraId="3B4848ED" w14:textId="77777777" w:rsidR="00B51242" w:rsidRDefault="008E4E86">
      <w:pPr>
        <w:spacing w:line="360" w:lineRule="auto"/>
        <w:ind w:firstLine="737"/>
        <w:jc w:val="both"/>
      </w:pPr>
      <w:r>
        <w:rPr>
          <w:color w:val="000000"/>
          <w:sz w:val="28"/>
          <w:szCs w:val="28"/>
        </w:rPr>
        <w:t xml:space="preserve">За узагальненими клінічними спостереженнями, </w:t>
      </w:r>
      <w:r>
        <w:rPr>
          <w:rStyle w:val="StrongEmphasis"/>
          <w:b w:val="0"/>
          <w:bCs w:val="0"/>
          <w:color w:val="000000"/>
          <w:sz w:val="28"/>
          <w:szCs w:val="28"/>
        </w:rPr>
        <w:t>повторне посилення симптомів або клінічний рецидив протягом першого року після лікування фіксується приблизно у 10–25% військовослужбовців</w:t>
      </w:r>
      <w:r>
        <w:rPr>
          <w:color w:val="000000"/>
          <w:sz w:val="28"/>
          <w:szCs w:val="28"/>
        </w:rPr>
        <w:t>. Цей показник не є критичним, проте він достатньо вагомий, щоб вказувати на потребу вдосконалення терапевтичних стратегій, спрямованих на довготривале підтримання стану стабільності.</w:t>
      </w:r>
    </w:p>
    <w:p w14:paraId="41C46DFC" w14:textId="77777777" w:rsidR="00B51242" w:rsidRDefault="008E4E86">
      <w:pPr>
        <w:spacing w:line="360" w:lineRule="auto"/>
        <w:jc w:val="both"/>
      </w:pPr>
      <w:r>
        <w:rPr>
          <w:color w:val="000000"/>
          <w:sz w:val="28"/>
          <w:szCs w:val="28"/>
        </w:rPr>
        <w:t xml:space="preserve">Важливо підкреслити, що ані </w:t>
      </w:r>
      <w:r>
        <w:rPr>
          <w:rStyle w:val="StrongEmphasis"/>
          <w:b w:val="0"/>
          <w:bCs w:val="0"/>
          <w:color w:val="000000"/>
          <w:sz w:val="28"/>
          <w:szCs w:val="28"/>
        </w:rPr>
        <w:t>DSM-5-TR</w:t>
      </w:r>
      <w:r>
        <w:rPr>
          <w:color w:val="000000"/>
          <w:sz w:val="28"/>
          <w:szCs w:val="28"/>
        </w:rPr>
        <w:t xml:space="preserve">, ані </w:t>
      </w:r>
      <w:r>
        <w:rPr>
          <w:rStyle w:val="StrongEmphasis"/>
          <w:b w:val="0"/>
          <w:bCs w:val="0"/>
          <w:color w:val="000000"/>
          <w:sz w:val="28"/>
          <w:szCs w:val="28"/>
        </w:rPr>
        <w:t>МКХ-11</w:t>
      </w:r>
      <w:r>
        <w:rPr>
          <w:color w:val="000000"/>
          <w:sz w:val="28"/>
          <w:szCs w:val="28"/>
        </w:rPr>
        <w:t xml:space="preserve"> не подають чіткого та універсального визначення рецидиву ПТСР. У клінічній практиці під рецидивом найчастіше розуміють повторну появу клінічно значущих симптомів після періоду ремісії або стабілізації, однак критерії тривалості ремісії, поріг вираженості симптомів і межа між «загостренням» та «новим епізодом» не є стандартизованими. Відсутність єдиної дефініції ускладнює порівняння результатів різних емпіричних робіт, спричиняє методологічну фрагментарність і знижує точність оцінки довгострокової ефективності КПТ.</w:t>
      </w:r>
    </w:p>
    <w:p w14:paraId="5A091D8C" w14:textId="77777777" w:rsidR="00B51242" w:rsidRDefault="008E4E86">
      <w:pPr>
        <w:spacing w:line="360" w:lineRule="auto"/>
        <w:jc w:val="both"/>
      </w:pPr>
      <w:r>
        <w:rPr>
          <w:color w:val="000000"/>
          <w:sz w:val="28"/>
          <w:szCs w:val="28"/>
        </w:rPr>
        <w:t xml:space="preserve">Таким чином, постає нагальна потреба у виробленні уніфікованих критеріїв оцінки рецидиву, спираючись на стандартизовані інструменти, такі як </w:t>
      </w:r>
      <w:r>
        <w:rPr>
          <w:rStyle w:val="StrongEmphasis"/>
          <w:b w:val="0"/>
          <w:bCs w:val="0"/>
          <w:color w:val="000000"/>
          <w:sz w:val="28"/>
          <w:szCs w:val="28"/>
        </w:rPr>
        <w:t>Clinician-Administered PTSD Scale (CAPS)</w:t>
      </w:r>
      <w:r>
        <w:rPr>
          <w:color w:val="000000"/>
          <w:sz w:val="28"/>
          <w:szCs w:val="28"/>
        </w:rPr>
        <w:t>, а також у проведенні тривалих лонгітюдних досліджень, які дозволять відстежити індивідуальні траєкторії симптомів, включно з можливими рекурентними варіантами перебігу розладу.</w:t>
      </w:r>
    </w:p>
    <w:p w14:paraId="7389AF9A" w14:textId="77777777" w:rsidR="00B51242" w:rsidRDefault="008E4E86">
      <w:pPr>
        <w:spacing w:line="360" w:lineRule="auto"/>
        <w:ind w:firstLine="737"/>
        <w:jc w:val="both"/>
      </w:pPr>
      <w:r>
        <w:rPr>
          <w:color w:val="000000"/>
          <w:sz w:val="28"/>
          <w:szCs w:val="28"/>
        </w:rPr>
        <w:t>З клінічної перспективи розуміння механізмів рецидиву має визначальне значення для розробки дієвих превентивних стратегій. Дослідження демонструють, що своєчасне виявлення ранніх ознак загострення, стресорів-тригерів та формування в пацієнтів навичок подолання знижує імовірність повторної появи симптомів. У межах роботи з метою систематизації підходів до визначення поняття «рецидив» у різних системах діагностики була підготовлена порівняльна таблиця (Додаток Д).</w:t>
      </w:r>
    </w:p>
    <w:p w14:paraId="6A359E9E" w14:textId="77777777" w:rsidR="00B51242" w:rsidRDefault="008E4E86">
      <w:pPr>
        <w:spacing w:line="360" w:lineRule="auto"/>
        <w:ind w:firstLine="737"/>
        <w:jc w:val="both"/>
      </w:pPr>
      <w:r>
        <w:rPr>
          <w:color w:val="000000"/>
          <w:sz w:val="28"/>
          <w:szCs w:val="28"/>
        </w:rPr>
        <w:t>Через суперечливість результатів наукових робіт нині немає можливості виокремити універсальний набір предикторів рецидиву. Однак очевидним залишається той факт, що військовослужбовці, які зазнали бойової травми, є групою з підвищеним ризиком тривалого або хвилеподібного перебігу ПТСР. Симптоми у цієї категорії можуть реактивуватися навіть після тривалої ремісії — інколи через десятиліття після бойових подій.</w:t>
      </w:r>
    </w:p>
    <w:p w14:paraId="3C2FA6E1" w14:textId="77777777" w:rsidR="00B51242" w:rsidRDefault="008E4E86">
      <w:pPr>
        <w:spacing w:line="360" w:lineRule="auto"/>
        <w:ind w:firstLine="737"/>
        <w:jc w:val="both"/>
      </w:pPr>
      <w:r>
        <w:rPr>
          <w:color w:val="000000"/>
          <w:sz w:val="28"/>
          <w:szCs w:val="28"/>
        </w:rPr>
        <w:t xml:space="preserve">З цього погляду особливо цінним є лонгітюдне дослідження Соломона й Мікулінцера (2006), у якому було простежено стан </w:t>
      </w:r>
      <w:r>
        <w:rPr>
          <w:rStyle w:val="StrongEmphasis"/>
          <w:b w:val="0"/>
          <w:bCs w:val="0"/>
          <w:color w:val="000000"/>
          <w:sz w:val="28"/>
          <w:szCs w:val="28"/>
        </w:rPr>
        <w:t>214 ветеранів Ліванської війни 1982 року</w:t>
      </w:r>
      <w:r>
        <w:rPr>
          <w:color w:val="000000"/>
          <w:sz w:val="28"/>
          <w:szCs w:val="28"/>
        </w:rPr>
        <w:t xml:space="preserve"> протягом двадцяти років. Із них </w:t>
      </w:r>
      <w:r>
        <w:rPr>
          <w:rStyle w:val="StrongEmphasis"/>
          <w:b w:val="0"/>
          <w:bCs w:val="0"/>
          <w:color w:val="000000"/>
          <w:sz w:val="28"/>
          <w:szCs w:val="28"/>
        </w:rPr>
        <w:t>131 особа</w:t>
      </w:r>
      <w:r>
        <w:rPr>
          <w:color w:val="000000"/>
          <w:sz w:val="28"/>
          <w:szCs w:val="28"/>
        </w:rPr>
        <w:t xml:space="preserve"> у період бойових дій мала виражену бойову стресову реакцію, а </w:t>
      </w:r>
      <w:r>
        <w:rPr>
          <w:rStyle w:val="StrongEmphasis"/>
          <w:b w:val="0"/>
          <w:bCs w:val="0"/>
          <w:color w:val="000000"/>
          <w:sz w:val="28"/>
          <w:szCs w:val="28"/>
        </w:rPr>
        <w:t>83 учасники</w:t>
      </w:r>
      <w:r>
        <w:rPr>
          <w:color w:val="000000"/>
          <w:sz w:val="28"/>
          <w:szCs w:val="28"/>
        </w:rPr>
        <w:t xml:space="preserve"> такого прояву не демонстрували. Дослідники встановили, що рівень симптомів ПТСР знижувався у перші три роки після війни, однак </w:t>
      </w:r>
      <w:r>
        <w:rPr>
          <w:rStyle w:val="StrongEmphasis"/>
          <w:b w:val="0"/>
          <w:bCs w:val="0"/>
          <w:color w:val="000000"/>
          <w:sz w:val="28"/>
          <w:szCs w:val="28"/>
        </w:rPr>
        <w:t>через сімнадцять років</w:t>
      </w:r>
      <w:r>
        <w:rPr>
          <w:color w:val="000000"/>
          <w:sz w:val="28"/>
          <w:szCs w:val="28"/>
        </w:rPr>
        <w:t xml:space="preserve"> знову зростав, що свідчить про можливість пізньої реактивації або «рецидиву» симптомів. Ці зміни можуть бути пов’язані з новими стресовими подіями, виходом на пенсію, погіршенням фізичного здоров’я чи змінами у соціальному функціонуванні. Це дослідження демонструє, що ПТСР може мати багатоступеневу, флуктуаційну траєкторію з можливістю пізніх повернень симптоматики, навіть після тривалого періоду клінічного благополуччя. У такому контексті рецидив не варто розглядати як терапевтичну невдачу — радше як складову частину процесу відновлення, що потребує повторного залучення ефективних стратегій саморегуляції та підтримки </w:t>
      </w:r>
      <w:r w:rsidRPr="00D3629B">
        <w:rPr>
          <w:color w:val="000000"/>
          <w:sz w:val="28"/>
          <w:szCs w:val="28"/>
          <w:lang w:val="ru-RU"/>
        </w:rPr>
        <w:t>[74].</w:t>
      </w:r>
    </w:p>
    <w:p w14:paraId="51F78D48" w14:textId="77777777" w:rsidR="00B51242" w:rsidRDefault="008E4E86">
      <w:pPr>
        <w:spacing w:line="360" w:lineRule="auto"/>
        <w:ind w:firstLine="737"/>
        <w:jc w:val="both"/>
      </w:pPr>
      <w:r>
        <w:rPr>
          <w:color w:val="000000"/>
          <w:sz w:val="28"/>
          <w:szCs w:val="28"/>
        </w:rPr>
        <w:t>З огляду на це вкрай важливим є навчання військовослужбовців практикам стабілізації, релаксації та саморегуляції, які можна застосовувати самостійно у випадках загострення симптомів. Розвиток таких навичок підвищує адаптивність, зменшує ризик рецидиву і сприяє підтриманню психологічної стійкості у довготривалій перспективі.</w:t>
      </w:r>
      <w:r>
        <w:rPr>
          <w:rStyle w:val="InternetLink"/>
          <w:rFonts w:eastAsia="Times New Roman" w:cs="Times New Roman"/>
          <w:color w:val="000000"/>
          <w:sz w:val="28"/>
          <w:szCs w:val="28"/>
          <w:u w:val="none"/>
        </w:rPr>
        <w:t xml:space="preserve">                           </w:t>
      </w:r>
      <w:r>
        <w:rPr>
          <w:rStyle w:val="InternetLink"/>
          <w:rFonts w:eastAsia="Times New Roman" w:cs="Times New Roman"/>
          <w:b/>
          <w:bCs/>
          <w:color w:val="000000"/>
          <w:sz w:val="28"/>
          <w:szCs w:val="28"/>
          <w:u w:val="none"/>
          <w:lang w:eastAsia="ru-RU"/>
        </w:rPr>
        <w:t xml:space="preserve">                                                                                                                                                         </w:t>
      </w:r>
    </w:p>
    <w:p w14:paraId="1771231B" w14:textId="77777777" w:rsidR="00B51242" w:rsidRDefault="008E4E86">
      <w:pPr>
        <w:tabs>
          <w:tab w:val="center" w:leader="dot" w:pos="9344"/>
        </w:tabs>
        <w:snapToGrid w:val="0"/>
        <w:spacing w:line="360" w:lineRule="auto"/>
        <w:ind w:firstLine="794"/>
        <w:jc w:val="both"/>
      </w:pPr>
      <w:r>
        <w:rPr>
          <w:rStyle w:val="InternetLink"/>
          <w:rFonts w:eastAsia="Times New Roman" w:cs="Times New Roman"/>
          <w:b/>
          <w:bCs/>
          <w:color w:val="000000"/>
          <w:sz w:val="28"/>
          <w:szCs w:val="28"/>
          <w:u w:val="none"/>
        </w:rPr>
        <w:t>Фундамент інтегративного підходу:</w:t>
      </w:r>
    </w:p>
    <w:p w14:paraId="52B56C2B" w14:textId="77777777" w:rsidR="00B51242" w:rsidRDefault="008E4E86">
      <w:pPr>
        <w:tabs>
          <w:tab w:val="center" w:leader="dot" w:pos="9344"/>
        </w:tabs>
        <w:snapToGrid w:val="0"/>
        <w:spacing w:line="360" w:lineRule="auto"/>
        <w:ind w:firstLine="794"/>
        <w:jc w:val="both"/>
      </w:pPr>
      <w:r>
        <w:rPr>
          <w:rStyle w:val="InternetLink"/>
          <w:rFonts w:eastAsia="Times New Roman" w:cs="Times New Roman"/>
          <w:b/>
          <w:bCs/>
          <w:color w:val="000000"/>
          <w:sz w:val="28"/>
          <w:szCs w:val="28"/>
          <w:u w:val="none"/>
        </w:rPr>
        <w:t>- Клієнтоорієнтований підхід</w:t>
      </w:r>
    </w:p>
    <w:p w14:paraId="078CAFA9" w14:textId="77777777" w:rsidR="00B51242" w:rsidRDefault="008E4E86">
      <w:pPr>
        <w:tabs>
          <w:tab w:val="center" w:leader="dot" w:pos="9344"/>
        </w:tabs>
        <w:snapToGrid w:val="0"/>
        <w:spacing w:line="360" w:lineRule="auto"/>
        <w:ind w:firstLine="794"/>
        <w:jc w:val="both"/>
      </w:pPr>
      <w:r>
        <w:rPr>
          <w:rStyle w:val="InternetLink"/>
          <w:rFonts w:eastAsia="Times New Roman" w:cs="Times New Roman"/>
          <w:color w:val="auto"/>
          <w:sz w:val="28"/>
          <w:szCs w:val="28"/>
          <w:u w:val="none"/>
        </w:rPr>
        <w:t xml:space="preserve">Важливою складовою ефективної психологічної підтримки є застосування клієнтоорієнтованого підходу, що розглядається як один центральний принцип сучасної психотерапевтичної практики. Його сутність полягає в тому, що прийняття рішень щодо плану терапевтичного втручання відбувається виключно у процесі спільного обговорення з клієнтом. Такий підхід передбачає активне залучення клієнта до формування терапевтичних цілей, вибору методів та темпу їх реалізації. У випадку, коли клієнт не готовий до впровадження певних інтервенцій, їх нав’язування є контрпродуктивним: воно не лише знижує ефективність терапії, але й може провокувати опір та підвищувати рівень недовіри до процесу психологічної допомоги. Натомість поступове підведення клієнта до необхідних змін створює умови для більш стійкого й довготривалого терапевтичного ефекту. </w:t>
      </w:r>
    </w:p>
    <w:p w14:paraId="57591D54" w14:textId="77777777" w:rsidR="00B51242" w:rsidRDefault="008E4E86">
      <w:pPr>
        <w:spacing w:line="360" w:lineRule="auto"/>
        <w:jc w:val="both"/>
      </w:pPr>
      <w:r>
        <w:rPr>
          <w:rStyle w:val="InternetLink"/>
          <w:rFonts w:eastAsia="Times New Roman" w:cs="Times New Roman"/>
          <w:color w:val="auto"/>
          <w:sz w:val="28"/>
          <w:szCs w:val="28"/>
          <w:u w:val="none"/>
        </w:rPr>
        <w:t xml:space="preserve">Клієнтоорієнтований підхід у психологічній практиці потребує коректного розуміння. Його сутність не полягає у беззастережному задоволенні будь-яких бажань клієнта чи передачі йому повної ініціативи. Психолог зберігає активну професійну позицію та виконує провідну роль у терапевтичному процесі, проте темп і глибина роботи узгоджуються з індивідуальними можливостями та готовністю клієнта на конкретному етапі. Такий підхід забезпечує поетапний, поступовий розвиток, що дозволяє клієнту інтегрувати нові навички та досягати стійких змін без спротиву.       </w:t>
      </w:r>
    </w:p>
    <w:p w14:paraId="14E78308" w14:textId="77777777" w:rsidR="00B51242" w:rsidRDefault="008E4E86">
      <w:pPr>
        <w:spacing w:line="360" w:lineRule="auto"/>
        <w:ind w:firstLine="737"/>
        <w:jc w:val="both"/>
      </w:pPr>
      <w:r>
        <w:rPr>
          <w:sz w:val="28"/>
          <w:szCs w:val="28"/>
        </w:rPr>
        <w:t xml:space="preserve">Науково-методичне підґрунтя цього підходу підтверджується </w:t>
      </w:r>
      <w:r>
        <w:rPr>
          <w:rStyle w:val="a3"/>
          <w:i w:val="0"/>
          <w:iCs w:val="0"/>
          <w:sz w:val="28"/>
          <w:szCs w:val="28"/>
        </w:rPr>
        <w:t>Клінічним керівництвом з лікування посттравматичного стресового розладу</w:t>
      </w:r>
      <w:r>
        <w:rPr>
          <w:sz w:val="28"/>
          <w:szCs w:val="28"/>
        </w:rPr>
        <w:t>, розробленим Департаментом у справах ветеранів США та Міністерством оборони США (версія 4.0, 2023; опубліковане у 2024 р.). У документі наголошується, що застосування психотерапевтичних втручань не повинно обмежуватися жорстким дотриманням протоколів, а потребує адаптації до конкретного клінічного випадку, урахування індивідуальних особливостей пацієнта та його особистих запитів. Керівництво підкреслює, що використання одного універсального методу, навіть із високим рівнем доказової бази, не завжди забезпечує досягнення бажаних результатів.</w:t>
      </w:r>
    </w:p>
    <w:p w14:paraId="7A62F8A4" w14:textId="77777777" w:rsidR="00B51242" w:rsidRDefault="008E4E86">
      <w:pPr>
        <w:spacing w:line="360" w:lineRule="auto"/>
        <w:jc w:val="both"/>
      </w:pPr>
      <w:r>
        <w:rPr>
          <w:sz w:val="28"/>
          <w:szCs w:val="28"/>
        </w:rPr>
        <w:t>Таким чином, клієнтоорієнтований підхід постає як оптимальна стратегія побудови психотерапевтичного процесу, оскільки він інтегрує доказові методи лікування з урахуванням унікального досвіду, ресурсів і потреб конкретної особи. Досвід практичного застосування свідчить, що індивідуалізовані та адаптовані інтервенції демонструють вищу ефективність у досягненні терапевтичних результатів, сприяють зниженню рівня опору та підвищують залученість клієнта до процесу змін.</w:t>
      </w:r>
    </w:p>
    <w:p w14:paraId="47E1C4A4" w14:textId="77777777" w:rsidR="00B51242" w:rsidRDefault="008E4E86">
      <w:pPr>
        <w:spacing w:line="360" w:lineRule="auto"/>
        <w:ind w:firstLine="737"/>
        <w:jc w:val="both"/>
      </w:pPr>
      <w:r>
        <w:rPr>
          <w:rStyle w:val="InternetLink"/>
          <w:rFonts w:eastAsia="Times New Roman" w:cs="Times New Roman"/>
          <w:b/>
          <w:bCs/>
          <w:color w:val="000000"/>
          <w:sz w:val="28"/>
          <w:szCs w:val="28"/>
          <w:u w:val="none"/>
        </w:rPr>
        <w:t>- Ментальний тренер.</w:t>
      </w:r>
    </w:p>
    <w:p w14:paraId="0C019FC5" w14:textId="77777777" w:rsidR="00B51242" w:rsidRDefault="008E4E86">
      <w:pPr>
        <w:spacing w:line="360" w:lineRule="auto"/>
        <w:ind w:firstLine="737"/>
        <w:jc w:val="both"/>
      </w:pPr>
      <w:r>
        <w:rPr>
          <w:rStyle w:val="InternetLink"/>
          <w:rFonts w:eastAsia="Times New Roman" w:cs="Times New Roman"/>
          <w:color w:val="000000"/>
          <w:sz w:val="28"/>
          <w:szCs w:val="28"/>
          <w:u w:val="none"/>
          <w:lang w:eastAsia="ru-RU"/>
        </w:rPr>
        <w:t xml:space="preserve">Практичний досвід психологічної роботи з військовослужбовцями свідчить про високий рівень довіри до тренувальних форматів, особливо на етапі стабілізації з використанням тілесно-орієнтованих технік, що зумовило доцільність подачі всього процесу психологічної допомоги у формі тренування. Такий підхід є особливо ефективним у контексті когнітивно-поведінкової терапії, методи якої легко адаптувати до тренувальної моделі. Враховуючи, що військовослужбовці часто уникають ідентифікації себе як «хворих», сприймаючи це як ознаку слабкості, запропонована концепція базується на новизні позиціювання: не «лікування хвороби», а «покращення ментальної підготовки», де психолог виступає не лікарем, а ментальним тренером. В цьому контексті краще щоб звернення було не пацієнт, а отримувач послуг. </w:t>
      </w:r>
    </w:p>
    <w:p w14:paraId="06FC20F0" w14:textId="77777777" w:rsidR="00B51242" w:rsidRDefault="008E4E86">
      <w:pPr>
        <w:spacing w:line="360" w:lineRule="auto"/>
        <w:ind w:firstLine="737"/>
        <w:jc w:val="both"/>
      </w:pPr>
      <w:r>
        <w:rPr>
          <w:rStyle w:val="InternetLink"/>
          <w:rFonts w:eastAsia="Times New Roman" w:cs="Times New Roman"/>
          <w:color w:val="000000"/>
          <w:sz w:val="28"/>
          <w:szCs w:val="28"/>
          <w:u w:val="none"/>
          <w:lang w:eastAsia="ru-RU"/>
        </w:rPr>
        <w:t>Такий відхід від медикалізованої інтерпретації психічних труднощів та акцент на розвитку особистісних і ресурсних можливостей створює додаткову мотивацію, сприяє прийняттю допомоги та стимулює процес саморозвитку військовослужбовців.</w:t>
      </w:r>
    </w:p>
    <w:p w14:paraId="73AFCA00" w14:textId="77777777" w:rsidR="00B51242" w:rsidRDefault="008E4E86">
      <w:pPr>
        <w:spacing w:line="360" w:lineRule="auto"/>
        <w:ind w:firstLine="737"/>
        <w:jc w:val="both"/>
      </w:pPr>
      <w:r>
        <w:rPr>
          <w:rStyle w:val="InternetLink"/>
          <w:rFonts w:eastAsia="Times New Roman" w:cs="Times New Roman"/>
          <w:b/>
          <w:bCs/>
          <w:color w:val="000000"/>
          <w:sz w:val="28"/>
          <w:szCs w:val="28"/>
          <w:u w:val="none"/>
        </w:rPr>
        <w:t>- Комплексний інтегративний та індивідуалізований підхід.</w:t>
      </w:r>
    </w:p>
    <w:p w14:paraId="32671B19" w14:textId="77777777" w:rsidR="00B51242" w:rsidRDefault="008E4E86">
      <w:pPr>
        <w:spacing w:line="360" w:lineRule="auto"/>
        <w:ind w:firstLine="737"/>
        <w:jc w:val="both"/>
      </w:pPr>
      <w:r>
        <w:rPr>
          <w:rStyle w:val="InternetLink"/>
          <w:rFonts w:eastAsia="Times New Roman" w:cs="Times New Roman"/>
          <w:color w:val="000000"/>
          <w:sz w:val="28"/>
          <w:szCs w:val="28"/>
          <w:u w:val="none"/>
        </w:rPr>
        <w:t>Наявність доказових методів та клінічних настанов із чітко структурованими алгоритмами психологічної допомоги є безумовною перевагою сучасної психотерапевтичної практики. Такі протоколи, перевірені численними дослідженнями, тривалий час залишаються актуальними й забезпечують стабільну ефективність у роботі з пацієнтами, зокрема з військовослужбовцями, які пережили травматичні події. Водночас сучасний соціально-політичний контекст та нові емпіричні дані висувають додаткові вимоги до психологічної допомоги. Зокрема, дедалі більше досліджень наголошують на важливості застосування комплексного інтегративного та індивідуалізованого підходу, що передбачає адаптацію терапії до унікальних особистісних, біографічних та культурних особливостей клієнта, про що демонструє таблиця “Наукові підтвердження інтегративного підходу до психологічної допомоги військовослужбовцям із ПТСР”</w:t>
      </w:r>
      <w:r>
        <w:rPr>
          <w:rStyle w:val="InternetLink"/>
          <w:rFonts w:eastAsia="Times New Roman" w:cs="Times New Roman"/>
          <w:b/>
          <w:bCs/>
          <w:color w:val="000000"/>
          <w:sz w:val="28"/>
          <w:szCs w:val="28"/>
          <w:u w:val="none"/>
        </w:rPr>
        <w:t xml:space="preserve"> (</w:t>
      </w:r>
      <w:r>
        <w:rPr>
          <w:rStyle w:val="InternetLink"/>
          <w:rFonts w:eastAsia="Times New Roman" w:cs="Times New Roman"/>
          <w:color w:val="000000"/>
          <w:sz w:val="28"/>
          <w:szCs w:val="28"/>
          <w:u w:val="none"/>
        </w:rPr>
        <w:t>Додаток Е)</w:t>
      </w:r>
      <w:r>
        <w:rPr>
          <w:rStyle w:val="InternetLink"/>
          <w:rFonts w:eastAsia="Times New Roman" w:cs="Times New Roman"/>
          <w:b/>
          <w:bCs/>
          <w:color w:val="000000"/>
          <w:sz w:val="28"/>
          <w:szCs w:val="28"/>
          <w:u w:val="none"/>
        </w:rPr>
        <w:t>.</w:t>
      </w:r>
      <w:r>
        <w:rPr>
          <w:rStyle w:val="InternetLink"/>
          <w:rFonts w:eastAsia="Times New Roman" w:cs="Times New Roman"/>
          <w:color w:val="000000"/>
          <w:sz w:val="28"/>
          <w:szCs w:val="28"/>
          <w:u w:val="none"/>
        </w:rPr>
        <w:t xml:space="preserve"> Такий підхід не лише сприяє більш ефективному зменшенню симптоматики, але й дозволяє запобігати феномену терапевтичного уникнення, що часто ускладнює процес відновлення.</w:t>
      </w:r>
    </w:p>
    <w:p w14:paraId="0FDA845E" w14:textId="77777777" w:rsidR="00B51242" w:rsidRDefault="008E4E86">
      <w:pPr>
        <w:spacing w:line="360" w:lineRule="auto"/>
        <w:ind w:firstLine="737"/>
        <w:jc w:val="both"/>
      </w:pPr>
      <w:r>
        <w:rPr>
          <w:sz w:val="28"/>
          <w:szCs w:val="28"/>
        </w:rPr>
        <w:t>Особливої ваги це питання набуває в реаліях українсько-російської війни. Значна частина військовослужбовців перебуває в умовах бойових дій понад десять років, що суттєво підвищує рівень психотравматизації та накопичення хронічного стресу. Уже сьогодні фіксується велика кількість військових із вираженими симптомами ПТСР, а прогнозовані масштаби психологічних наслідків у майбутньому залишаються вкрай високими. Відповідно до діагностичних критеріїв МКХ-11, прояви відстроченого ПТСР можуть виникати навіть через три роки після травматичних подій, що означає потенційно значний наплив випадків у найближчій та віддаленій перспективі. Це ставить перед системою психологічної допомоги в Україні завдання не лише застосовувати установлені протоколи, але й розробляти адаптовані інтегративні моделі підтримки, здатні ефективно працювати в умовах тривалих і масштабних бойових дій.</w:t>
      </w:r>
    </w:p>
    <w:p w14:paraId="311FB07D" w14:textId="77777777" w:rsidR="00B51242" w:rsidRDefault="008E4E86">
      <w:pPr>
        <w:spacing w:line="360" w:lineRule="auto"/>
        <w:ind w:firstLine="737"/>
        <w:jc w:val="both"/>
      </w:pPr>
      <w:r>
        <w:rPr>
          <w:sz w:val="28"/>
          <w:szCs w:val="28"/>
        </w:rPr>
        <w:t xml:space="preserve">Проведені дослідження, результати частини з яких узагальнено у вигляді таблиці, переконливо свідчать на користь інтегративного підходу в наданні психологічної допомоги військовослужбовцям із посттравматичним стресовим розладом. Кількість міжнародних робіт і поєднання найрізноманіших практик у цій сфері є значною, що підтверджує високу наукову зацікавленість та практичну значущість проблеми. Водночас варто зазначити, що кількість вітчизняних досліджень дещо поступається світовому рівню. Ймовірною причиною цього є складні обставини воєнного часу, які обмежують можливості проведення систематичних емпіричних робіт та довгострокових клінічних спостережень. Разом із тим існує підстави вважати, що після завершення війни Україна стане одним із провідних центрів досліджень у галузі ПТСР та суміжних психотравматологічних проблем, адже масштабність і глибина отриманого досвіду створюють унікальні умови для розвитку наукової думки та практики інтегративної психотерапії. </w:t>
      </w:r>
    </w:p>
    <w:p w14:paraId="3AD1F9A2" w14:textId="77777777" w:rsidR="00B51242" w:rsidRDefault="008E4E86">
      <w:pPr>
        <w:spacing w:line="360" w:lineRule="auto"/>
        <w:ind w:firstLine="737"/>
        <w:jc w:val="both"/>
      </w:pPr>
      <w:r>
        <w:rPr>
          <w:rFonts w:eastAsia="Times New Roman" w:cs="Times New Roman"/>
          <w:b/>
          <w:bCs/>
          <w:color w:val="000000"/>
          <w:sz w:val="28"/>
          <w:szCs w:val="28"/>
          <w:lang w:eastAsia="ru-RU"/>
        </w:rPr>
        <w:t>3.2. Комплекс методів психологічної підтримки:</w:t>
      </w:r>
    </w:p>
    <w:p w14:paraId="2AA3A1D2" w14:textId="77777777" w:rsidR="00B51242" w:rsidRDefault="008E4E86">
      <w:pPr>
        <w:spacing w:line="360" w:lineRule="auto"/>
        <w:ind w:firstLine="737"/>
        <w:jc w:val="both"/>
      </w:pPr>
      <w:r>
        <w:rPr>
          <w:rFonts w:eastAsia="Times New Roman" w:cs="Times New Roman"/>
          <w:b/>
          <w:bCs/>
          <w:sz w:val="28"/>
          <w:szCs w:val="28"/>
          <w:lang w:eastAsia="ru-RU"/>
        </w:rPr>
        <w:t>- Основний метод психологічної підтримки — КПТ.</w:t>
      </w:r>
    </w:p>
    <w:p w14:paraId="4EBF8464" w14:textId="77777777" w:rsidR="00B51242" w:rsidRDefault="008E4E86">
      <w:pPr>
        <w:spacing w:line="360" w:lineRule="auto"/>
        <w:ind w:firstLine="737"/>
        <w:jc w:val="both"/>
      </w:pPr>
      <w:r>
        <w:rPr>
          <w:rFonts w:eastAsia="Times New Roman" w:cs="Times New Roman"/>
          <w:sz w:val="28"/>
          <w:szCs w:val="28"/>
          <w:lang w:eastAsia="ru-RU"/>
        </w:rPr>
        <w:t xml:space="preserve">З огляду на дослідження проведеного в попередньому розділі класичний підхід КПТ більш ефективний при психологічній підтримці військовослужбовців із ПТСР (не враховуючи коморбідних станів), у порівнянні з більш новими підходами  так званої третьої хвилі.                                                                                                     </w:t>
      </w:r>
    </w:p>
    <w:p w14:paraId="55B0B025" w14:textId="77777777" w:rsidR="00B51242" w:rsidRDefault="008E4E86">
      <w:pPr>
        <w:spacing w:line="360" w:lineRule="auto"/>
        <w:ind w:firstLine="737"/>
        <w:jc w:val="both"/>
      </w:pPr>
      <w:r>
        <w:rPr>
          <w:rFonts w:eastAsia="Times New Roman" w:cs="Times New Roman"/>
          <w:sz w:val="28"/>
          <w:szCs w:val="28"/>
          <w:lang w:eastAsia="ru-RU"/>
        </w:rPr>
        <w:t xml:space="preserve">Основними завданнями психолога, який працює з військовослужбовцем із посттравматичним стресовим розладом у межах когнітивно-поведінкової терапії, є комплексна діагностика індивідуальних проявів симптоматики, оцінка рівня дистресу та визначення ключових когнітивних і поведінкових патернів, що підтримують розлад; формування та підтримка терапевтичного альянсу, який забезпечує безпечні умови для роботи з травматичним досвідом; проведення психоосвітньої роботи з метою підвищення розуміння природи симптомів ПТСР і механізмів їх подолання; навчання навичкам саморегуляції, релаксації та управління тривогою як передумови до подальшої експозиційної роботи; систематичне опрацювання когнітивних викривлень, пов’язаних із почуттям провини, сорому, відповідальності та негативними переконаннями щодо себе, інших і світу; застосування методів безпечного і поступового експонування до травматичних спогадів, що сприяє зниженню уникання та інтеграції травматичного досвіду в особистісну історію; розвиток ефективних копінг-стратегій для зниження впливу тригерів і профілактики повторних епізодів дистресу; підтримка адаптації військовослужбовця до соціального та професійного середовища шляхом формування навичок вирішення міжособистісних конфліктів, підвищення толерантності до стресу та відновлення відчуття контролю над життям. Таким чином, основна мета психолога полягає в поєднанні редукції симптомів із формуванням психологічної стійкості, що забезпечує довготривале відновлення та підвищення якості життя військовослужбовця. </w:t>
      </w:r>
    </w:p>
    <w:p w14:paraId="5DED1B85" w14:textId="77777777" w:rsidR="00B51242" w:rsidRDefault="008E4E86">
      <w:pPr>
        <w:spacing w:line="360" w:lineRule="auto"/>
        <w:ind w:firstLine="737"/>
        <w:jc w:val="both"/>
      </w:pPr>
      <w:r>
        <w:rPr>
          <w:rStyle w:val="InternetLink"/>
          <w:rFonts w:eastAsia="Times New Roman" w:cs="Times New Roman"/>
          <w:b/>
          <w:bCs/>
          <w:color w:val="000000"/>
          <w:sz w:val="28"/>
          <w:szCs w:val="28"/>
          <w:u w:val="none"/>
        </w:rPr>
        <w:t>Інтернет-КПТ (іКПТ)</w:t>
      </w:r>
    </w:p>
    <w:p w14:paraId="7A582540" w14:textId="77777777" w:rsidR="00B51242" w:rsidRDefault="008E4E86">
      <w:pPr>
        <w:spacing w:line="360" w:lineRule="auto"/>
        <w:ind w:firstLine="737"/>
        <w:jc w:val="both"/>
      </w:pPr>
      <w:r>
        <w:rPr>
          <w:rFonts w:eastAsia="Times New Roman" w:cs="Times New Roman"/>
          <w:color w:val="000000"/>
          <w:sz w:val="28"/>
          <w:szCs w:val="28"/>
          <w:lang w:eastAsia="ru-RU"/>
        </w:rPr>
        <w:t xml:space="preserve">КПТ є універсальним методом психологічної допомоги, що має численні модифікації, зокрема </w:t>
      </w:r>
      <w:r>
        <w:rPr>
          <w:rStyle w:val="InternetLink"/>
          <w:rFonts w:eastAsia="Times New Roman" w:cs="Times New Roman"/>
          <w:color w:val="000000"/>
          <w:sz w:val="28"/>
          <w:szCs w:val="28"/>
          <w:u w:val="none"/>
        </w:rPr>
        <w:t>іКПТ</w:t>
      </w:r>
      <w:r>
        <w:rPr>
          <w:rFonts w:eastAsia="Times New Roman" w:cs="Times New Roman"/>
          <w:color w:val="000000"/>
          <w:sz w:val="28"/>
          <w:szCs w:val="28"/>
          <w:lang w:eastAsia="ru-RU"/>
        </w:rPr>
        <w:t xml:space="preserve"> як окремий формат інтервенції. В 2023 році було проведене дослідження ефективності іКТП,</w:t>
      </w:r>
      <w:r>
        <w:rPr>
          <w:rStyle w:val="InternetLink"/>
          <w:rFonts w:eastAsia="Times New Roman" w:cs="Times New Roman"/>
          <w:bCs/>
          <w:color w:val="333333"/>
          <w:sz w:val="28"/>
          <w:szCs w:val="28"/>
          <w:u w:val="none"/>
        </w:rPr>
        <w:t xml:space="preserve"> в мета-аналіз було включено 20 досліджень і 91 зразок даних. Цікаво, що дослідження показали, що іКПТ є ефективним методом лікування безсоння</w:t>
      </w:r>
      <w:bookmarkStart w:id="7" w:name="ref-link-section-d4974579e613"/>
      <w:bookmarkEnd w:id="7"/>
      <w:r>
        <w:rPr>
          <w:rStyle w:val="InternetLink"/>
          <w:rFonts w:eastAsia="Times New Roman" w:cs="Times New Roman"/>
          <w:bCs/>
          <w:color w:val="333333"/>
          <w:sz w:val="28"/>
          <w:szCs w:val="28"/>
          <w:u w:val="none"/>
        </w:rPr>
        <w:t xml:space="preserve"> та ПТСР, значущий результат що до депресії  серед військових та ветеранів.</w:t>
      </w:r>
    </w:p>
    <w:p w14:paraId="5BC19D05" w14:textId="77777777" w:rsidR="00B51242" w:rsidRDefault="008E4E86">
      <w:pPr>
        <w:spacing w:line="360" w:lineRule="auto"/>
        <w:ind w:firstLine="737"/>
        <w:jc w:val="both"/>
      </w:pPr>
      <w:r>
        <w:rPr>
          <w:rFonts w:eastAsia="Times New Roman" w:cs="Times New Roman"/>
          <w:color w:val="000000"/>
          <w:sz w:val="28"/>
          <w:szCs w:val="28"/>
          <w:lang w:eastAsia="ru-RU"/>
        </w:rPr>
        <w:t xml:space="preserve">Дослідження підтверджують можливість ефективної адаптації КПТ до онлайн-середовища, особливо у випадках, коли подача матеріалу структурується у вигляді тренувальних модулів. </w:t>
      </w:r>
    </w:p>
    <w:p w14:paraId="0585E33F" w14:textId="77777777" w:rsidR="00B51242" w:rsidRDefault="008E4E86">
      <w:pPr>
        <w:spacing w:line="360" w:lineRule="auto"/>
        <w:ind w:firstLine="737"/>
        <w:jc w:val="both"/>
      </w:pPr>
      <w:r>
        <w:rPr>
          <w:rFonts w:eastAsia="Times New Roman" w:cs="Times New Roman"/>
          <w:color w:val="000000"/>
          <w:sz w:val="28"/>
          <w:szCs w:val="28"/>
          <w:lang w:eastAsia="ru-RU"/>
        </w:rPr>
        <w:t xml:space="preserve">Все ж таки, одним із центральних чинників ефективності психотерапевтичного втручання залишається якісне формування терапевтичного альянсу, оскільки встановлення довірливих і стабільних робочих стосунків з пацієнтом не завжди є простою задачею навіть у форматі безпосереднього очного контакту. З огляду на це, застосування дистанційних форматів психологічної допомоги може бути цілком обґрунтованим і практично доцільним, особливо у ситуаціях службових відряджень, тимчасової недоступності терапевта чи вимушених перерв у лікувальному процесі. Проте бажано, щоб перехід до онлайн-взаємодії відбувався вже після того, як між терапевтом і військовослужбовцем сформувався достатньо міцний терапевтичний зв’язок, що забезпечує збереження ефективності та безпечності подальшої роботи  </w:t>
      </w:r>
      <w:r>
        <w:rPr>
          <w:rFonts w:eastAsia="Times New Roman" w:cs="Times New Roman"/>
          <w:b/>
          <w:bCs/>
          <w:color w:val="000000"/>
          <w:sz w:val="28"/>
          <w:szCs w:val="28"/>
          <w:lang w:eastAsia="ru-RU"/>
        </w:rPr>
        <w:t xml:space="preserve">                                                                                   </w:t>
      </w:r>
      <w:r>
        <w:rPr>
          <w:color w:val="000000"/>
          <w:sz w:val="28"/>
          <w:szCs w:val="28"/>
          <w:lang w:eastAsia="ru-RU"/>
        </w:rPr>
        <w:t>[</w:t>
      </w:r>
      <w:r w:rsidRPr="00D3629B">
        <w:rPr>
          <w:rStyle w:val="InternetLink"/>
          <w:color w:val="000000"/>
          <w:sz w:val="28"/>
          <w:szCs w:val="28"/>
          <w:u w:val="none"/>
        </w:rPr>
        <w:t>48]</w:t>
      </w:r>
      <w:r w:rsidRPr="00D3629B">
        <w:rPr>
          <w:rStyle w:val="InternetLink"/>
          <w:sz w:val="28"/>
          <w:szCs w:val="28"/>
          <w:u w:val="none"/>
        </w:rPr>
        <w:t>.</w:t>
      </w:r>
    </w:p>
    <w:p w14:paraId="47993B71" w14:textId="77777777" w:rsidR="00B51242" w:rsidRDefault="008E4E86">
      <w:pPr>
        <w:spacing w:line="360" w:lineRule="auto"/>
        <w:ind w:firstLine="737"/>
        <w:jc w:val="both"/>
      </w:pPr>
      <w:r>
        <w:rPr>
          <w:rFonts w:eastAsia="Times New Roman" w:cs="Times New Roman"/>
          <w:b/>
          <w:bCs/>
          <w:color w:val="000000"/>
          <w:sz w:val="36"/>
          <w:szCs w:val="36"/>
          <w:lang w:eastAsia="ru-RU"/>
        </w:rPr>
        <w:t xml:space="preserve">- </w:t>
      </w:r>
      <w:r>
        <w:rPr>
          <w:rStyle w:val="InternetLink"/>
          <w:rFonts w:eastAsia="Times New Roman" w:cs="Times New Roman"/>
          <w:b/>
          <w:bCs/>
          <w:color w:val="000000"/>
          <w:sz w:val="28"/>
          <w:szCs w:val="28"/>
          <w:u w:val="none"/>
          <w:lang w:eastAsia="ru-RU"/>
        </w:rPr>
        <w:t>ТОТ</w:t>
      </w:r>
    </w:p>
    <w:p w14:paraId="640D544B" w14:textId="77777777" w:rsidR="00B51242" w:rsidRDefault="008E4E86">
      <w:pPr>
        <w:spacing w:line="360" w:lineRule="auto"/>
        <w:ind w:firstLine="737"/>
        <w:jc w:val="both"/>
      </w:pPr>
      <w:r>
        <w:rPr>
          <w:rStyle w:val="InternetLink"/>
          <w:rFonts w:eastAsia="Times New Roman" w:cs="Times New Roman"/>
          <w:color w:val="000000"/>
          <w:sz w:val="28"/>
          <w:szCs w:val="28"/>
          <w:u w:val="none"/>
          <w:lang w:eastAsia="ru-RU"/>
        </w:rPr>
        <w:t xml:space="preserve">Незважаючи на те, що ТОТ на даний час не входить до переліку методів із високим рівнем доказовості відповідно до міжнародних клінічних протоколів, результати численних емпіричних досліджень свідчать про позитивний вплив тілесно-орієнтованих практик на перебіг широкого спектра психічних і психологічних розладів. У сучасній літературі наголошується, що інтеграція тілесно-орієнтованих підходів до психотерапевтичної практики може сприяти зниженню рівня тривожності, напруження та соматизованих проявів, а також підвищувати ефективність основного методу терапії. </w:t>
      </w:r>
    </w:p>
    <w:p w14:paraId="32B6B743" w14:textId="77777777" w:rsidR="00B51242" w:rsidRDefault="008E4E86">
      <w:pPr>
        <w:spacing w:line="360" w:lineRule="auto"/>
        <w:ind w:firstLine="737"/>
        <w:jc w:val="both"/>
      </w:pPr>
      <w:r>
        <w:rPr>
          <w:rStyle w:val="InternetLink"/>
          <w:rFonts w:eastAsia="Times New Roman" w:cs="Times New Roman"/>
          <w:color w:val="auto"/>
          <w:sz w:val="28"/>
          <w:szCs w:val="28"/>
          <w:u w:val="none"/>
        </w:rPr>
        <w:t>Бессель ван дер Колк — нідерландсько-американський психіатр, дослідник і письменник, який обіймав посаду президента</w:t>
      </w:r>
      <w:bookmarkStart w:id="8" w:name="firstHeading"/>
      <w:bookmarkEnd w:id="8"/>
      <w:r>
        <w:rPr>
          <w:rStyle w:val="InternetLink"/>
          <w:rFonts w:eastAsia="Times New Roman" w:cs="Times New Roman"/>
          <w:color w:val="auto"/>
          <w:sz w:val="28"/>
          <w:szCs w:val="28"/>
          <w:u w:val="none"/>
        </w:rPr>
        <w:t xml:space="preserve"> </w:t>
      </w:r>
      <w:r>
        <w:rPr>
          <w:rStyle w:val="InternetLink"/>
          <w:rFonts w:ascii="Linux Libertine;Georgia;Times;S" w:eastAsia="Times New Roman" w:hAnsi="Linux Libertine;Georgia;Times;S" w:cs="Times New Roman"/>
          <w:color w:val="101418"/>
          <w:sz w:val="28"/>
          <w:szCs w:val="28"/>
          <w:u w:val="none"/>
        </w:rPr>
        <w:t>Міжнародного товариства з вивчення травматичного стресу</w:t>
      </w:r>
      <w:r>
        <w:rPr>
          <w:rStyle w:val="InternetLink"/>
          <w:rFonts w:eastAsia="Times New Roman" w:cs="Times New Roman"/>
          <w:color w:val="auto"/>
          <w:sz w:val="28"/>
          <w:szCs w:val="28"/>
          <w:u w:val="none"/>
        </w:rPr>
        <w:t xml:space="preserve"> і є автором міжнародного бестселера “Тіло пам'ятає все”. Він наголошує, що травматичний досвід може «затикається» в тілі, а не залишатися лише у пам’яті, тому для повноцінного лікування ПТСР необхідно доповнювати когнітивні інтервенції КПТ, тілесно-орієнтованими практиками </w:t>
      </w:r>
      <w:r w:rsidRPr="00D3629B">
        <w:rPr>
          <w:rStyle w:val="InternetLink"/>
          <w:rFonts w:eastAsia="Times New Roman" w:cs="Times New Roman"/>
          <w:color w:val="auto"/>
          <w:sz w:val="28"/>
          <w:szCs w:val="28"/>
          <w:u w:val="none"/>
          <w:lang w:val="ru-RU"/>
        </w:rPr>
        <w:t>[2].</w:t>
      </w:r>
      <w:r>
        <w:rPr>
          <w:rStyle w:val="InternetLink"/>
          <w:rFonts w:eastAsia="Times New Roman" w:cs="Times New Roman"/>
          <w:color w:val="auto"/>
          <w:sz w:val="28"/>
          <w:szCs w:val="28"/>
          <w:u w:val="none"/>
        </w:rPr>
        <w:t xml:space="preserve">            </w:t>
      </w:r>
    </w:p>
    <w:p w14:paraId="6A415995" w14:textId="77777777" w:rsidR="00B51242" w:rsidRDefault="008E4E86">
      <w:pPr>
        <w:spacing w:line="360" w:lineRule="auto"/>
        <w:ind w:firstLine="737"/>
        <w:jc w:val="both"/>
      </w:pPr>
      <w:bookmarkStart w:id="9" w:name="__DdeLink__6757_356780891"/>
      <w:r>
        <w:rPr>
          <w:rStyle w:val="InternetLink"/>
          <w:rFonts w:eastAsia="Times New Roman" w:cs="Times New Roman"/>
          <w:color w:val="000000"/>
          <w:sz w:val="28"/>
          <w:szCs w:val="28"/>
          <w:u w:val="none"/>
          <w:lang w:eastAsia="ru-RU"/>
        </w:rPr>
        <w:t>Клінічні рекомендації різних напрямів, зокрема в галузі травмофокусованої психотерапії, визнають доцільність застосування технік, спрямованих на роботу з тілесними відчуттями та регуляцію фізіологічних реакцій, що підтверджується великою кількістю публікацій про успішне поєднання ТОТ із когнітивно-поведінковою терапією</w:t>
      </w:r>
      <w:bookmarkEnd w:id="9"/>
      <w:r>
        <w:rPr>
          <w:rStyle w:val="InternetLink"/>
          <w:rFonts w:eastAsia="Times New Roman" w:cs="Times New Roman"/>
          <w:color w:val="000000"/>
          <w:sz w:val="28"/>
          <w:szCs w:val="28"/>
          <w:u w:val="none"/>
          <w:lang w:eastAsia="ru-RU"/>
        </w:rPr>
        <w:t xml:space="preserve">, методами експозиції, елементами майндфулнес-практик та іншими психотерапевтичними інтервенціями. При цьому в наукових джерелах не зафіксовано жодних даних про наявність протипоказань чи потенційної шкоди від використання тілесно-орієнтованих технік у поєднанні з іншими підходами. Відтак перспективним напрямом розвитку постає поглиблене вивчення взаємозв’язку між психічними процесами та тілесними проявами, що дозволяє розширити рамки традиційного використнання виключно фізіологічних аспектів і орієнтуватись на інтегровану роботу з психосоматичними механізмами. </w:t>
      </w:r>
      <w:r>
        <w:rPr>
          <w:rStyle w:val="InternetLink"/>
          <w:rFonts w:eastAsia="Times New Roman" w:cs="Times New Roman"/>
          <w:color w:val="auto"/>
          <w:sz w:val="28"/>
          <w:szCs w:val="28"/>
          <w:u w:val="none"/>
        </w:rPr>
        <w:t xml:space="preserve">                                                                                                          </w:t>
      </w:r>
    </w:p>
    <w:p w14:paraId="385E998F" w14:textId="77777777" w:rsidR="00B51242" w:rsidRDefault="008E4E86">
      <w:pPr>
        <w:spacing w:line="360" w:lineRule="auto"/>
        <w:ind w:firstLine="737"/>
        <w:jc w:val="both"/>
      </w:pPr>
      <w:r>
        <w:rPr>
          <w:rFonts w:eastAsia="Times New Roman" w:cs="Times New Roman"/>
          <w:color w:val="000000"/>
          <w:sz w:val="28"/>
          <w:szCs w:val="28"/>
          <w:lang w:eastAsia="ru-RU"/>
        </w:rPr>
        <w:t xml:space="preserve">Книга Александра Лоуена </w:t>
      </w:r>
      <w:r>
        <w:rPr>
          <w:rStyle w:val="StrongEmphasis"/>
          <w:rFonts w:eastAsia="Times New Roman" w:cs="Times New Roman"/>
          <w:b w:val="0"/>
          <w:bCs w:val="0"/>
          <w:color w:val="000000"/>
          <w:sz w:val="28"/>
          <w:szCs w:val="28"/>
          <w:lang w:eastAsia="ru-RU"/>
        </w:rPr>
        <w:t>«Фізична динаміка структури характеру»</w:t>
      </w:r>
      <w:r>
        <w:rPr>
          <w:rFonts w:eastAsia="Times New Roman" w:cs="Times New Roman"/>
          <w:color w:val="000000"/>
          <w:sz w:val="28"/>
          <w:szCs w:val="28"/>
          <w:lang w:eastAsia="ru-RU"/>
        </w:rPr>
        <w:t xml:space="preserve">  є однією з фундаментальних праць у руслі тілесно-орієнтованої психотерапії.</w:t>
      </w:r>
    </w:p>
    <w:p w14:paraId="4B1F5413" w14:textId="77777777" w:rsidR="00B51242" w:rsidRDefault="008E4E86">
      <w:pPr>
        <w:spacing w:line="360" w:lineRule="auto"/>
        <w:jc w:val="both"/>
      </w:pPr>
      <w:r>
        <w:rPr>
          <w:sz w:val="28"/>
          <w:szCs w:val="28"/>
        </w:rPr>
        <w:t xml:space="preserve">У ній Лоуен, учень Вільгельма Райха, розвиває ідеї про те, що характер особистості формується не лише на рівні психіки, а й у тілі, закріплюючись у хронічних напруженнях, позах, рухових патернах і способах використання енергії. Він описує </w:t>
      </w:r>
      <w:r>
        <w:rPr>
          <w:rStyle w:val="StrongEmphasis"/>
          <w:b w:val="0"/>
          <w:bCs w:val="0"/>
          <w:sz w:val="28"/>
          <w:szCs w:val="28"/>
        </w:rPr>
        <w:t>динамічний взаємозв’язок між тілом і психікою</w:t>
      </w:r>
      <w:r>
        <w:rPr>
          <w:sz w:val="28"/>
          <w:szCs w:val="28"/>
        </w:rPr>
        <w:t>, підкреслюючи, що характерні захисні механізми відображаються у «панцирі м’язів» (тілесних блоках) і водночас визначають спосіб мислення, емоційне реагування та міжособистісну поведінку.</w:t>
      </w:r>
    </w:p>
    <w:p w14:paraId="6B1B9E1B" w14:textId="77777777" w:rsidR="00B51242" w:rsidRDefault="008E4E86">
      <w:pPr>
        <w:spacing w:line="360" w:lineRule="auto"/>
        <w:ind w:firstLine="737"/>
        <w:jc w:val="both"/>
      </w:pPr>
      <w:r>
        <w:rPr>
          <w:sz w:val="28"/>
          <w:szCs w:val="28"/>
        </w:rPr>
        <w:t xml:space="preserve">Основна ідея книги полягає в тому, що </w:t>
      </w:r>
      <w:r>
        <w:rPr>
          <w:rStyle w:val="StrongEmphasis"/>
          <w:b w:val="0"/>
          <w:bCs w:val="0"/>
          <w:sz w:val="28"/>
          <w:szCs w:val="28"/>
        </w:rPr>
        <w:t>структура характеру — це тілесно закріплена історія життя людини</w:t>
      </w:r>
      <w:r>
        <w:rPr>
          <w:sz w:val="28"/>
          <w:szCs w:val="28"/>
        </w:rPr>
        <w:t>, зумовлена раннім досвідом, особливо дитячими травмами, конфліктами й обмеженнями вираження почуттів. Лоуен класифікує основні типи характеру (наприклад, оральний, мазохістичний, психопатичний, шизоїдний), описує їхні тілесні прояви та способи психічного функціювання.</w:t>
      </w:r>
    </w:p>
    <w:p w14:paraId="74E125E9" w14:textId="77777777" w:rsidR="00B51242" w:rsidRDefault="008E4E86">
      <w:pPr>
        <w:spacing w:line="360" w:lineRule="auto"/>
        <w:ind w:firstLine="737"/>
        <w:jc w:val="both"/>
      </w:pPr>
      <w:r>
        <w:rPr>
          <w:sz w:val="28"/>
          <w:szCs w:val="28"/>
        </w:rPr>
        <w:t xml:space="preserve">Важливим внеском книги є те, що вона пропонує </w:t>
      </w:r>
      <w:r>
        <w:rPr>
          <w:rStyle w:val="StrongEmphasis"/>
          <w:b w:val="0"/>
          <w:bCs w:val="0"/>
          <w:sz w:val="28"/>
          <w:szCs w:val="28"/>
        </w:rPr>
        <w:t>тілесно-орієнтовану терапію</w:t>
      </w:r>
      <w:r>
        <w:rPr>
          <w:sz w:val="28"/>
          <w:szCs w:val="28"/>
        </w:rPr>
        <w:t xml:space="preserve"> як метод відновлення природної емоційної та тілесної енергії: через дихальні вправи, рух, роботу з голосом і тілесними напруженнями. Лоуен підкреслює, що звільнення заблокованої енергії сприяє глибшому контакту з власними емоціями, відновленню автентичності й цілісності особистості.</w:t>
      </w:r>
    </w:p>
    <w:p w14:paraId="04766EF2" w14:textId="77777777" w:rsidR="00B51242" w:rsidRDefault="008E4E86">
      <w:pPr>
        <w:spacing w:line="360" w:lineRule="auto"/>
        <w:ind w:firstLine="737"/>
        <w:jc w:val="both"/>
      </w:pPr>
      <w:r>
        <w:rPr>
          <w:rStyle w:val="InternetLink"/>
          <w:rFonts w:eastAsia="Times New Roman" w:cs="Times New Roman"/>
          <w:color w:val="auto"/>
          <w:sz w:val="28"/>
          <w:szCs w:val="28"/>
          <w:u w:val="none"/>
          <w:lang w:eastAsia="ru-RU"/>
        </w:rPr>
        <w:t>З огляду на те, що військовослужбовці часто виявляють низьку готовність до вербального саморозкриття, доцільним підходом у процесі первинної психологічної оцінки може стати використання концепції типів характеру, розробленої Александром Лоуеном у межах біоенергетичного аналізу. Орієнтація на візуальні та тілесні прояви дозволяє спеціалісту вже на початковому етапі взаємодії отримати цінну інформацію про внутрішній стан та потреби клієнта, мінімізуючи необхідність прямого опитування. Такий підхід сприяє швидшому формуванню міцного терапевтичного альянсу, оскільки психолог демонструє розуміння індивідуальних особливостей військовослужбовця, спираючись не лише на змістову, а й на невербальну складову комунікації. Використання тілесно-орієнтованих індикаторів характеру може стати додатковим інструментом у комплексному підході до психологічної допомоги, забезпечуючи ефективнішу адаптацію методів терапії до потреб отримувача послуг, що в кінцевому результаті вирішить проблему відсіву [</w:t>
      </w:r>
      <w:r w:rsidRPr="00D3629B">
        <w:rPr>
          <w:rStyle w:val="InternetLink"/>
          <w:rFonts w:eastAsia="Times New Roman" w:cs="Times New Roman"/>
          <w:color w:val="auto"/>
          <w:sz w:val="28"/>
          <w:szCs w:val="28"/>
          <w:u w:val="none"/>
          <w:lang w:eastAsia="ru-RU"/>
        </w:rPr>
        <w:t xml:space="preserve">1].                                           </w:t>
      </w:r>
      <w:r w:rsidRPr="00D3629B">
        <w:rPr>
          <w:rFonts w:eastAsia="Times New Roman" w:cs="Times New Roman"/>
          <w:color w:val="000000"/>
          <w:sz w:val="28"/>
          <w:szCs w:val="28"/>
          <w:lang w:eastAsia="ru-RU"/>
        </w:rPr>
        <w:t xml:space="preserve">                                                                                                                                                                                                   </w:t>
      </w:r>
    </w:p>
    <w:p w14:paraId="79268788" w14:textId="77777777" w:rsidR="00B51242" w:rsidRDefault="008E4E86">
      <w:pPr>
        <w:spacing w:line="360" w:lineRule="auto"/>
        <w:ind w:firstLine="737"/>
        <w:jc w:val="both"/>
      </w:pPr>
      <w:r>
        <w:rPr>
          <w:rStyle w:val="InternetLink"/>
          <w:rFonts w:eastAsia="Times New Roman" w:cs="Times New Roman"/>
          <w:color w:val="auto"/>
          <w:sz w:val="28"/>
          <w:szCs w:val="28"/>
          <w:u w:val="none"/>
        </w:rPr>
        <w:t xml:space="preserve">До того ж, у межах тілесно-орієнтованої терапії є вправи, спрямовані на роботу з очима, які відіграють важливу роль у зниженні соматичного напруження, оскільки саме окуломоторна активність тісно пов’язана з м’язовим тонусом у ділянці шиї та трапецієподібних м’язів. Регулярне виконання таких вправ сприяє зняттю локалізованої м’язової напруги, поліпшенню мікроциркуляції та відновленню природного рухового балансу, що, у свою чергу, знижує рівень загального фізіологічного збудження. Розслаблення зазначених м’язових груп має системний ефект: воно не лише полегшує соматичний стан клієнта, але й позитивно впливає на психоемоційний рівень, зменшуючи суб’єктивне відчуття тривожності та сприяючи формуванню відчуття внутрішнього заспокоєння. Таким чином, вправи для очей у контексті тілесно-орієнтованої практики можна розглядати як ефективний інструмент досягнення загального релаксаційного ефекту та інтеграції тілесного і психічного компонентів саморегуляції. </w:t>
      </w:r>
    </w:p>
    <w:p w14:paraId="3811B196" w14:textId="77777777" w:rsidR="00B51242" w:rsidRDefault="008E4E86">
      <w:pPr>
        <w:spacing w:line="360" w:lineRule="auto"/>
        <w:ind w:firstLine="737"/>
        <w:jc w:val="both"/>
      </w:pPr>
      <w:r>
        <w:rPr>
          <w:rStyle w:val="InternetLink"/>
          <w:rFonts w:eastAsia="Times New Roman" w:cs="Times New Roman"/>
          <w:color w:val="auto"/>
          <w:sz w:val="28"/>
          <w:szCs w:val="28"/>
          <w:u w:val="none"/>
        </w:rPr>
        <w:t>Надалі, отримані навички вправ для очей будуть основою техніки білатеральної стимуляції.</w:t>
      </w:r>
      <w:r>
        <w:rPr>
          <w:rFonts w:eastAsia="Times New Roman" w:cs="Times New Roman"/>
          <w:b/>
          <w:bCs/>
          <w:color w:val="000000"/>
          <w:sz w:val="28"/>
          <w:szCs w:val="28"/>
          <w:lang w:eastAsia="ru-RU"/>
        </w:rPr>
        <w:t xml:space="preserve">          </w:t>
      </w:r>
      <w:r>
        <w:rPr>
          <w:rFonts w:eastAsia="Times New Roman" w:cs="Times New Roman"/>
          <w:b/>
          <w:bCs/>
          <w:color w:val="000000"/>
          <w:sz w:val="36"/>
          <w:szCs w:val="36"/>
          <w:lang w:eastAsia="ru-RU"/>
        </w:rPr>
        <w:t xml:space="preserve">                                                       </w:t>
      </w:r>
    </w:p>
    <w:p w14:paraId="2814E869" w14:textId="77777777" w:rsidR="00B51242" w:rsidRDefault="008E4E86">
      <w:pPr>
        <w:spacing w:line="360" w:lineRule="auto"/>
        <w:ind w:firstLine="737"/>
        <w:jc w:val="both"/>
        <w:rPr>
          <w:rStyle w:val="InternetLink"/>
          <w:rFonts w:eastAsia="Times New Roman" w:cs="Times New Roman"/>
          <w:color w:val="000000"/>
          <w:sz w:val="28"/>
          <w:szCs w:val="28"/>
          <w:u w:val="none"/>
          <w:lang w:eastAsia="ru-RU"/>
        </w:rPr>
      </w:pPr>
      <w:r>
        <w:rPr>
          <w:rStyle w:val="InternetLink"/>
          <w:rFonts w:eastAsia="Times New Roman" w:cs="Times New Roman"/>
          <w:b/>
          <w:bCs/>
          <w:color w:val="000000"/>
          <w:sz w:val="28"/>
          <w:szCs w:val="28"/>
          <w:u w:val="none"/>
        </w:rPr>
        <w:t xml:space="preserve">- Елементи </w:t>
      </w:r>
      <w:r>
        <w:rPr>
          <w:rStyle w:val="InternetLink"/>
          <w:rFonts w:eastAsia="Times New Roman" w:cs="Times New Roman"/>
          <w:b/>
          <w:bCs/>
          <w:color w:val="000000"/>
          <w:sz w:val="28"/>
          <w:szCs w:val="28"/>
          <w:u w:val="none"/>
          <w:lang w:val="en-US"/>
        </w:rPr>
        <w:t>EMDR</w:t>
      </w:r>
      <w:r>
        <w:rPr>
          <w:rStyle w:val="InternetLink"/>
          <w:rFonts w:eastAsia="Times New Roman" w:cs="Times New Roman"/>
          <w:b/>
          <w:bCs/>
          <w:color w:val="000000"/>
          <w:sz w:val="28"/>
          <w:szCs w:val="28"/>
          <w:u w:val="none"/>
        </w:rPr>
        <w:t xml:space="preserve"> (стабілізуючі техніки).</w:t>
      </w:r>
    </w:p>
    <w:p w14:paraId="5B120CEB" w14:textId="77777777" w:rsidR="00B51242" w:rsidRDefault="008E4E86">
      <w:pPr>
        <w:spacing w:line="360" w:lineRule="auto"/>
        <w:ind w:firstLine="737"/>
        <w:jc w:val="both"/>
      </w:pPr>
      <w:r>
        <w:rPr>
          <w:color w:val="000000"/>
          <w:sz w:val="28"/>
          <w:szCs w:val="28"/>
        </w:rPr>
        <w:t>Перш ніж переходити безпосередньо до опрацювання травматичних спогадів отримувача послуг, необхідним етапом психотерапевтичної роботи є формування навичок стабілізації. Саме вони забезпечують базовий рівень внутрішньої регуляції, без якого подальша робота з інтенсивним емоційним матеріалом є неможливою або потенційно небезпечною. Серед стабілізуючих методів, що застосовуються у сучасній практиці, поряд із тілесно орієнтованими вправами, важливе місце посідає техніка «створення безпечного місця». Вона належить до підходів образної стабілізації та сприяє формуванню внутрішнього ресурсу, який отримувач може використовувати для відновлення відчуття безпеки і зниження емоційної напруги.</w:t>
      </w:r>
    </w:p>
    <w:p w14:paraId="7A31F47B" w14:textId="77777777" w:rsidR="00B51242" w:rsidRDefault="008E4E86">
      <w:pPr>
        <w:spacing w:line="360" w:lineRule="auto"/>
        <w:ind w:firstLine="737"/>
        <w:jc w:val="both"/>
      </w:pPr>
      <w:r>
        <w:rPr>
          <w:color w:val="000000"/>
          <w:sz w:val="28"/>
          <w:szCs w:val="28"/>
        </w:rPr>
        <w:t>Однак необхідно враховувати, що військовослужбовці, зокрема ті, хто має досвід участі в бойових діях, є специфічною категорією пацієнтів із низкою психологічних та нейрокогнітивних особливостей. Посттравматичний стресовий розлад (ПТСР), який часто спостерігається у цієї групи, може бути пов’язаний як із порушеннями функціонування візуальної робочої пам’яті, так і з підвищеним рівнем фізіологічного збудження. Це, у свою чергу, ускладнює зосередженість та реалізацію таких технік, як «безпечне місце», які потребують стійкої уваги, здатності до уявної репрезентації образів та вміння утримувати їх у свідомості.</w:t>
      </w:r>
    </w:p>
    <w:p w14:paraId="2DEEB50F" w14:textId="77777777" w:rsidR="00B51242" w:rsidRDefault="008E4E86">
      <w:pPr>
        <w:spacing w:line="360" w:lineRule="auto"/>
        <w:ind w:firstLine="737"/>
        <w:jc w:val="both"/>
      </w:pPr>
      <w:r>
        <w:rPr>
          <w:color w:val="000000"/>
          <w:sz w:val="28"/>
          <w:szCs w:val="28"/>
        </w:rPr>
        <w:t xml:space="preserve">Підтвердженням наявності зазначених труднощів є результати дослідження, проведеного серед військовослужбовців Збройних Сил Австралії та опублікованого 21 лютого 2023 року. У рамках цього проєкту було реалізовано два піддослідження: у першому взяли участь </w:t>
      </w:r>
      <w:r>
        <w:rPr>
          <w:rStyle w:val="StrongEmphasis"/>
          <w:b w:val="0"/>
          <w:bCs w:val="0"/>
          <w:color w:val="000000"/>
          <w:sz w:val="28"/>
          <w:szCs w:val="28"/>
        </w:rPr>
        <w:t>138 військовослужбовців</w:t>
      </w:r>
      <w:r>
        <w:rPr>
          <w:color w:val="000000"/>
          <w:sz w:val="28"/>
          <w:szCs w:val="28"/>
        </w:rPr>
        <w:t xml:space="preserve">, для яких оцінювали показники робочої пам’яті; у другому — </w:t>
      </w:r>
      <w:r>
        <w:rPr>
          <w:rStyle w:val="StrongEmphasis"/>
          <w:b w:val="0"/>
          <w:bCs w:val="0"/>
          <w:color w:val="000000"/>
          <w:sz w:val="28"/>
          <w:szCs w:val="28"/>
        </w:rPr>
        <w:t>211 учасників</w:t>
      </w:r>
      <w:r>
        <w:rPr>
          <w:color w:val="000000"/>
          <w:sz w:val="28"/>
          <w:szCs w:val="28"/>
        </w:rPr>
        <w:t>, де вимірювали характеристики візуальних образів. Усі військові мали підтверджений діагноз ПТСР або виражену симптоматику за результатами опитувальника PCL-M (військова версія). Контрольну групу становили військовослужбовці без ознак розладу.</w:t>
      </w:r>
    </w:p>
    <w:p w14:paraId="131376E7" w14:textId="77777777" w:rsidR="00B51242" w:rsidRDefault="008E4E86">
      <w:pPr>
        <w:spacing w:line="360" w:lineRule="auto"/>
        <w:ind w:firstLine="737"/>
        <w:jc w:val="both"/>
      </w:pPr>
      <w:r>
        <w:rPr>
          <w:color w:val="000000"/>
          <w:sz w:val="28"/>
          <w:szCs w:val="28"/>
        </w:rPr>
        <w:t>Результати засвідчили, що учасники з ПТСР демонстрували суттєво гірші показники у завданнях, які вимагали роботи зі складними компонентами робочої пам’яті. При цьому базові параметри пам’яті у них залишалися збереженими. Така різниця свідчить про те, що порушення пов’язані не зі зменшенням обсягу пам’яті як такої, а зі здатністю підтримувати, оновлювати й обробляти інформацію в умовах високого когнітивного навантаження. Значну роль у цьому відіграє потреба пригнічувати несуттєві стимули та втручання нав’язливих спогадів, що створюють так званий ефект «внутрішнього шуму». Інтрузивні спогади не лише ускладнюють виконання когнітивних завдань, а й спричиняють емоційні реакції, які додатково знижують продуктивність та концентрацію уваги.</w:t>
      </w:r>
    </w:p>
    <w:p w14:paraId="1B428976" w14:textId="77777777" w:rsidR="00B51242" w:rsidRDefault="008E4E86">
      <w:pPr>
        <w:spacing w:line="360" w:lineRule="auto"/>
        <w:ind w:firstLine="737"/>
        <w:jc w:val="both"/>
      </w:pPr>
      <w:r>
        <w:rPr>
          <w:color w:val="000000"/>
          <w:sz w:val="28"/>
          <w:szCs w:val="28"/>
        </w:rPr>
        <w:t>У контексті дослідження візуальних образів було встановлено, що яскравість образів сама по собі не має прямого зв’язку з частотою інтрузій у разі ПТСР. Натомість більш тісна асоціація була виявлена між інтенсивністю візуальних образів та симптомами гіперзбудження і напруги. Ймовірно, це пояснюється тим, що підвищена настороженість, очікування загрози та схильність прогнозувати потенційно небезпечні сценарії посилюють емоційне й фізіологічне реагування на уявні стимули.</w:t>
      </w:r>
    </w:p>
    <w:p w14:paraId="112CA1E4" w14:textId="77777777" w:rsidR="00B51242" w:rsidRDefault="008E4E86">
      <w:pPr>
        <w:spacing w:line="360" w:lineRule="auto"/>
        <w:ind w:firstLine="737"/>
        <w:jc w:val="both"/>
      </w:pPr>
      <w:r>
        <w:rPr>
          <w:color w:val="000000"/>
          <w:sz w:val="28"/>
          <w:szCs w:val="28"/>
        </w:rPr>
        <w:t xml:space="preserve">Навіть на етапі стабілізації терапевтичний процес із військовослужбовцями потребує врахування цих нейрокогнітивних характеристик. Ефективність техніки «створення безпечного місця» значною мірою залежить від здатності пацієнта утримувати у свідомості образи та управляти ними, що може бути ускладнено інтрузіями, гіперзбудженням або зниженою когнітивною гнучкістю. Відтак вибір стабілізаційних методів має бути диференційованим, а терапевт — готовим адаптувати техніку відповідно до індивідуальних можливостей та обмежень військовослужбовця </w:t>
      </w:r>
      <w:r w:rsidRPr="00D3629B">
        <w:rPr>
          <w:rStyle w:val="InternetLink"/>
          <w:rFonts w:eastAsia="Times New Roman" w:cs="Times New Roman"/>
          <w:color w:val="000000"/>
          <w:sz w:val="28"/>
          <w:szCs w:val="28"/>
          <w:u w:val="none"/>
          <w:lang w:eastAsia="ru-RU"/>
        </w:rPr>
        <w:t>[36].</w:t>
      </w:r>
    </w:p>
    <w:p w14:paraId="20726266" w14:textId="77777777" w:rsidR="00B51242" w:rsidRDefault="008E4E86">
      <w:pPr>
        <w:spacing w:line="360" w:lineRule="auto"/>
        <w:ind w:firstLine="737"/>
        <w:jc w:val="both"/>
      </w:pPr>
      <w:r w:rsidRPr="00D3629B">
        <w:rPr>
          <w:sz w:val="28"/>
          <w:szCs w:val="28"/>
        </w:rPr>
        <w:t xml:space="preserve">Враховуючи ймовірні труднощі, з якими можуть стикатися окремі військовослужбовці під час опанування техніки «створення безпечного місця», постала потреба у пошуку альтернативних методів стабілізації. </w:t>
      </w:r>
      <w:r w:rsidRPr="00D3629B">
        <w:rPr>
          <w:sz w:val="28"/>
          <w:szCs w:val="28"/>
          <w:lang w:val="ru-RU"/>
        </w:rPr>
        <w:t>У цьому контексті однією з найбільш перспективних та доказово обґрунтованих альтернатив було визначено метод десенсибілізації та репроцесінгу рухами очей (</w:t>
      </w:r>
      <w:r>
        <w:rPr>
          <w:sz w:val="28"/>
          <w:szCs w:val="28"/>
          <w:lang w:val="en-US"/>
        </w:rPr>
        <w:t>EMDR</w:t>
      </w:r>
      <w:r w:rsidRPr="00D3629B">
        <w:rPr>
          <w:sz w:val="28"/>
          <w:szCs w:val="28"/>
          <w:lang w:val="ru-RU"/>
        </w:rPr>
        <w:t>).</w:t>
      </w:r>
    </w:p>
    <w:p w14:paraId="13F21226" w14:textId="77777777" w:rsidR="00B51242" w:rsidRDefault="008E4E86">
      <w:pPr>
        <w:spacing w:line="360" w:lineRule="auto"/>
        <w:ind w:firstLine="737"/>
        <w:jc w:val="both"/>
      </w:pPr>
      <w:r>
        <w:rPr>
          <w:rStyle w:val="InternetLink"/>
          <w:rFonts w:eastAsia="Times New Roman" w:cs="Times New Roman"/>
          <w:color w:val="auto"/>
          <w:sz w:val="28"/>
          <w:szCs w:val="28"/>
          <w:u w:val="none"/>
        </w:rPr>
        <w:t>Метод десенсибілізації та репроцесінгу рухами очей становить науковий і практичний інтерес у контексті роботи з травматичним досвідом.</w:t>
      </w:r>
      <w:r>
        <w:rPr>
          <w:rStyle w:val="InternetLink"/>
          <w:rFonts w:eastAsia="Times New Roman" w:cs="Times New Roman"/>
          <w:color w:val="FF0000"/>
          <w:sz w:val="28"/>
          <w:szCs w:val="28"/>
          <w:u w:val="none"/>
        </w:rPr>
        <w:t xml:space="preserve"> </w:t>
      </w:r>
    </w:p>
    <w:p w14:paraId="0567FD3C" w14:textId="77777777" w:rsidR="00B51242" w:rsidRDefault="008E4E86">
      <w:pPr>
        <w:tabs>
          <w:tab w:val="left" w:pos="0"/>
        </w:tabs>
        <w:spacing w:line="360" w:lineRule="auto"/>
        <w:jc w:val="both"/>
      </w:pPr>
      <w:r>
        <w:rPr>
          <w:sz w:val="28"/>
          <w:szCs w:val="28"/>
        </w:rPr>
        <w:t xml:space="preserve">Білатеральна стимуляція визначається як ритмічне чергування сенсорних стимулів зліва та справа, що забезпечує залучення обох півкуль головного мозку. До основних форм білатеральної стимуляції відносять горизонтальні рухи очей, чергування аудіостимулів у лівому та правому вусі, а також тактильні подразники у вигляді ритмічного постукування по руках чи колінах. У практичному застосуванні найбільш поширеним є використання рухів очей, проте перспективним вважається комбіноване поєднання цього методу з тактильною стимуляцією. Для окремих клієнтів, зокрема осіб із підвищеною чутливістю до музики, може бути доцільним застосування спеціально адаптованих аудіоматеріалів для реалізації білатеральної стимуляції. </w:t>
      </w:r>
    </w:p>
    <w:p w14:paraId="630D6803" w14:textId="77777777" w:rsidR="00B51242" w:rsidRDefault="008E4E86">
      <w:pPr>
        <w:tabs>
          <w:tab w:val="left" w:pos="0"/>
        </w:tabs>
        <w:spacing w:line="360" w:lineRule="auto"/>
        <w:ind w:firstLine="794"/>
        <w:jc w:val="both"/>
      </w:pPr>
      <w:r>
        <w:rPr>
          <w:color w:val="000000"/>
          <w:sz w:val="28"/>
          <w:szCs w:val="28"/>
        </w:rPr>
        <w:t>Беручи до уваги ц</w:t>
      </w:r>
      <w:r>
        <w:rPr>
          <w:rStyle w:val="InternetLink"/>
          <w:rFonts w:eastAsia="Times New Roman" w:cs="Times New Roman"/>
          <w:color w:val="000000"/>
          <w:sz w:val="28"/>
          <w:szCs w:val="28"/>
          <w:u w:val="none"/>
          <w:lang w:eastAsia="ru-RU"/>
        </w:rPr>
        <w:t xml:space="preserve">ікавий факт, що люди з вищою освітою частіше піддаються ПТСР не тому, що вони “слабші”, а тому, що їхні когнітивні схеми складніші й більш ригідні. Травма сильніше руйнує їхню картину світу, а схильність до аналітичного мислення заважає природному переробленню досвіду </w:t>
      </w:r>
      <w:r w:rsidRPr="00D3629B">
        <w:rPr>
          <w:rStyle w:val="InternetLink"/>
          <w:rFonts w:eastAsia="Times New Roman" w:cs="Times New Roman"/>
          <w:color w:val="000000"/>
          <w:sz w:val="28"/>
          <w:szCs w:val="28"/>
          <w:u w:val="none"/>
          <w:lang w:val="ru-RU" w:eastAsia="ru-RU"/>
        </w:rPr>
        <w:t>[23].</w:t>
      </w:r>
    </w:p>
    <w:p w14:paraId="228300D2" w14:textId="77777777" w:rsidR="00B51242" w:rsidRDefault="008E4E86">
      <w:pPr>
        <w:tabs>
          <w:tab w:val="left" w:pos="0"/>
        </w:tabs>
        <w:spacing w:line="360" w:lineRule="auto"/>
        <w:ind w:firstLine="737"/>
        <w:jc w:val="both"/>
      </w:pPr>
      <w:r>
        <w:rPr>
          <w:rStyle w:val="InternetLink"/>
          <w:rFonts w:eastAsia="Times New Roman" w:cs="Times New Roman"/>
          <w:color w:val="000000"/>
          <w:sz w:val="28"/>
          <w:szCs w:val="28"/>
          <w:u w:val="none"/>
          <w:lang w:eastAsia="ru-RU"/>
        </w:rPr>
        <w:t>Також, дослідження свідчать про те, що д</w:t>
      </w:r>
      <w:r>
        <w:rPr>
          <w:rStyle w:val="InternetLink"/>
          <w:rFonts w:eastAsia="Times New Roman" w:cs="Times New Roman"/>
          <w:color w:val="000000"/>
          <w:sz w:val="28"/>
          <w:szCs w:val="28"/>
          <w:u w:val="none"/>
        </w:rPr>
        <w:t xml:space="preserve">ефіцит когнітивної гнучкості,  може бути фактором ризику розвитку основних симптомів ПТСР. Тому розуміння нейрофізіологічного субстрату цього зв'язку може допомогти в розробці ефективних методів лікування посттравматичного стресового розладу </w:t>
      </w:r>
      <w:r w:rsidRPr="00D3629B">
        <w:rPr>
          <w:rStyle w:val="InternetLink"/>
          <w:rFonts w:eastAsia="Times New Roman" w:cs="Times New Roman"/>
          <w:color w:val="000000"/>
          <w:sz w:val="28"/>
          <w:szCs w:val="28"/>
          <w:u w:val="none"/>
          <w:lang w:val="ru-RU"/>
        </w:rPr>
        <w:t>[57].</w:t>
      </w:r>
    </w:p>
    <w:p w14:paraId="4EBE4355" w14:textId="77777777" w:rsidR="00B51242" w:rsidRDefault="008E4E86">
      <w:pPr>
        <w:tabs>
          <w:tab w:val="left" w:pos="0"/>
        </w:tabs>
        <w:spacing w:line="360" w:lineRule="auto"/>
        <w:ind w:firstLine="737"/>
        <w:jc w:val="both"/>
      </w:pPr>
      <w:r>
        <w:rPr>
          <w:rStyle w:val="InternetLink"/>
          <w:rFonts w:eastAsia="Times New Roman" w:cs="Times New Roman"/>
          <w:color w:val="000000"/>
          <w:sz w:val="28"/>
          <w:szCs w:val="28"/>
          <w:u w:val="none"/>
          <w:lang w:eastAsia="ru-RU"/>
        </w:rPr>
        <w:t xml:space="preserve">Важливо, що білатеральна стимуляція, працює не через “аналіз”, а через </w:t>
      </w:r>
      <w:r>
        <w:rPr>
          <w:rStyle w:val="StrongEmphasis"/>
          <w:rFonts w:eastAsia="Times New Roman" w:cs="Times New Roman"/>
          <w:b w:val="0"/>
          <w:bCs w:val="0"/>
          <w:color w:val="000000"/>
          <w:sz w:val="28"/>
          <w:szCs w:val="28"/>
          <w:lang w:eastAsia="ru-RU"/>
        </w:rPr>
        <w:t>нейропереробку</w:t>
      </w:r>
      <w:r>
        <w:rPr>
          <w:rStyle w:val="InternetLink"/>
          <w:rFonts w:eastAsia="Times New Roman" w:cs="Times New Roman"/>
          <w:color w:val="000000"/>
          <w:sz w:val="28"/>
          <w:szCs w:val="28"/>
          <w:u w:val="none"/>
          <w:lang w:eastAsia="ru-RU"/>
        </w:rPr>
        <w:t xml:space="preserve"> на глибинному рівні. Тому д</w:t>
      </w:r>
      <w:r>
        <w:rPr>
          <w:rStyle w:val="InternetLink"/>
          <w:rFonts w:eastAsia="Times New Roman" w:cs="Times New Roman"/>
          <w:color w:val="000000"/>
          <w:sz w:val="28"/>
          <w:szCs w:val="28"/>
          <w:u w:val="none"/>
        </w:rPr>
        <w:t>о основної мети білатеральної стимуляції, можна віднести зняття контролю і “залипання” на небезпеці.</w:t>
      </w:r>
    </w:p>
    <w:p w14:paraId="4A850774" w14:textId="77777777" w:rsidR="00B51242" w:rsidRDefault="008E4E86">
      <w:pPr>
        <w:tabs>
          <w:tab w:val="left" w:pos="0"/>
        </w:tabs>
        <w:spacing w:line="360" w:lineRule="auto"/>
        <w:ind w:firstLine="737"/>
        <w:jc w:val="both"/>
      </w:pPr>
      <w:r>
        <w:rPr>
          <w:rStyle w:val="InternetLink"/>
          <w:rFonts w:eastAsia="Times New Roman" w:cs="Times New Roman"/>
          <w:color w:val="000000"/>
          <w:sz w:val="28"/>
          <w:szCs w:val="28"/>
          <w:u w:val="none"/>
        </w:rPr>
        <w:t>Переваги білатеральної стимуляції очевидні,</w:t>
      </w:r>
      <w:r>
        <w:rPr>
          <w:rStyle w:val="InternetLink"/>
          <w:rFonts w:eastAsia="Times New Roman" w:cs="Times New Roman"/>
          <w:color w:val="FF4000"/>
          <w:sz w:val="28"/>
          <w:szCs w:val="28"/>
          <w:u w:val="none"/>
        </w:rPr>
        <w:t xml:space="preserve"> </w:t>
      </w:r>
      <w:r>
        <w:rPr>
          <w:rStyle w:val="InternetLink"/>
          <w:rFonts w:eastAsia="Times New Roman" w:cs="Times New Roman"/>
          <w:color w:val="000000"/>
          <w:sz w:val="28"/>
          <w:szCs w:val="28"/>
          <w:u w:val="none"/>
        </w:rPr>
        <w:t xml:space="preserve">але  беручи до увагу, заміну одного підходу іншим, або різке переключення між методами може зумовлювати у клієнтів відчуття дезорієнтації та спротиву терапевтичному процесу. З огляду на це, найбільш доцільним вбачається використання травмофокусованої когнітивно-поведінкової терапії як основу психотерапевтичної роботи з травмою з можливістю інтеграції окремих елементів EMDR, таку як білатеральна стимуляція за допомогою руху очей, яка може виконувати допоміжну, виключно стабілізаційну функцію. </w:t>
      </w:r>
    </w:p>
    <w:p w14:paraId="5CAC3E61" w14:textId="77777777" w:rsidR="00B51242" w:rsidRDefault="008E4E86">
      <w:pPr>
        <w:tabs>
          <w:tab w:val="left" w:pos="0"/>
        </w:tabs>
        <w:spacing w:line="360" w:lineRule="auto"/>
        <w:ind w:firstLine="737"/>
        <w:jc w:val="both"/>
      </w:pPr>
      <w:r>
        <w:rPr>
          <w:rStyle w:val="InternetLink"/>
          <w:rFonts w:eastAsia="Times New Roman" w:cs="Times New Roman"/>
          <w:color w:val="000000"/>
          <w:sz w:val="28"/>
          <w:szCs w:val="28"/>
          <w:u w:val="none"/>
        </w:rPr>
        <w:t xml:space="preserve">При інтеграції елементів десенсибілізації та репроцесінгу рухами очей (EMDR) у </w:t>
      </w:r>
      <w:r>
        <w:rPr>
          <w:rStyle w:val="InternetLink"/>
          <w:rFonts w:eastAsia="Times New Roman" w:cs="Times New Roman"/>
          <w:color w:val="000000"/>
          <w:sz w:val="28"/>
          <w:szCs w:val="28"/>
          <w:u w:val="none"/>
          <w:lang w:val="en-US"/>
        </w:rPr>
        <w:t>TF</w:t>
      </w:r>
      <w:r w:rsidRPr="00D3629B">
        <w:rPr>
          <w:rStyle w:val="InternetLink"/>
          <w:rFonts w:eastAsia="Times New Roman" w:cs="Times New Roman"/>
          <w:color w:val="000000"/>
          <w:sz w:val="28"/>
          <w:szCs w:val="28"/>
          <w:u w:val="none"/>
        </w:rPr>
        <w:t>-</w:t>
      </w:r>
      <w:r>
        <w:rPr>
          <w:rStyle w:val="InternetLink"/>
          <w:rFonts w:eastAsia="Times New Roman" w:cs="Times New Roman"/>
          <w:color w:val="000000"/>
          <w:sz w:val="28"/>
          <w:szCs w:val="28"/>
          <w:u w:val="none"/>
          <w:lang w:val="en-US"/>
        </w:rPr>
        <w:t>CBT</w:t>
      </w:r>
      <w:r>
        <w:rPr>
          <w:rStyle w:val="InternetLink"/>
          <w:rFonts w:eastAsia="Times New Roman" w:cs="Times New Roman"/>
          <w:color w:val="000000"/>
          <w:sz w:val="28"/>
          <w:szCs w:val="28"/>
          <w:u w:val="none"/>
        </w:rPr>
        <w:t>, доцільним є використання ТОТ. Тілесні практики сприяють відновленню інтеграції психічного та соматичного рівнів, зменшують гіперактивацію нервової системи та підвищують відчуття контролю над тілом у пацієнта.</w:t>
      </w:r>
    </w:p>
    <w:p w14:paraId="5715E698" w14:textId="77777777" w:rsidR="00B51242" w:rsidRDefault="008E4E86">
      <w:pPr>
        <w:tabs>
          <w:tab w:val="left" w:pos="0"/>
        </w:tabs>
        <w:spacing w:line="360" w:lineRule="auto"/>
        <w:ind w:firstLine="737"/>
        <w:jc w:val="both"/>
      </w:pPr>
      <w:r>
        <w:rPr>
          <w:rStyle w:val="InternetLink"/>
          <w:rFonts w:eastAsia="Times New Roman" w:cs="Times New Roman"/>
          <w:color w:val="000000"/>
          <w:sz w:val="28"/>
          <w:szCs w:val="28"/>
          <w:u w:val="none"/>
        </w:rPr>
        <w:t xml:space="preserve">В інтегративному підході процесс “зняття з гачка” візуальних образів та емоційного напруження, на відміну від класичної техніки, яка проходить за допомогою когнітивної обробки, може бути </w:t>
      </w:r>
      <w:r>
        <w:rPr>
          <w:sz w:val="28"/>
          <w:szCs w:val="28"/>
        </w:rPr>
        <w:t xml:space="preserve">реалізований таким чином: здійснюється регуляція когнітивних і емоційних реакцій за допомогою двобічної стимуляції (bilateral stimulation, </w:t>
      </w:r>
      <w:bookmarkStart w:id="10" w:name="__DdeLink__4754_505213950"/>
      <w:r>
        <w:rPr>
          <w:sz w:val="28"/>
          <w:szCs w:val="28"/>
        </w:rPr>
        <w:t>BLS</w:t>
      </w:r>
      <w:bookmarkEnd w:id="10"/>
      <w:r>
        <w:rPr>
          <w:sz w:val="28"/>
          <w:szCs w:val="28"/>
        </w:rPr>
        <w:t>) у рамках EMDR, одночасно пацієнт фокусує увагу на тілесному усвідомленні в «тут і зараз» та заспокоюється за допомогою технік заземлення, що характерні для ТОТ.</w:t>
      </w:r>
    </w:p>
    <w:p w14:paraId="6B2A4008" w14:textId="77777777" w:rsidR="00B51242" w:rsidRDefault="008E4E86">
      <w:pPr>
        <w:spacing w:line="360" w:lineRule="auto"/>
        <w:jc w:val="both"/>
      </w:pPr>
      <w:r>
        <w:rPr>
          <w:sz w:val="28"/>
          <w:szCs w:val="28"/>
        </w:rPr>
        <w:t xml:space="preserve">Наприклад, ритмічні рухи очей або інші форми двобічної стимуляції можуть поєднуватися з відчуттям опори стоп на підлозі чи контактом спини з поверхнею сидіння або усвідомленням дихання та поступовою м’язовою релаксацією, в залежності від підготовки. Така комбінація створює подвійний терапевтичний ефект: з одного боку, активується процес десенсибілізації та репроцесінгу за рахунок механізмів EMDR, а з іншого — формується тілесна стабільність, яка відволікає від актуалізованого травматичного матеріалу та знижує інтенсивність його впливу на психіку пацієнта </w:t>
      </w:r>
      <w:r w:rsidRPr="00D3629B">
        <w:rPr>
          <w:rStyle w:val="InternetLink"/>
          <w:color w:val="000000"/>
          <w:sz w:val="28"/>
          <w:szCs w:val="28"/>
          <w:u w:val="none"/>
        </w:rPr>
        <w:t>[69].</w:t>
      </w:r>
    </w:p>
    <w:p w14:paraId="4A997A9D" w14:textId="77777777" w:rsidR="00B51242" w:rsidRDefault="008E4E86">
      <w:pPr>
        <w:spacing w:line="360" w:lineRule="auto"/>
        <w:ind w:firstLine="794"/>
        <w:jc w:val="both"/>
      </w:pPr>
      <w:r>
        <w:rPr>
          <w:rStyle w:val="InternetLink"/>
          <w:rFonts w:eastAsia="Times New Roman" w:cs="Times New Roman"/>
          <w:color w:val="000000"/>
          <w:sz w:val="28"/>
          <w:szCs w:val="28"/>
          <w:u w:val="none"/>
        </w:rPr>
        <w:t xml:space="preserve">В процесі вивчення методу </w:t>
      </w:r>
      <w:r>
        <w:rPr>
          <w:rStyle w:val="InternetLink"/>
          <w:rFonts w:eastAsia="Times New Roman" w:cs="Times New Roman"/>
          <w:color w:val="000000"/>
          <w:sz w:val="28"/>
          <w:szCs w:val="28"/>
          <w:u w:val="none"/>
          <w:lang w:val="en-US"/>
        </w:rPr>
        <w:t>EMDR</w:t>
      </w:r>
      <w:r w:rsidRPr="00D3629B">
        <w:rPr>
          <w:rStyle w:val="InternetLink"/>
          <w:rFonts w:eastAsia="Times New Roman" w:cs="Times New Roman"/>
          <w:color w:val="000000"/>
          <w:sz w:val="28"/>
          <w:szCs w:val="28"/>
          <w:u w:val="none"/>
        </w:rPr>
        <w:t xml:space="preserve"> </w:t>
      </w:r>
      <w:r>
        <w:rPr>
          <w:rStyle w:val="InternetLink"/>
          <w:rFonts w:eastAsia="Times New Roman" w:cs="Times New Roman"/>
          <w:color w:val="000000"/>
          <w:sz w:val="28"/>
          <w:szCs w:val="28"/>
          <w:u w:val="none"/>
        </w:rPr>
        <w:t>виникли наступні питання: з якою шидкістю виконувати рух очей, щоб викликати заспокоєння, розмір предмета відстежування і на якій відстані?</w:t>
      </w:r>
    </w:p>
    <w:p w14:paraId="1B0194F9" w14:textId="77777777" w:rsidR="00B51242" w:rsidRDefault="008E4E86">
      <w:pPr>
        <w:spacing w:line="360" w:lineRule="auto"/>
        <w:ind w:firstLine="794"/>
        <w:jc w:val="both"/>
      </w:pPr>
      <w:r>
        <w:rPr>
          <w:rStyle w:val="InternetLink"/>
          <w:rFonts w:eastAsia="Times New Roman" w:cs="Times New Roman"/>
          <w:color w:val="000000"/>
          <w:sz w:val="28"/>
          <w:szCs w:val="28"/>
          <w:u w:val="none"/>
        </w:rPr>
        <w:t xml:space="preserve">У публікації </w:t>
      </w:r>
      <w:r>
        <w:rPr>
          <w:rStyle w:val="a3"/>
          <w:rFonts w:eastAsia="Times New Roman" w:cs="Times New Roman"/>
          <w:color w:val="000000"/>
          <w:sz w:val="28"/>
          <w:szCs w:val="28"/>
        </w:rPr>
        <w:t>“Optimization of Video Stimuli Parameters in EMDR Therapy Using Artificial Neural Networks for Enhanced Treatment Efficacy”</w:t>
      </w:r>
      <w:r>
        <w:rPr>
          <w:rStyle w:val="InternetLink"/>
          <w:rFonts w:eastAsia="Times New Roman" w:cs="Times New Roman"/>
          <w:color w:val="000000"/>
          <w:sz w:val="28"/>
          <w:szCs w:val="28"/>
          <w:u w:val="none"/>
        </w:rPr>
        <w:t xml:space="preserve"> (2025) автори пропонують низку оптимальних характеристик відеостимулів для білатеральної стимуляції, зокрема частоту близько 1,8 Гц, розмір об’єкта приблизно 70 пікселів та міжстимульну відстань на рівні 1440 пікселів. Зазначені параметри продемонстрували високий прогнозований індекс ефективності (PES), отриманий за допомогою моделювання на основі штучних нейронних мереж. Такий підхід є методологічно цікавим і потенційно цінним, оскільки відкриває можливості для подальшої стандартизації стимульного матеріалу в EMDR-терапії та підвищення відтворюваності досліджень у цій сфері.</w:t>
      </w:r>
    </w:p>
    <w:p w14:paraId="74C4D730" w14:textId="77777777" w:rsidR="00B51242" w:rsidRDefault="008E4E86">
      <w:pPr>
        <w:spacing w:line="360" w:lineRule="auto"/>
        <w:ind w:firstLine="794"/>
        <w:jc w:val="both"/>
      </w:pPr>
      <w:r>
        <w:rPr>
          <w:color w:val="000000"/>
          <w:sz w:val="28"/>
          <w:szCs w:val="28"/>
        </w:rPr>
        <w:t xml:space="preserve">Разом із тим, попри привабливість ідеї алгоритмічно визначених оптимальних параметрів, практичне застосування білатеральної стимуляції (BLS) не може зводитися до універсальної схеми. Під час роботи терапевт повинен враховувати комплекс індивідуальних характеристик клієнта: особливості функціонування зорової системи, швидкість обробки інформації, рівень когнітивної втомлюваності, здатність підтримувати концентрацію та інші сенсорно-перцептивні чинники. Саме ці індивідуальні параметри часто визначають суб’єктивний комфорт, доступність методу та реальну терапевтичну результативність BLS </w:t>
      </w:r>
      <w:r w:rsidRPr="00D3629B">
        <w:rPr>
          <w:color w:val="000000"/>
          <w:sz w:val="28"/>
          <w:szCs w:val="28"/>
          <w:lang w:val="ru-RU"/>
        </w:rPr>
        <w:t>[52].</w:t>
      </w:r>
    </w:p>
    <w:p w14:paraId="4A4DB1B5" w14:textId="77777777" w:rsidR="00B51242" w:rsidRDefault="008E4E86">
      <w:pPr>
        <w:spacing w:line="360" w:lineRule="auto"/>
        <w:ind w:firstLine="794"/>
        <w:jc w:val="both"/>
      </w:pPr>
      <w:r>
        <w:rPr>
          <w:b/>
          <w:bCs/>
          <w:color w:val="000000"/>
          <w:sz w:val="28"/>
          <w:szCs w:val="28"/>
        </w:rPr>
        <w:t xml:space="preserve">Аргументи і міркування на користь гнучкого індивідуального підходу в </w:t>
      </w:r>
      <w:r>
        <w:rPr>
          <w:b/>
          <w:bCs/>
          <w:color w:val="000000"/>
          <w:sz w:val="28"/>
          <w:szCs w:val="28"/>
          <w:lang w:val="en-US"/>
        </w:rPr>
        <w:t>EMDR</w:t>
      </w:r>
      <w:r>
        <w:rPr>
          <w:b/>
          <w:bCs/>
          <w:color w:val="000000"/>
          <w:sz w:val="28"/>
          <w:szCs w:val="28"/>
        </w:rPr>
        <w:t>:</w:t>
      </w:r>
    </w:p>
    <w:p w14:paraId="37459746" w14:textId="77777777" w:rsidR="00B51242" w:rsidRDefault="008E4E86">
      <w:pPr>
        <w:spacing w:line="360" w:lineRule="auto"/>
        <w:ind w:firstLine="794"/>
        <w:jc w:val="both"/>
      </w:pPr>
      <w:r>
        <w:rPr>
          <w:rStyle w:val="StrongEmphasis"/>
          <w:color w:val="000000"/>
          <w:sz w:val="28"/>
          <w:szCs w:val="28"/>
        </w:rPr>
        <w:t>Різниця сенсорної системи та сприйняття</w:t>
      </w:r>
    </w:p>
    <w:p w14:paraId="1D31D5E7" w14:textId="77777777" w:rsidR="00B51242" w:rsidRDefault="008E4E86">
      <w:pPr>
        <w:spacing w:line="360" w:lineRule="auto"/>
        <w:jc w:val="both"/>
        <w:rPr>
          <w:color w:val="000000"/>
          <w:sz w:val="28"/>
          <w:szCs w:val="28"/>
        </w:rPr>
      </w:pPr>
      <w:r>
        <w:rPr>
          <w:color w:val="000000"/>
          <w:sz w:val="28"/>
          <w:szCs w:val="28"/>
        </w:rPr>
        <w:t>Люди мають різні характеристики зору — гостроту, сприйняття руху, чутливість до контрасту, периферійне бачення. Тобто стимул певної швидкості чи розміру може виявитися занадто інтенсивним або навпаки недостатнім для різних осіб.</w:t>
      </w:r>
    </w:p>
    <w:p w14:paraId="5737D415" w14:textId="77777777" w:rsidR="00B51242" w:rsidRDefault="008E4E86">
      <w:pPr>
        <w:spacing w:line="360" w:lineRule="auto"/>
        <w:ind w:firstLine="737"/>
        <w:jc w:val="both"/>
      </w:pPr>
      <w:r>
        <w:rPr>
          <w:color w:val="000000"/>
          <w:sz w:val="28"/>
          <w:szCs w:val="28"/>
        </w:rPr>
        <w:t>Наприклад, для людей із легкими порушеннями зору або зоровою втомою рухливий стимул на великій відстані може бути важче сприйманим.</w:t>
      </w:r>
    </w:p>
    <w:p w14:paraId="0A50F3D7" w14:textId="77777777" w:rsidR="00B51242" w:rsidRDefault="008E4E86">
      <w:pPr>
        <w:spacing w:line="360" w:lineRule="auto"/>
        <w:ind w:firstLine="737"/>
        <w:jc w:val="both"/>
      </w:pPr>
      <w:r>
        <w:rPr>
          <w:rStyle w:val="StrongEmphasis"/>
          <w:color w:val="000000"/>
          <w:sz w:val="28"/>
          <w:szCs w:val="28"/>
        </w:rPr>
        <w:t>Когнітивне навантаження та темп обробки</w:t>
      </w:r>
    </w:p>
    <w:p w14:paraId="78360C9E" w14:textId="77777777" w:rsidR="00B51242" w:rsidRDefault="008E4E86">
      <w:pPr>
        <w:spacing w:line="360" w:lineRule="auto"/>
        <w:ind w:firstLine="737"/>
        <w:jc w:val="both"/>
      </w:pPr>
      <w:r>
        <w:rPr>
          <w:color w:val="000000"/>
          <w:sz w:val="28"/>
          <w:szCs w:val="28"/>
        </w:rPr>
        <w:t>Теорії, що пояснюють ефект EMDR через завантаження робочої пам’яті (working memory account), припускають, що стимуляція, яка надто швидка чи інтенсивна, може перевантажити когнітивні ресурси й втратити ефективність.</w:t>
      </w:r>
      <w:r>
        <w:rPr>
          <w:rStyle w:val="InternetLink"/>
          <w:color w:val="000000"/>
          <w:sz w:val="28"/>
          <w:szCs w:val="28"/>
          <w:highlight w:val="yellow"/>
          <w:u w:val="none"/>
        </w:rPr>
        <w:t xml:space="preserve">   </w:t>
      </w:r>
    </w:p>
    <w:p w14:paraId="67742818" w14:textId="77777777" w:rsidR="00B51242" w:rsidRDefault="008E4E86">
      <w:pPr>
        <w:spacing w:line="360" w:lineRule="auto"/>
        <w:ind w:firstLine="737"/>
        <w:jc w:val="both"/>
      </w:pPr>
      <w:r>
        <w:rPr>
          <w:color w:val="000000"/>
          <w:sz w:val="28"/>
          <w:szCs w:val="28"/>
        </w:rPr>
        <w:t>Навпаки, надто повільна стимуляція може не забезпечити достатньої стимуляції для активації ресурсів обробки.</w:t>
      </w:r>
    </w:p>
    <w:p w14:paraId="230630DE" w14:textId="77777777" w:rsidR="00B51242" w:rsidRDefault="008E4E86">
      <w:pPr>
        <w:spacing w:line="360" w:lineRule="auto"/>
        <w:ind w:firstLine="737"/>
        <w:jc w:val="both"/>
      </w:pPr>
      <w:r>
        <w:rPr>
          <w:rStyle w:val="StrongEmphasis"/>
          <w:color w:val="000000"/>
          <w:sz w:val="28"/>
          <w:szCs w:val="28"/>
        </w:rPr>
        <w:t>- Психічна й емоційна чутливість</w:t>
      </w:r>
      <w:r>
        <w:rPr>
          <w:color w:val="000000"/>
          <w:sz w:val="28"/>
          <w:szCs w:val="28"/>
        </w:rPr>
        <w:t xml:space="preserve">                                                                                      </w:t>
      </w:r>
    </w:p>
    <w:p w14:paraId="33A1C215" w14:textId="77777777" w:rsidR="00B51242" w:rsidRDefault="008E4E86">
      <w:pPr>
        <w:tabs>
          <w:tab w:val="left" w:pos="0"/>
        </w:tabs>
        <w:spacing w:line="360" w:lineRule="auto"/>
        <w:jc w:val="both"/>
      </w:pPr>
      <w:r>
        <w:rPr>
          <w:color w:val="000000"/>
          <w:sz w:val="28"/>
          <w:szCs w:val="28"/>
        </w:rPr>
        <w:t>У деяких клієнтів високий інтенсивний стимул може провокувати дискомфорт, збудження або перенавантаження емоційної системи, тоді як для інших саме сильна стимуляція є каталізатором переходу до обробки.</w:t>
      </w:r>
      <w:r>
        <w:rPr>
          <w:color w:val="000000"/>
          <w:sz w:val="28"/>
          <w:szCs w:val="28"/>
        </w:rPr>
        <w:br/>
        <w:t>Отже потрібно регулювати інтенсивність (наприклад, тривалість сетів, паузи, амплітуду руху) згідно з реакціями клієнта.</w:t>
      </w:r>
    </w:p>
    <w:p w14:paraId="2167D239" w14:textId="77777777" w:rsidR="00B51242" w:rsidRDefault="008E4E86">
      <w:pPr>
        <w:tabs>
          <w:tab w:val="left" w:pos="0"/>
        </w:tabs>
        <w:spacing w:line="360" w:lineRule="auto"/>
        <w:ind w:firstLine="737"/>
        <w:jc w:val="both"/>
      </w:pPr>
      <w:r>
        <w:rPr>
          <w:rStyle w:val="StrongEmphasis"/>
          <w:color w:val="000000"/>
          <w:sz w:val="28"/>
          <w:szCs w:val="28"/>
        </w:rPr>
        <w:t>- Нейробіологічна варіабельність</w:t>
      </w:r>
    </w:p>
    <w:p w14:paraId="4F772563" w14:textId="77777777" w:rsidR="00B51242" w:rsidRDefault="008E4E86">
      <w:pPr>
        <w:tabs>
          <w:tab w:val="left" w:pos="0"/>
        </w:tabs>
        <w:spacing w:line="360" w:lineRule="auto"/>
        <w:jc w:val="both"/>
      </w:pPr>
      <w:r>
        <w:rPr>
          <w:color w:val="000000"/>
          <w:sz w:val="28"/>
          <w:szCs w:val="28"/>
        </w:rPr>
        <w:t>Нейросканування показує, що вплив білатеральної стимуляції включає зміни активності в різних мозкових ділянках (наприклад, зменшення активності префронтальної кортикальної зони при позитивному ефекті)</w:t>
      </w:r>
      <w:r>
        <w:rPr>
          <w:color w:val="000000"/>
          <w:sz w:val="28"/>
          <w:szCs w:val="28"/>
        </w:rPr>
        <w:br/>
        <w:t xml:space="preserve">Але та сама стимуляція може по-різному “резонувати” з індивідуальними патернами нейронної збудливості. Тобто універсального “кращого параметру” може не існувати </w:t>
      </w:r>
      <w:r w:rsidRPr="00D3629B">
        <w:rPr>
          <w:color w:val="000000"/>
          <w:sz w:val="28"/>
          <w:szCs w:val="28"/>
        </w:rPr>
        <w:t>[</w:t>
      </w:r>
      <w:r w:rsidRPr="00D3629B">
        <w:rPr>
          <w:rStyle w:val="InternetLink"/>
          <w:color w:val="000000"/>
          <w:sz w:val="28"/>
          <w:szCs w:val="28"/>
          <w:u w:val="none"/>
        </w:rPr>
        <w:t xml:space="preserve">54]. </w:t>
      </w:r>
    </w:p>
    <w:p w14:paraId="376F3996" w14:textId="77777777" w:rsidR="00B51242" w:rsidRDefault="008E4E86">
      <w:pPr>
        <w:tabs>
          <w:tab w:val="left" w:pos="0"/>
        </w:tabs>
        <w:spacing w:line="360" w:lineRule="auto"/>
        <w:ind w:firstLine="794"/>
        <w:jc w:val="both"/>
      </w:pPr>
      <w:r>
        <w:rPr>
          <w:rStyle w:val="InternetLink"/>
          <w:color w:val="000000"/>
          <w:sz w:val="28"/>
          <w:szCs w:val="28"/>
          <w:u w:val="none"/>
        </w:rPr>
        <w:t>Тому навіть за наявності науково обґрунтованих модельних прогнозів оптимальних параметрів стимуляції, клінічне застосування EMDR має залишатися гнучким і адаптивним, орієнтованим на конкретні потреби клієнта та його здатність ефективно взаємодіяти з обраним видом стимулів</w:t>
      </w:r>
    </w:p>
    <w:p w14:paraId="3A978979" w14:textId="77777777" w:rsidR="00B51242" w:rsidRDefault="008E4E86">
      <w:pPr>
        <w:tabs>
          <w:tab w:val="left" w:pos="0"/>
        </w:tabs>
        <w:spacing w:line="360" w:lineRule="auto"/>
        <w:ind w:firstLine="850"/>
        <w:jc w:val="both"/>
      </w:pPr>
      <w:r>
        <w:rPr>
          <w:rStyle w:val="StrongEmphasis"/>
          <w:b w:val="0"/>
          <w:bCs w:val="0"/>
          <w:color w:val="000000"/>
          <w:sz w:val="28"/>
          <w:szCs w:val="28"/>
        </w:rPr>
        <w:t>У процесі аналізу сучасних ресурсів, присвячених методології десенсибілізації та репроцесінгу рухами очей (Eye Movement Desensitization and Reprocessing, EMDR), була сформована добірка рекомендацій щодо використання окремих стабілізаційних технік з елементами білатеральної стимуляції. Ці рекомендації спрямовані на регуляцію емоційного стану клієнта та підвищення його здатності до толерування афекту під час опрацювання травматичного досвіду. Основні положення виглядають наступним чином:</w:t>
      </w:r>
    </w:p>
    <w:p w14:paraId="324D8E8A" w14:textId="77777777" w:rsidR="00B51242" w:rsidRDefault="008E4E86">
      <w:pPr>
        <w:tabs>
          <w:tab w:val="left" w:pos="0"/>
        </w:tabs>
        <w:spacing w:line="360" w:lineRule="auto"/>
        <w:ind w:left="707" w:hanging="283"/>
        <w:jc w:val="both"/>
      </w:pPr>
      <w:r>
        <w:rPr>
          <w:rStyle w:val="StrongEmphasis"/>
          <w:color w:val="000000"/>
          <w:sz w:val="28"/>
          <w:szCs w:val="28"/>
        </w:rPr>
        <w:t>Швидкість білатеральних рухів очей – приблизно 1 цикл за секунду.</w:t>
      </w:r>
      <w:r>
        <w:rPr>
          <w:color w:val="000000"/>
          <w:sz w:val="28"/>
          <w:szCs w:val="28"/>
        </w:rPr>
        <w:br/>
        <w:t>Використання уповільненої білатеральної стимуляції має регуляторний ефект: вона сприяє зменшенню фізіологічного напруження, зниженню інтенсивності афективної активації та полегшенню доступу до позитивних або нейтральних ресурсних уявлень. На відміну від швидкої стимуляції, спрямованої на інтенсивну переробку матеріалу, повільні рухи підтримують заспокоєння та не провокують надмірного емоційного залучення.</w:t>
      </w:r>
    </w:p>
    <w:p w14:paraId="3B73680B" w14:textId="77777777" w:rsidR="00B51242" w:rsidRDefault="008E4E86">
      <w:pPr>
        <w:tabs>
          <w:tab w:val="left" w:pos="0"/>
        </w:tabs>
        <w:spacing w:line="360" w:lineRule="auto"/>
        <w:ind w:left="707" w:hanging="283"/>
        <w:jc w:val="both"/>
      </w:pPr>
      <w:r>
        <w:rPr>
          <w:rStyle w:val="StrongEmphasis"/>
          <w:color w:val="000000"/>
          <w:sz w:val="28"/>
          <w:szCs w:val="28"/>
        </w:rPr>
        <w:t>Тривалість одного сету — до 12 секунд, з подальшим індивідуальним добором кількості сетів.</w:t>
      </w:r>
    </w:p>
    <w:p w14:paraId="0910A783" w14:textId="77777777" w:rsidR="00B51242" w:rsidRDefault="008E4E86">
      <w:pPr>
        <w:spacing w:line="360" w:lineRule="auto"/>
        <w:ind w:left="707"/>
        <w:jc w:val="both"/>
        <w:rPr>
          <w:color w:val="000000"/>
          <w:sz w:val="28"/>
          <w:szCs w:val="28"/>
        </w:rPr>
      </w:pPr>
      <w:r>
        <w:rPr>
          <w:color w:val="000000"/>
          <w:sz w:val="28"/>
          <w:szCs w:val="28"/>
        </w:rPr>
        <w:t>Обмежена тривалість сету дозволяє контролювати рівень активації та запобігати перевантаженню нервової системи під час стабілізаційної роботи. Кількість повторень визначається залежно від реакції клієнта: підвищення рівня заземленості, зниження тривоги, стабілізація дихання та м’язової напруги. Така індивідуалізація відповідає принципам фазової моделі роботи з травмою, де безпека й контрольованість процесу є ключовими критеріями.</w:t>
      </w:r>
    </w:p>
    <w:p w14:paraId="7F53C453" w14:textId="77777777" w:rsidR="00B51242" w:rsidRDefault="008E4E86">
      <w:pPr>
        <w:tabs>
          <w:tab w:val="left" w:pos="0"/>
        </w:tabs>
        <w:spacing w:line="360" w:lineRule="auto"/>
        <w:ind w:left="707" w:hanging="283"/>
        <w:jc w:val="both"/>
      </w:pPr>
      <w:r>
        <w:rPr>
          <w:rStyle w:val="StrongEmphasis"/>
          <w:color w:val="000000"/>
          <w:sz w:val="28"/>
          <w:szCs w:val="28"/>
        </w:rPr>
        <w:t>Відстань до стимулу, його розмір та спосіб подання (візуальний, тактильний тощо) адаптуються до індивідуальних потреб клієнта.</w:t>
      </w:r>
      <w:r>
        <w:rPr>
          <w:color w:val="000000"/>
          <w:sz w:val="28"/>
          <w:szCs w:val="28"/>
        </w:rPr>
        <w:br/>
        <w:t xml:space="preserve">Адаптація параметрів стимулу забезпечує комфорт та оптимальну ефективність техніки. Враховуються особливості зору, моторики, можливі тригери, рівень напруги та здатність клієнта підтримувати увагу. Гнучкість у виборі дистанції, амплітуди рухів чи типу стимуляції (наприклад, легкі тактильні поплескування замість візуального стеження) дозволяє мінімізувати ризик дестабілізації та підвищує суб’єктивне відчуття контролю </w:t>
      </w:r>
      <w:r>
        <w:rPr>
          <w:rStyle w:val="InternetLink"/>
          <w:color w:val="000000"/>
          <w:sz w:val="28"/>
          <w:szCs w:val="28"/>
          <w:u w:val="none"/>
          <w:lang w:val="en-US"/>
        </w:rPr>
        <w:t>[67].</w:t>
      </w:r>
    </w:p>
    <w:p w14:paraId="56D3EF5B" w14:textId="77777777" w:rsidR="00B51242" w:rsidRDefault="008E4E86">
      <w:pPr>
        <w:tabs>
          <w:tab w:val="left" w:pos="0"/>
        </w:tabs>
        <w:spacing w:line="360" w:lineRule="auto"/>
        <w:ind w:firstLine="794"/>
        <w:jc w:val="both"/>
      </w:pPr>
      <w:r>
        <w:rPr>
          <w:rStyle w:val="StrongEmphasis"/>
          <w:rFonts w:eastAsia="Times New Roman" w:cs="Times New Roman"/>
          <w:color w:val="000000"/>
          <w:sz w:val="28"/>
          <w:szCs w:val="28"/>
          <w:lang w:eastAsia="ru-RU"/>
        </w:rPr>
        <w:t>Одже до переваг розділення функцій переробки та стабілізації можна віднести:</w:t>
      </w:r>
    </w:p>
    <w:p w14:paraId="136536FE" w14:textId="77777777" w:rsidR="00B51242" w:rsidRDefault="008E4E86">
      <w:pPr>
        <w:tabs>
          <w:tab w:val="left" w:pos="0"/>
        </w:tabs>
        <w:spacing w:line="360" w:lineRule="auto"/>
        <w:ind w:firstLine="794"/>
        <w:jc w:val="both"/>
      </w:pPr>
      <w:r>
        <w:rPr>
          <w:rStyle w:val="StrongEmphasis"/>
          <w:b w:val="0"/>
          <w:bCs w:val="0"/>
          <w:sz w:val="28"/>
          <w:szCs w:val="28"/>
        </w:rPr>
        <w:t>- Зменшення ризику вторинної травматизації</w:t>
      </w:r>
      <w:r>
        <w:rPr>
          <w:sz w:val="28"/>
          <w:szCs w:val="28"/>
        </w:rPr>
        <w:t>: якщо у фазі стабілізації лише погашати активацію, без навантаження пам’яттю, то зменшується шанс “завалити” клієнта надмірною емоційною активацією.</w:t>
      </w:r>
    </w:p>
    <w:p w14:paraId="77787958" w14:textId="77777777" w:rsidR="00B51242" w:rsidRDefault="008E4E86">
      <w:pPr>
        <w:tabs>
          <w:tab w:val="left" w:pos="0"/>
        </w:tabs>
        <w:spacing w:line="360" w:lineRule="auto"/>
        <w:ind w:firstLine="794"/>
        <w:jc w:val="both"/>
      </w:pPr>
      <w:r>
        <w:rPr>
          <w:rStyle w:val="StrongEmphasis"/>
          <w:b w:val="0"/>
          <w:bCs w:val="0"/>
          <w:sz w:val="28"/>
          <w:szCs w:val="28"/>
        </w:rPr>
        <w:t>- Кращий контроль у кризовому моменті</w:t>
      </w:r>
      <w:r>
        <w:rPr>
          <w:sz w:val="28"/>
          <w:szCs w:val="28"/>
        </w:rPr>
        <w:t>: у випадку флешбеків або раптової дисрегуляції клієнту може бути простіше скористатися рухами очей як стабілізуючою технікою, ніж заглиблюватися в когнітивну обробку чи “створення безпечного місця”.</w:t>
      </w:r>
    </w:p>
    <w:p w14:paraId="29B989E4" w14:textId="77777777" w:rsidR="00B51242" w:rsidRDefault="008E4E86">
      <w:pPr>
        <w:tabs>
          <w:tab w:val="left" w:pos="0"/>
        </w:tabs>
        <w:spacing w:line="360" w:lineRule="auto"/>
        <w:ind w:firstLine="794"/>
        <w:jc w:val="both"/>
      </w:pPr>
      <w:r>
        <w:rPr>
          <w:rStyle w:val="StrongEmphasis"/>
          <w:b w:val="0"/>
          <w:bCs w:val="0"/>
          <w:sz w:val="28"/>
          <w:szCs w:val="28"/>
        </w:rPr>
        <w:t xml:space="preserve">- Під час рухів очей </w:t>
      </w:r>
      <w:r>
        <w:rPr>
          <w:sz w:val="28"/>
          <w:szCs w:val="28"/>
        </w:rPr>
        <w:t xml:space="preserve">у техніках EMDR або стабілізаційних вправах у мозку </w:t>
      </w:r>
      <w:r>
        <w:rPr>
          <w:rStyle w:val="StrongEmphasis"/>
          <w:b w:val="0"/>
          <w:bCs w:val="0"/>
          <w:sz w:val="28"/>
          <w:szCs w:val="28"/>
        </w:rPr>
        <w:t>вмикається орієнтовна реакція</w:t>
      </w:r>
      <w:r>
        <w:rPr>
          <w:sz w:val="28"/>
          <w:szCs w:val="28"/>
        </w:rPr>
        <w:t xml:space="preserve"> — це природна реакція організму, коли ми звертаємо увагу на новий стимул у просторі. Ця реакція</w:t>
      </w:r>
      <w:r>
        <w:rPr>
          <w:rStyle w:val="StrongEmphasis"/>
          <w:b w:val="0"/>
          <w:bCs w:val="0"/>
          <w:sz w:val="28"/>
          <w:szCs w:val="28"/>
        </w:rPr>
        <w:t>«перемикає» нервову систему</w:t>
      </w:r>
      <w:r>
        <w:rPr>
          <w:sz w:val="28"/>
          <w:szCs w:val="28"/>
        </w:rPr>
        <w:t xml:space="preserve"> з надмірного збудження або фіксації на неприємних образах на більш спокійний, дослідницький режим, </w:t>
      </w:r>
      <w:r>
        <w:rPr>
          <w:rStyle w:val="StrongEmphasis"/>
          <w:b w:val="0"/>
          <w:bCs w:val="0"/>
          <w:sz w:val="28"/>
          <w:szCs w:val="28"/>
        </w:rPr>
        <w:t>знижує надмірну активність зорових зон мозку</w:t>
      </w:r>
      <w:r>
        <w:rPr>
          <w:sz w:val="28"/>
          <w:szCs w:val="28"/>
        </w:rPr>
        <w:t xml:space="preserve">, тобто зменшує інтенсивність переживання або уявного «бачення» травматичних картин. Таким чином, </w:t>
      </w:r>
      <w:r>
        <w:rPr>
          <w:rStyle w:val="StrongEmphasis"/>
          <w:b w:val="0"/>
          <w:bCs w:val="0"/>
          <w:sz w:val="28"/>
          <w:szCs w:val="28"/>
        </w:rPr>
        <w:t>допомагає стабілізувати стан людини</w:t>
      </w:r>
      <w:r>
        <w:rPr>
          <w:sz w:val="28"/>
          <w:szCs w:val="28"/>
        </w:rPr>
        <w:t xml:space="preserve"> — зменшити напругу, тривогу й відчуття перевантаження. Рух очей діє як </w:t>
      </w:r>
      <w:r>
        <w:rPr>
          <w:rStyle w:val="StrongEmphasis"/>
          <w:b w:val="0"/>
          <w:bCs w:val="0"/>
          <w:sz w:val="28"/>
          <w:szCs w:val="28"/>
        </w:rPr>
        <w:t>нейрофізіологічний перемикач</w:t>
      </w:r>
      <w:r>
        <w:rPr>
          <w:sz w:val="28"/>
          <w:szCs w:val="28"/>
        </w:rPr>
        <w:t>, який переводить мозок із режиму «загрози» у режим «спостереження і безпеки».</w:t>
      </w:r>
    </w:p>
    <w:p w14:paraId="06986BED" w14:textId="77777777" w:rsidR="00B51242" w:rsidRDefault="008E4E86">
      <w:pPr>
        <w:tabs>
          <w:tab w:val="left" w:pos="0"/>
        </w:tabs>
        <w:spacing w:line="360" w:lineRule="auto"/>
        <w:ind w:firstLine="794"/>
        <w:jc w:val="both"/>
      </w:pPr>
      <w:r>
        <w:rPr>
          <w:rStyle w:val="InternetLink"/>
          <w:rFonts w:eastAsia="Times New Roman" w:cs="Times New Roman"/>
          <w:color w:val="000000"/>
          <w:sz w:val="28"/>
          <w:szCs w:val="28"/>
          <w:u w:val="none"/>
        </w:rPr>
        <w:t xml:space="preserve">- До того ж, застосування інтегративного підходу для зменшення травматизації на етапі опрацювання травматичних спогадів з поєднання елементів </w:t>
      </w:r>
      <w:r>
        <w:rPr>
          <w:rStyle w:val="InternetLink"/>
          <w:rFonts w:eastAsia="Times New Roman" w:cs="Times New Roman"/>
          <w:color w:val="000000"/>
          <w:sz w:val="28"/>
          <w:szCs w:val="28"/>
          <w:u w:val="none"/>
          <w:lang w:val="en-US"/>
        </w:rPr>
        <w:t>EMDR</w:t>
      </w:r>
      <w:r w:rsidRPr="00D3629B">
        <w:rPr>
          <w:rStyle w:val="InternetLink"/>
          <w:rFonts w:eastAsia="Times New Roman" w:cs="Times New Roman"/>
          <w:color w:val="000000"/>
          <w:sz w:val="28"/>
          <w:szCs w:val="28"/>
          <w:u w:val="none"/>
        </w:rPr>
        <w:t xml:space="preserve"> </w:t>
      </w:r>
      <w:r>
        <w:rPr>
          <w:rStyle w:val="InternetLink"/>
          <w:rFonts w:eastAsia="Times New Roman" w:cs="Times New Roman"/>
          <w:color w:val="000000"/>
          <w:sz w:val="28"/>
          <w:szCs w:val="28"/>
          <w:u w:val="none"/>
        </w:rPr>
        <w:t>та ТОТ у довгостроковій перспективі може сприяти зменшенню високого рівня відсіювання військовослужбовців із ПТСР.</w:t>
      </w:r>
    </w:p>
    <w:p w14:paraId="109D00A7" w14:textId="77777777" w:rsidR="00B51242" w:rsidRDefault="008E4E86">
      <w:pPr>
        <w:spacing w:line="360" w:lineRule="auto"/>
        <w:ind w:firstLine="794"/>
        <w:jc w:val="both"/>
      </w:pPr>
      <w:r>
        <w:rPr>
          <w:rStyle w:val="InternetLink"/>
          <w:rFonts w:eastAsia="Times New Roman" w:cs="Times New Roman"/>
          <w:b/>
          <w:bCs/>
          <w:color w:val="000000"/>
          <w:sz w:val="28"/>
          <w:szCs w:val="28"/>
          <w:u w:val="none"/>
        </w:rPr>
        <w:t xml:space="preserve">3.3. </w:t>
      </w:r>
      <w:r>
        <w:rPr>
          <w:rStyle w:val="InternetLink"/>
          <w:rFonts w:eastAsia="Times New Roman" w:cs="Times New Roman"/>
          <w:b/>
          <w:bCs/>
          <w:color w:val="000000"/>
          <w:sz w:val="28"/>
          <w:szCs w:val="28"/>
          <w:u w:val="none"/>
          <w:lang w:eastAsia="ru-RU"/>
        </w:rPr>
        <w:t>Основні складові структури плану психологічної підтримки військовослужбовців із ПТСР.</w:t>
      </w:r>
    </w:p>
    <w:p w14:paraId="1B8FB93D" w14:textId="77777777" w:rsidR="00B51242" w:rsidRDefault="008E4E86">
      <w:pPr>
        <w:spacing w:line="360" w:lineRule="auto"/>
        <w:ind w:firstLine="737"/>
        <w:jc w:val="both"/>
      </w:pPr>
      <w:r w:rsidRPr="00D3629B">
        <w:rPr>
          <w:rStyle w:val="InternetLink"/>
          <w:rFonts w:eastAsia="Times New Roman" w:cs="Times New Roman"/>
          <w:color w:val="000000"/>
          <w:sz w:val="28"/>
          <w:szCs w:val="28"/>
          <w:u w:val="none"/>
        </w:rPr>
        <w:t xml:space="preserve">Рівень підготовки за спеціальністю 053 «Психологія» не передбачає надання компетенцій для здійснення психотерапії у вузькому клінічному значенні, зокрема лікування посттравматичного стресового розладу, тому на початкових етапах професійної діяльності, за відсутності клінічного досвіду, з огляду на безпеку клієнта доцільнішим є ведення випадку у співпраці з психотерапевтом, який володіє методами </w:t>
      </w:r>
      <w:r>
        <w:rPr>
          <w:rStyle w:val="InternetLink"/>
          <w:rFonts w:eastAsia="Times New Roman" w:cs="Times New Roman"/>
          <w:color w:val="000000"/>
          <w:sz w:val="28"/>
          <w:szCs w:val="28"/>
          <w:u w:val="none"/>
          <w:lang w:val="en-US"/>
        </w:rPr>
        <w:t>TF</w:t>
      </w:r>
      <w:r w:rsidRPr="00D3629B">
        <w:rPr>
          <w:rStyle w:val="InternetLink"/>
          <w:rFonts w:eastAsia="Times New Roman" w:cs="Times New Roman"/>
          <w:color w:val="000000"/>
          <w:sz w:val="28"/>
          <w:szCs w:val="28"/>
          <w:u w:val="none"/>
        </w:rPr>
        <w:t>-</w:t>
      </w:r>
      <w:r>
        <w:rPr>
          <w:rStyle w:val="InternetLink"/>
          <w:rFonts w:eastAsia="Times New Roman" w:cs="Times New Roman"/>
          <w:color w:val="000000"/>
          <w:sz w:val="28"/>
          <w:szCs w:val="28"/>
          <w:u w:val="none"/>
          <w:lang w:val="en-US"/>
        </w:rPr>
        <w:t>CBT</w:t>
      </w:r>
      <w:r w:rsidRPr="00D3629B">
        <w:rPr>
          <w:rStyle w:val="InternetLink"/>
          <w:rFonts w:eastAsia="Times New Roman" w:cs="Times New Roman"/>
          <w:color w:val="000000"/>
          <w:sz w:val="28"/>
          <w:szCs w:val="28"/>
          <w:u w:val="none"/>
        </w:rPr>
        <w:t xml:space="preserve">. </w:t>
      </w:r>
    </w:p>
    <w:p w14:paraId="3FEC4A02" w14:textId="77777777" w:rsidR="00B51242" w:rsidRDefault="008E4E86">
      <w:pPr>
        <w:spacing w:line="360" w:lineRule="auto"/>
        <w:ind w:firstLine="737"/>
        <w:jc w:val="both"/>
      </w:pPr>
      <w:r w:rsidRPr="00D3629B">
        <w:rPr>
          <w:rStyle w:val="InternetLink"/>
          <w:rFonts w:eastAsia="Times New Roman" w:cs="Times New Roman"/>
          <w:color w:val="000000"/>
          <w:sz w:val="28"/>
          <w:szCs w:val="28"/>
          <w:u w:val="none"/>
        </w:rPr>
        <w:t xml:space="preserve">Водночас результати сучасних емпіричних досліджень ставлять під сумнів поширене уявлення, що лише висококваліфіковані спеціалісти здатні ефективно проводити лікування ПТСР. Зокрема, у багатоцентровому німецькому дослідженні (Мюнстер і Мангейм, 2014–2016), де 85 пацієнтів із первинним діагнозом ПТСР отримували </w:t>
      </w:r>
      <w:r>
        <w:rPr>
          <w:rStyle w:val="InternetLink"/>
          <w:rFonts w:eastAsia="Times New Roman" w:cs="Times New Roman"/>
          <w:color w:val="000000"/>
          <w:sz w:val="28"/>
          <w:szCs w:val="28"/>
          <w:u w:val="none"/>
          <w:lang w:val="en-US"/>
        </w:rPr>
        <w:t>TF</w:t>
      </w:r>
      <w:r w:rsidRPr="00D3629B">
        <w:rPr>
          <w:rStyle w:val="InternetLink"/>
          <w:rFonts w:eastAsia="Times New Roman" w:cs="Times New Roman"/>
          <w:color w:val="000000"/>
          <w:sz w:val="28"/>
          <w:szCs w:val="28"/>
          <w:u w:val="none"/>
        </w:rPr>
        <w:t>-</w:t>
      </w:r>
      <w:r>
        <w:rPr>
          <w:rStyle w:val="InternetLink"/>
          <w:rFonts w:eastAsia="Times New Roman" w:cs="Times New Roman"/>
          <w:color w:val="000000"/>
          <w:sz w:val="28"/>
          <w:szCs w:val="28"/>
          <w:u w:val="none"/>
          <w:lang w:val="en-US"/>
        </w:rPr>
        <w:t>CBT</w:t>
      </w:r>
      <w:r w:rsidRPr="00D3629B">
        <w:rPr>
          <w:rStyle w:val="InternetLink"/>
          <w:rFonts w:eastAsia="Times New Roman" w:cs="Times New Roman"/>
          <w:color w:val="000000"/>
          <w:sz w:val="28"/>
          <w:szCs w:val="28"/>
          <w:u w:val="none"/>
        </w:rPr>
        <w:t xml:space="preserve"> у звичайних умовах клінічної практики, брали участь 41 терапевт, усі з магістерським рівнем освіти в галузі психології, з яких лише один мав досвід лікування ПТСР. </w:t>
      </w:r>
      <w:r w:rsidRPr="00D3629B">
        <w:rPr>
          <w:rStyle w:val="InternetLink"/>
          <w:rFonts w:eastAsia="Times New Roman" w:cs="Times New Roman"/>
          <w:color w:val="000000"/>
          <w:sz w:val="28"/>
          <w:szCs w:val="28"/>
          <w:u w:val="none"/>
          <w:lang w:val="ru-RU"/>
        </w:rPr>
        <w:t xml:space="preserve">Решта були практикантами, що проходили післядипломну підготовку з КПТ, без спеціалізованого досвіду, але під постійною супервізією, принаймні один раз на чотири сесії. Попри низький рівень їхнього попереднього досвіду, результати виявилися надзвичайно обнадійливими: були зафіксовані високі розміри ефекту та низькі показники відмови від лікування, що суперечить поширеним побоюванням щодо високого рівня відсіву пацієнтів. Таким чином, хоча базовий рівень підготовки психологів 053 не забезпечує компетенцій для повноцінної психотерапевтичної практики, досвід рутинної клінічної роботи із супервізією свідчить про потенційну ефективність навіть початківців у межах когнітивно-поведінкової моделі, а також підкреслює важливість інтеграції навчання, супервізії та міждисциплінарної взаємодії для безпечного і результативного впровадження </w:t>
      </w:r>
      <w:r>
        <w:rPr>
          <w:rStyle w:val="InternetLink"/>
          <w:rFonts w:eastAsia="Times New Roman" w:cs="Times New Roman"/>
          <w:color w:val="000000"/>
          <w:sz w:val="28"/>
          <w:szCs w:val="28"/>
          <w:u w:val="none"/>
          <w:lang w:val="en-US"/>
        </w:rPr>
        <w:t>TF</w:t>
      </w:r>
      <w:r w:rsidRPr="00D3629B">
        <w:rPr>
          <w:rStyle w:val="InternetLink"/>
          <w:rFonts w:eastAsia="Times New Roman" w:cs="Times New Roman"/>
          <w:color w:val="000000"/>
          <w:sz w:val="28"/>
          <w:szCs w:val="28"/>
          <w:u w:val="none"/>
          <w:lang w:val="ru-RU"/>
        </w:rPr>
        <w:t>-</w:t>
      </w:r>
      <w:r>
        <w:rPr>
          <w:rStyle w:val="InternetLink"/>
          <w:rFonts w:eastAsia="Times New Roman" w:cs="Times New Roman"/>
          <w:color w:val="000000"/>
          <w:sz w:val="28"/>
          <w:szCs w:val="28"/>
          <w:u w:val="none"/>
          <w:lang w:val="en-US"/>
        </w:rPr>
        <w:t>CBT</w:t>
      </w:r>
      <w:r w:rsidRPr="00D3629B">
        <w:rPr>
          <w:rStyle w:val="InternetLink"/>
          <w:rFonts w:eastAsia="Times New Roman" w:cs="Times New Roman"/>
          <w:color w:val="000000"/>
          <w:sz w:val="28"/>
          <w:szCs w:val="28"/>
          <w:u w:val="none"/>
          <w:lang w:val="ru-RU"/>
        </w:rPr>
        <w:t>. [32]</w:t>
      </w:r>
    </w:p>
    <w:p w14:paraId="422C262E" w14:textId="77777777" w:rsidR="00B51242" w:rsidRDefault="008E4E86">
      <w:pPr>
        <w:spacing w:line="360" w:lineRule="auto"/>
        <w:ind w:firstLine="737"/>
        <w:jc w:val="both"/>
      </w:pPr>
      <w:r>
        <w:rPr>
          <w:rStyle w:val="InternetLink"/>
          <w:rFonts w:eastAsia="Times New Roman" w:cs="Times New Roman"/>
          <w:b/>
          <w:bCs/>
          <w:color w:val="000000"/>
          <w:sz w:val="28"/>
          <w:szCs w:val="28"/>
          <w:u w:val="none"/>
        </w:rPr>
        <w:t xml:space="preserve">Визначення симптомів взаємодії </w:t>
      </w:r>
    </w:p>
    <w:p w14:paraId="0BA838E9" w14:textId="77777777" w:rsidR="00B51242" w:rsidRDefault="008E4E86">
      <w:pPr>
        <w:spacing w:line="360" w:lineRule="auto"/>
        <w:ind w:firstLine="737"/>
        <w:jc w:val="both"/>
      </w:pPr>
      <w:r>
        <w:rPr>
          <w:rStyle w:val="StrongEmphasis"/>
          <w:rFonts w:eastAsia="Times New Roman" w:cs="Times New Roman"/>
          <w:b w:val="0"/>
          <w:bCs w:val="0"/>
          <w:color w:val="000000"/>
          <w:sz w:val="28"/>
          <w:szCs w:val="28"/>
        </w:rPr>
        <w:t>У межах інформаційної моделі посттравматичного стресового розладу стрес розглядається як надмірний потік сигналів зовнішнього та внутрішнього походження, значна частина яких не узгоджується з наявними когнітивними схемами людини. Коли суб’єкт не має змоги інтегрувати нову інформацію у власну систему уявлень, виникає стан своєрідного інформаційного перевантаження. У таких умовах психіка переводить неінтегрований матеріал зі свідомого рівня у несвідомий, проте утримує його в активному режимі. Відповідно до базового психологічного механізму уникнення болю, людина прагне ізолювати цей матеріал від свідомого переживання, що начебто тимчасово захищає її від надмірних афективних реакцій.</w:t>
      </w:r>
    </w:p>
    <w:p w14:paraId="534EF1D4" w14:textId="77777777" w:rsidR="00B51242" w:rsidRDefault="008E4E86">
      <w:pPr>
        <w:spacing w:line="360" w:lineRule="auto"/>
        <w:ind w:firstLine="737"/>
        <w:jc w:val="both"/>
      </w:pPr>
      <w:r>
        <w:rPr>
          <w:color w:val="000000"/>
          <w:sz w:val="28"/>
          <w:szCs w:val="28"/>
        </w:rPr>
        <w:t>Проте утримання травматичного змісту у несвідомих структурах потребує значних психічних ресурсів. Такий спосіб внутрішнього захисту спрямований не лише на блокування доступу до болісних емоцій, а й на штучне звуження спектра переживань загалом. Постає феномен емоційного заціпеніння, коли пригнічуються як негативні, так і позитивні емоції. У результаті людина втрачає здатність повною мірою відчувати радість, теплоту чи близькість — це є побічним ефектом функціонування захисного механізму, який намагається втримати травматичні спогади на безпечній дистанції. Водночас підтримання такого «емоційного локдауну» поступово виснажує психіку, зменшує її гнучкість та адаптивність.</w:t>
      </w:r>
    </w:p>
    <w:p w14:paraId="09014F1A" w14:textId="77777777" w:rsidR="00B51242" w:rsidRDefault="008E4E86">
      <w:pPr>
        <w:spacing w:line="360" w:lineRule="auto"/>
        <w:ind w:firstLine="737"/>
        <w:jc w:val="both"/>
      </w:pPr>
      <w:r>
        <w:rPr>
          <w:color w:val="000000"/>
          <w:sz w:val="28"/>
          <w:szCs w:val="28"/>
        </w:rPr>
        <w:t>Відповідно до феномену завершеності (ефект незавершеного гештальту), неперероблена інформація рано чи пізно повертається у свідомість — як частина природного процесу інтеграції досвіду. Коли цю інформацію вдається опрацювати, вона втрачає свою травматичну силу та займає належне місце у структури особистості. Такий процес одночасно включає й психологічні, і біологічні механізми адаптації. Інтенсивні, на межі можливостей реакції у відповідь на шокуючі події є нормальною, хоча й тимчасовою реакцією нервової системи — вони не свідчать про патологію самі по собі, а радше про перевантаження адаптаційних можливостей.</w:t>
      </w:r>
    </w:p>
    <w:p w14:paraId="59AE2FBA" w14:textId="77777777" w:rsidR="00B51242" w:rsidRDefault="008E4E86">
      <w:pPr>
        <w:spacing w:line="360" w:lineRule="auto"/>
        <w:ind w:firstLine="737"/>
        <w:jc w:val="both"/>
      </w:pPr>
      <w:r>
        <w:rPr>
          <w:color w:val="000000"/>
          <w:sz w:val="28"/>
          <w:szCs w:val="28"/>
        </w:rPr>
        <w:t>Дані нейровізуалізаційних досліджень демонструють принципову різницю між обробкою звичайних та травматичних спогадів. Коли люди згадують сумні, але не травматичні події, спостерігається активність гіпокампа — ключової структури, що відповідає за кодування та збереження автобіографічної пам’яті. Натомість у випадку спогадів про екстремальні події (напади, насильство, катастрофи, бойові епізоди) активність гіпокампа не фіксується. Натомість активується задня поясна кора — зона, пов’язана не зі спогадами як такими, а з внутрішнім досвідом, саморефлексією та реконструкцією власних переживань. Чим тяжчі симптоми ПТСР, тим вищою є активність цієї ділянки. Це дозволяє припустити, що мозок людей із ПТСР «відтворює» травму не як спогад, а як фрагмент теперішнього досвіду.</w:t>
      </w:r>
    </w:p>
    <w:p w14:paraId="4B49A8EB" w14:textId="77777777" w:rsidR="00B51242" w:rsidRDefault="008E4E86">
      <w:pPr>
        <w:spacing w:line="360" w:lineRule="auto"/>
        <w:jc w:val="both"/>
        <w:rPr>
          <w:color w:val="000000"/>
          <w:sz w:val="28"/>
          <w:szCs w:val="28"/>
        </w:rPr>
      </w:pPr>
      <w:r>
        <w:rPr>
          <w:color w:val="000000"/>
          <w:sz w:val="28"/>
          <w:szCs w:val="28"/>
        </w:rPr>
        <w:t>Такий механізм пояснює, чому інтрузії та флешбеки — повторні, неконтрольовані «вторгнення» минулого у теперішнє — є центральним симптомом ПТСР. Якщо подібні епізоди відсутні, клінічна картина, найімовірніше, відповідатиме іншим розладам афективного чи невротичного спектра, а не ПТСР. Сам термін «інтрузія» у психологію прийшов з геології, де описує прорив магми крізь товщу земної кори — метафора, яка напрочуд точно відображає раптовість і руйнівну силу травматичних спогадів, що прориваються у свідомість.</w:t>
      </w:r>
    </w:p>
    <w:p w14:paraId="5BCD2B47" w14:textId="77777777" w:rsidR="00B51242" w:rsidRDefault="008E4E86">
      <w:pPr>
        <w:spacing w:line="360" w:lineRule="auto"/>
        <w:ind w:firstLine="737"/>
        <w:jc w:val="both"/>
        <w:rPr>
          <w:color w:val="000000"/>
          <w:sz w:val="28"/>
          <w:szCs w:val="28"/>
        </w:rPr>
      </w:pPr>
      <w:r>
        <w:rPr>
          <w:color w:val="000000"/>
          <w:sz w:val="28"/>
          <w:szCs w:val="28"/>
        </w:rPr>
        <w:t>Наслідки таких «вторгнень» добре описані в клінічній практиці: підвищена тривожність, поява страхів чи фобій, можливі панічні атаки, нав’язливі думки, емоційна лабільність або, навпаки, емоційне оніміння. Емоційний репертуар різко звужується, переважають стани гніву, роздратованості, смутку або глибокої туги. Багато дослідників погоджуються, що подолання такого стану передбачає проходження кількох послідовних етапів:</w:t>
      </w:r>
    </w:p>
    <w:p w14:paraId="74BCFC6C" w14:textId="77777777" w:rsidR="00B51242" w:rsidRDefault="008E4E86">
      <w:pPr>
        <w:numPr>
          <w:ilvl w:val="0"/>
          <w:numId w:val="5"/>
        </w:numPr>
        <w:tabs>
          <w:tab w:val="clear" w:pos="707"/>
          <w:tab w:val="left" w:pos="0"/>
        </w:tabs>
        <w:spacing w:line="360" w:lineRule="auto"/>
        <w:jc w:val="both"/>
      </w:pPr>
      <w:r>
        <w:rPr>
          <w:rStyle w:val="StrongEmphasis"/>
          <w:b w:val="0"/>
          <w:bCs w:val="0"/>
          <w:color w:val="000000"/>
          <w:sz w:val="28"/>
          <w:szCs w:val="28"/>
        </w:rPr>
        <w:t>Стабілізація</w:t>
      </w:r>
      <w:r>
        <w:rPr>
          <w:color w:val="000000"/>
          <w:sz w:val="28"/>
          <w:szCs w:val="28"/>
        </w:rPr>
        <w:t xml:space="preserve"> — поєднання психоедукації та усвідомлення власних тілесних і емоційних реакцій.</w:t>
      </w:r>
    </w:p>
    <w:p w14:paraId="69BB7E39" w14:textId="77777777" w:rsidR="00B51242" w:rsidRDefault="008E4E86">
      <w:pPr>
        <w:numPr>
          <w:ilvl w:val="0"/>
          <w:numId w:val="5"/>
        </w:numPr>
        <w:tabs>
          <w:tab w:val="clear" w:pos="707"/>
          <w:tab w:val="left" w:pos="0"/>
        </w:tabs>
        <w:spacing w:line="360" w:lineRule="auto"/>
        <w:jc w:val="both"/>
      </w:pPr>
      <w:r>
        <w:rPr>
          <w:rStyle w:val="StrongEmphasis"/>
          <w:b w:val="0"/>
          <w:bCs w:val="0"/>
          <w:color w:val="000000"/>
          <w:sz w:val="28"/>
          <w:szCs w:val="28"/>
        </w:rPr>
        <w:t>Розрив умовно-рефлекторних зв’язків</w:t>
      </w:r>
      <w:r>
        <w:rPr>
          <w:color w:val="000000"/>
          <w:sz w:val="28"/>
          <w:szCs w:val="28"/>
        </w:rPr>
        <w:t xml:space="preserve"> між травматичними спогадами та автоматичними реакціями.</w:t>
      </w:r>
    </w:p>
    <w:p w14:paraId="57799551" w14:textId="77777777" w:rsidR="00B51242" w:rsidRDefault="008E4E86">
      <w:pPr>
        <w:numPr>
          <w:ilvl w:val="0"/>
          <w:numId w:val="5"/>
        </w:numPr>
        <w:tabs>
          <w:tab w:val="clear" w:pos="707"/>
          <w:tab w:val="left" w:pos="0"/>
        </w:tabs>
        <w:spacing w:line="360" w:lineRule="auto"/>
        <w:jc w:val="both"/>
      </w:pPr>
      <w:r>
        <w:rPr>
          <w:rStyle w:val="StrongEmphasis"/>
          <w:b w:val="0"/>
          <w:bCs w:val="0"/>
          <w:color w:val="000000"/>
          <w:sz w:val="28"/>
          <w:szCs w:val="28"/>
        </w:rPr>
        <w:t>Переробка травматичного досвіду</w:t>
      </w:r>
      <w:r>
        <w:rPr>
          <w:color w:val="000000"/>
          <w:sz w:val="28"/>
          <w:szCs w:val="28"/>
        </w:rPr>
        <w:t>, створення зв’язної та узгодженої наративної структури події.</w:t>
      </w:r>
    </w:p>
    <w:p w14:paraId="6C902817" w14:textId="77777777" w:rsidR="00B51242" w:rsidRDefault="008E4E86">
      <w:pPr>
        <w:numPr>
          <w:ilvl w:val="0"/>
          <w:numId w:val="5"/>
        </w:numPr>
        <w:tabs>
          <w:tab w:val="clear" w:pos="707"/>
          <w:tab w:val="left" w:pos="0"/>
        </w:tabs>
        <w:spacing w:line="360" w:lineRule="auto"/>
        <w:jc w:val="both"/>
      </w:pPr>
      <w:r>
        <w:rPr>
          <w:rStyle w:val="StrongEmphasis"/>
          <w:b w:val="0"/>
          <w:bCs w:val="0"/>
          <w:color w:val="000000"/>
          <w:sz w:val="28"/>
          <w:szCs w:val="28"/>
        </w:rPr>
        <w:t>Відновлення соціальних зв’язків і навичок взаємодії</w:t>
      </w:r>
      <w:r>
        <w:rPr>
          <w:color w:val="000000"/>
          <w:sz w:val="28"/>
          <w:szCs w:val="28"/>
        </w:rPr>
        <w:t>, які підсилюють відчуття підтримки та безпеки.</w:t>
      </w:r>
    </w:p>
    <w:p w14:paraId="277FB474" w14:textId="77777777" w:rsidR="00B51242" w:rsidRDefault="008E4E86">
      <w:pPr>
        <w:numPr>
          <w:ilvl w:val="0"/>
          <w:numId w:val="5"/>
        </w:numPr>
        <w:tabs>
          <w:tab w:val="clear" w:pos="707"/>
          <w:tab w:val="left" w:pos="0"/>
        </w:tabs>
        <w:spacing w:line="360" w:lineRule="auto"/>
        <w:jc w:val="both"/>
      </w:pPr>
      <w:r>
        <w:rPr>
          <w:rStyle w:val="StrongEmphasis"/>
          <w:b w:val="0"/>
          <w:bCs w:val="0"/>
          <w:color w:val="000000"/>
          <w:sz w:val="28"/>
          <w:szCs w:val="28"/>
        </w:rPr>
        <w:t>Накопичення позитивних емоційних переживань</w:t>
      </w:r>
      <w:r>
        <w:rPr>
          <w:color w:val="000000"/>
          <w:sz w:val="28"/>
          <w:szCs w:val="28"/>
        </w:rPr>
        <w:t>, що сприяють поступовому відновленню функціонування психіки.</w:t>
      </w:r>
    </w:p>
    <w:p w14:paraId="2DE45443" w14:textId="77777777" w:rsidR="00B51242" w:rsidRDefault="008E4E86">
      <w:pPr>
        <w:spacing w:line="360" w:lineRule="auto"/>
        <w:jc w:val="both"/>
        <w:rPr>
          <w:color w:val="000000"/>
          <w:sz w:val="28"/>
          <w:szCs w:val="28"/>
        </w:rPr>
      </w:pPr>
      <w:r>
        <w:rPr>
          <w:color w:val="000000"/>
          <w:sz w:val="28"/>
          <w:szCs w:val="28"/>
        </w:rPr>
        <w:t>Такий багаторівневий підхід дозволяє зменшити інтенсивність інтрузій, відновити здатність до регуляції емоцій і поступово інтегрувати травматичний досвід у цілісну структуру особистості.</w:t>
      </w:r>
    </w:p>
    <w:p w14:paraId="0FC5AFA9" w14:textId="77777777" w:rsidR="00B51242" w:rsidRDefault="008E4E86">
      <w:pPr>
        <w:spacing w:line="360" w:lineRule="auto"/>
        <w:ind w:firstLine="794"/>
        <w:jc w:val="both"/>
      </w:pPr>
      <w:r>
        <w:rPr>
          <w:rStyle w:val="InternetLink"/>
          <w:rFonts w:eastAsia="Times New Roman" w:cs="Times New Roman"/>
          <w:color w:val="000000"/>
          <w:sz w:val="28"/>
          <w:szCs w:val="28"/>
          <w:u w:val="none"/>
        </w:rPr>
        <w:t xml:space="preserve">Для побудови плану психологічної допомоги необхідним є чітке розуміння тих симптомів, з якими передбачається робота. </w:t>
      </w:r>
    </w:p>
    <w:p w14:paraId="00584DF7" w14:textId="77777777" w:rsidR="00B51242" w:rsidRDefault="008E4E86">
      <w:pPr>
        <w:spacing w:line="360" w:lineRule="auto"/>
        <w:jc w:val="both"/>
      </w:pPr>
      <w:r>
        <w:rPr>
          <w:rStyle w:val="InternetLink"/>
          <w:rFonts w:eastAsia="Times New Roman" w:cs="Times New Roman"/>
          <w:color w:val="000000"/>
          <w:sz w:val="28"/>
          <w:szCs w:val="28"/>
          <w:u w:val="none"/>
        </w:rPr>
        <w:t>Але в роботі буде обмежена вибірка дослідження випадками ПТСР без комплексного ПТСР та коморбідних станів. Коморбідність із депресією, тривожними, соматоформними чи розладами вживання психоактивних речовин значно ускладнювала би  клінічну картину, впливала на інтенсивність і стабільність симптомів, а також спонукала до розширення  та більшої модифікації  застосовуваних психотерапевтичних методів. Для магістерського рівня, де обсяг дослідження обмежений, важливо чітко окреслити предмет аналізу, щоб уникнути змішування факторів і досягти коректності інтерпретації отриманих результатів. Таким чином, концентрація виключно на ПТСР без коморбідних станів дозволяє зберегти однорідність вибірки, підвищити точність висновків і зробити їх методологічно обґрунтованими.</w:t>
      </w:r>
      <w:r>
        <w:rPr>
          <w:rStyle w:val="InternetLink"/>
          <w:rFonts w:eastAsia="Times New Roman" w:cs="Times New Roman"/>
          <w:color w:val="C9211E"/>
          <w:sz w:val="28"/>
          <w:szCs w:val="28"/>
          <w:u w:val="none"/>
        </w:rPr>
        <w:t xml:space="preserve"> </w:t>
      </w:r>
    </w:p>
    <w:p w14:paraId="2FFEC033" w14:textId="77777777" w:rsidR="00B51242" w:rsidRDefault="008E4E86">
      <w:pPr>
        <w:spacing w:line="360" w:lineRule="auto"/>
        <w:ind w:firstLine="737"/>
        <w:jc w:val="both"/>
      </w:pPr>
      <w:r>
        <w:rPr>
          <w:rStyle w:val="InternetLink"/>
          <w:rFonts w:eastAsia="Times New Roman" w:cs="Times New Roman"/>
          <w:color w:val="000000"/>
          <w:sz w:val="28"/>
          <w:szCs w:val="28"/>
          <w:u w:val="none"/>
        </w:rPr>
        <w:t xml:space="preserve">Склавши порівняльну таблицю критеріїв посттравматичного стресового розладу відповідно до класифікацій DSM-5 та МКХ-11, можна отримати наступну узагальнену картину клінічних проявів, що слугує основою для формування індивідуалізованої стратегії психокорекційного втручання. </w:t>
      </w:r>
    </w:p>
    <w:p w14:paraId="0171CEF6" w14:textId="77777777" w:rsidR="00B51242" w:rsidRDefault="008E4E86">
      <w:pPr>
        <w:spacing w:line="360" w:lineRule="auto"/>
        <w:jc w:val="right"/>
      </w:pPr>
      <w:r>
        <w:rPr>
          <w:rStyle w:val="InternetLink"/>
          <w:rFonts w:eastAsia="Times New Roman" w:cs="Times New Roman"/>
          <w:b/>
          <w:bCs/>
          <w:color w:val="000000"/>
          <w:sz w:val="28"/>
          <w:szCs w:val="28"/>
          <w:u w:val="none"/>
        </w:rPr>
        <w:t>Таблиця 3.1.</w:t>
      </w:r>
    </w:p>
    <w:p w14:paraId="679D2216" w14:textId="77777777" w:rsidR="00B51242" w:rsidRDefault="008E4E86">
      <w:pPr>
        <w:spacing w:line="360" w:lineRule="auto"/>
        <w:jc w:val="center"/>
      </w:pPr>
      <w:r>
        <w:rPr>
          <w:rStyle w:val="InternetLink"/>
          <w:rFonts w:eastAsia="Times New Roman" w:cs="Times New Roman"/>
          <w:color w:val="000000"/>
          <w:sz w:val="28"/>
          <w:szCs w:val="28"/>
          <w:u w:val="none"/>
        </w:rPr>
        <w:t xml:space="preserve"> </w:t>
      </w:r>
      <w:r>
        <w:rPr>
          <w:rStyle w:val="InternetLink"/>
          <w:rFonts w:eastAsia="Times New Roman" w:cs="Times New Roman"/>
          <w:b/>
          <w:bCs/>
          <w:color w:val="000000"/>
          <w:sz w:val="28"/>
          <w:szCs w:val="28"/>
          <w:u w:val="none"/>
        </w:rPr>
        <w:t>Порівняння симптомів ПТСР за DSM-5 та МКХ-11</w:t>
      </w:r>
      <w:r w:rsidRPr="00D3629B">
        <w:rPr>
          <w:rStyle w:val="InternetLink"/>
          <w:rFonts w:eastAsia="Times New Roman" w:cs="Times New Roman"/>
          <w:color w:val="000000"/>
          <w:sz w:val="28"/>
          <w:szCs w:val="28"/>
          <w:u w:val="none"/>
          <w:lang w:val="ru-RU"/>
        </w:rPr>
        <w:t xml:space="preserve">                                                                     </w:t>
      </w:r>
    </w:p>
    <w:tbl>
      <w:tblPr>
        <w:tblW w:w="9185" w:type="dxa"/>
        <w:tblInd w:w="33" w:type="dxa"/>
        <w:tblLook w:val="04A0" w:firstRow="1" w:lastRow="0" w:firstColumn="1" w:lastColumn="0" w:noHBand="0" w:noVBand="1"/>
      </w:tblPr>
      <w:tblGrid>
        <w:gridCol w:w="1814"/>
        <w:gridCol w:w="3799"/>
        <w:gridCol w:w="3572"/>
      </w:tblGrid>
      <w:tr w:rsidR="00B51242" w14:paraId="7E9FDF4B" w14:textId="77777777">
        <w:tc>
          <w:tcPr>
            <w:tcW w:w="1814" w:type="dxa"/>
            <w:shd w:val="clear" w:color="auto" w:fill="auto"/>
          </w:tcPr>
          <w:p w14:paraId="4F652083" w14:textId="77777777" w:rsidR="00B51242" w:rsidRDefault="008E4E86">
            <w:r>
              <w:t>Кластер</w:t>
            </w:r>
          </w:p>
        </w:tc>
        <w:tc>
          <w:tcPr>
            <w:tcW w:w="3799" w:type="dxa"/>
            <w:shd w:val="clear" w:color="auto" w:fill="auto"/>
          </w:tcPr>
          <w:p w14:paraId="751BB3F2" w14:textId="77777777" w:rsidR="00B51242" w:rsidRDefault="008E4E86">
            <w:r>
              <w:t xml:space="preserve">Симптоми за DSM-5 </w:t>
            </w:r>
          </w:p>
        </w:tc>
        <w:tc>
          <w:tcPr>
            <w:tcW w:w="3572" w:type="dxa"/>
            <w:shd w:val="clear" w:color="auto" w:fill="auto"/>
          </w:tcPr>
          <w:p w14:paraId="75038F86" w14:textId="77777777" w:rsidR="00B51242" w:rsidRDefault="008E4E86">
            <w:r>
              <w:t xml:space="preserve">Симптоми за МКХ-11 </w:t>
            </w:r>
          </w:p>
        </w:tc>
      </w:tr>
      <w:tr w:rsidR="00B51242" w14:paraId="733FC200" w14:textId="77777777">
        <w:tc>
          <w:tcPr>
            <w:tcW w:w="1814" w:type="dxa"/>
            <w:shd w:val="clear" w:color="auto" w:fill="auto"/>
          </w:tcPr>
          <w:p w14:paraId="20EB3528" w14:textId="77777777" w:rsidR="00B51242" w:rsidRDefault="008E4E86">
            <w:r>
              <w:t>Повторне переживання (Intrusion)</w:t>
            </w:r>
          </w:p>
        </w:tc>
        <w:tc>
          <w:tcPr>
            <w:tcW w:w="3799" w:type="dxa"/>
            <w:shd w:val="clear" w:color="auto" w:fill="auto"/>
          </w:tcPr>
          <w:p w14:paraId="3F6D81C1" w14:textId="77777777" w:rsidR="00B51242" w:rsidRDefault="008E4E86">
            <w:r>
              <w:t>• Небажані тривожні спогади</w:t>
            </w:r>
            <w:r>
              <w:br/>
              <w:t>• Нічні кошмари</w:t>
            </w:r>
            <w:r>
              <w:br/>
              <w:t>• Флешбеки</w:t>
            </w:r>
            <w:r>
              <w:br/>
              <w:t>• Емоційна реакція на нагадування</w:t>
            </w:r>
            <w:r>
              <w:br/>
              <w:t>• Фізіологічна реакція на нагадування</w:t>
            </w:r>
          </w:p>
        </w:tc>
        <w:tc>
          <w:tcPr>
            <w:tcW w:w="3572" w:type="dxa"/>
            <w:shd w:val="clear" w:color="auto" w:fill="auto"/>
          </w:tcPr>
          <w:p w14:paraId="46AA72F2" w14:textId="77777777" w:rsidR="00B51242" w:rsidRDefault="008E4E86">
            <w:r>
              <w:t>• Інтрузії у вигляді нав’язливих спогадів, флешбеків або нічних кошмарів, які переживаються знову 'тут і тепер'</w:t>
            </w:r>
          </w:p>
        </w:tc>
      </w:tr>
      <w:tr w:rsidR="00B51242" w14:paraId="169C1DD1" w14:textId="77777777">
        <w:tc>
          <w:tcPr>
            <w:tcW w:w="1814" w:type="dxa"/>
            <w:shd w:val="clear" w:color="auto" w:fill="auto"/>
          </w:tcPr>
          <w:p w14:paraId="281E640A" w14:textId="77777777" w:rsidR="00B51242" w:rsidRDefault="008E4E86">
            <w:r>
              <w:t>Уникнення (Avoidance)</w:t>
            </w:r>
          </w:p>
        </w:tc>
        <w:tc>
          <w:tcPr>
            <w:tcW w:w="3799" w:type="dxa"/>
            <w:shd w:val="clear" w:color="auto" w:fill="auto"/>
          </w:tcPr>
          <w:p w14:paraId="6235FB2B" w14:textId="77777777" w:rsidR="00B51242" w:rsidRDefault="008E4E86">
            <w:r>
              <w:t>• Уникнення думок, почуттів, що нагадують про травму</w:t>
            </w:r>
            <w:r>
              <w:br/>
              <w:t>• Уникнення зовнішніх нагадувань (люди, місця, ситуації)</w:t>
            </w:r>
          </w:p>
        </w:tc>
        <w:tc>
          <w:tcPr>
            <w:tcW w:w="3572" w:type="dxa"/>
            <w:shd w:val="clear" w:color="auto" w:fill="auto"/>
          </w:tcPr>
          <w:p w14:paraId="559EED47" w14:textId="77777777" w:rsidR="00B51242" w:rsidRDefault="008E4E86">
            <w:r>
              <w:t>• Уникнення внутрішніх (думки/почуття) та зовнішніх нагадувань про травму</w:t>
            </w:r>
          </w:p>
        </w:tc>
      </w:tr>
      <w:tr w:rsidR="00B51242" w14:paraId="3C8DD87E" w14:textId="77777777">
        <w:tc>
          <w:tcPr>
            <w:tcW w:w="1814" w:type="dxa"/>
            <w:shd w:val="clear" w:color="auto" w:fill="auto"/>
          </w:tcPr>
          <w:p w14:paraId="5C1D546A" w14:textId="77777777" w:rsidR="00B51242" w:rsidRDefault="008E4E86">
            <w:r>
              <w:t>Негативні зміни у когніціях та настрої</w:t>
            </w:r>
          </w:p>
        </w:tc>
        <w:tc>
          <w:tcPr>
            <w:tcW w:w="3799" w:type="dxa"/>
            <w:shd w:val="clear" w:color="auto" w:fill="auto"/>
          </w:tcPr>
          <w:p w14:paraId="711C0FBC" w14:textId="77777777" w:rsidR="00B51242" w:rsidRDefault="008E4E86">
            <w:r>
              <w:t>• Неможливість пригадати важливі аспекти травми</w:t>
            </w:r>
            <w:r>
              <w:br/>
              <w:t>• Надмірно негативні судження про себе / світ</w:t>
            </w:r>
            <w:r>
              <w:br/>
              <w:t>• Перебільшена провина (себе або інших)</w:t>
            </w:r>
            <w:r>
              <w:br/>
              <w:t>• Тривалий негативний емоційний стан</w:t>
            </w:r>
            <w:r>
              <w:br/>
              <w:t>• Зниження інтересу в діяльності</w:t>
            </w:r>
            <w:r>
              <w:br/>
              <w:t>• Відчуженість/ізоляція</w:t>
            </w:r>
            <w:r>
              <w:br/>
              <w:t>• Неможливість відчувати позитивні емоції</w:t>
            </w:r>
          </w:p>
        </w:tc>
        <w:tc>
          <w:tcPr>
            <w:tcW w:w="3572" w:type="dxa"/>
            <w:shd w:val="clear" w:color="auto" w:fill="auto"/>
          </w:tcPr>
          <w:p w14:paraId="67D3C7AD" w14:textId="77777777" w:rsidR="00B51242" w:rsidRDefault="008E4E86">
            <w:r>
              <w:t>Не включається в діагностику ICD-11 PTSD (може враховуватися при комплексному ПТСР)</w:t>
            </w:r>
          </w:p>
          <w:p w14:paraId="50F40DEB" w14:textId="77777777" w:rsidR="00B51242" w:rsidRDefault="00B51242"/>
          <w:p w14:paraId="77A52294" w14:textId="77777777" w:rsidR="00B51242" w:rsidRDefault="00B51242"/>
          <w:p w14:paraId="007DCDA8" w14:textId="77777777" w:rsidR="00B51242" w:rsidRDefault="00B51242"/>
          <w:p w14:paraId="235D5B2A" w14:textId="77777777" w:rsidR="00B51242" w:rsidRDefault="008E4E86">
            <w:r>
              <w:t xml:space="preserve">                               </w:t>
            </w:r>
          </w:p>
        </w:tc>
      </w:tr>
      <w:tr w:rsidR="00B51242" w14:paraId="7D8DF506" w14:textId="77777777">
        <w:tc>
          <w:tcPr>
            <w:tcW w:w="1814" w:type="dxa"/>
            <w:shd w:val="clear" w:color="auto" w:fill="auto"/>
          </w:tcPr>
          <w:p w14:paraId="4460FE02" w14:textId="77777777" w:rsidR="00B51242" w:rsidRDefault="008E4E86">
            <w:r>
              <w:t>Зміни у збудженні та реактивності</w:t>
            </w:r>
          </w:p>
        </w:tc>
        <w:tc>
          <w:tcPr>
            <w:tcW w:w="3799" w:type="dxa"/>
            <w:shd w:val="clear" w:color="auto" w:fill="auto"/>
          </w:tcPr>
          <w:p w14:paraId="48777928" w14:textId="77777777" w:rsidR="00B51242" w:rsidRDefault="008E4E86">
            <w:r>
              <w:t>• Роздратованість, агресивні спалахи</w:t>
            </w:r>
            <w:r>
              <w:br/>
              <w:t>• Ризикована поведінка</w:t>
            </w:r>
            <w:r>
              <w:br/>
              <w:t>• Гіпервідчутливість</w:t>
            </w:r>
            <w:r>
              <w:br/>
              <w:t>• Посилена реакція здригання</w:t>
            </w:r>
            <w:r>
              <w:br/>
              <w:t>• Труднощі з концентрацією</w:t>
            </w:r>
            <w:r>
              <w:br/>
              <w:t>• Порушення сну</w:t>
            </w:r>
          </w:p>
        </w:tc>
        <w:tc>
          <w:tcPr>
            <w:tcW w:w="3572" w:type="dxa"/>
            <w:shd w:val="clear" w:color="auto" w:fill="auto"/>
          </w:tcPr>
          <w:p w14:paraId="73F51CBE" w14:textId="77777777" w:rsidR="00B51242" w:rsidRDefault="008E4E86">
            <w:r>
              <w:t>• Перманентне відчуття загрози:</w:t>
            </w:r>
            <w:r>
              <w:br/>
              <w:t>— гіпервідчутливість</w:t>
            </w:r>
            <w:r>
              <w:br/>
              <w:t>— підвищена реакція здригання</w:t>
            </w:r>
          </w:p>
        </w:tc>
      </w:tr>
      <w:tr w:rsidR="00B51242" w14:paraId="55707B7C" w14:textId="77777777">
        <w:tc>
          <w:tcPr>
            <w:tcW w:w="1814" w:type="dxa"/>
            <w:shd w:val="clear" w:color="auto" w:fill="auto"/>
          </w:tcPr>
          <w:p w14:paraId="4DE133CE" w14:textId="77777777" w:rsidR="00B51242" w:rsidRDefault="008E4E86">
            <w:r>
              <w:t>Дисоціативні прояви</w:t>
            </w:r>
          </w:p>
        </w:tc>
        <w:tc>
          <w:tcPr>
            <w:tcW w:w="3799" w:type="dxa"/>
            <w:shd w:val="clear" w:color="auto" w:fill="auto"/>
          </w:tcPr>
          <w:p w14:paraId="771DB44D" w14:textId="77777777" w:rsidR="00B51242" w:rsidRDefault="008E4E86">
            <w:r>
              <w:t>• Деперсоналізація</w:t>
            </w:r>
            <w:r>
              <w:br/>
              <w:t>• Дереалізація (опціонально, як підтип)</w:t>
            </w:r>
          </w:p>
        </w:tc>
        <w:tc>
          <w:tcPr>
            <w:tcW w:w="3572" w:type="dxa"/>
            <w:shd w:val="clear" w:color="auto" w:fill="auto"/>
          </w:tcPr>
          <w:p w14:paraId="56A41DF4" w14:textId="77777777" w:rsidR="00B51242" w:rsidRDefault="008E4E86">
            <w:r>
              <w:t>Не виділено як окремі симптоми</w:t>
            </w:r>
          </w:p>
        </w:tc>
      </w:tr>
      <w:tr w:rsidR="00B51242" w14:paraId="5AC9EF98" w14:textId="77777777">
        <w:tc>
          <w:tcPr>
            <w:tcW w:w="1814" w:type="dxa"/>
            <w:shd w:val="clear" w:color="auto" w:fill="auto"/>
          </w:tcPr>
          <w:p w14:paraId="1FCF0BC3" w14:textId="77777777" w:rsidR="00B51242" w:rsidRDefault="008E4E86">
            <w:r>
              <w:t>Тривалість</w:t>
            </w:r>
          </w:p>
        </w:tc>
        <w:tc>
          <w:tcPr>
            <w:tcW w:w="3799" w:type="dxa"/>
            <w:shd w:val="clear" w:color="auto" w:fill="auto"/>
          </w:tcPr>
          <w:p w14:paraId="675980B3" w14:textId="77777777" w:rsidR="00B51242" w:rsidRDefault="008E4E86">
            <w:r>
              <w:t>≥ 1 місяця</w:t>
            </w:r>
          </w:p>
        </w:tc>
        <w:tc>
          <w:tcPr>
            <w:tcW w:w="3572" w:type="dxa"/>
            <w:shd w:val="clear" w:color="auto" w:fill="auto"/>
          </w:tcPr>
          <w:p w14:paraId="112822B9" w14:textId="77777777" w:rsidR="00B51242" w:rsidRDefault="008E4E86">
            <w:r>
              <w:t>Декілька тижнів або довше</w:t>
            </w:r>
          </w:p>
        </w:tc>
      </w:tr>
      <w:tr w:rsidR="00B51242" w14:paraId="21E84F88" w14:textId="77777777">
        <w:tc>
          <w:tcPr>
            <w:tcW w:w="1814" w:type="dxa"/>
            <w:shd w:val="clear" w:color="auto" w:fill="auto"/>
          </w:tcPr>
          <w:p w14:paraId="15065F0B" w14:textId="77777777" w:rsidR="00B51242" w:rsidRDefault="008E4E86">
            <w:r>
              <w:t>Функціональне значення</w:t>
            </w:r>
          </w:p>
        </w:tc>
        <w:tc>
          <w:tcPr>
            <w:tcW w:w="3799" w:type="dxa"/>
            <w:shd w:val="clear" w:color="auto" w:fill="auto"/>
          </w:tcPr>
          <w:p w14:paraId="57F5320C" w14:textId="77777777" w:rsidR="00B51242" w:rsidRDefault="008E4E86">
            <w:r>
              <w:t>Симптоми викликають клінічно значущий дистрес або порушення функціонування</w:t>
            </w:r>
          </w:p>
        </w:tc>
        <w:tc>
          <w:tcPr>
            <w:tcW w:w="3572" w:type="dxa"/>
            <w:shd w:val="clear" w:color="auto" w:fill="auto"/>
          </w:tcPr>
          <w:p w14:paraId="7ADE7AB5" w14:textId="77777777" w:rsidR="00B51242" w:rsidRDefault="008E4E86">
            <w:r>
              <w:t>Симптоми викликають значимі порушення у сфері особистого, соціального, професійного функціонування</w:t>
            </w:r>
          </w:p>
        </w:tc>
      </w:tr>
    </w:tbl>
    <w:p w14:paraId="450EA2D7" w14:textId="77777777" w:rsidR="00B51242" w:rsidRDefault="00B51242">
      <w:pPr>
        <w:spacing w:line="360" w:lineRule="auto"/>
        <w:jc w:val="both"/>
        <w:rPr>
          <w:rStyle w:val="InternetLink"/>
          <w:rFonts w:eastAsia="Times New Roman" w:cs="Times New Roman"/>
          <w:sz w:val="28"/>
          <w:szCs w:val="28"/>
        </w:rPr>
      </w:pPr>
    </w:p>
    <w:p w14:paraId="7BAC318F" w14:textId="77777777" w:rsidR="00B51242" w:rsidRDefault="008E4E86">
      <w:pPr>
        <w:spacing w:line="360" w:lineRule="auto"/>
        <w:ind w:firstLine="737"/>
        <w:jc w:val="both"/>
      </w:pPr>
      <w:r w:rsidRPr="00D3629B">
        <w:rPr>
          <w:rStyle w:val="StrongEmphasis"/>
          <w:rFonts w:eastAsia="Times New Roman" w:cs="Times New Roman"/>
          <w:b w:val="0"/>
          <w:bCs w:val="0"/>
          <w:color w:val="000000"/>
          <w:sz w:val="28"/>
          <w:szCs w:val="28"/>
        </w:rPr>
        <w:t>DSM-5</w:t>
      </w:r>
      <w:r>
        <w:rPr>
          <w:rStyle w:val="InternetLink"/>
          <w:rFonts w:eastAsia="Times New Roman" w:cs="Times New Roman"/>
          <w:color w:val="000000"/>
          <w:sz w:val="28"/>
          <w:szCs w:val="28"/>
          <w:u w:val="none"/>
        </w:rPr>
        <w:t xml:space="preserve"> охоплює більше симптомів, має багато комбінацій, що веде до великої варіабельності й потенційних труднощів у клінічній практиці та дослідженнях.  В той час як МКХ-</w:t>
      </w:r>
      <w:r>
        <w:rPr>
          <w:rStyle w:val="StrongEmphasis"/>
          <w:b w:val="0"/>
          <w:bCs w:val="0"/>
          <w:color w:val="000000"/>
          <w:sz w:val="28"/>
          <w:szCs w:val="28"/>
        </w:rPr>
        <w:t>11</w:t>
      </w:r>
      <w:r>
        <w:rPr>
          <w:color w:val="000000"/>
          <w:sz w:val="28"/>
          <w:szCs w:val="28"/>
        </w:rPr>
        <w:t xml:space="preserve"> прагне максимальної простоти й клинічної утилітарності: одна чітка схема симптомів, легко застосовувана глобально, менше диференціальних випадків, краща вказівка на функціональне порушення.</w:t>
      </w:r>
      <w:r>
        <w:rPr>
          <w:rStyle w:val="InternetLink"/>
          <w:rFonts w:eastAsia="Times New Roman" w:cs="Times New Roman"/>
          <w:color w:val="000000"/>
          <w:sz w:val="28"/>
          <w:szCs w:val="28"/>
          <w:u w:val="none"/>
        </w:rPr>
        <w:t xml:space="preserve"> DSМ-5 і МКХ-</w:t>
      </w:r>
      <w:r>
        <w:rPr>
          <w:rStyle w:val="StrongEmphasis"/>
          <w:rFonts w:eastAsia="Times New Roman" w:cs="Times New Roman"/>
          <w:b w:val="0"/>
          <w:bCs w:val="0"/>
          <w:color w:val="000000"/>
          <w:sz w:val="28"/>
          <w:szCs w:val="28"/>
        </w:rPr>
        <w:t>11</w:t>
      </w:r>
      <w:r>
        <w:rPr>
          <w:rStyle w:val="InternetLink"/>
          <w:rFonts w:eastAsia="Times New Roman" w:cs="Times New Roman"/>
          <w:color w:val="000000"/>
          <w:sz w:val="28"/>
          <w:szCs w:val="28"/>
          <w:u w:val="none"/>
        </w:rPr>
        <w:t xml:space="preserve"> однаково передбачають порушення функцій, але МКХ-</w:t>
      </w:r>
      <w:r>
        <w:rPr>
          <w:rStyle w:val="StrongEmphasis"/>
          <w:rFonts w:eastAsia="Times New Roman" w:cs="Times New Roman"/>
          <w:b w:val="0"/>
          <w:bCs w:val="0"/>
          <w:color w:val="000000"/>
          <w:sz w:val="28"/>
          <w:szCs w:val="28"/>
        </w:rPr>
        <w:t>11</w:t>
      </w:r>
      <w:r>
        <w:rPr>
          <w:rStyle w:val="InternetLink"/>
          <w:rFonts w:eastAsia="Times New Roman" w:cs="Times New Roman"/>
          <w:color w:val="000000"/>
          <w:sz w:val="28"/>
          <w:szCs w:val="28"/>
          <w:u w:val="none"/>
        </w:rPr>
        <w:t xml:space="preserve"> виявляється менш чутливим до дисфункції, що призводить до невстановлення діагнозу у функціонально постраждалих осіб, які не відповідають вузьким критеріям МКХ-</w:t>
      </w:r>
      <w:r>
        <w:rPr>
          <w:rStyle w:val="StrongEmphasis"/>
          <w:rFonts w:eastAsia="Times New Roman" w:cs="Times New Roman"/>
          <w:b w:val="0"/>
          <w:bCs w:val="0"/>
          <w:color w:val="000000"/>
          <w:sz w:val="28"/>
          <w:szCs w:val="28"/>
        </w:rPr>
        <w:t>11. Про що і підтверджують багаточисельні дослідження [</w:t>
      </w:r>
      <w:r w:rsidRPr="00D3629B">
        <w:rPr>
          <w:rStyle w:val="InternetLink"/>
          <w:rFonts w:eastAsia="Times New Roman" w:cs="Times New Roman"/>
          <w:color w:val="000000"/>
          <w:sz w:val="28"/>
          <w:szCs w:val="28"/>
          <w:u w:val="none"/>
        </w:rPr>
        <w:t>35], [</w:t>
      </w:r>
      <w:r w:rsidRPr="00D3629B">
        <w:rPr>
          <w:rStyle w:val="VisitedInternetLink"/>
          <w:rFonts w:eastAsia="Times New Roman" w:cs="Times New Roman"/>
          <w:color w:val="000000"/>
          <w:sz w:val="28"/>
          <w:szCs w:val="28"/>
          <w:u w:val="none"/>
        </w:rPr>
        <w:t>38].</w:t>
      </w:r>
    </w:p>
    <w:p w14:paraId="64E06318" w14:textId="77777777" w:rsidR="00B51242" w:rsidRDefault="008E4E86">
      <w:pPr>
        <w:spacing w:line="360" w:lineRule="auto"/>
        <w:ind w:firstLine="737"/>
        <w:jc w:val="both"/>
      </w:pPr>
      <w:r>
        <w:rPr>
          <w:rStyle w:val="InternetLink"/>
          <w:rFonts w:eastAsia="Times New Roman" w:cs="Times New Roman"/>
          <w:color w:val="000000"/>
          <w:sz w:val="28"/>
          <w:szCs w:val="28"/>
          <w:u w:val="none"/>
        </w:rPr>
        <w:t>DSM-5, розроблена Американською психіатричною асоціацією (APA), є національною класифікаційною системою США, яка офіційно не застосовується в Україні як нормативний документ. Водночас вона активно використовується у науковій сфері, зокрема в контексті міжнародних досліджень та публікацій, де потребується уніфікація діагностичних критеріїв. Натомість в Україні чинною залишається Міжнародна класифікація хвороб десятого перегляду (МКХ-10), яка має нормативний статус у медичній документації. Водночас, відповідно до операційного плану впровадження, затвердженого МОЗ України, повноцінний перехід на одинадцятий перегляд (МКХ-11) запланований на 1 січня 2027 року.</w:t>
      </w:r>
    </w:p>
    <w:p w14:paraId="1094C664" w14:textId="77777777" w:rsidR="00B51242" w:rsidRDefault="008E4E86">
      <w:pPr>
        <w:spacing w:line="360" w:lineRule="auto"/>
        <w:ind w:firstLine="737"/>
        <w:jc w:val="both"/>
      </w:pPr>
      <w:r>
        <w:rPr>
          <w:rStyle w:val="InternetLink"/>
          <w:rFonts w:eastAsia="Times New Roman" w:cs="Times New Roman"/>
          <w:color w:val="000000"/>
          <w:sz w:val="28"/>
          <w:szCs w:val="28"/>
          <w:u w:val="none"/>
        </w:rPr>
        <w:t>У межах даного дослідження наявні певні обмеження, пов’язані як із часовими рамками, так і зі специфікою застосованих методів. З огляду на це, основним напрямом психологічної підтримки визначено роботу з проявами гіперзбудження та гіперчутливості, що залишаються найбільш вираженими та клінічно значущими після переживання психотравмуючих подій. У цьому контексті доцільним є аналіз можливостей інтегративного підходу, зокрема КПТ, ТОТ та EMDR, які довели свою ефективність у зменшенні інтенсивності даних симптомів.</w:t>
      </w:r>
    </w:p>
    <w:p w14:paraId="1D35F3BF" w14:textId="77777777" w:rsidR="00B51242" w:rsidRDefault="008E4E86">
      <w:pPr>
        <w:spacing w:line="360" w:lineRule="auto"/>
        <w:ind w:firstLine="737"/>
        <w:jc w:val="both"/>
      </w:pPr>
      <w:r>
        <w:rPr>
          <w:color w:val="000000"/>
          <w:sz w:val="28"/>
          <w:szCs w:val="28"/>
        </w:rPr>
        <w:t xml:space="preserve">Для чіткого окреслення завдань дослідження важливим є визначення симптомів, що входять до кластерів гіперзбудження та гіперчутливості. </w:t>
      </w:r>
    </w:p>
    <w:p w14:paraId="417DAD5B" w14:textId="77777777" w:rsidR="00B51242" w:rsidRDefault="008E4E86">
      <w:pPr>
        <w:spacing w:line="360" w:lineRule="auto"/>
        <w:ind w:firstLine="737"/>
        <w:jc w:val="both"/>
      </w:pPr>
      <w:r>
        <w:rPr>
          <w:rStyle w:val="InternetLink"/>
          <w:rFonts w:eastAsia="Times New Roman" w:cs="Times New Roman"/>
          <w:b/>
          <w:bCs/>
          <w:color w:val="000000"/>
          <w:sz w:val="28"/>
          <w:szCs w:val="28"/>
          <w:u w:val="none"/>
          <w:lang w:eastAsia="ru-RU"/>
        </w:rPr>
        <w:t>Основний вектор психологічної підтримки</w:t>
      </w:r>
      <w:r w:rsidRPr="00D3629B">
        <w:rPr>
          <w:rStyle w:val="InternetLink"/>
          <w:rFonts w:eastAsia="Times New Roman" w:cs="Times New Roman"/>
          <w:b/>
          <w:bCs/>
          <w:color w:val="000000"/>
          <w:sz w:val="28"/>
          <w:szCs w:val="28"/>
          <w:u w:val="none"/>
          <w:lang w:eastAsia="ru-RU"/>
        </w:rPr>
        <w:t>:</w:t>
      </w:r>
    </w:p>
    <w:p w14:paraId="6862DD63" w14:textId="77777777" w:rsidR="00B51242" w:rsidRDefault="008E4E86">
      <w:pPr>
        <w:spacing w:line="360" w:lineRule="auto"/>
        <w:ind w:firstLine="737"/>
        <w:jc w:val="both"/>
      </w:pPr>
      <w:r>
        <w:rPr>
          <w:rStyle w:val="StrongEmphasis"/>
          <w:color w:val="000000"/>
          <w:sz w:val="28"/>
          <w:szCs w:val="28"/>
        </w:rPr>
        <w:t>Гіперзбудження</w:t>
      </w:r>
      <w:r>
        <w:rPr>
          <w:color w:val="000000"/>
          <w:sz w:val="28"/>
          <w:szCs w:val="28"/>
        </w:rPr>
        <w:t xml:space="preserve"> (підвищене збудження) — це клінічний термін, який у психіатрії  означає підвищений рівень фізіологічної активації нервової системи. Симптоми:</w:t>
      </w:r>
    </w:p>
    <w:p w14:paraId="7DCCB274" w14:textId="77777777" w:rsidR="00B51242" w:rsidRDefault="008E4E86">
      <w:pPr>
        <w:spacing w:line="360" w:lineRule="auto"/>
        <w:ind w:firstLine="737"/>
        <w:jc w:val="both"/>
      </w:pPr>
      <w:r>
        <w:rPr>
          <w:color w:val="000000"/>
          <w:sz w:val="28"/>
          <w:szCs w:val="28"/>
        </w:rPr>
        <w:t>- проблеми зі сном;</w:t>
      </w:r>
    </w:p>
    <w:p w14:paraId="3B552E97" w14:textId="77777777" w:rsidR="00B51242" w:rsidRDefault="008E4E86">
      <w:pPr>
        <w:spacing w:line="360" w:lineRule="auto"/>
        <w:ind w:firstLine="737"/>
        <w:jc w:val="both"/>
      </w:pPr>
      <w:r>
        <w:rPr>
          <w:color w:val="000000"/>
          <w:sz w:val="28"/>
          <w:szCs w:val="28"/>
        </w:rPr>
        <w:t>- підвищена пильність;</w:t>
      </w:r>
    </w:p>
    <w:p w14:paraId="0E1DE47A" w14:textId="77777777" w:rsidR="00B51242" w:rsidRDefault="008E4E86">
      <w:pPr>
        <w:spacing w:line="360" w:lineRule="auto"/>
        <w:ind w:firstLine="737"/>
        <w:jc w:val="both"/>
      </w:pPr>
      <w:r>
        <w:rPr>
          <w:color w:val="000000"/>
          <w:sz w:val="28"/>
          <w:szCs w:val="28"/>
        </w:rPr>
        <w:t>- дратівливість, спалахи гніву;</w:t>
      </w:r>
    </w:p>
    <w:p w14:paraId="298353A4" w14:textId="77777777" w:rsidR="00B51242" w:rsidRDefault="008E4E86">
      <w:pPr>
        <w:spacing w:line="360" w:lineRule="auto"/>
        <w:ind w:firstLine="737"/>
        <w:jc w:val="both"/>
      </w:pPr>
      <w:r>
        <w:rPr>
          <w:color w:val="000000"/>
          <w:sz w:val="28"/>
          <w:szCs w:val="28"/>
        </w:rPr>
        <w:t>- труднощі з концентрацією;</w:t>
      </w:r>
    </w:p>
    <w:p w14:paraId="28360094" w14:textId="77777777" w:rsidR="00B51242" w:rsidRDefault="008E4E86">
      <w:pPr>
        <w:spacing w:line="360" w:lineRule="auto"/>
        <w:ind w:firstLine="737"/>
        <w:jc w:val="both"/>
      </w:pPr>
      <w:r>
        <w:rPr>
          <w:color w:val="000000"/>
          <w:sz w:val="28"/>
          <w:szCs w:val="28"/>
        </w:rPr>
        <w:t>- гіперреакція переляку.</w:t>
      </w:r>
    </w:p>
    <w:p w14:paraId="0131204E" w14:textId="77777777" w:rsidR="00B51242" w:rsidRDefault="008E4E86">
      <w:pPr>
        <w:spacing w:line="360" w:lineRule="auto"/>
        <w:ind w:firstLine="737"/>
        <w:jc w:val="both"/>
      </w:pPr>
      <w:r>
        <w:rPr>
          <w:rStyle w:val="StrongEmphasis"/>
          <w:rFonts w:eastAsia="Times New Roman" w:cs="Times New Roman"/>
          <w:color w:val="000000"/>
          <w:sz w:val="28"/>
          <w:szCs w:val="28"/>
          <w:lang w:eastAsia="ru-RU"/>
        </w:rPr>
        <w:t>Гіпервідчутливість</w:t>
      </w:r>
      <w:r>
        <w:rPr>
          <w:rStyle w:val="InternetLink"/>
          <w:rFonts w:eastAsia="Times New Roman" w:cs="Times New Roman"/>
          <w:color w:val="000000"/>
          <w:sz w:val="28"/>
          <w:szCs w:val="28"/>
          <w:u w:val="none"/>
          <w:lang w:eastAsia="ru-RU"/>
        </w:rPr>
        <w:t xml:space="preserve">  означає надмірну сенсорну або емоційну реактивність. Це може проявлятися:                                                                                                                        </w:t>
      </w:r>
    </w:p>
    <w:p w14:paraId="00A100FE" w14:textId="77777777" w:rsidR="00B51242" w:rsidRDefault="008E4E86">
      <w:pPr>
        <w:spacing w:line="360" w:lineRule="auto"/>
        <w:ind w:firstLine="737"/>
        <w:jc w:val="both"/>
      </w:pPr>
      <w:r>
        <w:rPr>
          <w:rStyle w:val="InternetLink"/>
          <w:rFonts w:eastAsia="Times New Roman" w:cs="Times New Roman"/>
          <w:color w:val="000000"/>
          <w:sz w:val="28"/>
          <w:szCs w:val="28"/>
          <w:u w:val="none"/>
          <w:lang w:eastAsia="ru-RU"/>
        </w:rPr>
        <w:t xml:space="preserve">- </w:t>
      </w:r>
      <w:r>
        <w:rPr>
          <w:color w:val="000000"/>
          <w:sz w:val="28"/>
          <w:szCs w:val="28"/>
        </w:rPr>
        <w:t>надмірною чутливістю до звуків, запахів, дотиків, світла;</w:t>
      </w:r>
    </w:p>
    <w:p w14:paraId="66B1F02B" w14:textId="77777777" w:rsidR="00B51242" w:rsidRDefault="008E4E86">
      <w:pPr>
        <w:spacing w:line="360" w:lineRule="auto"/>
        <w:ind w:firstLine="737"/>
        <w:jc w:val="both"/>
      </w:pPr>
      <w:r>
        <w:rPr>
          <w:color w:val="000000"/>
          <w:sz w:val="28"/>
          <w:szCs w:val="28"/>
        </w:rPr>
        <w:t>- емоційною вразливістю (легко образитися, сильно реагувати на критику, стресори);</w:t>
      </w:r>
    </w:p>
    <w:p w14:paraId="0302CDA9" w14:textId="77777777" w:rsidR="00B51242" w:rsidRDefault="008E4E86">
      <w:pPr>
        <w:spacing w:line="360" w:lineRule="auto"/>
        <w:ind w:firstLine="737"/>
        <w:jc w:val="both"/>
      </w:pPr>
      <w:r>
        <w:rPr>
          <w:color w:val="000000"/>
          <w:sz w:val="28"/>
          <w:szCs w:val="28"/>
        </w:rPr>
        <w:t>- посиленою реакцією на внутрішні тілесні відчуття.</w:t>
      </w:r>
    </w:p>
    <w:p w14:paraId="04C62BE4" w14:textId="77777777" w:rsidR="00B51242" w:rsidRDefault="05E59440">
      <w:pPr>
        <w:spacing w:line="360" w:lineRule="auto"/>
        <w:ind w:firstLine="737"/>
        <w:jc w:val="both"/>
      </w:pPr>
      <w:r w:rsidRPr="05E59440">
        <w:rPr>
          <w:rStyle w:val="InternetLink"/>
          <w:rFonts w:eastAsia="Times New Roman" w:cs="Times New Roman"/>
          <w:color w:val="auto"/>
          <w:sz w:val="28"/>
          <w:szCs w:val="28"/>
          <w:u w:val="none"/>
        </w:rPr>
        <w:t>Таким чином, уточнення симптомів, які належать до цих кластерів, є необхідною передумовою для подальшої побудови протоколу психологічної допомоги, а також для оцінки результативності інтеграції КПТ, ТОТ та EMDR у зниженні проявів гіперзбудження та гіперчутливості.</w:t>
      </w:r>
    </w:p>
    <w:p w14:paraId="1B6B9878" w14:textId="77777777" w:rsidR="00B51242" w:rsidRDefault="008E4E86">
      <w:pPr>
        <w:spacing w:line="360" w:lineRule="auto"/>
        <w:ind w:firstLine="737"/>
        <w:jc w:val="both"/>
      </w:pPr>
      <w:bookmarkStart w:id="11" w:name="__DdeLink__4783_946119719"/>
      <w:r>
        <w:rPr>
          <w:rStyle w:val="InternetLink"/>
          <w:rFonts w:eastAsia="Times New Roman" w:cs="Times New Roman"/>
          <w:b/>
          <w:bCs/>
          <w:color w:val="000000"/>
          <w:sz w:val="28"/>
          <w:szCs w:val="28"/>
          <w:u w:val="none"/>
        </w:rPr>
        <w:t>Ф</w:t>
      </w:r>
      <w:bookmarkEnd w:id="11"/>
      <w:r>
        <w:rPr>
          <w:rStyle w:val="InternetLink"/>
          <w:rFonts w:eastAsia="Times New Roman" w:cs="Times New Roman"/>
          <w:b/>
          <w:bCs/>
          <w:color w:val="000000"/>
          <w:sz w:val="28"/>
          <w:szCs w:val="28"/>
          <w:u w:val="none"/>
        </w:rPr>
        <w:t>іксація стану на початку та в кінці заняття</w:t>
      </w:r>
    </w:p>
    <w:p w14:paraId="3C1B67B9" w14:textId="77777777" w:rsidR="00B51242" w:rsidRDefault="008E4E86">
      <w:pPr>
        <w:spacing w:line="360" w:lineRule="auto"/>
        <w:jc w:val="both"/>
      </w:pPr>
      <w:r>
        <w:rPr>
          <w:sz w:val="28"/>
          <w:szCs w:val="28"/>
        </w:rPr>
        <w:t xml:space="preserve">На перший погляд прийом фіксації стану на початку та наприкінці заняття може здаватися простим, проте він виконує низку ключових функцій у терапевтичному процесі. </w:t>
      </w:r>
    </w:p>
    <w:p w14:paraId="67CEEC12" w14:textId="77777777" w:rsidR="00B51242" w:rsidRDefault="008E4E86">
      <w:pPr>
        <w:spacing w:line="360" w:lineRule="auto"/>
        <w:ind w:firstLine="737"/>
        <w:jc w:val="both"/>
      </w:pPr>
      <w:r>
        <w:rPr>
          <w:sz w:val="28"/>
          <w:szCs w:val="28"/>
        </w:rPr>
        <w:t xml:space="preserve">1. </w:t>
      </w:r>
      <w:r>
        <w:rPr>
          <w:rStyle w:val="StrongEmphasis"/>
          <w:sz w:val="28"/>
          <w:szCs w:val="28"/>
        </w:rPr>
        <w:t xml:space="preserve">Діагностично-моніторингова функція. </w:t>
      </w:r>
      <w:r>
        <w:rPr>
          <w:sz w:val="28"/>
          <w:szCs w:val="28"/>
        </w:rPr>
        <w:t>Перш за все це розуміння того як починати заняття. Якщо до прикладу військовослужбовець приймає ліки за призначенням психіатра визначити які саме і чи буде це заважати заняттям. Чи може його теперішній стан потребує заспокоєння перед заняттями, то потрібно беде розпочати з релаксаційних чи вправ заземлення.</w:t>
      </w:r>
    </w:p>
    <w:p w14:paraId="2A090A2A" w14:textId="77777777" w:rsidR="00B51242" w:rsidRDefault="008E4E86">
      <w:pPr>
        <w:spacing w:line="360" w:lineRule="auto"/>
        <w:ind w:firstLine="737"/>
        <w:jc w:val="both"/>
      </w:pPr>
      <w:r>
        <w:rPr>
          <w:sz w:val="28"/>
          <w:szCs w:val="28"/>
        </w:rPr>
        <w:t xml:space="preserve">2. </w:t>
      </w:r>
      <w:r>
        <w:rPr>
          <w:rStyle w:val="StrongEmphasis"/>
          <w:sz w:val="28"/>
          <w:szCs w:val="28"/>
        </w:rPr>
        <w:t>Функція оцінки ефективності інтервенцій.</w:t>
      </w:r>
      <w:r>
        <w:rPr>
          <w:sz w:val="28"/>
          <w:szCs w:val="28"/>
        </w:rPr>
        <w:t xml:space="preserve"> Порівняння стану до та після заняття дає змогу визначити, наскільки застосовані техніки впливають на зниження симптомів гіперзбудження чи уникання. Це слугує маркером ефективності обраної стратегії втручання.</w:t>
      </w:r>
    </w:p>
    <w:p w14:paraId="4D24FBD9" w14:textId="77777777" w:rsidR="00B51242" w:rsidRDefault="008E4E86">
      <w:pPr>
        <w:spacing w:line="360" w:lineRule="auto"/>
        <w:ind w:firstLine="737"/>
        <w:jc w:val="both"/>
      </w:pPr>
      <w:r>
        <w:rPr>
          <w:sz w:val="28"/>
          <w:szCs w:val="28"/>
        </w:rPr>
        <w:t xml:space="preserve">3. </w:t>
      </w:r>
      <w:r>
        <w:rPr>
          <w:rStyle w:val="StrongEmphasis"/>
          <w:sz w:val="28"/>
          <w:szCs w:val="28"/>
        </w:rPr>
        <w:t>Психоедукаційна функція.</w:t>
      </w:r>
      <w:r>
        <w:rPr>
          <w:sz w:val="28"/>
          <w:szCs w:val="28"/>
        </w:rPr>
        <w:t xml:space="preserve"> Регулярне відстеження власних емоційних змін допомагає військовослужбовцю усвідомлювати власні реакції та розвивати навички самоспостереження. Це сприяє формуванню саморефлексії та здатності самостійно застосовувати техніки саморегуляції у повсякденних умовах.</w:t>
      </w:r>
    </w:p>
    <w:p w14:paraId="06F64A4C" w14:textId="77777777" w:rsidR="00B51242" w:rsidRDefault="008E4E86">
      <w:pPr>
        <w:spacing w:line="360" w:lineRule="auto"/>
        <w:ind w:firstLine="737"/>
        <w:jc w:val="both"/>
      </w:pPr>
      <w:r>
        <w:rPr>
          <w:rStyle w:val="StrongEmphasis"/>
          <w:sz w:val="28"/>
          <w:szCs w:val="28"/>
        </w:rPr>
        <w:t xml:space="preserve">4. Ресурсно-мотиваційна функція. </w:t>
      </w:r>
      <w:r>
        <w:rPr>
          <w:rStyle w:val="StrongEmphasis"/>
          <w:b w:val="0"/>
          <w:bCs w:val="0"/>
          <w:sz w:val="28"/>
          <w:szCs w:val="28"/>
        </w:rPr>
        <w:t>Військовослужбовець має змогу наочно відчути й усвідомити позитивні зміни, що відбулися під час заняття, що підвищує його мотивацію до подальшої участі у терапевтичному процесі та дотримання рекомендацій психолога.</w:t>
      </w:r>
    </w:p>
    <w:p w14:paraId="2FF4F201" w14:textId="77777777" w:rsidR="00B51242" w:rsidRDefault="008E4E86">
      <w:pPr>
        <w:spacing w:line="360" w:lineRule="auto"/>
        <w:ind w:firstLine="737"/>
        <w:jc w:val="both"/>
      </w:pPr>
      <w:r>
        <w:rPr>
          <w:sz w:val="28"/>
          <w:szCs w:val="28"/>
        </w:rPr>
        <w:t xml:space="preserve">5. </w:t>
      </w:r>
      <w:r>
        <w:rPr>
          <w:rStyle w:val="StrongEmphasis"/>
          <w:sz w:val="28"/>
          <w:szCs w:val="28"/>
        </w:rPr>
        <w:t>Функція стабілізації та завершеності.</w:t>
      </w:r>
      <w:r>
        <w:rPr>
          <w:sz w:val="28"/>
          <w:szCs w:val="28"/>
        </w:rPr>
        <w:t xml:space="preserve"> Завершення заняття з фіксацією стану дозволяє забезпечити відчуття психологічної завершеності, стабільності та безпеки. Це особливо важливо у роботі з ПТСР, де існує ризик виходу клієнта із сесії у стані підвищеної активації або емоційної незавершеності. По завершенню занять, якщо є необхідність, обов'язково потрібно стабілізувати стан.</w:t>
      </w:r>
    </w:p>
    <w:p w14:paraId="7D09F0EC" w14:textId="77777777" w:rsidR="00B51242" w:rsidRDefault="008E4E86">
      <w:pPr>
        <w:spacing w:line="360" w:lineRule="auto"/>
        <w:ind w:firstLine="737"/>
        <w:jc w:val="both"/>
      </w:pPr>
      <w:r>
        <w:rPr>
          <w:rStyle w:val="InternetLink"/>
          <w:rFonts w:eastAsia="Times New Roman" w:cs="Times New Roman"/>
          <w:b/>
          <w:bCs/>
          <w:color w:val="000000"/>
          <w:sz w:val="28"/>
          <w:szCs w:val="28"/>
          <w:u w:val="none"/>
        </w:rPr>
        <w:t xml:space="preserve">Фундамет психологічної підтримки — домашнє завдання. </w:t>
      </w:r>
    </w:p>
    <w:p w14:paraId="263A09F5" w14:textId="77777777" w:rsidR="00B51242" w:rsidRDefault="008E4E86">
      <w:pPr>
        <w:spacing w:line="360" w:lineRule="auto"/>
        <w:ind w:firstLine="737"/>
        <w:jc w:val="both"/>
      </w:pPr>
      <w:r>
        <w:rPr>
          <w:rStyle w:val="InternetLink"/>
          <w:rFonts w:eastAsia="Times New Roman" w:cs="Times New Roman"/>
          <w:color w:val="auto"/>
          <w:sz w:val="28"/>
          <w:szCs w:val="28"/>
          <w:u w:val="none"/>
        </w:rPr>
        <w:t xml:space="preserve">Надання психологічних послуг передбачає проведення індивідуальної зустрічі з отримувачем один раз на тиждень, тривалістю в 60 хвилин. У випадку збільшення частоти зустрічей до двох разів на тиждень цього недостатньо для забезпечення швидкого та сталого прогресу. </w:t>
      </w:r>
      <w:r>
        <w:rPr>
          <w:rStyle w:val="InternetLink"/>
          <w:rFonts w:eastAsia="Times New Roman" w:cs="Times New Roman"/>
          <w:color w:val="000000"/>
          <w:sz w:val="28"/>
          <w:szCs w:val="28"/>
          <w:u w:val="none"/>
        </w:rPr>
        <w:t xml:space="preserve">Але особливо на початку психологічної підтримки військовослужбовцям із ПТСР тяжко зосередитись на виконанні домашніх завдань, більше всього не впевненість у правильності відтворення завдання призводить до уникання їх виконання. </w:t>
      </w:r>
      <w:r>
        <w:rPr>
          <w:color w:val="000000"/>
          <w:sz w:val="28"/>
          <w:szCs w:val="28"/>
        </w:rPr>
        <w:t xml:space="preserve">                                                                                                     Тому домашні завдання мають надаватися у письмовому вигляді на інформаційних картках з чіткими покроковими інструкціями щодо виконання. Для підвищення ефективності, картки оформлюються за принципом S.M.A.R.T.</w:t>
      </w:r>
    </w:p>
    <w:p w14:paraId="70A57524" w14:textId="77777777" w:rsidR="00B51242" w:rsidRDefault="008E4E86">
      <w:pPr>
        <w:spacing w:line="360" w:lineRule="auto"/>
        <w:ind w:firstLine="737"/>
        <w:jc w:val="both"/>
      </w:pPr>
      <w:r>
        <w:rPr>
          <w:color w:val="000000"/>
          <w:sz w:val="28"/>
          <w:szCs w:val="28"/>
        </w:rPr>
        <w:t xml:space="preserve">S.M.A.R.T. — це підхід до постановки цілей, щоб вони були чіткими, вимірюваними та досяжними. При складанні </w:t>
      </w:r>
      <w:r>
        <w:rPr>
          <w:rStyle w:val="StrongEmphasis"/>
          <w:b w:val="0"/>
          <w:bCs w:val="0"/>
          <w:color w:val="000000"/>
          <w:sz w:val="28"/>
          <w:szCs w:val="28"/>
        </w:rPr>
        <w:t>планів занять</w:t>
      </w:r>
      <w:r>
        <w:rPr>
          <w:color w:val="000000"/>
          <w:sz w:val="28"/>
          <w:szCs w:val="28"/>
        </w:rPr>
        <w:t xml:space="preserve">  цей підхід допомагає зробити завдання максимально зрозумілими та контрольованими.</w:t>
      </w:r>
    </w:p>
    <w:p w14:paraId="2BE8EE90" w14:textId="77777777" w:rsidR="00B51242" w:rsidRDefault="008E4E86">
      <w:pPr>
        <w:spacing w:line="360" w:lineRule="auto"/>
        <w:jc w:val="right"/>
      </w:pPr>
      <w:r>
        <w:rPr>
          <w:color w:val="000000"/>
          <w:sz w:val="28"/>
          <w:szCs w:val="28"/>
        </w:rPr>
        <w:t xml:space="preserve">  </w:t>
      </w:r>
      <w:r>
        <w:rPr>
          <w:b/>
          <w:bCs/>
          <w:color w:val="000000"/>
          <w:sz w:val="28"/>
          <w:szCs w:val="28"/>
        </w:rPr>
        <w:t xml:space="preserve">Таблиця  3.2. </w:t>
      </w:r>
    </w:p>
    <w:p w14:paraId="7DCD1B83" w14:textId="77777777" w:rsidR="00B51242" w:rsidRDefault="008E4E86">
      <w:pPr>
        <w:spacing w:line="360" w:lineRule="auto"/>
        <w:jc w:val="center"/>
        <w:rPr>
          <w:b/>
          <w:bCs/>
        </w:rPr>
      </w:pPr>
      <w:r>
        <w:rPr>
          <w:b/>
          <w:bCs/>
          <w:color w:val="000000"/>
          <w:sz w:val="28"/>
          <w:szCs w:val="28"/>
        </w:rPr>
        <w:t xml:space="preserve">Розшифровка </w:t>
      </w:r>
      <w:r>
        <w:rPr>
          <w:b/>
          <w:bCs/>
          <w:color w:val="000000"/>
          <w:sz w:val="28"/>
          <w:szCs w:val="28"/>
          <w:lang w:val="en-US"/>
        </w:rPr>
        <w:t>S</w:t>
      </w:r>
      <w:r w:rsidRPr="00D3629B">
        <w:rPr>
          <w:b/>
          <w:bCs/>
          <w:color w:val="000000"/>
          <w:sz w:val="28"/>
          <w:szCs w:val="28"/>
        </w:rPr>
        <w:t>.</w:t>
      </w:r>
      <w:r>
        <w:rPr>
          <w:b/>
          <w:bCs/>
          <w:color w:val="000000"/>
          <w:sz w:val="28"/>
          <w:szCs w:val="28"/>
          <w:lang w:val="en-US"/>
        </w:rPr>
        <w:t>M</w:t>
      </w:r>
      <w:r w:rsidRPr="00D3629B">
        <w:rPr>
          <w:b/>
          <w:bCs/>
          <w:color w:val="000000"/>
          <w:sz w:val="28"/>
          <w:szCs w:val="28"/>
        </w:rPr>
        <w:t>.</w:t>
      </w:r>
      <w:r>
        <w:rPr>
          <w:b/>
          <w:bCs/>
          <w:color w:val="000000"/>
          <w:sz w:val="28"/>
          <w:szCs w:val="28"/>
          <w:lang w:val="en-US"/>
        </w:rPr>
        <w:t>A</w:t>
      </w:r>
      <w:r w:rsidRPr="00D3629B">
        <w:rPr>
          <w:b/>
          <w:bCs/>
          <w:color w:val="000000"/>
          <w:sz w:val="28"/>
          <w:szCs w:val="28"/>
        </w:rPr>
        <w:t>.</w:t>
      </w:r>
      <w:r>
        <w:rPr>
          <w:b/>
          <w:bCs/>
          <w:color w:val="000000"/>
          <w:sz w:val="28"/>
          <w:szCs w:val="28"/>
          <w:lang w:val="en-US"/>
        </w:rPr>
        <w:t>R</w:t>
      </w:r>
      <w:r w:rsidRPr="00D3629B">
        <w:rPr>
          <w:b/>
          <w:bCs/>
          <w:color w:val="000000"/>
          <w:sz w:val="28"/>
          <w:szCs w:val="28"/>
        </w:rPr>
        <w:t>.</w:t>
      </w:r>
      <w:r>
        <w:rPr>
          <w:b/>
          <w:bCs/>
          <w:color w:val="000000"/>
          <w:sz w:val="28"/>
          <w:szCs w:val="28"/>
          <w:lang w:val="en-US"/>
        </w:rPr>
        <w:t>T</w:t>
      </w:r>
      <w:r w:rsidRPr="00D3629B">
        <w:rPr>
          <w:b/>
          <w:bCs/>
          <w:color w:val="000000"/>
          <w:sz w:val="28"/>
          <w:szCs w:val="28"/>
        </w:rPr>
        <w:t>.</w:t>
      </w:r>
    </w:p>
    <w:p w14:paraId="3DD355C9" w14:textId="77777777" w:rsidR="00B51242" w:rsidRDefault="00B51242">
      <w:pPr>
        <w:rPr>
          <w:rStyle w:val="StrongEmphasis"/>
          <w:color w:val="FF0000"/>
        </w:rPr>
      </w:pPr>
    </w:p>
    <w:tbl>
      <w:tblPr>
        <w:tblW w:w="8640" w:type="dxa"/>
        <w:tblInd w:w="-108" w:type="dxa"/>
        <w:tblLook w:val="04A0" w:firstRow="1" w:lastRow="0" w:firstColumn="1" w:lastColumn="0" w:noHBand="0" w:noVBand="1"/>
      </w:tblPr>
      <w:tblGrid>
        <w:gridCol w:w="2880"/>
        <w:gridCol w:w="2880"/>
        <w:gridCol w:w="2880"/>
      </w:tblGrid>
      <w:tr w:rsidR="00B51242" w14:paraId="6388FC74" w14:textId="77777777">
        <w:tc>
          <w:tcPr>
            <w:tcW w:w="2880" w:type="dxa"/>
            <w:shd w:val="clear" w:color="auto" w:fill="auto"/>
          </w:tcPr>
          <w:p w14:paraId="05E54F40" w14:textId="77777777" w:rsidR="00B51242" w:rsidRDefault="008E4E86">
            <w:pPr>
              <w:rPr>
                <w:sz w:val="28"/>
                <w:szCs w:val="28"/>
              </w:rPr>
            </w:pPr>
            <w:r>
              <w:rPr>
                <w:sz w:val="28"/>
                <w:szCs w:val="28"/>
              </w:rPr>
              <w:t>Компонент</w:t>
            </w:r>
          </w:p>
        </w:tc>
        <w:tc>
          <w:tcPr>
            <w:tcW w:w="2880" w:type="dxa"/>
            <w:shd w:val="clear" w:color="auto" w:fill="auto"/>
          </w:tcPr>
          <w:p w14:paraId="5768138E" w14:textId="77777777" w:rsidR="00B51242" w:rsidRDefault="008E4E86">
            <w:pPr>
              <w:rPr>
                <w:sz w:val="28"/>
                <w:szCs w:val="28"/>
              </w:rPr>
            </w:pPr>
            <w:r>
              <w:rPr>
                <w:sz w:val="28"/>
                <w:szCs w:val="28"/>
              </w:rPr>
              <w:t>Опис</w:t>
            </w:r>
          </w:p>
        </w:tc>
        <w:tc>
          <w:tcPr>
            <w:tcW w:w="2880" w:type="dxa"/>
            <w:shd w:val="clear" w:color="auto" w:fill="auto"/>
          </w:tcPr>
          <w:p w14:paraId="52B8DD52" w14:textId="77777777" w:rsidR="00B51242" w:rsidRDefault="008E4E86">
            <w:pPr>
              <w:rPr>
                <w:sz w:val="28"/>
                <w:szCs w:val="28"/>
              </w:rPr>
            </w:pPr>
            <w:r>
              <w:rPr>
                <w:sz w:val="28"/>
                <w:szCs w:val="28"/>
              </w:rPr>
              <w:t>Приклад</w:t>
            </w:r>
          </w:p>
        </w:tc>
      </w:tr>
      <w:tr w:rsidR="00B51242" w14:paraId="35BE2371" w14:textId="77777777">
        <w:tc>
          <w:tcPr>
            <w:tcW w:w="2880" w:type="dxa"/>
            <w:shd w:val="clear" w:color="auto" w:fill="auto"/>
          </w:tcPr>
          <w:p w14:paraId="4EB024DC" w14:textId="77777777" w:rsidR="00B51242" w:rsidRDefault="008E4E86">
            <w:pPr>
              <w:rPr>
                <w:sz w:val="28"/>
                <w:szCs w:val="28"/>
              </w:rPr>
            </w:pPr>
            <w:r>
              <w:rPr>
                <w:sz w:val="28"/>
                <w:szCs w:val="28"/>
              </w:rPr>
              <w:t>S (Specific / Конкретна)</w:t>
            </w:r>
          </w:p>
        </w:tc>
        <w:tc>
          <w:tcPr>
            <w:tcW w:w="2880" w:type="dxa"/>
            <w:shd w:val="clear" w:color="auto" w:fill="auto"/>
          </w:tcPr>
          <w:p w14:paraId="61151CEC" w14:textId="77777777" w:rsidR="00B51242" w:rsidRDefault="008E4E86">
            <w:pPr>
              <w:rPr>
                <w:sz w:val="28"/>
                <w:szCs w:val="28"/>
              </w:rPr>
            </w:pPr>
            <w:r>
              <w:rPr>
                <w:sz w:val="28"/>
                <w:szCs w:val="28"/>
              </w:rPr>
              <w:t>Ціль має бути чіткою та однозначною.</w:t>
            </w:r>
          </w:p>
        </w:tc>
        <w:tc>
          <w:tcPr>
            <w:tcW w:w="2880" w:type="dxa"/>
            <w:shd w:val="clear" w:color="auto" w:fill="auto"/>
          </w:tcPr>
          <w:p w14:paraId="2B40285E" w14:textId="77777777" w:rsidR="00B51242" w:rsidRDefault="008E4E86">
            <w:pPr>
              <w:rPr>
                <w:sz w:val="28"/>
                <w:szCs w:val="28"/>
              </w:rPr>
            </w:pPr>
            <w:r>
              <w:rPr>
                <w:sz w:val="28"/>
                <w:szCs w:val="28"/>
              </w:rPr>
              <w:t>«Застосовувати техніку дихання щодня перед сном» замість «Більше розслаблятись».</w:t>
            </w:r>
          </w:p>
        </w:tc>
      </w:tr>
      <w:tr w:rsidR="00B51242" w14:paraId="15DC9B33" w14:textId="77777777">
        <w:tc>
          <w:tcPr>
            <w:tcW w:w="2880" w:type="dxa"/>
            <w:shd w:val="clear" w:color="auto" w:fill="auto"/>
          </w:tcPr>
          <w:p w14:paraId="3886AC2B" w14:textId="77777777" w:rsidR="00B51242" w:rsidRDefault="008E4E86">
            <w:pPr>
              <w:rPr>
                <w:sz w:val="28"/>
                <w:szCs w:val="28"/>
              </w:rPr>
            </w:pPr>
            <w:r>
              <w:rPr>
                <w:sz w:val="28"/>
                <w:szCs w:val="28"/>
              </w:rPr>
              <w:t>M (Measurable / Вимірювана)</w:t>
            </w:r>
          </w:p>
        </w:tc>
        <w:tc>
          <w:tcPr>
            <w:tcW w:w="2880" w:type="dxa"/>
            <w:shd w:val="clear" w:color="auto" w:fill="auto"/>
          </w:tcPr>
          <w:p w14:paraId="6F269F84" w14:textId="77777777" w:rsidR="00B51242" w:rsidRDefault="008E4E86">
            <w:pPr>
              <w:rPr>
                <w:sz w:val="28"/>
                <w:szCs w:val="28"/>
              </w:rPr>
            </w:pPr>
            <w:r>
              <w:rPr>
                <w:sz w:val="28"/>
                <w:szCs w:val="28"/>
              </w:rPr>
              <w:t>Ціль повинна мати критерії оцінки.</w:t>
            </w:r>
          </w:p>
        </w:tc>
        <w:tc>
          <w:tcPr>
            <w:tcW w:w="2880" w:type="dxa"/>
            <w:shd w:val="clear" w:color="auto" w:fill="auto"/>
          </w:tcPr>
          <w:p w14:paraId="56346458" w14:textId="77777777" w:rsidR="00B51242" w:rsidRDefault="008E4E86">
            <w:pPr>
              <w:rPr>
                <w:sz w:val="28"/>
                <w:szCs w:val="28"/>
              </w:rPr>
            </w:pPr>
            <w:r>
              <w:rPr>
                <w:sz w:val="28"/>
                <w:szCs w:val="28"/>
              </w:rPr>
              <w:t>«Виконувати техніку 10 хвилин протягом 7 днів» замість «Час від часу практикувати».</w:t>
            </w:r>
          </w:p>
        </w:tc>
      </w:tr>
      <w:tr w:rsidR="00B51242" w14:paraId="34F30EEF" w14:textId="77777777">
        <w:tc>
          <w:tcPr>
            <w:tcW w:w="2880" w:type="dxa"/>
            <w:shd w:val="clear" w:color="auto" w:fill="auto"/>
          </w:tcPr>
          <w:p w14:paraId="09A1B0DE" w14:textId="77777777" w:rsidR="00B51242" w:rsidRDefault="008E4E86">
            <w:pPr>
              <w:rPr>
                <w:sz w:val="28"/>
                <w:szCs w:val="28"/>
              </w:rPr>
            </w:pPr>
            <w:r>
              <w:rPr>
                <w:sz w:val="28"/>
                <w:szCs w:val="28"/>
              </w:rPr>
              <w:t>A (Achievable / Досяжна)</w:t>
            </w:r>
          </w:p>
        </w:tc>
        <w:tc>
          <w:tcPr>
            <w:tcW w:w="2880" w:type="dxa"/>
            <w:shd w:val="clear" w:color="auto" w:fill="auto"/>
          </w:tcPr>
          <w:p w14:paraId="38B2A1B5" w14:textId="77777777" w:rsidR="00B51242" w:rsidRDefault="008E4E86">
            <w:pPr>
              <w:rPr>
                <w:sz w:val="28"/>
                <w:szCs w:val="28"/>
              </w:rPr>
            </w:pPr>
            <w:r>
              <w:rPr>
                <w:sz w:val="28"/>
                <w:szCs w:val="28"/>
              </w:rPr>
              <w:t>Завдання має відповідати ресурсам та можливостям людини.</w:t>
            </w:r>
          </w:p>
        </w:tc>
        <w:tc>
          <w:tcPr>
            <w:tcW w:w="2880" w:type="dxa"/>
            <w:shd w:val="clear" w:color="auto" w:fill="auto"/>
          </w:tcPr>
          <w:p w14:paraId="6CB00297" w14:textId="77777777" w:rsidR="00B51242" w:rsidRDefault="008E4E86">
            <w:r>
              <w:rPr>
                <w:sz w:val="28"/>
                <w:szCs w:val="28"/>
              </w:rPr>
              <w:t>«Практикувати релаксацію 5 хвилин 3 рази на день» замість «Щодня по годині».</w:t>
            </w:r>
          </w:p>
        </w:tc>
      </w:tr>
      <w:tr w:rsidR="00B51242" w14:paraId="28DDD15D" w14:textId="77777777">
        <w:tc>
          <w:tcPr>
            <w:tcW w:w="2880" w:type="dxa"/>
            <w:shd w:val="clear" w:color="auto" w:fill="auto"/>
          </w:tcPr>
          <w:p w14:paraId="27F775F7" w14:textId="77777777" w:rsidR="00B51242" w:rsidRDefault="008E4E86">
            <w:pPr>
              <w:rPr>
                <w:sz w:val="28"/>
                <w:szCs w:val="28"/>
              </w:rPr>
            </w:pPr>
            <w:r>
              <w:rPr>
                <w:sz w:val="28"/>
                <w:szCs w:val="28"/>
              </w:rPr>
              <w:t>R (Relevant / Релевантна)</w:t>
            </w:r>
          </w:p>
        </w:tc>
        <w:tc>
          <w:tcPr>
            <w:tcW w:w="2880" w:type="dxa"/>
            <w:shd w:val="clear" w:color="auto" w:fill="auto"/>
          </w:tcPr>
          <w:p w14:paraId="1614CB60" w14:textId="77777777" w:rsidR="00B51242" w:rsidRDefault="008E4E86">
            <w:pPr>
              <w:rPr>
                <w:sz w:val="28"/>
                <w:szCs w:val="28"/>
              </w:rPr>
            </w:pPr>
            <w:r>
              <w:rPr>
                <w:sz w:val="28"/>
                <w:szCs w:val="28"/>
              </w:rPr>
              <w:t>Ціль повинна мати значення для людини і бути пов’язана з її проблемами чи цінностями.</w:t>
            </w:r>
          </w:p>
        </w:tc>
        <w:tc>
          <w:tcPr>
            <w:tcW w:w="2880" w:type="dxa"/>
            <w:shd w:val="clear" w:color="auto" w:fill="auto"/>
          </w:tcPr>
          <w:p w14:paraId="2F06FA36" w14:textId="77777777" w:rsidR="00B51242" w:rsidRDefault="008E4E86">
            <w:pPr>
              <w:rPr>
                <w:sz w:val="28"/>
                <w:szCs w:val="28"/>
              </w:rPr>
            </w:pPr>
            <w:r>
              <w:rPr>
                <w:sz w:val="28"/>
                <w:szCs w:val="28"/>
              </w:rPr>
              <w:t>«Практикувати техніку, щоб знизити тривожність перед сном» — це доречно з симптомам ПТСР.</w:t>
            </w:r>
          </w:p>
        </w:tc>
      </w:tr>
      <w:tr w:rsidR="00B51242" w14:paraId="7C11F7B3" w14:textId="77777777">
        <w:tc>
          <w:tcPr>
            <w:tcW w:w="2880" w:type="dxa"/>
            <w:shd w:val="clear" w:color="auto" w:fill="auto"/>
          </w:tcPr>
          <w:p w14:paraId="418F64F8" w14:textId="77777777" w:rsidR="00B51242" w:rsidRDefault="008E4E86">
            <w:pPr>
              <w:rPr>
                <w:sz w:val="28"/>
                <w:szCs w:val="28"/>
              </w:rPr>
            </w:pPr>
            <w:r>
              <w:rPr>
                <w:sz w:val="28"/>
                <w:szCs w:val="28"/>
              </w:rPr>
              <w:t>T (Time-bound / Обмежена в часі)</w:t>
            </w:r>
          </w:p>
        </w:tc>
        <w:tc>
          <w:tcPr>
            <w:tcW w:w="2880" w:type="dxa"/>
            <w:shd w:val="clear" w:color="auto" w:fill="auto"/>
          </w:tcPr>
          <w:p w14:paraId="3C759E56" w14:textId="77777777" w:rsidR="00B51242" w:rsidRDefault="008E4E86">
            <w:pPr>
              <w:rPr>
                <w:sz w:val="28"/>
                <w:szCs w:val="28"/>
              </w:rPr>
            </w:pPr>
            <w:r>
              <w:rPr>
                <w:sz w:val="28"/>
                <w:szCs w:val="28"/>
              </w:rPr>
              <w:t>Має бути визначений термін виконання.</w:t>
            </w:r>
          </w:p>
        </w:tc>
        <w:tc>
          <w:tcPr>
            <w:tcW w:w="2880" w:type="dxa"/>
            <w:shd w:val="clear" w:color="auto" w:fill="auto"/>
          </w:tcPr>
          <w:p w14:paraId="3185D435" w14:textId="77777777" w:rsidR="00B51242" w:rsidRDefault="008E4E86">
            <w:r>
              <w:rPr>
                <w:sz w:val="28"/>
                <w:szCs w:val="28"/>
              </w:rPr>
              <w:t>«Протягом наступних 2 тижнів» замість «У майбутньому».</w:t>
            </w:r>
          </w:p>
        </w:tc>
      </w:tr>
    </w:tbl>
    <w:p w14:paraId="1A81F0B1" w14:textId="77777777" w:rsidR="00B51242" w:rsidRDefault="00B51242">
      <w:pPr>
        <w:spacing w:line="360" w:lineRule="auto"/>
        <w:jc w:val="both"/>
        <w:rPr>
          <w:sz w:val="28"/>
          <w:szCs w:val="28"/>
        </w:rPr>
      </w:pPr>
    </w:p>
    <w:p w14:paraId="3DCC5F50" w14:textId="77777777" w:rsidR="00B51242" w:rsidRDefault="008E4E86">
      <w:pPr>
        <w:spacing w:line="360" w:lineRule="auto"/>
        <w:ind w:firstLine="737"/>
        <w:jc w:val="both"/>
      </w:pPr>
      <w:r>
        <w:rPr>
          <w:color w:val="000000"/>
          <w:sz w:val="28"/>
          <w:szCs w:val="28"/>
        </w:rPr>
        <w:t>Картка домашнього завдання може бути структурована як окремий інструмент для кожної вправи або представлена у форматі цілісного плану з покроковими інструкціями.</w:t>
      </w:r>
      <w:r>
        <w:rPr>
          <w:color w:val="FF4000"/>
          <w:sz w:val="28"/>
          <w:szCs w:val="28"/>
        </w:rPr>
        <w:t xml:space="preserve"> </w:t>
      </w:r>
      <w:r>
        <w:rPr>
          <w:color w:val="000000"/>
          <w:sz w:val="28"/>
          <w:szCs w:val="28"/>
        </w:rPr>
        <w:t xml:space="preserve">Такий підхід забезпечує гнучкість у виборі форми організації завдань залежно від мети інтервенції, рівня підготовленості клієнта та необхідності деталізації інструкцій. </w:t>
      </w:r>
    </w:p>
    <w:p w14:paraId="267227DD" w14:textId="77777777" w:rsidR="00B51242" w:rsidRDefault="008E4E86">
      <w:pPr>
        <w:spacing w:line="360" w:lineRule="auto"/>
        <w:ind w:firstLine="737"/>
        <w:jc w:val="both"/>
      </w:pPr>
      <w:r>
        <w:rPr>
          <w:sz w:val="28"/>
          <w:szCs w:val="28"/>
        </w:rPr>
        <w:t>З метою формування у військовослужбовця навичок самодопомоги, процес надання, виконання та перевірки домашніх завдань повинен здійснюватися за стандартизованим алгоритмом, що передбачає регулярний зворотний зв'язок і підтримку між очними зустрічами за допомогою доступних засобів комунікації.</w:t>
      </w:r>
    </w:p>
    <w:p w14:paraId="36F8E944" w14:textId="77777777" w:rsidR="00B51242" w:rsidRDefault="008E4E86">
      <w:pPr>
        <w:spacing w:line="360" w:lineRule="auto"/>
        <w:ind w:firstLine="737"/>
        <w:jc w:val="both"/>
      </w:pPr>
      <w:r>
        <w:rPr>
          <w:sz w:val="28"/>
          <w:szCs w:val="28"/>
        </w:rPr>
        <w:t xml:space="preserve">Кожне заняття потрібно розпочинати з перевірки виконання домашнього завдання та закінчувати з постановкою нового завдання. У цьому процесі психолог має систематично акцентувати увагу отримувача послуг на значущості регулярного виконання таких завдань для досягнення терапевтичних цілей, визначених у рамках індивідуального плану роботи. Наголошення на цьому аспекті сприяє формуванню у клієнта усвідомлення причинно-наслідкового зв’язку між виконанням завдань та власним прогресом, підвищує його мотивацію до активної участі в терапевтичному процесі та сприяє розвитку відповідальності за результати психологічної підтримки. </w:t>
      </w:r>
    </w:p>
    <w:p w14:paraId="629583DD" w14:textId="77777777" w:rsidR="00B51242" w:rsidRDefault="008E4E86">
      <w:pPr>
        <w:spacing w:line="360" w:lineRule="auto"/>
        <w:ind w:firstLine="737"/>
        <w:jc w:val="both"/>
      </w:pPr>
      <w:r>
        <w:rPr>
          <w:rStyle w:val="InternetLink"/>
          <w:rFonts w:eastAsia="Times New Roman" w:cs="Times New Roman"/>
          <w:b/>
          <w:bCs/>
          <w:color w:val="000000"/>
          <w:sz w:val="28"/>
          <w:szCs w:val="28"/>
          <w:u w:val="none"/>
        </w:rPr>
        <w:t>3.4 План психологічної підтримки</w:t>
      </w:r>
      <w:r>
        <w:rPr>
          <w:rStyle w:val="InternetLink"/>
          <w:rFonts w:eastAsia="Times New Roman" w:cs="Times New Roman"/>
          <w:b/>
          <w:bCs/>
          <w:color w:val="000000"/>
          <w:sz w:val="28"/>
          <w:szCs w:val="28"/>
          <w:u w:val="none"/>
          <w:lang w:eastAsia="ru-RU"/>
        </w:rPr>
        <w:t>.</w:t>
      </w:r>
    </w:p>
    <w:p w14:paraId="4C0F73E6" w14:textId="77777777" w:rsidR="00B51242" w:rsidRDefault="008E4E86">
      <w:pPr>
        <w:spacing w:line="360" w:lineRule="auto"/>
        <w:ind w:firstLine="737"/>
        <w:jc w:val="both"/>
      </w:pPr>
      <w:r>
        <w:rPr>
          <w:rStyle w:val="InternetLink"/>
          <w:rFonts w:eastAsia="Times New Roman" w:cs="Times New Roman"/>
          <w:color w:val="000000"/>
          <w:sz w:val="28"/>
          <w:szCs w:val="28"/>
          <w:u w:val="none"/>
          <w:lang w:eastAsia="ru-RU"/>
        </w:rPr>
        <w:t xml:space="preserve">З урахуванням сукупності теоретичних положень, результатів емпіричного дослідження та специфіки психотерапевтичної роботи з військовослужбовцями, які мають посттравматичний стресовий розлад, було розроблено структурований план психологічної підтримки, що складається з </w:t>
      </w:r>
      <w:r>
        <w:rPr>
          <w:rStyle w:val="StrongEmphasis"/>
          <w:rFonts w:eastAsia="Times New Roman" w:cs="Times New Roman"/>
          <w:b w:val="0"/>
          <w:bCs w:val="0"/>
          <w:color w:val="000000"/>
          <w:sz w:val="28"/>
          <w:szCs w:val="28"/>
          <w:lang w:eastAsia="ru-RU"/>
        </w:rPr>
        <w:t>12 послідовних занять тривалістю по 60 хвилин кожне</w:t>
      </w:r>
      <w:r>
        <w:rPr>
          <w:rStyle w:val="InternetLink"/>
          <w:rFonts w:eastAsia="Times New Roman" w:cs="Times New Roman"/>
          <w:color w:val="000000"/>
          <w:sz w:val="28"/>
          <w:szCs w:val="28"/>
          <w:u w:val="none"/>
          <w:lang w:eastAsia="ru-RU"/>
        </w:rPr>
        <w:t>. Така часово-структурна організація програми зумовлена необхідністю забезпечення оптимального балансу між інтенсивністю психокорекційного впливу, можливостями психоемоційної витривалості учасників та безпечністю процесу терапії.</w:t>
      </w:r>
    </w:p>
    <w:p w14:paraId="38741997" w14:textId="77777777" w:rsidR="00B51242" w:rsidRDefault="008E4E86">
      <w:pPr>
        <w:spacing w:line="360" w:lineRule="auto"/>
        <w:ind w:firstLine="737"/>
        <w:jc w:val="both"/>
      </w:pPr>
      <w:r>
        <w:rPr>
          <w:sz w:val="28"/>
          <w:szCs w:val="28"/>
        </w:rPr>
        <w:t>Кожне заняття має чітко визначену мету, логічно узгоджені завдання, очікувані результати та підібраний комплекс психотерапевтичних технік відповідно до етапу психологічної підтримки. Послідовність занять побудована з урахуванням принципу поступовості: від початкової стабілізації та формування базових навичок фізіологічної й емоційної регуляції – до когнітивної реструктуризації, експозиційної роботи, опрацювання травматичного досвіду, розвитку міжособистісних ресурсів та формування стратегій подальшої психологічної стабільності.</w:t>
      </w:r>
    </w:p>
    <w:p w14:paraId="657BE4B5" w14:textId="77777777" w:rsidR="00B51242" w:rsidRDefault="008E4E86">
      <w:pPr>
        <w:spacing w:line="360" w:lineRule="auto"/>
        <w:jc w:val="both"/>
      </w:pPr>
      <w:r>
        <w:rPr>
          <w:sz w:val="28"/>
          <w:szCs w:val="28"/>
        </w:rPr>
        <w:t>Розроблений план також передбачає систематичну фіксацію психологічного стану військовослужбовців на початку й наприкінці кожного заняття, а також обов’язкове використання структурованих домашніх завдань як інструменту перенесення терапевтичних змін у повсякденну діяльність. Такий підхід дозволяє забезпечити цілісність психотерапевтичного процесу, підвищити рівень усвідомленості учасників та сприяти закріпленню досягнутих результатів.</w:t>
      </w:r>
    </w:p>
    <w:p w14:paraId="6D22A3AE" w14:textId="77777777" w:rsidR="00B51242" w:rsidRDefault="008E4E86">
      <w:pPr>
        <w:spacing w:line="360" w:lineRule="auto"/>
        <w:ind w:firstLine="737"/>
        <w:jc w:val="both"/>
      </w:pPr>
      <w:r>
        <w:rPr>
          <w:rStyle w:val="StrongEmphasis"/>
          <w:b w:val="0"/>
          <w:bCs w:val="0"/>
          <w:sz w:val="28"/>
          <w:szCs w:val="28"/>
        </w:rPr>
        <w:t>Детальний поетапний план із розписом змісту кожного заняття, переліком застосованих методів, технік і очікуваних терапевтичних ефектів подано в додатках до магістерської роботи</w:t>
      </w:r>
      <w:r>
        <w:rPr>
          <w:sz w:val="28"/>
          <w:szCs w:val="28"/>
        </w:rPr>
        <w:t xml:space="preserve">, що забезпечує можливість його подальшого практичного використання та адаптації в умовах професійної діяльності психологів і психотерапевтів </w:t>
      </w:r>
      <w:r>
        <w:rPr>
          <w:color w:val="000000"/>
          <w:sz w:val="28"/>
          <w:szCs w:val="28"/>
        </w:rPr>
        <w:t>(Додаток Ж).</w:t>
      </w:r>
    </w:p>
    <w:p w14:paraId="077535A2" w14:textId="77777777" w:rsidR="00B51242" w:rsidRDefault="008E4E86">
      <w:pPr>
        <w:spacing w:line="360" w:lineRule="auto"/>
        <w:ind w:firstLine="737"/>
        <w:jc w:val="both"/>
      </w:pPr>
      <w:r>
        <w:rPr>
          <w:rStyle w:val="InternetLink"/>
          <w:rFonts w:eastAsia="Times New Roman" w:cs="Times New Roman"/>
          <w:b/>
          <w:bCs/>
          <w:color w:val="000000"/>
          <w:sz w:val="28"/>
          <w:szCs w:val="28"/>
          <w:u w:val="none"/>
          <w:lang w:eastAsia="ru-RU"/>
        </w:rPr>
        <w:t>Заняття 1. Стабілізація. Фізиологічна регуляція.</w:t>
      </w:r>
      <w:r>
        <w:rPr>
          <w:rStyle w:val="InternetLink"/>
          <w:rFonts w:eastAsia="Times New Roman" w:cs="Times New Roman"/>
          <w:color w:val="000000"/>
          <w:sz w:val="28"/>
          <w:szCs w:val="28"/>
          <w:u w:val="none"/>
          <w:lang w:eastAsia="ru-RU"/>
        </w:rPr>
        <w:t xml:space="preserve">                                                   </w:t>
      </w:r>
    </w:p>
    <w:p w14:paraId="23FF21C1" w14:textId="77777777" w:rsidR="00B51242" w:rsidRDefault="008E4E86">
      <w:pPr>
        <w:spacing w:line="360" w:lineRule="auto"/>
        <w:jc w:val="both"/>
      </w:pPr>
      <w:r>
        <w:rPr>
          <w:rStyle w:val="InternetLink"/>
          <w:rFonts w:eastAsia="Times New Roman" w:cs="Times New Roman"/>
          <w:color w:val="000000"/>
          <w:sz w:val="28"/>
          <w:szCs w:val="28"/>
          <w:u w:val="none"/>
          <w:lang w:eastAsia="ru-RU"/>
        </w:rPr>
        <w:t>1. Знайомство з отримувачем послуг. (через напівструктуроване інтерв’ю, яке містить питання щодо особистих даних)</w:t>
      </w:r>
    </w:p>
    <w:p w14:paraId="0AC57FDE" w14:textId="77777777" w:rsidR="00B51242" w:rsidRDefault="008E4E86">
      <w:pPr>
        <w:spacing w:line="360" w:lineRule="auto"/>
        <w:jc w:val="both"/>
      </w:pPr>
      <w:r>
        <w:rPr>
          <w:rStyle w:val="InternetLink"/>
          <w:rFonts w:eastAsia="Times New Roman" w:cs="Times New Roman"/>
          <w:color w:val="000000"/>
          <w:sz w:val="28"/>
          <w:szCs w:val="28"/>
          <w:u w:val="none"/>
          <w:lang w:eastAsia="ru-RU"/>
        </w:rPr>
        <w:t>2. З'ясування запиту.</w:t>
      </w:r>
    </w:p>
    <w:p w14:paraId="52D2095F" w14:textId="77777777" w:rsidR="00B51242" w:rsidRDefault="008E4E86">
      <w:pPr>
        <w:spacing w:line="360" w:lineRule="auto"/>
        <w:jc w:val="both"/>
      </w:pPr>
      <w:r>
        <w:rPr>
          <w:rStyle w:val="InternetLink"/>
          <w:rFonts w:eastAsia="Times New Roman" w:cs="Times New Roman"/>
          <w:color w:val="000000"/>
          <w:sz w:val="28"/>
          <w:szCs w:val="28"/>
          <w:u w:val="none"/>
          <w:lang w:eastAsia="ru-RU"/>
        </w:rPr>
        <w:t>3. Знайомство з психологом. Введення в метод.</w:t>
      </w:r>
    </w:p>
    <w:p w14:paraId="499C890E"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4. Діагностика. (опитувальник “чотири стани”, </w:t>
      </w:r>
      <w:r>
        <w:rPr>
          <w:rStyle w:val="InternetLink"/>
          <w:rFonts w:eastAsia="Times New Roman" w:cs="Times New Roman"/>
          <w:color w:val="000000"/>
          <w:sz w:val="28"/>
          <w:szCs w:val="28"/>
          <w:u w:val="none"/>
          <w:lang w:val="en-US" w:eastAsia="ru-RU"/>
        </w:rPr>
        <w:t>PCL</w:t>
      </w:r>
      <w:r w:rsidRPr="00D3629B">
        <w:rPr>
          <w:rStyle w:val="InternetLink"/>
          <w:rFonts w:eastAsia="Times New Roman" w:cs="Times New Roman"/>
          <w:color w:val="000000"/>
          <w:sz w:val="28"/>
          <w:szCs w:val="28"/>
          <w:u w:val="none"/>
          <w:lang w:val="ru-RU" w:eastAsia="ru-RU"/>
        </w:rPr>
        <w:t xml:space="preserve">-5 </w:t>
      </w:r>
      <w:r>
        <w:rPr>
          <w:rStyle w:val="InternetLink"/>
          <w:rFonts w:eastAsia="Times New Roman" w:cs="Times New Roman"/>
          <w:color w:val="000000"/>
          <w:sz w:val="28"/>
          <w:szCs w:val="28"/>
          <w:u w:val="none"/>
          <w:lang w:eastAsia="ru-RU"/>
        </w:rPr>
        <w:t>(додаткове діагностика - спостереження))</w:t>
      </w:r>
    </w:p>
    <w:p w14:paraId="2CAB119A" w14:textId="77777777" w:rsidR="00B51242" w:rsidRDefault="008E4E86">
      <w:pPr>
        <w:spacing w:line="360" w:lineRule="auto"/>
        <w:jc w:val="both"/>
      </w:pPr>
      <w:r>
        <w:rPr>
          <w:rStyle w:val="InternetLink"/>
          <w:rFonts w:eastAsia="Times New Roman" w:cs="Times New Roman"/>
          <w:color w:val="000000"/>
          <w:sz w:val="28"/>
          <w:szCs w:val="28"/>
          <w:u w:val="none"/>
          <w:lang w:eastAsia="ru-RU"/>
        </w:rPr>
        <w:t>5. Домашнє завдання. (антистресове дихання, мязова релаксація, створення безпечного місця).</w:t>
      </w:r>
    </w:p>
    <w:p w14:paraId="79218254" w14:textId="77777777" w:rsidR="00B51242" w:rsidRDefault="008E4E86">
      <w:pPr>
        <w:spacing w:line="360" w:lineRule="auto"/>
        <w:ind w:firstLine="737"/>
      </w:pPr>
      <w:r>
        <w:rPr>
          <w:rStyle w:val="InternetLink"/>
          <w:b/>
          <w:bCs/>
          <w:color w:val="000000"/>
          <w:sz w:val="28"/>
          <w:szCs w:val="28"/>
          <w:u w:val="none"/>
          <w:lang w:eastAsia="ru-RU"/>
        </w:rPr>
        <w:t xml:space="preserve">Заняття 2-3.  Тренування уваги та мислення. Емоційна регуляція. </w:t>
      </w:r>
    </w:p>
    <w:p w14:paraId="7E107BD2" w14:textId="77777777" w:rsidR="00B51242" w:rsidRDefault="008E4E86">
      <w:pPr>
        <w:spacing w:line="360" w:lineRule="auto"/>
        <w:jc w:val="both"/>
      </w:pPr>
      <w:r>
        <w:rPr>
          <w:rStyle w:val="InternetLink"/>
          <w:rFonts w:eastAsia="Times New Roman" w:cs="Times New Roman"/>
          <w:color w:val="000000"/>
          <w:sz w:val="28"/>
          <w:szCs w:val="28"/>
          <w:u w:val="none"/>
          <w:lang w:eastAsia="ru-RU"/>
        </w:rPr>
        <w:t>1. Фіксація стану на початку заняття.</w:t>
      </w:r>
    </w:p>
    <w:p w14:paraId="3DD9EA9F"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2. Перевірка домашнього завдання. </w:t>
      </w:r>
    </w:p>
    <w:p w14:paraId="5DD522E7" w14:textId="77777777" w:rsidR="00B51242" w:rsidRDefault="008E4E86">
      <w:pPr>
        <w:spacing w:line="360" w:lineRule="auto"/>
        <w:jc w:val="both"/>
      </w:pPr>
      <w:r>
        <w:rPr>
          <w:rStyle w:val="InternetLink"/>
          <w:rFonts w:eastAsia="Times New Roman" w:cs="Times New Roman"/>
          <w:color w:val="000000"/>
          <w:sz w:val="28"/>
          <w:szCs w:val="28"/>
          <w:u w:val="none"/>
          <w:lang w:eastAsia="ru-RU"/>
        </w:rPr>
        <w:t>3. Психоосвіта (зміна відношення до ПТСР через історію, заглиблення в метод історія КПТ)</w:t>
      </w:r>
    </w:p>
    <w:p w14:paraId="7DA85C45"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4. Діагностика. </w:t>
      </w:r>
      <w:r>
        <w:rPr>
          <w:rStyle w:val="InternetLink"/>
          <w:rFonts w:eastAsia="Times New Roman" w:cs="Times New Roman"/>
          <w:color w:val="111111"/>
          <w:sz w:val="28"/>
          <w:szCs w:val="28"/>
          <w:u w:val="none"/>
          <w:lang w:eastAsia="ru-RU"/>
        </w:rPr>
        <w:t xml:space="preserve">(тест  </w:t>
      </w:r>
      <w:r>
        <w:rPr>
          <w:rStyle w:val="StrongEmphasis"/>
          <w:rFonts w:eastAsia="Times New Roman" w:cs="Times New Roman"/>
          <w:b w:val="0"/>
          <w:bCs w:val="0"/>
          <w:color w:val="111111"/>
          <w:sz w:val="28"/>
          <w:szCs w:val="28"/>
          <w:lang w:eastAsia="ru-RU"/>
        </w:rPr>
        <w:t>DASS-21- оцінка рівня депресії, тривоги та стресу)</w:t>
      </w:r>
    </w:p>
    <w:p w14:paraId="7A189E4B"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5. Автоматичні думки (практика).                                                              </w:t>
      </w:r>
    </w:p>
    <w:p w14:paraId="0162E468" w14:textId="77777777" w:rsidR="00B51242" w:rsidRDefault="008E4E86">
      <w:pPr>
        <w:spacing w:line="360" w:lineRule="auto"/>
        <w:jc w:val="both"/>
      </w:pPr>
      <w:r>
        <w:rPr>
          <w:rStyle w:val="InternetLink"/>
          <w:rFonts w:eastAsia="Times New Roman" w:cs="Times New Roman"/>
          <w:color w:val="000000"/>
          <w:sz w:val="28"/>
          <w:szCs w:val="28"/>
          <w:u w:val="none"/>
          <w:lang w:eastAsia="ru-RU"/>
        </w:rPr>
        <w:t>6. Надання домашнього завдання (техніка уповільнення думок тарухів, т</w:t>
      </w:r>
      <w:r>
        <w:rPr>
          <w:rStyle w:val="StrongEmphasis"/>
          <w:rFonts w:eastAsia="Times New Roman" w:cs="Times New Roman"/>
          <w:b w:val="0"/>
          <w:bCs w:val="0"/>
          <w:color w:val="000000"/>
          <w:sz w:val="28"/>
          <w:szCs w:val="28"/>
          <w:lang w:eastAsia="ru-RU"/>
        </w:rPr>
        <w:t>ехніка заземлення 5-4-3-2-1,</w:t>
      </w:r>
      <w:r>
        <w:rPr>
          <w:rStyle w:val="InternetLink"/>
          <w:rFonts w:eastAsia="Times New Roman" w:cs="Times New Roman"/>
          <w:color w:val="000000"/>
          <w:sz w:val="28"/>
          <w:szCs w:val="28"/>
          <w:u w:val="none"/>
          <w:lang w:eastAsia="ru-RU"/>
        </w:rPr>
        <w:t xml:space="preserve"> робота з автоматичними думками).                                                                                                        </w:t>
      </w:r>
    </w:p>
    <w:p w14:paraId="1CF7C155" w14:textId="77777777" w:rsidR="00B51242" w:rsidRDefault="008E4E86">
      <w:pPr>
        <w:spacing w:line="360" w:lineRule="auto"/>
        <w:jc w:val="both"/>
      </w:pPr>
      <w:bookmarkStart w:id="12" w:name="__DdeLink__5876_2300883667"/>
      <w:r>
        <w:rPr>
          <w:rStyle w:val="InternetLink"/>
          <w:rFonts w:eastAsia="Times New Roman" w:cs="Times New Roman"/>
          <w:color w:val="000000"/>
          <w:sz w:val="28"/>
          <w:szCs w:val="28"/>
          <w:u w:val="none"/>
          <w:lang w:eastAsia="ru-RU"/>
        </w:rPr>
        <w:t>7. Фіксація стану по завершенню занять.</w:t>
      </w:r>
      <w:bookmarkEnd w:id="12"/>
    </w:p>
    <w:p w14:paraId="19841AD2" w14:textId="77777777" w:rsidR="00B51242" w:rsidRDefault="008E4E86">
      <w:pPr>
        <w:spacing w:line="360" w:lineRule="auto"/>
        <w:ind w:firstLine="737"/>
        <w:jc w:val="both"/>
      </w:pPr>
      <w:r>
        <w:rPr>
          <w:rStyle w:val="InternetLink"/>
          <w:rFonts w:eastAsia="Times New Roman" w:cs="Times New Roman"/>
          <w:b/>
          <w:bCs/>
          <w:color w:val="000000"/>
          <w:sz w:val="28"/>
          <w:szCs w:val="28"/>
          <w:u w:val="none"/>
        </w:rPr>
        <w:t xml:space="preserve">Заняття 4-5. Робота з переконаннями. Когнітивна реструктуризація. </w:t>
      </w:r>
      <w:r>
        <w:rPr>
          <w:rStyle w:val="InternetLink"/>
          <w:rFonts w:eastAsia="Times New Roman" w:cs="Times New Roman"/>
          <w:bCs/>
          <w:color w:val="000000"/>
          <w:sz w:val="28"/>
          <w:szCs w:val="28"/>
          <w:u w:val="none"/>
        </w:rPr>
        <w:t xml:space="preserve"> </w:t>
      </w:r>
    </w:p>
    <w:p w14:paraId="0E72CA75" w14:textId="77777777" w:rsidR="00B51242" w:rsidRDefault="008E4E86">
      <w:pPr>
        <w:spacing w:line="360" w:lineRule="auto"/>
        <w:jc w:val="both"/>
      </w:pPr>
      <w:r>
        <w:rPr>
          <w:rStyle w:val="InternetLink"/>
          <w:rFonts w:eastAsia="Times New Roman" w:cs="Times New Roman"/>
          <w:color w:val="000000"/>
          <w:sz w:val="28"/>
          <w:szCs w:val="28"/>
          <w:u w:val="none"/>
          <w:lang w:eastAsia="ru-RU"/>
        </w:rPr>
        <w:t>1. Фіксація стану на початку заняття.</w:t>
      </w:r>
    </w:p>
    <w:p w14:paraId="6B88FD52"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2. Перевірка домашнього завдання. </w:t>
      </w:r>
    </w:p>
    <w:p w14:paraId="1E66F19E"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3. Психоосвіта.  (формування переконань)                                                                                      </w:t>
      </w:r>
    </w:p>
    <w:p w14:paraId="3C9376F8"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4. Техніка АВС  (практика)                                                                                                                                                                                                    </w:t>
      </w:r>
    </w:p>
    <w:p w14:paraId="6F7E3CD3" w14:textId="77777777" w:rsidR="00B51242" w:rsidRDefault="008E4E86">
      <w:pPr>
        <w:spacing w:line="360" w:lineRule="auto"/>
        <w:jc w:val="both"/>
      </w:pPr>
      <w:r>
        <w:rPr>
          <w:rStyle w:val="InternetLink"/>
          <w:rFonts w:eastAsia="Times New Roman" w:cs="Times New Roman"/>
          <w:color w:val="000000"/>
          <w:sz w:val="28"/>
          <w:szCs w:val="28"/>
          <w:u w:val="none"/>
          <w:lang w:eastAsia="ru-RU"/>
        </w:rPr>
        <w:t>5. Домашнє завдання  (щоденник думок, техніка АВС</w:t>
      </w:r>
      <w:r>
        <w:rPr>
          <w:rStyle w:val="InternetLink"/>
          <w:rFonts w:eastAsia="Times New Roman" w:cs="Times New Roman"/>
          <w:color w:val="000000"/>
          <w:sz w:val="28"/>
          <w:szCs w:val="28"/>
          <w:u w:val="none"/>
          <w:lang w:val="en-US" w:eastAsia="ru-RU"/>
        </w:rPr>
        <w:t>D</w:t>
      </w:r>
      <w:r>
        <w:rPr>
          <w:rStyle w:val="InternetLink"/>
          <w:rFonts w:eastAsia="Times New Roman" w:cs="Times New Roman"/>
          <w:color w:val="000000"/>
          <w:sz w:val="28"/>
          <w:szCs w:val="28"/>
          <w:u w:val="none"/>
          <w:lang w:eastAsia="ru-RU"/>
        </w:rPr>
        <w:t>Е</w:t>
      </w:r>
      <w:r>
        <w:rPr>
          <w:rStyle w:val="InternetLink"/>
          <w:rFonts w:ascii="Arial" w:eastAsia="Times New Roman" w:hAnsi="Arial" w:cs="Times New Roman"/>
          <w:color w:val="000000"/>
          <w:sz w:val="28"/>
          <w:szCs w:val="28"/>
          <w:u w:val="none"/>
          <w:lang w:eastAsia="ru-RU"/>
        </w:rPr>
        <w:t xml:space="preserve"> )</w:t>
      </w:r>
      <w:r w:rsidRPr="00D3629B">
        <w:rPr>
          <w:rStyle w:val="InternetLink"/>
          <w:rFonts w:ascii="Arial" w:eastAsia="Times New Roman" w:hAnsi="Arial" w:cs="Times New Roman"/>
          <w:color w:val="000000"/>
          <w:sz w:val="28"/>
          <w:szCs w:val="28"/>
          <w:u w:val="none"/>
          <w:lang w:val="ru-RU" w:eastAsia="ru-RU"/>
        </w:rPr>
        <w:t xml:space="preserve"> </w:t>
      </w:r>
      <w:r>
        <w:rPr>
          <w:rStyle w:val="InternetLink"/>
          <w:rFonts w:eastAsia="Times New Roman" w:cs="Times New Roman"/>
          <w:color w:val="000000"/>
          <w:sz w:val="28"/>
          <w:szCs w:val="28"/>
          <w:u w:val="none"/>
          <w:lang w:eastAsia="ru-RU"/>
        </w:rPr>
        <w:t xml:space="preserve">                                                                                                        </w:t>
      </w:r>
    </w:p>
    <w:p w14:paraId="3E021D4E" w14:textId="77777777" w:rsidR="00B51242" w:rsidRDefault="008E4E86">
      <w:pPr>
        <w:spacing w:line="360" w:lineRule="auto"/>
        <w:jc w:val="both"/>
      </w:pPr>
      <w:r>
        <w:rPr>
          <w:rStyle w:val="InternetLink"/>
          <w:rFonts w:eastAsia="Times New Roman" w:cs="Times New Roman"/>
          <w:color w:val="000000"/>
          <w:sz w:val="28"/>
          <w:szCs w:val="28"/>
          <w:u w:val="none"/>
          <w:lang w:eastAsia="ru-RU"/>
        </w:rPr>
        <w:t>6. Фіксація стану по завершенню занять.</w:t>
      </w:r>
      <w:r>
        <w:rPr>
          <w:rStyle w:val="InternetLink"/>
          <w:rFonts w:eastAsia="Times New Roman" w:cs="Times New Roman"/>
          <w:b/>
          <w:bCs/>
          <w:color w:val="000000"/>
          <w:sz w:val="28"/>
          <w:szCs w:val="28"/>
          <w:u w:val="none"/>
          <w:lang w:eastAsia="ru-RU"/>
        </w:rPr>
        <w:t xml:space="preserve">                                                                                                                                         </w:t>
      </w:r>
    </w:p>
    <w:p w14:paraId="5DA6A5AB" w14:textId="77777777" w:rsidR="00B51242" w:rsidRDefault="008E4E86">
      <w:pPr>
        <w:spacing w:line="360" w:lineRule="auto"/>
        <w:ind w:firstLine="737"/>
      </w:pPr>
      <w:r>
        <w:rPr>
          <w:rStyle w:val="InternetLink"/>
          <w:rFonts w:eastAsia="Times New Roman" w:cs="Times New Roman"/>
          <w:b/>
          <w:bCs/>
          <w:color w:val="000000"/>
          <w:sz w:val="28"/>
          <w:szCs w:val="28"/>
          <w:u w:val="none"/>
        </w:rPr>
        <w:t xml:space="preserve">Заняття 6-7.  Експозиційна терапія. Поведінкові експеременти.  Підготовка до роботи з травмою.   </w:t>
      </w:r>
      <w:r>
        <w:rPr>
          <w:rStyle w:val="InternetLink"/>
          <w:rFonts w:eastAsia="Times New Roman" w:cs="Times New Roman"/>
          <w:b/>
          <w:bCs/>
          <w:color w:val="111111"/>
          <w:sz w:val="28"/>
          <w:szCs w:val="28"/>
          <w:u w:val="none"/>
        </w:rPr>
        <w:t xml:space="preserve">                                                                                                        </w:t>
      </w:r>
      <w:r>
        <w:rPr>
          <w:rStyle w:val="InternetLink"/>
          <w:rFonts w:eastAsia="Times New Roman" w:cs="Times New Roman"/>
          <w:color w:val="000000"/>
          <w:sz w:val="28"/>
          <w:szCs w:val="28"/>
          <w:u w:val="none"/>
        </w:rPr>
        <w:t xml:space="preserve">                                                                     </w:t>
      </w:r>
    </w:p>
    <w:p w14:paraId="11EF56B3" w14:textId="77777777" w:rsidR="00B51242" w:rsidRDefault="008E4E86">
      <w:pPr>
        <w:spacing w:line="360" w:lineRule="auto"/>
        <w:jc w:val="both"/>
      </w:pPr>
      <w:r>
        <w:rPr>
          <w:rStyle w:val="InternetLink"/>
          <w:rFonts w:eastAsia="Times New Roman" w:cs="Times New Roman"/>
          <w:color w:val="000000"/>
          <w:sz w:val="28"/>
          <w:szCs w:val="28"/>
          <w:u w:val="none"/>
          <w:lang w:eastAsia="ru-RU"/>
        </w:rPr>
        <w:t>1. Фіксація стану на початку заняття.</w:t>
      </w:r>
    </w:p>
    <w:p w14:paraId="1F9F6F5C"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2. Перевірка домашнього завдання.                                                                                                                                                               </w:t>
      </w:r>
    </w:p>
    <w:p w14:paraId="659DCE63"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3.  Психоосвіта (Звички (навички), патери. Зміна поведінки. )                                                                                    </w:t>
      </w:r>
    </w:p>
    <w:p w14:paraId="685E8BD9"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4.  </w:t>
      </w:r>
      <w:r>
        <w:rPr>
          <w:rStyle w:val="InternetLink"/>
          <w:rFonts w:eastAsia="Times New Roman" w:cs="Times New Roman"/>
          <w:color w:val="000000"/>
          <w:sz w:val="28"/>
          <w:szCs w:val="28"/>
          <w:u w:val="none"/>
        </w:rPr>
        <w:t>Експозиційна терапі</w:t>
      </w:r>
      <w:r>
        <w:rPr>
          <w:rStyle w:val="InternetLink"/>
          <w:rFonts w:eastAsia="Times New Roman" w:cs="Times New Roman"/>
          <w:color w:val="111111"/>
          <w:sz w:val="28"/>
          <w:szCs w:val="28"/>
          <w:u w:val="none"/>
        </w:rPr>
        <w:t xml:space="preserve">я. </w:t>
      </w:r>
      <w:r>
        <w:rPr>
          <w:rStyle w:val="StrongEmphasis"/>
          <w:rFonts w:eastAsia="Times New Roman" w:cs="Times New Roman"/>
          <w:b w:val="0"/>
          <w:bCs w:val="0"/>
          <w:color w:val="111111"/>
          <w:sz w:val="28"/>
          <w:szCs w:val="28"/>
          <w:lang w:eastAsia="ru-RU"/>
        </w:rPr>
        <w:t xml:space="preserve"> (практика)</w:t>
      </w:r>
      <w:r>
        <w:rPr>
          <w:rStyle w:val="InternetLink"/>
          <w:rFonts w:eastAsia="Times New Roman" w:cs="Times New Roman"/>
          <w:color w:val="000000"/>
          <w:sz w:val="28"/>
          <w:szCs w:val="28"/>
          <w:u w:val="none"/>
          <w:lang w:eastAsia="ru-RU"/>
        </w:rPr>
        <w:t xml:space="preserve">                                                                                         </w:t>
      </w:r>
    </w:p>
    <w:p w14:paraId="4A3900C9" w14:textId="77777777" w:rsidR="00B51242" w:rsidRDefault="008E4E86">
      <w:pPr>
        <w:spacing w:line="360" w:lineRule="auto"/>
        <w:jc w:val="both"/>
      </w:pPr>
      <w:r>
        <w:rPr>
          <w:rStyle w:val="InternetLink"/>
          <w:rFonts w:eastAsia="Times New Roman" w:cs="Times New Roman"/>
          <w:color w:val="000000"/>
          <w:sz w:val="28"/>
          <w:szCs w:val="28"/>
          <w:u w:val="none"/>
          <w:lang w:eastAsia="ru-RU"/>
        </w:rPr>
        <w:t>5. Домашнє завдання</w:t>
      </w:r>
      <w:r w:rsidRPr="00D3629B">
        <w:rPr>
          <w:rStyle w:val="InternetLink"/>
          <w:rFonts w:eastAsia="Times New Roman" w:cs="Times New Roman"/>
          <w:color w:val="000000"/>
          <w:sz w:val="28"/>
          <w:szCs w:val="28"/>
          <w:u w:val="none"/>
          <w:lang w:eastAsia="ru-RU"/>
        </w:rPr>
        <w:t xml:space="preserve"> (</w:t>
      </w:r>
      <w:r>
        <w:rPr>
          <w:rStyle w:val="InternetLink"/>
          <w:rFonts w:eastAsia="Times New Roman" w:cs="Times New Roman"/>
          <w:color w:val="000000"/>
          <w:sz w:val="28"/>
          <w:szCs w:val="28"/>
          <w:u w:val="none"/>
          <w:lang w:eastAsia="ru-RU"/>
        </w:rPr>
        <w:t>техніки експозиції, техніка</w:t>
      </w:r>
      <w:r w:rsidRPr="00D3629B">
        <w:rPr>
          <w:rStyle w:val="InternetLink"/>
          <w:rFonts w:eastAsia="Times New Roman" w:cs="Times New Roman"/>
          <w:color w:val="000000"/>
          <w:sz w:val="28"/>
          <w:szCs w:val="28"/>
          <w:u w:val="none"/>
          <w:lang w:eastAsia="ru-RU"/>
        </w:rPr>
        <w:t xml:space="preserve"> </w:t>
      </w:r>
      <w:r>
        <w:rPr>
          <w:rStyle w:val="InternetLink"/>
          <w:rFonts w:eastAsia="Times New Roman" w:cs="Times New Roman"/>
          <w:color w:val="000000"/>
          <w:sz w:val="28"/>
          <w:szCs w:val="28"/>
          <w:u w:val="none"/>
          <w:lang w:val="en-US" w:eastAsia="ru-RU"/>
        </w:rPr>
        <w:t>EMDR</w:t>
      </w:r>
      <w:r w:rsidRPr="00D3629B">
        <w:rPr>
          <w:rStyle w:val="InternetLink"/>
          <w:rFonts w:eastAsia="Times New Roman" w:cs="Times New Roman"/>
          <w:color w:val="000000"/>
          <w:sz w:val="28"/>
          <w:szCs w:val="28"/>
          <w:u w:val="none"/>
          <w:lang w:eastAsia="ru-RU"/>
        </w:rPr>
        <w:t xml:space="preserve">)                                                                                                    </w:t>
      </w:r>
    </w:p>
    <w:p w14:paraId="1CAF02E9" w14:textId="77777777" w:rsidR="00B51242" w:rsidRDefault="008E4E86">
      <w:pPr>
        <w:spacing w:line="360" w:lineRule="auto"/>
        <w:jc w:val="both"/>
      </w:pPr>
      <w:r>
        <w:rPr>
          <w:rStyle w:val="InternetLink"/>
          <w:rFonts w:eastAsia="Times New Roman" w:cs="Times New Roman"/>
          <w:color w:val="000000"/>
          <w:sz w:val="28"/>
          <w:szCs w:val="28"/>
          <w:u w:val="none"/>
          <w:lang w:eastAsia="ru-RU"/>
        </w:rPr>
        <w:t>6. Фіксація стану по завершенню занять.</w:t>
      </w:r>
    </w:p>
    <w:p w14:paraId="00EB8026"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7. Перед роботою з травмою, на контрольному 8 занятті, повторне проходження тесту </w:t>
      </w:r>
      <w:r>
        <w:rPr>
          <w:rStyle w:val="InternetLink"/>
          <w:rFonts w:eastAsia="Times New Roman" w:cs="Times New Roman"/>
          <w:color w:val="000000"/>
          <w:sz w:val="28"/>
          <w:szCs w:val="28"/>
          <w:u w:val="none"/>
          <w:lang w:val="en-US" w:eastAsia="ru-RU"/>
        </w:rPr>
        <w:t>PCL</w:t>
      </w:r>
      <w:r w:rsidRPr="00D3629B">
        <w:rPr>
          <w:rStyle w:val="InternetLink"/>
          <w:rFonts w:eastAsia="Times New Roman" w:cs="Times New Roman"/>
          <w:color w:val="000000"/>
          <w:sz w:val="28"/>
          <w:szCs w:val="28"/>
          <w:u w:val="none"/>
          <w:lang w:val="ru-RU" w:eastAsia="ru-RU"/>
        </w:rPr>
        <w:t xml:space="preserve">-5, </w:t>
      </w:r>
      <w:r>
        <w:rPr>
          <w:rStyle w:val="InternetLink"/>
          <w:rFonts w:eastAsia="Times New Roman" w:cs="Times New Roman"/>
          <w:color w:val="000000"/>
          <w:sz w:val="28"/>
          <w:szCs w:val="28"/>
          <w:u w:val="none"/>
          <w:lang w:eastAsia="ru-RU"/>
        </w:rPr>
        <w:t>для контролю прогресу психологічної підтримки.</w:t>
      </w:r>
    </w:p>
    <w:p w14:paraId="415B3470" w14:textId="77777777" w:rsidR="00B51242" w:rsidRDefault="008E4E86">
      <w:pPr>
        <w:tabs>
          <w:tab w:val="left" w:pos="0"/>
        </w:tabs>
        <w:spacing w:line="360" w:lineRule="auto"/>
        <w:ind w:firstLine="737"/>
      </w:pPr>
      <w:r>
        <w:rPr>
          <w:b/>
          <w:bCs/>
          <w:color w:val="000000"/>
          <w:sz w:val="28"/>
          <w:szCs w:val="28"/>
        </w:rPr>
        <w:t>Заняття 8-9-10. Робота з травмою (в колаборації з психотерапевтом в методі КПТ).</w:t>
      </w:r>
    </w:p>
    <w:p w14:paraId="6FCF0BA7" w14:textId="77777777" w:rsidR="00B51242" w:rsidRDefault="008E4E86">
      <w:pPr>
        <w:tabs>
          <w:tab w:val="left" w:pos="0"/>
        </w:tabs>
        <w:spacing w:line="360" w:lineRule="auto"/>
        <w:ind w:firstLine="737"/>
      </w:pPr>
      <w:r>
        <w:rPr>
          <w:b/>
          <w:bCs/>
          <w:color w:val="000000"/>
          <w:sz w:val="28"/>
          <w:szCs w:val="28"/>
        </w:rPr>
        <w:t>Заняття 11. Підтримка та розвиток міжособистісних відносин.</w:t>
      </w:r>
    </w:p>
    <w:p w14:paraId="68DE7150" w14:textId="77777777" w:rsidR="00B51242" w:rsidRDefault="008E4E86">
      <w:pPr>
        <w:tabs>
          <w:tab w:val="left" w:pos="0"/>
        </w:tabs>
        <w:spacing w:line="360" w:lineRule="auto"/>
        <w:ind w:firstLine="737"/>
      </w:pPr>
      <w:r>
        <w:rPr>
          <w:b/>
          <w:bCs/>
          <w:color w:val="000000"/>
          <w:sz w:val="28"/>
          <w:szCs w:val="28"/>
        </w:rPr>
        <w:t xml:space="preserve">Заняття 12. Підготовка до майбутнього. </w:t>
      </w:r>
    </w:p>
    <w:p w14:paraId="6CCACFFD" w14:textId="77777777" w:rsidR="00B51242" w:rsidRDefault="008E4E86">
      <w:pPr>
        <w:tabs>
          <w:tab w:val="left" w:pos="0"/>
        </w:tabs>
        <w:spacing w:line="360" w:lineRule="auto"/>
        <w:ind w:left="57" w:firstLine="680"/>
        <w:jc w:val="both"/>
      </w:pPr>
      <w:r>
        <w:rPr>
          <w:color w:val="000000"/>
          <w:sz w:val="28"/>
          <w:szCs w:val="28"/>
        </w:rPr>
        <w:t>Повноцінна психологічна підтримка військовослужбовців  розрахована на 12 сесійних занять. При цьому перші 1–6 занять фактично становлять підготовчий етап до безпосередньої роботи з травматичним досвідом. Саме якість цього етапу значною мірою визначає ефективність подальшої травмофокусованої роботи, адже він спрямований на стабілізацію стану, формування навичок емоційної регуляції та підвищення психологічної готовності до опрацювання травми.</w:t>
      </w:r>
    </w:p>
    <w:p w14:paraId="41352887" w14:textId="77777777" w:rsidR="00B51242" w:rsidRDefault="008E4E86">
      <w:pPr>
        <w:tabs>
          <w:tab w:val="left" w:pos="0"/>
        </w:tabs>
        <w:spacing w:line="360" w:lineRule="auto"/>
        <w:ind w:left="57" w:firstLine="680"/>
        <w:jc w:val="both"/>
      </w:pPr>
      <w:r>
        <w:rPr>
          <w:color w:val="000000"/>
          <w:sz w:val="28"/>
          <w:szCs w:val="28"/>
        </w:rPr>
        <w:t>Заняття 8, 9 та 10 безпосередньо спрямовані на роботу з травматичними переживаннями. У випадках тяжкого перебігу ПТСР така робота потребує тісної взаємодії з психотерапевтом і виходить за межі завдань даної кваліфікаційної роботи, що обумовлює необхідність її подальшого поглиблення у форматі спеціалізованої психотерапевтичної допомоги.</w:t>
      </w:r>
    </w:p>
    <w:p w14:paraId="405FBB33" w14:textId="77777777" w:rsidR="00B51242" w:rsidRDefault="008E4E86">
      <w:pPr>
        <w:tabs>
          <w:tab w:val="left" w:pos="0"/>
        </w:tabs>
        <w:spacing w:line="360" w:lineRule="auto"/>
        <w:ind w:left="57" w:firstLine="680"/>
        <w:jc w:val="both"/>
      </w:pPr>
      <w:r>
        <w:rPr>
          <w:color w:val="000000"/>
          <w:sz w:val="28"/>
          <w:szCs w:val="28"/>
        </w:rPr>
        <w:t>Заняття 11 та 12 орієнтовані на процес інтеграції отримувача психологічних послуг у соціальне середовище, відновлення повсякденного функціонування, а також підготовку до самостійної взаємодії з майбутніми викликами та стресовими ситуаціями.</w:t>
      </w:r>
    </w:p>
    <w:p w14:paraId="4E1BC8AC" w14:textId="77777777" w:rsidR="00B51242" w:rsidRDefault="008E4E86">
      <w:pPr>
        <w:tabs>
          <w:tab w:val="left" w:pos="0"/>
        </w:tabs>
        <w:spacing w:line="360" w:lineRule="auto"/>
        <w:ind w:left="57" w:firstLine="680"/>
        <w:jc w:val="both"/>
      </w:pPr>
      <w:r>
        <w:rPr>
          <w:color w:val="000000"/>
          <w:sz w:val="28"/>
          <w:szCs w:val="28"/>
        </w:rPr>
        <w:t>Враховуючи, що метою даного дослідження є вивчення впливу технік когнітивно-поведінкової терапії на процес відновлення військовослужбовців із ПТСР, виокремлення серед них максимально ефективних, комбінація з ТОТ та EMDR для розробки інтегративного методу психологічної підтримки, а заняття 8-12, не повязані з метою, тому залишаються за межами цього дослідження.</w:t>
      </w:r>
    </w:p>
    <w:p w14:paraId="73AD4A25" w14:textId="77777777" w:rsidR="00B51242" w:rsidRDefault="008E4E86">
      <w:pPr>
        <w:spacing w:line="360" w:lineRule="auto"/>
        <w:ind w:firstLine="737"/>
        <w:jc w:val="both"/>
      </w:pPr>
      <w:r>
        <w:rPr>
          <w:rStyle w:val="InternetLink"/>
          <w:rFonts w:eastAsia="Times New Roman" w:cs="Times New Roman"/>
          <w:b/>
          <w:bCs/>
          <w:color w:val="000000"/>
          <w:sz w:val="28"/>
          <w:szCs w:val="28"/>
          <w:u w:val="none"/>
          <w:lang w:eastAsia="ru-RU"/>
        </w:rPr>
        <w:t xml:space="preserve"> Висновки </w:t>
      </w:r>
      <w:r>
        <w:rPr>
          <w:rStyle w:val="InternetLink"/>
          <w:rFonts w:eastAsia="Times New Roman" w:cs="Times New Roman"/>
          <w:b/>
          <w:bCs/>
          <w:color w:val="000000"/>
          <w:sz w:val="28"/>
          <w:szCs w:val="28"/>
          <w:u w:val="none"/>
        </w:rPr>
        <w:t>до розділу 3.</w:t>
      </w:r>
    </w:p>
    <w:p w14:paraId="56996891" w14:textId="77777777" w:rsidR="00B51242" w:rsidRDefault="008E4E86">
      <w:pPr>
        <w:spacing w:line="360" w:lineRule="auto"/>
        <w:ind w:firstLine="737"/>
        <w:jc w:val="both"/>
      </w:pPr>
      <w:r>
        <w:rPr>
          <w:rStyle w:val="InternetLink"/>
          <w:rFonts w:eastAsia="Times New Roman" w:cs="Times New Roman"/>
          <w:color w:val="000000"/>
          <w:sz w:val="28"/>
          <w:szCs w:val="28"/>
          <w:u w:val="none"/>
        </w:rPr>
        <w:t>У третьому розділі кваліфікаційної роботи здійснено комплексний аналіз проблематики психологічної підтримки військовослужбовців із посттравматичним стресовим розладом та обґрунтовано шляхи її вирішення в межах інтегративного підходу. Представлені результати дозволяють зробити висновок, що ефективна психологічна допомога при ПТСР потребує не лише використання окремих методів, а їх науково обґрунтованого поєднання в єдиній структурованій системі підтримки, адаптованій до особливостей військового контингенту.</w:t>
      </w:r>
    </w:p>
    <w:p w14:paraId="2441095B" w14:textId="77777777" w:rsidR="00B51242" w:rsidRDefault="008E4E86">
      <w:pPr>
        <w:spacing w:line="360" w:lineRule="auto"/>
        <w:ind w:firstLine="737"/>
        <w:jc w:val="both"/>
      </w:pPr>
      <w:r>
        <w:rPr>
          <w:color w:val="000000"/>
          <w:sz w:val="28"/>
          <w:szCs w:val="28"/>
        </w:rPr>
        <w:t xml:space="preserve">У межах підрозділу 3.1 було обґрунтовано доцільність застосування </w:t>
      </w:r>
      <w:r>
        <w:rPr>
          <w:rStyle w:val="StrongEmphasis"/>
          <w:b w:val="0"/>
          <w:bCs w:val="0"/>
          <w:color w:val="000000"/>
          <w:sz w:val="28"/>
          <w:szCs w:val="28"/>
        </w:rPr>
        <w:t>інтегративного підходу</w:t>
      </w:r>
      <w:r>
        <w:rPr>
          <w:color w:val="000000"/>
          <w:sz w:val="28"/>
          <w:szCs w:val="28"/>
        </w:rPr>
        <w:t xml:space="preserve"> як методологічного фундаменту психологічної підтримки військовослужбовців із ПТСР. Показано, що перебіг даного розладу нерідко супроводжується такими ускладненнями, як гіперзбудження, емоційна нестабільність, уникнення, а також ризик рецидивів, що унеможливлює ефективну допомогу в межах одного методу. Саме тому інтегративний метод розглядається як оптимальна форма поєднання когнітивно-поведінкової терапії, тілесно-орієнтованих технік та стабілізуючих елементів EMDR.</w:t>
      </w:r>
    </w:p>
    <w:p w14:paraId="2FF7A801" w14:textId="77777777" w:rsidR="00B51242" w:rsidRDefault="008E4E86">
      <w:pPr>
        <w:spacing w:line="360" w:lineRule="auto"/>
        <w:ind w:firstLine="737"/>
        <w:jc w:val="both"/>
      </w:pPr>
      <w:r>
        <w:rPr>
          <w:color w:val="000000"/>
          <w:sz w:val="28"/>
          <w:szCs w:val="28"/>
        </w:rPr>
        <w:t xml:space="preserve">Окрему увагу в розділі приділено </w:t>
      </w:r>
      <w:r>
        <w:rPr>
          <w:rStyle w:val="StrongEmphasis"/>
          <w:b w:val="0"/>
          <w:bCs w:val="0"/>
          <w:color w:val="000000"/>
          <w:sz w:val="28"/>
          <w:szCs w:val="28"/>
        </w:rPr>
        <w:t>клієнтоорієнтованому підходу</w:t>
      </w:r>
      <w:r>
        <w:rPr>
          <w:color w:val="000000"/>
          <w:sz w:val="28"/>
          <w:szCs w:val="28"/>
        </w:rPr>
        <w:t xml:space="preserve">, який розглядається як базовий принцип побудови психологічної взаємодії з військовослужбовцем. Доведено, що досвід бойових завдань, високий рівень психічного напруження та специфіка військової ідентичності вимагають особливої чутливості з боку спеціаліста, індивідуалізації навантаження та гнучкості у виборі інтервенцій. У цьому контексті обґрунтовано роль фахівця не лише як терапевта, а як </w:t>
      </w:r>
      <w:r>
        <w:rPr>
          <w:rStyle w:val="StrongEmphasis"/>
          <w:b w:val="0"/>
          <w:bCs w:val="0"/>
          <w:color w:val="000000"/>
          <w:sz w:val="28"/>
          <w:szCs w:val="28"/>
        </w:rPr>
        <w:t>ментального тренера</w:t>
      </w:r>
      <w:r>
        <w:rPr>
          <w:color w:val="000000"/>
          <w:sz w:val="28"/>
          <w:szCs w:val="28"/>
        </w:rPr>
        <w:t>, який супроводжує клієнта в процесі формування навичок саморегуляції, контролю уваги, мислення та поведінки.</w:t>
      </w:r>
    </w:p>
    <w:p w14:paraId="1D9D3EED" w14:textId="77777777" w:rsidR="00B51242" w:rsidRDefault="008E4E86">
      <w:pPr>
        <w:spacing w:line="360" w:lineRule="auto"/>
        <w:ind w:firstLine="737"/>
        <w:jc w:val="both"/>
      </w:pPr>
      <w:r>
        <w:rPr>
          <w:color w:val="000000"/>
          <w:sz w:val="28"/>
          <w:szCs w:val="28"/>
        </w:rPr>
        <w:t xml:space="preserve">У підрозділі 3.2 систематизовано </w:t>
      </w:r>
      <w:r>
        <w:rPr>
          <w:rStyle w:val="StrongEmphasis"/>
          <w:b w:val="0"/>
          <w:bCs w:val="0"/>
          <w:color w:val="000000"/>
          <w:sz w:val="28"/>
          <w:szCs w:val="28"/>
        </w:rPr>
        <w:t>комплекс методів психологічної допомоги</w:t>
      </w:r>
      <w:r>
        <w:rPr>
          <w:color w:val="000000"/>
          <w:sz w:val="28"/>
          <w:szCs w:val="28"/>
        </w:rPr>
        <w:t xml:space="preserve">, що застосовуються в межах розробленого підходу. Визначено, що </w:t>
      </w:r>
      <w:r>
        <w:rPr>
          <w:rStyle w:val="StrongEmphasis"/>
          <w:b w:val="0"/>
          <w:bCs w:val="0"/>
          <w:color w:val="000000"/>
          <w:sz w:val="28"/>
          <w:szCs w:val="28"/>
        </w:rPr>
        <w:t>когнітивно-поведінкова терапія</w:t>
      </w:r>
      <w:r>
        <w:rPr>
          <w:color w:val="000000"/>
          <w:sz w:val="28"/>
          <w:szCs w:val="28"/>
        </w:rPr>
        <w:t xml:space="preserve"> виступає основним методом психологічної підтримки, оскільки саме вона має найвищу доказову ефективність у роботі з ПТСР. Окремо розглянуто можливості </w:t>
      </w:r>
      <w:r w:rsidRPr="00D3629B">
        <w:rPr>
          <w:rStyle w:val="StrongEmphasis"/>
          <w:b w:val="0"/>
          <w:bCs w:val="0"/>
          <w:color w:val="000000"/>
          <w:sz w:val="28"/>
          <w:szCs w:val="28"/>
        </w:rPr>
        <w:t>і</w:t>
      </w:r>
      <w:r>
        <w:rPr>
          <w:rStyle w:val="StrongEmphasis"/>
          <w:b w:val="0"/>
          <w:bCs w:val="0"/>
          <w:color w:val="000000"/>
          <w:sz w:val="28"/>
          <w:szCs w:val="28"/>
        </w:rPr>
        <w:t>нтернет-КПТ (іКПТ)</w:t>
      </w:r>
      <w:r>
        <w:rPr>
          <w:color w:val="000000"/>
          <w:sz w:val="28"/>
          <w:szCs w:val="28"/>
        </w:rPr>
        <w:t>, яка дозволяє гнучко поєднувати класичні техніки з елементами інших підходів без втрати структурованості та наукової обґрунтованості.</w:t>
      </w:r>
    </w:p>
    <w:p w14:paraId="33278214" w14:textId="77777777" w:rsidR="00B51242" w:rsidRDefault="008E4E86">
      <w:pPr>
        <w:spacing w:line="360" w:lineRule="auto"/>
        <w:ind w:firstLine="737"/>
        <w:jc w:val="both"/>
      </w:pPr>
      <w:r>
        <w:rPr>
          <w:color w:val="000000"/>
          <w:sz w:val="28"/>
          <w:szCs w:val="28"/>
        </w:rPr>
        <w:t xml:space="preserve">Вагомим компонентом комплексної допомоги визначено </w:t>
      </w:r>
      <w:r>
        <w:rPr>
          <w:rStyle w:val="StrongEmphasis"/>
          <w:b w:val="0"/>
          <w:bCs w:val="0"/>
          <w:color w:val="000000"/>
          <w:sz w:val="28"/>
          <w:szCs w:val="28"/>
        </w:rPr>
        <w:t>тілесно-орієнтовану терапію</w:t>
      </w:r>
      <w:r>
        <w:rPr>
          <w:color w:val="000000"/>
          <w:sz w:val="28"/>
          <w:szCs w:val="28"/>
        </w:rPr>
        <w:t>, що відіграє ключову роль у стабілізації фізіологічного стану клієнтів, зниженні рівня соматичного напруження та відновленні контакту з тілесними відчуттями. Доведено, що у військовослужбовців із ПТСР тілесні реакції часто залишаються неконтрольованими навіть після усвідомлення травматичних подій, що зумовлює важливість включення соматичних технік у програму підтримки.</w:t>
      </w:r>
    </w:p>
    <w:p w14:paraId="78750DBB" w14:textId="77777777" w:rsidR="00B51242" w:rsidRDefault="008E4E86">
      <w:pPr>
        <w:spacing w:line="360" w:lineRule="auto"/>
        <w:ind w:firstLine="737"/>
        <w:jc w:val="both"/>
      </w:pPr>
      <w:r>
        <w:rPr>
          <w:color w:val="000000"/>
          <w:sz w:val="28"/>
          <w:szCs w:val="28"/>
        </w:rPr>
        <w:t xml:space="preserve">Також у структурі допомоги обґрунтовано використання </w:t>
      </w:r>
      <w:r>
        <w:rPr>
          <w:rStyle w:val="StrongEmphasis"/>
          <w:b w:val="0"/>
          <w:bCs w:val="0"/>
          <w:color w:val="000000"/>
          <w:sz w:val="28"/>
          <w:szCs w:val="28"/>
        </w:rPr>
        <w:t>елементів EMDR</w:t>
      </w:r>
      <w:r>
        <w:rPr>
          <w:color w:val="000000"/>
          <w:sz w:val="28"/>
          <w:szCs w:val="28"/>
        </w:rPr>
        <w:t xml:space="preserve">, які інтегруються не як повноцінна травмофокусована терапія, а як </w:t>
      </w:r>
      <w:r>
        <w:rPr>
          <w:rStyle w:val="StrongEmphasis"/>
          <w:b w:val="0"/>
          <w:bCs w:val="0"/>
          <w:color w:val="000000"/>
          <w:sz w:val="28"/>
          <w:szCs w:val="28"/>
        </w:rPr>
        <w:t>стабілізуючий інструмент</w:t>
      </w:r>
      <w:r>
        <w:rPr>
          <w:color w:val="000000"/>
          <w:sz w:val="28"/>
          <w:szCs w:val="28"/>
        </w:rPr>
        <w:t xml:space="preserve"> у межах підготовчого етапу. Це дозволяє знижувати рівень внутрішньої напруги, підвищувати доступ до ресурсних станів та формувати безпечний психологічний простір для подальшої роботи з травмою.</w:t>
      </w:r>
    </w:p>
    <w:p w14:paraId="5E4218F8" w14:textId="77777777" w:rsidR="00B51242" w:rsidRDefault="008E4E86">
      <w:pPr>
        <w:spacing w:line="360" w:lineRule="auto"/>
        <w:ind w:firstLine="737"/>
        <w:jc w:val="both"/>
      </w:pPr>
      <w:r>
        <w:rPr>
          <w:color w:val="000000"/>
          <w:sz w:val="28"/>
          <w:szCs w:val="28"/>
        </w:rPr>
        <w:t xml:space="preserve">У підрозділі 3.3 окреслено </w:t>
      </w:r>
      <w:r>
        <w:rPr>
          <w:rStyle w:val="StrongEmphasis"/>
          <w:b w:val="0"/>
          <w:bCs w:val="0"/>
          <w:color w:val="000000"/>
          <w:sz w:val="28"/>
          <w:szCs w:val="28"/>
        </w:rPr>
        <w:t>основні складові структури плану психологічної підтримки</w:t>
      </w:r>
      <w:r>
        <w:rPr>
          <w:color w:val="000000"/>
          <w:sz w:val="28"/>
          <w:szCs w:val="28"/>
        </w:rPr>
        <w:t xml:space="preserve">. Визначено, що первинним завданням роботи є </w:t>
      </w:r>
      <w:r>
        <w:rPr>
          <w:rStyle w:val="StrongEmphasis"/>
          <w:b w:val="0"/>
          <w:bCs w:val="0"/>
          <w:color w:val="000000"/>
          <w:sz w:val="28"/>
          <w:szCs w:val="28"/>
        </w:rPr>
        <w:t>діагностика провідних симптомів ПТСР</w:t>
      </w:r>
      <w:r>
        <w:rPr>
          <w:color w:val="000000"/>
          <w:sz w:val="28"/>
          <w:szCs w:val="28"/>
        </w:rPr>
        <w:t xml:space="preserve">, зокрема гіпервідчутливості, гіперзбудженості, порушень сну, тривожності та емоційної нестабільності. Саме ці симптоми визначають </w:t>
      </w:r>
      <w:r>
        <w:rPr>
          <w:rStyle w:val="StrongEmphasis"/>
          <w:b w:val="0"/>
          <w:bCs w:val="0"/>
          <w:color w:val="000000"/>
          <w:sz w:val="28"/>
          <w:szCs w:val="28"/>
        </w:rPr>
        <w:t>основний вектор психологічної підтримки</w:t>
      </w:r>
      <w:r>
        <w:rPr>
          <w:color w:val="000000"/>
          <w:sz w:val="28"/>
          <w:szCs w:val="28"/>
        </w:rPr>
        <w:t xml:space="preserve"> та вибір конкретних інтервенцій.</w:t>
      </w:r>
    </w:p>
    <w:p w14:paraId="307B83C7" w14:textId="77777777" w:rsidR="00B51242" w:rsidRDefault="008E4E86">
      <w:pPr>
        <w:spacing w:line="360" w:lineRule="auto"/>
        <w:ind w:firstLine="737"/>
        <w:jc w:val="both"/>
      </w:pPr>
      <w:r>
        <w:rPr>
          <w:color w:val="000000"/>
          <w:sz w:val="28"/>
          <w:szCs w:val="28"/>
        </w:rPr>
        <w:t xml:space="preserve">Важливе практичне значення має впроваджена система </w:t>
      </w:r>
      <w:r>
        <w:rPr>
          <w:rStyle w:val="StrongEmphasis"/>
          <w:b w:val="0"/>
          <w:bCs w:val="0"/>
          <w:color w:val="000000"/>
          <w:sz w:val="28"/>
          <w:szCs w:val="28"/>
        </w:rPr>
        <w:t>фіксації психологічного стану на початку та в кінці кожного заняття</w:t>
      </w:r>
      <w:r>
        <w:rPr>
          <w:color w:val="000000"/>
          <w:sz w:val="28"/>
          <w:szCs w:val="28"/>
        </w:rPr>
        <w:t>, що дозволяє об’єктивно відстежувати динаміку змін, підвищує усвідомленість клієнта та слугує основою для корекції індивідуального плану допомоги. Доведено, що така практика сприяє посиленню внутрішньої мотивації та формуванню відповідальності за власний процес відновлення.</w:t>
      </w:r>
    </w:p>
    <w:p w14:paraId="1F113164" w14:textId="77777777" w:rsidR="00B51242" w:rsidRDefault="008E4E86">
      <w:pPr>
        <w:spacing w:line="360" w:lineRule="auto"/>
        <w:ind w:firstLine="737"/>
        <w:jc w:val="both"/>
      </w:pPr>
      <w:r>
        <w:rPr>
          <w:color w:val="000000"/>
          <w:sz w:val="28"/>
          <w:szCs w:val="28"/>
        </w:rPr>
        <w:t xml:space="preserve">Окремо обґрунтовано роль </w:t>
      </w:r>
      <w:r>
        <w:rPr>
          <w:rStyle w:val="StrongEmphasis"/>
          <w:b w:val="0"/>
          <w:bCs w:val="0"/>
          <w:color w:val="000000"/>
          <w:sz w:val="28"/>
          <w:szCs w:val="28"/>
        </w:rPr>
        <w:t>домашнього завдання як фундаменту психологічної підтримки</w:t>
      </w:r>
      <w:r>
        <w:rPr>
          <w:color w:val="000000"/>
          <w:sz w:val="28"/>
          <w:szCs w:val="28"/>
        </w:rPr>
        <w:t>, оскільки саме воно забезпечує перенесення набутих навичок у реальне життя. Домашні завдання розглядаються не як формальний елемент програми, а як активний інструмент самотренування, що формує автономність, стійкість та здатність до саморегуляції.</w:t>
      </w:r>
    </w:p>
    <w:p w14:paraId="090422FA" w14:textId="77777777" w:rsidR="00B51242" w:rsidRDefault="008E4E86">
      <w:pPr>
        <w:spacing w:line="360" w:lineRule="auto"/>
        <w:ind w:firstLine="737"/>
        <w:jc w:val="both"/>
      </w:pPr>
      <w:r>
        <w:rPr>
          <w:color w:val="000000"/>
          <w:sz w:val="28"/>
          <w:szCs w:val="28"/>
        </w:rPr>
        <w:t xml:space="preserve">У підрозділі 3.4 представлено </w:t>
      </w:r>
      <w:r>
        <w:rPr>
          <w:rStyle w:val="StrongEmphasis"/>
          <w:b w:val="0"/>
          <w:bCs w:val="0"/>
          <w:color w:val="000000"/>
          <w:sz w:val="28"/>
          <w:szCs w:val="28"/>
        </w:rPr>
        <w:t>поетапний план психологічної підтримки</w:t>
      </w:r>
      <w:r>
        <w:rPr>
          <w:color w:val="000000"/>
          <w:sz w:val="28"/>
          <w:szCs w:val="28"/>
        </w:rPr>
        <w:t xml:space="preserve">, який має чітку внутрішню логіку та відповідає клінічній динаміці перебігу ПТСР. Заняття першого блоку спрямовані на </w:t>
      </w:r>
      <w:r>
        <w:rPr>
          <w:rStyle w:val="StrongEmphasis"/>
          <w:b w:val="0"/>
          <w:bCs w:val="0"/>
          <w:color w:val="000000"/>
          <w:sz w:val="28"/>
          <w:szCs w:val="28"/>
        </w:rPr>
        <w:t>стабілізацію та фізіологічну регуляцію</w:t>
      </w:r>
      <w:r>
        <w:rPr>
          <w:color w:val="000000"/>
          <w:sz w:val="28"/>
          <w:szCs w:val="28"/>
        </w:rPr>
        <w:t>, що є необхідною умовою для подальшої психологічної роботи. Другий блок (заняття 2–3) орієнтований на тренування уваги, мислення та розвиток навичок емоційної регуляції. Третій блок (заняття 4–5) присвячений роботі з переконаннями та когнітивній реструктуризації, що дозволяє коригувати дезадаптивні схеми мислення. На етапі занять 6–7 використовується експозиційна терапія та поведінкові експерименти як завершальний етап підготовки до травмофокусованої роботи.</w:t>
      </w:r>
    </w:p>
    <w:p w14:paraId="297CAC90" w14:textId="77777777" w:rsidR="00B51242" w:rsidRDefault="008E4E86">
      <w:pPr>
        <w:spacing w:line="360" w:lineRule="auto"/>
        <w:ind w:firstLine="737"/>
        <w:jc w:val="both"/>
      </w:pPr>
      <w:r>
        <w:rPr>
          <w:color w:val="000000"/>
          <w:sz w:val="28"/>
          <w:szCs w:val="28"/>
        </w:rPr>
        <w:t xml:space="preserve">Таким чином, логіка побудови програми забезпечує </w:t>
      </w:r>
      <w:r>
        <w:rPr>
          <w:rStyle w:val="StrongEmphasis"/>
          <w:b w:val="0"/>
          <w:bCs w:val="0"/>
          <w:color w:val="000000"/>
          <w:sz w:val="28"/>
          <w:szCs w:val="28"/>
        </w:rPr>
        <w:t>поступовий, безпечний та контрольований перехід від стабілізації до глибших рівнів психологічної роботи</w:t>
      </w:r>
      <w:r>
        <w:rPr>
          <w:color w:val="000000"/>
          <w:sz w:val="28"/>
          <w:szCs w:val="28"/>
        </w:rPr>
        <w:t>, що є особливо важливим у роботі з військовослужбовцями.</w:t>
      </w:r>
    </w:p>
    <w:p w14:paraId="27C7FA20" w14:textId="77777777" w:rsidR="00B51242" w:rsidRDefault="008E4E86">
      <w:pPr>
        <w:spacing w:line="360" w:lineRule="auto"/>
        <w:ind w:firstLine="737"/>
        <w:jc w:val="both"/>
      </w:pPr>
      <w:r>
        <w:rPr>
          <w:color w:val="000000"/>
          <w:sz w:val="28"/>
          <w:szCs w:val="28"/>
        </w:rPr>
        <w:t xml:space="preserve">Загалом результати третього розділу дозволяють дійти висновку, що </w:t>
      </w:r>
      <w:r>
        <w:rPr>
          <w:rStyle w:val="StrongEmphasis"/>
          <w:b w:val="0"/>
          <w:bCs w:val="0"/>
          <w:color w:val="000000"/>
          <w:sz w:val="28"/>
          <w:szCs w:val="28"/>
        </w:rPr>
        <w:t>інтегративний підхід до психологічної підтримки військовослужбовців із ПТСР є науково обґрунтованим, клінічно доцільним та практично ефективним</w:t>
      </w:r>
      <w:r>
        <w:rPr>
          <w:color w:val="000000"/>
          <w:sz w:val="28"/>
          <w:szCs w:val="28"/>
        </w:rPr>
        <w:t>. Поєднання когнітивно-поведінкової терапії, тілесно-орієнтованих технік та стабілізуючих елементів EMDR створює цілісну систему впливу на когнітивний, емоційний, поведінковий і тілесний рівні функціонування особистості.</w:t>
      </w:r>
    </w:p>
    <w:p w14:paraId="28CE8A13" w14:textId="77777777" w:rsidR="00B51242" w:rsidRDefault="008E4E86">
      <w:pPr>
        <w:spacing w:line="360" w:lineRule="auto"/>
        <w:ind w:firstLine="737"/>
        <w:jc w:val="both"/>
      </w:pPr>
      <w:r>
        <w:rPr>
          <w:color w:val="000000"/>
          <w:sz w:val="28"/>
          <w:szCs w:val="28"/>
        </w:rPr>
        <w:t>Отримані теоретичні та практичні положення створюють надійне підґрунтя для подальшої емпіричної перевірки ефективності запропонованої моделі, а також відкривають перспективи її використання в системі психологічної реабілітації військовослужбовців.</w:t>
      </w:r>
    </w:p>
    <w:p w14:paraId="717AAFBA" w14:textId="77777777" w:rsidR="00B51242" w:rsidRDefault="00B51242">
      <w:pPr>
        <w:spacing w:line="360" w:lineRule="auto"/>
        <w:jc w:val="both"/>
        <w:rPr>
          <w:rStyle w:val="InternetLink"/>
          <w:color w:val="000000"/>
          <w:sz w:val="28"/>
          <w:szCs w:val="28"/>
          <w:u w:val="none"/>
        </w:rPr>
      </w:pPr>
    </w:p>
    <w:p w14:paraId="56EE48EE" w14:textId="77777777" w:rsidR="00B51242" w:rsidRDefault="00B51242">
      <w:pPr>
        <w:spacing w:line="360" w:lineRule="auto"/>
        <w:jc w:val="both"/>
        <w:rPr>
          <w:rStyle w:val="InternetLink"/>
          <w:rFonts w:eastAsia="Times New Roman" w:cs="Times New Roman"/>
          <w:b/>
          <w:bCs/>
          <w:color w:val="FF4000"/>
          <w:sz w:val="28"/>
          <w:szCs w:val="28"/>
          <w:u w:val="none"/>
        </w:rPr>
      </w:pPr>
    </w:p>
    <w:p w14:paraId="2908EB2C" w14:textId="77777777" w:rsidR="00B51242" w:rsidRDefault="00B51242">
      <w:pPr>
        <w:spacing w:line="360" w:lineRule="auto"/>
        <w:jc w:val="both"/>
        <w:rPr>
          <w:rStyle w:val="InternetLink"/>
          <w:rFonts w:eastAsia="Times New Roman" w:cs="Times New Roman"/>
          <w:b/>
          <w:bCs/>
          <w:color w:val="FF4000"/>
          <w:sz w:val="28"/>
          <w:szCs w:val="28"/>
          <w:u w:val="none"/>
        </w:rPr>
      </w:pPr>
    </w:p>
    <w:p w14:paraId="121FD38A" w14:textId="77777777" w:rsidR="00B51242" w:rsidRDefault="00B51242">
      <w:pPr>
        <w:spacing w:line="360" w:lineRule="auto"/>
        <w:jc w:val="both"/>
        <w:rPr>
          <w:rStyle w:val="InternetLink"/>
          <w:rFonts w:eastAsia="Times New Roman" w:cs="Times New Roman"/>
          <w:b/>
          <w:bCs/>
          <w:color w:val="FF4000"/>
          <w:sz w:val="28"/>
          <w:szCs w:val="28"/>
          <w:u w:val="none"/>
        </w:rPr>
      </w:pPr>
    </w:p>
    <w:p w14:paraId="1FE2DD96" w14:textId="77777777" w:rsidR="00B51242" w:rsidRDefault="00B51242">
      <w:pPr>
        <w:spacing w:line="360" w:lineRule="auto"/>
        <w:jc w:val="both"/>
        <w:rPr>
          <w:rStyle w:val="InternetLink"/>
          <w:rFonts w:eastAsia="Times New Roman" w:cs="Times New Roman"/>
          <w:b/>
          <w:bCs/>
          <w:color w:val="FF4000"/>
          <w:sz w:val="28"/>
          <w:szCs w:val="28"/>
          <w:u w:val="none"/>
        </w:rPr>
      </w:pPr>
    </w:p>
    <w:p w14:paraId="27357532" w14:textId="77777777" w:rsidR="00B51242" w:rsidRDefault="00B51242">
      <w:pPr>
        <w:spacing w:line="360" w:lineRule="auto"/>
        <w:jc w:val="both"/>
        <w:rPr>
          <w:rStyle w:val="InternetLink"/>
          <w:rFonts w:eastAsia="Times New Roman" w:cs="Times New Roman"/>
          <w:b/>
          <w:bCs/>
          <w:color w:val="FF4000"/>
          <w:sz w:val="28"/>
          <w:szCs w:val="28"/>
          <w:u w:val="none"/>
        </w:rPr>
      </w:pPr>
    </w:p>
    <w:p w14:paraId="07F023C8" w14:textId="77777777" w:rsidR="00B51242" w:rsidRDefault="00B51242">
      <w:pPr>
        <w:spacing w:line="360" w:lineRule="auto"/>
        <w:jc w:val="both"/>
        <w:rPr>
          <w:rStyle w:val="InternetLink"/>
          <w:rFonts w:eastAsia="Times New Roman" w:cs="Times New Roman"/>
          <w:b/>
          <w:bCs/>
          <w:color w:val="FF4000"/>
          <w:sz w:val="28"/>
          <w:szCs w:val="28"/>
          <w:u w:val="none"/>
        </w:rPr>
      </w:pPr>
    </w:p>
    <w:p w14:paraId="4BDB5498" w14:textId="77777777" w:rsidR="00B51242" w:rsidRDefault="00B51242">
      <w:pPr>
        <w:spacing w:line="360" w:lineRule="auto"/>
        <w:jc w:val="both"/>
        <w:rPr>
          <w:rStyle w:val="InternetLink"/>
          <w:rFonts w:eastAsia="Times New Roman" w:cs="Times New Roman"/>
          <w:b/>
          <w:bCs/>
          <w:color w:val="FF4000"/>
          <w:sz w:val="28"/>
          <w:szCs w:val="28"/>
          <w:u w:val="none"/>
        </w:rPr>
      </w:pPr>
    </w:p>
    <w:p w14:paraId="2916C19D" w14:textId="77777777" w:rsidR="00B51242" w:rsidRDefault="00B51242">
      <w:pPr>
        <w:spacing w:line="360" w:lineRule="auto"/>
        <w:jc w:val="both"/>
        <w:rPr>
          <w:rStyle w:val="InternetLink"/>
          <w:rFonts w:eastAsia="Times New Roman" w:cs="Times New Roman"/>
          <w:b/>
          <w:bCs/>
          <w:color w:val="FF4000"/>
          <w:sz w:val="28"/>
          <w:szCs w:val="28"/>
          <w:u w:val="none"/>
        </w:rPr>
      </w:pPr>
    </w:p>
    <w:p w14:paraId="74869460" w14:textId="77777777" w:rsidR="00B51242" w:rsidRDefault="00B51242">
      <w:pPr>
        <w:spacing w:line="360" w:lineRule="auto"/>
        <w:jc w:val="both"/>
        <w:rPr>
          <w:rStyle w:val="InternetLink"/>
          <w:rFonts w:eastAsia="Times New Roman" w:cs="Times New Roman"/>
          <w:b/>
          <w:bCs/>
          <w:color w:val="FF4000"/>
          <w:sz w:val="28"/>
          <w:szCs w:val="28"/>
          <w:u w:val="none"/>
        </w:rPr>
      </w:pPr>
    </w:p>
    <w:p w14:paraId="187F57B8" w14:textId="77777777" w:rsidR="00B51242" w:rsidRDefault="00B51242">
      <w:pPr>
        <w:spacing w:line="360" w:lineRule="auto"/>
        <w:jc w:val="both"/>
        <w:rPr>
          <w:rStyle w:val="InternetLink"/>
          <w:rFonts w:eastAsia="Times New Roman" w:cs="Times New Roman"/>
          <w:b/>
          <w:bCs/>
          <w:color w:val="FF4000"/>
          <w:sz w:val="28"/>
          <w:szCs w:val="28"/>
          <w:u w:val="none"/>
        </w:rPr>
      </w:pPr>
    </w:p>
    <w:p w14:paraId="54738AF4" w14:textId="77777777" w:rsidR="00B51242" w:rsidRDefault="00B51242">
      <w:pPr>
        <w:spacing w:line="360" w:lineRule="auto"/>
        <w:jc w:val="both"/>
        <w:rPr>
          <w:rStyle w:val="InternetLink"/>
          <w:rFonts w:eastAsia="Times New Roman" w:cs="Times New Roman"/>
          <w:b/>
          <w:bCs/>
          <w:color w:val="FF4000"/>
          <w:sz w:val="28"/>
          <w:szCs w:val="28"/>
          <w:u w:val="none"/>
        </w:rPr>
      </w:pPr>
    </w:p>
    <w:p w14:paraId="46ABBD8F" w14:textId="77777777" w:rsidR="00B51242" w:rsidRDefault="00B51242">
      <w:pPr>
        <w:spacing w:line="360" w:lineRule="auto"/>
        <w:jc w:val="both"/>
        <w:rPr>
          <w:rStyle w:val="InternetLink"/>
          <w:rFonts w:eastAsia="Times New Roman" w:cs="Times New Roman"/>
          <w:b/>
          <w:bCs/>
          <w:color w:val="FF4000"/>
          <w:sz w:val="28"/>
          <w:szCs w:val="28"/>
          <w:u w:val="none"/>
        </w:rPr>
      </w:pPr>
    </w:p>
    <w:p w14:paraId="06BBA33E" w14:textId="77777777" w:rsidR="00B51242" w:rsidRDefault="00B51242">
      <w:pPr>
        <w:spacing w:line="360" w:lineRule="auto"/>
        <w:jc w:val="both"/>
        <w:rPr>
          <w:rStyle w:val="InternetLink"/>
          <w:rFonts w:eastAsia="Times New Roman" w:cs="Times New Roman"/>
          <w:b/>
          <w:bCs/>
          <w:color w:val="FF4000"/>
          <w:sz w:val="28"/>
          <w:szCs w:val="28"/>
          <w:u w:val="none"/>
        </w:rPr>
      </w:pPr>
    </w:p>
    <w:p w14:paraId="464FCBC1" w14:textId="77777777" w:rsidR="00B51242" w:rsidRDefault="00B51242">
      <w:pPr>
        <w:spacing w:line="360" w:lineRule="auto"/>
        <w:jc w:val="both"/>
        <w:rPr>
          <w:rStyle w:val="InternetLink"/>
          <w:rFonts w:eastAsia="Times New Roman" w:cs="Times New Roman"/>
          <w:b/>
          <w:bCs/>
          <w:color w:val="FF4000"/>
          <w:sz w:val="28"/>
          <w:szCs w:val="28"/>
          <w:u w:val="none"/>
        </w:rPr>
      </w:pPr>
    </w:p>
    <w:p w14:paraId="5C8C6B09" w14:textId="77777777" w:rsidR="00B51242" w:rsidRDefault="00B51242">
      <w:pPr>
        <w:spacing w:line="360" w:lineRule="auto"/>
        <w:jc w:val="both"/>
        <w:rPr>
          <w:rStyle w:val="InternetLink"/>
          <w:rFonts w:eastAsia="Times New Roman" w:cs="Times New Roman"/>
          <w:b/>
          <w:bCs/>
          <w:color w:val="FF4000"/>
          <w:sz w:val="28"/>
          <w:szCs w:val="28"/>
          <w:u w:val="none"/>
        </w:rPr>
      </w:pPr>
    </w:p>
    <w:p w14:paraId="3382A365" w14:textId="77777777" w:rsidR="00B51242" w:rsidRDefault="00B51242">
      <w:pPr>
        <w:spacing w:line="360" w:lineRule="auto"/>
        <w:jc w:val="both"/>
        <w:rPr>
          <w:rStyle w:val="InternetLink"/>
          <w:rFonts w:eastAsia="Times New Roman" w:cs="Times New Roman"/>
          <w:b/>
          <w:bCs/>
          <w:color w:val="FF4000"/>
          <w:sz w:val="28"/>
          <w:szCs w:val="28"/>
          <w:u w:val="none"/>
        </w:rPr>
      </w:pPr>
    </w:p>
    <w:p w14:paraId="5C71F136" w14:textId="77777777" w:rsidR="00B51242" w:rsidRDefault="00B51242">
      <w:pPr>
        <w:spacing w:line="360" w:lineRule="auto"/>
        <w:jc w:val="both"/>
        <w:rPr>
          <w:rStyle w:val="InternetLink"/>
          <w:rFonts w:eastAsia="Times New Roman" w:cs="Times New Roman"/>
          <w:b/>
          <w:bCs/>
          <w:color w:val="FF4000"/>
          <w:sz w:val="28"/>
          <w:szCs w:val="28"/>
          <w:u w:val="none"/>
        </w:rPr>
      </w:pPr>
    </w:p>
    <w:p w14:paraId="62199465" w14:textId="77777777" w:rsidR="00B51242" w:rsidRDefault="00B51242">
      <w:pPr>
        <w:spacing w:line="360" w:lineRule="auto"/>
        <w:jc w:val="both"/>
        <w:rPr>
          <w:rStyle w:val="InternetLink"/>
          <w:rFonts w:eastAsia="Times New Roman" w:cs="Times New Roman"/>
          <w:b/>
          <w:bCs/>
          <w:color w:val="FF4000"/>
          <w:sz w:val="28"/>
          <w:szCs w:val="28"/>
          <w:u w:val="none"/>
        </w:rPr>
      </w:pPr>
    </w:p>
    <w:p w14:paraId="208CCBF2" w14:textId="77777777" w:rsidR="00B51242" w:rsidRDefault="008E4E86">
      <w:pPr>
        <w:pStyle w:val="2"/>
        <w:spacing w:before="0" w:after="0" w:line="360" w:lineRule="auto"/>
        <w:jc w:val="center"/>
      </w:pPr>
      <w:r>
        <w:rPr>
          <w:rStyle w:val="InternetLink"/>
          <w:rFonts w:eastAsia="Calibri" w:cs="Times New Roman"/>
          <w:color w:val="000000"/>
          <w:sz w:val="28"/>
          <w:szCs w:val="28"/>
          <w:u w:val="none"/>
        </w:rPr>
        <w:t xml:space="preserve">РОЗДІЛ ІV.  </w:t>
      </w:r>
      <w:bookmarkStart w:id="13" w:name="__DdeLink__18204_389207527"/>
      <w:r>
        <w:rPr>
          <w:rStyle w:val="InternetLink"/>
          <w:rFonts w:eastAsia="Calibri" w:cs="Times New Roman"/>
          <w:color w:val="000000"/>
          <w:sz w:val="28"/>
          <w:szCs w:val="28"/>
          <w:u w:val="none"/>
        </w:rPr>
        <w:t>ЕМПІРИЧНЕ ДОСЛІДЖЕННЯ ЕФЕКТИВНОСТІ КПТ В КОМПЛЕКСІ З ТОТ ТА EMDR. ІНТЕРПРЕТАЦІЯ ТА АНАЛІЗ ОТРИМАНИХ РЕЗУЛЬТАТІВ.</w:t>
      </w:r>
      <w:bookmarkEnd w:id="13"/>
      <w:r>
        <w:rPr>
          <w:rStyle w:val="InternetLink"/>
          <w:rFonts w:eastAsia="Calibri" w:cs="Times New Roman"/>
          <w:color w:val="000000"/>
          <w:sz w:val="28"/>
          <w:szCs w:val="28"/>
          <w:u w:val="none"/>
        </w:rPr>
        <w:t xml:space="preserve"> </w:t>
      </w:r>
      <w:r>
        <w:rPr>
          <w:rStyle w:val="InternetLink"/>
          <w:rFonts w:eastAsia="Calibri" w:cs="Times New Roman"/>
          <w:b w:val="0"/>
          <w:bCs w:val="0"/>
          <w:color w:val="FF0000"/>
          <w:sz w:val="28"/>
          <w:szCs w:val="28"/>
          <w:u w:val="none"/>
        </w:rPr>
        <w:t xml:space="preserve"> </w:t>
      </w:r>
    </w:p>
    <w:p w14:paraId="2F0E0F45" w14:textId="77777777" w:rsidR="00B51242" w:rsidRDefault="008E4E86">
      <w:pPr>
        <w:overflowPunct w:val="0"/>
        <w:spacing w:line="360" w:lineRule="auto"/>
        <w:ind w:firstLine="850"/>
        <w:jc w:val="both"/>
        <w:outlineLvl w:val="1"/>
      </w:pPr>
      <w:r>
        <w:rPr>
          <w:rStyle w:val="InternetLink"/>
          <w:rFonts w:eastAsia="Calibri" w:cs="Times New Roman"/>
          <w:color w:val="000000"/>
          <w:sz w:val="28"/>
          <w:szCs w:val="28"/>
          <w:u w:val="none"/>
        </w:rPr>
        <w:t>Після ґрунтовного опрацювання предмета дослідження, систематизації теоретичних засад та емпіричних даних щодо особливостей психотравматичного досвіду військовослужбовців, а також після добору й аналізу релевантних методів психологічної інтервенції, наступним логічним етапом стає перехід до практичної частини роботи. На цьому етапі важливим є апробування та оцінювання ефективності інтегративного протоколу, який поєднує компоненти КПТ, ТОТ та EMDR. Застосування такого об’єднаного підходу зумовлене необхідністю забезпечити багатовимірний вплив на когнітивні, емоційні та соматичні аспекти ПТСР у військових, що дозволяє підвищити адаптивність та гнучкість терапевтичної програми.</w:t>
      </w:r>
    </w:p>
    <w:p w14:paraId="3A6F5F15" w14:textId="77777777" w:rsidR="00B51242" w:rsidRDefault="008E4E86">
      <w:pPr>
        <w:overflowPunct w:val="0"/>
        <w:spacing w:line="360" w:lineRule="auto"/>
        <w:ind w:firstLine="850"/>
        <w:jc w:val="both"/>
        <w:outlineLvl w:val="1"/>
      </w:pPr>
      <w:r>
        <w:rPr>
          <w:sz w:val="28"/>
          <w:szCs w:val="28"/>
        </w:rPr>
        <w:t>Інтегративний метод репрезентований структурованим циклом із 12 психотерапевтичних занять, спеціально розроблених з урахуванням характеру бойової травматизації, типових клінічних проявів ПТСР у військовослужбовців та вимог до стабілізації, опрацювання та посттерапевтичної інтеграції досвіду. Кожне заняття виконує чітко визначені функції у загальному процесі лікування — від формування базових навичок регуляції, роботи зі схемами та дисфункціональними переконаннями до поступового опрацювання травматичних спогадів та підвищення рівня психологічної стійкості.</w:t>
      </w:r>
    </w:p>
    <w:p w14:paraId="302A9DAC" w14:textId="77777777" w:rsidR="00B51242" w:rsidRDefault="008E4E86">
      <w:pPr>
        <w:overflowPunct w:val="0"/>
        <w:spacing w:line="360" w:lineRule="auto"/>
        <w:ind w:firstLine="850"/>
        <w:jc w:val="both"/>
        <w:outlineLvl w:val="1"/>
      </w:pPr>
      <w:r>
        <w:rPr>
          <w:sz w:val="28"/>
          <w:szCs w:val="28"/>
        </w:rPr>
        <w:t>Отже, на етапі практичної реалізації дослідження основна увага зосереджується на аналізі терапевтичної динаміки, порівнянні ефективності застосованих підходів та визначенні тих характеристик інтегративного методу, що забезпечують найвищі показники поліпшення стану військовослужбовців із ПТСР. Такий підхід дає змогу не лише оцінити результативність запропонованої програми, а й сформувати обґрунтовані рекомендації щодо її практичного використання в системі психологічної допомоги військовим.</w:t>
      </w:r>
    </w:p>
    <w:p w14:paraId="6434E762" w14:textId="77777777" w:rsidR="00B51242" w:rsidRDefault="008E4E86">
      <w:pPr>
        <w:overflowPunct w:val="0"/>
        <w:spacing w:line="360" w:lineRule="auto"/>
        <w:ind w:firstLine="850"/>
        <w:jc w:val="both"/>
        <w:outlineLvl w:val="1"/>
      </w:pPr>
      <w:r>
        <w:rPr>
          <w:rStyle w:val="InternetLink"/>
          <w:rFonts w:eastAsia="Calibri" w:cs="Times New Roman"/>
          <w:color w:val="000000"/>
          <w:sz w:val="28"/>
          <w:szCs w:val="28"/>
          <w:u w:val="none"/>
        </w:rPr>
        <w:t>Враховуючи складність клінічного захворювання такого як ПТСР, для забезпечення методологічної чіткості та внутрішньої валідності емпіричної частини дослідження було прийнято обґрунтоване рішення обмежити вибірку військовослужбовців із діагностованим посттравматичним стресовим розладом до 30 учасників. Такий розмір вибірки відповідає вимогам досліджень магістерського рівня, у яких пріоритет надається глибинному аналізу терапевтичної динаміки та контролю за однорідністю клінічних характеристик, а не масштабності вибірки.</w:t>
      </w:r>
    </w:p>
    <w:p w14:paraId="277D971D" w14:textId="77777777" w:rsidR="00B51242" w:rsidRDefault="008E4E86">
      <w:pPr>
        <w:overflowPunct w:val="0"/>
        <w:spacing w:line="360" w:lineRule="auto"/>
        <w:ind w:firstLine="850"/>
        <w:jc w:val="both"/>
        <w:outlineLvl w:val="1"/>
      </w:pPr>
      <w:r>
        <w:rPr>
          <w:sz w:val="28"/>
          <w:szCs w:val="28"/>
        </w:rPr>
        <w:t xml:space="preserve">Ключовим критерієм включення була наявність офіційно встановленого діагнозу ПТСР, що виключало можливість залучення осіб із самозаявленими симптомами без професійної діагностики. Додатковою умовою була відсутність коморбідних психічних розладів , оскільки їх наявність суттєво ускладнила б інтерпретацію результатів та вимагала б розширення терапевтичного протоколу. Коморбідність, зокрема депресивних чи соматоформних розладів, могла б виступати значущим модератором терапевтичного ефекту, що виходило б за межі дослідницьких завдань, поставлених у межах магістерської роботи. До того ж, формування вибірки за принципом максимальної однорідності дозволяє зосередити увагу на дослідженні ефективності інтегративного терапевтичного підходу саме щодо ПТСР, мінімізувати вплив сторонніх змінних і забезпечити більш точне інтерпретування отриманих результатів. </w:t>
      </w:r>
    </w:p>
    <w:p w14:paraId="69539267" w14:textId="77777777" w:rsidR="00B51242" w:rsidRDefault="008E4E86">
      <w:pPr>
        <w:overflowPunct w:val="0"/>
        <w:spacing w:line="360" w:lineRule="auto"/>
        <w:ind w:firstLine="850"/>
        <w:jc w:val="both"/>
        <w:outlineLvl w:val="1"/>
      </w:pPr>
      <w:r>
        <w:rPr>
          <w:sz w:val="28"/>
          <w:szCs w:val="28"/>
        </w:rPr>
        <w:t xml:space="preserve">У межах дослідження було встановлено вікові критерії добору учасників у діапазоні від 20 до 50 років включно. Попередній аналіз гендерних відмінностей, представлений у першому розділі, продемонстрував відсутність статистично значущого впливу гендеру на результати лікування. Відтак до вибірки було включено 20% жінок, що відповідає умовам формування репрезентативної групи без ризику викривлення даних. </w:t>
      </w:r>
    </w:p>
    <w:p w14:paraId="0B9F8904" w14:textId="77777777" w:rsidR="00B51242" w:rsidRDefault="008E4E86">
      <w:pPr>
        <w:overflowPunct w:val="0"/>
        <w:spacing w:line="360" w:lineRule="auto"/>
        <w:ind w:firstLine="850"/>
        <w:jc w:val="both"/>
        <w:outlineLvl w:val="1"/>
      </w:pPr>
      <w:r>
        <w:rPr>
          <w:sz w:val="28"/>
          <w:szCs w:val="28"/>
        </w:rPr>
        <w:t>Рекрутинг респондентів здійснювався шляхом використання наявної клієнтської бази, особистих контактів із військовослужбовцями, а також через повідомлення у соціальній мережі Instagram. Дослідження проводилося на базі Одеського національного медичного університету, на кафедрі психіатрії, в Центрі ментального та психічного здоров’я.</w:t>
      </w:r>
    </w:p>
    <w:p w14:paraId="427CA3F6" w14:textId="77777777" w:rsidR="00B51242" w:rsidRDefault="008E4E86">
      <w:pPr>
        <w:overflowPunct w:val="0"/>
        <w:spacing w:line="360" w:lineRule="auto"/>
        <w:ind w:firstLine="850"/>
        <w:jc w:val="both"/>
        <w:outlineLvl w:val="1"/>
      </w:pPr>
      <w:r>
        <w:rPr>
          <w:sz w:val="28"/>
          <w:szCs w:val="28"/>
        </w:rPr>
        <w:t>Слід підкреслити, що всі військовослужбовці, залучені до дослідження, висловили чітке бажання зберегти свою анонімність, що було повністю враховано під час організації та проведення дослідження.</w:t>
      </w:r>
      <w:r>
        <w:rPr>
          <w:rStyle w:val="InternetLink"/>
          <w:rFonts w:eastAsia="Calibri" w:cs="Times New Roman"/>
          <w:color w:val="000000"/>
          <w:sz w:val="28"/>
          <w:szCs w:val="28"/>
          <w:u w:val="none"/>
        </w:rPr>
        <w:t xml:space="preserve">                                             </w:t>
      </w:r>
    </w:p>
    <w:p w14:paraId="2A41425D" w14:textId="77777777" w:rsidR="00B51242" w:rsidRDefault="008E4E86">
      <w:pPr>
        <w:overflowPunct w:val="0"/>
        <w:spacing w:line="360" w:lineRule="auto"/>
        <w:ind w:firstLine="850"/>
        <w:jc w:val="both"/>
        <w:outlineLvl w:val="1"/>
      </w:pPr>
      <w:r>
        <w:rPr>
          <w:rStyle w:val="InternetLink"/>
          <w:rFonts w:eastAsia="Calibri" w:cs="Times New Roman"/>
          <w:color w:val="000000"/>
          <w:sz w:val="28"/>
          <w:szCs w:val="28"/>
          <w:u w:val="none"/>
        </w:rPr>
        <w:t>Беручи до уваги поширене негативне ставлення респондентів до психодіагностичних опитувальників, а також спираючись на особистий досвід роботи з військовослужбовцями, було враховано, що регулярне та надмірне заповнення тестів може призводити до формального ставлення, відповідно, до зниження достовірності отриманих даних. З огляду на це, при розробці інструментарію дослідження було застосовано принцип мінімізації тестового навантаження.</w:t>
      </w:r>
    </w:p>
    <w:p w14:paraId="3BF8CFFC" w14:textId="77777777" w:rsidR="00B51242" w:rsidRDefault="008E4E86">
      <w:pPr>
        <w:overflowPunct w:val="0"/>
        <w:spacing w:line="360" w:lineRule="auto"/>
        <w:ind w:firstLine="850"/>
        <w:jc w:val="both"/>
        <w:outlineLvl w:val="1"/>
      </w:pPr>
      <w:r>
        <w:rPr>
          <w:sz w:val="28"/>
          <w:szCs w:val="28"/>
        </w:rPr>
        <w:t>Відповідно до вимог Наказу Міністерства охорони здоров’я України від 19 липня 2024 року № 1265 щодо організації психічної допомоги та використання стандартизованих методів оцінювання, для дослідження були підібрані короткі, проте інформативні та валідні психодіагностичні інструменти. Такий підхід дозволив забезпечити баланс між науковою точністю та практичною доступністю для військовослужбовців, які часто перебувають у стані емоційного виснаження та мають обмежений ресурс уваги.</w:t>
      </w:r>
    </w:p>
    <w:p w14:paraId="29519AC7" w14:textId="77777777" w:rsidR="00B51242" w:rsidRDefault="008E4E86">
      <w:pPr>
        <w:overflowPunct w:val="0"/>
        <w:spacing w:line="360" w:lineRule="auto"/>
        <w:ind w:firstLine="850"/>
        <w:jc w:val="both"/>
        <w:outlineLvl w:val="1"/>
      </w:pPr>
      <w:r>
        <w:rPr>
          <w:sz w:val="28"/>
          <w:szCs w:val="28"/>
        </w:rPr>
        <w:t xml:space="preserve">З метою мінімізації ризику формального заповнення опитувальників учасникам було надано роз’яснення щодо важливості отримання достовірних відповідей як на початковому етапі тестування, так і під час повторних вимірів. Наголошувалося, що точність результатів безпосередньо впливає на якість інтерпретації даних і можливість коректного оцінювання динаміки психічного стану. </w:t>
      </w:r>
    </w:p>
    <w:p w14:paraId="6801477C" w14:textId="77777777" w:rsidR="00B51242" w:rsidRDefault="008E4E86">
      <w:pPr>
        <w:overflowPunct w:val="0"/>
        <w:spacing w:line="360" w:lineRule="auto"/>
        <w:ind w:firstLine="850"/>
        <w:jc w:val="both"/>
        <w:outlineLvl w:val="1"/>
      </w:pPr>
      <w:r>
        <w:rPr>
          <w:sz w:val="28"/>
          <w:szCs w:val="28"/>
        </w:rPr>
        <w:t>Для відстеження змін у симптоматиці посттравматичного стресового розладу було використано опитувальник PCL-5 (військову версію), який є також міжнародно визнаним інструментом для вимірювання тяжкості симптомів ПТСР і забезпечує високий рівень надійності у вибірках військових. Оскільки соціальна адаптація є ключовим компонентом відновлення військовослужбовців із ПТСР, було також прийнято рішення оцінити супутні порушення адаптації за допомогою шкали DASS-21. Даний інструмент дозволяє комплексно оцінити рівень депресії, тривоги та стресу, що є клінічно значущими компонентами психопатологічного профілю при ПТСР.</w:t>
      </w:r>
    </w:p>
    <w:p w14:paraId="5FB38DB1" w14:textId="77777777" w:rsidR="00B51242" w:rsidRDefault="008E4E86">
      <w:pPr>
        <w:overflowPunct w:val="0"/>
        <w:spacing w:line="360" w:lineRule="auto"/>
        <w:ind w:firstLine="850"/>
        <w:jc w:val="both"/>
        <w:outlineLvl w:val="1"/>
      </w:pPr>
      <w:r>
        <w:rPr>
          <w:sz w:val="28"/>
          <w:szCs w:val="28"/>
        </w:rPr>
        <w:t>Дослідження було структуровано на чотири послідовні етапи, кожен із яких відповідав логіці та змістовим вимогам плану занять, що забезпечило системність, поступовість та методологічну узгодженість проведеної роботи.</w:t>
      </w:r>
    </w:p>
    <w:p w14:paraId="48B8D6E8" w14:textId="77777777" w:rsidR="00B51242" w:rsidRDefault="008E4E86">
      <w:pPr>
        <w:overflowPunct w:val="0"/>
        <w:spacing w:line="360" w:lineRule="auto"/>
        <w:ind w:firstLine="737"/>
        <w:jc w:val="both"/>
        <w:outlineLvl w:val="1"/>
      </w:pPr>
      <w:r>
        <w:rPr>
          <w:rStyle w:val="StrongEmphasis"/>
          <w:color w:val="000000"/>
          <w:sz w:val="28"/>
          <w:szCs w:val="28"/>
        </w:rPr>
        <w:t>Етап 1. Стабілізація та фізіологічна регуляція (заняття 1).</w:t>
      </w:r>
    </w:p>
    <w:p w14:paraId="417B88FE" w14:textId="77777777" w:rsidR="00B51242" w:rsidRDefault="008E4E86">
      <w:pPr>
        <w:spacing w:line="360" w:lineRule="auto"/>
        <w:ind w:firstLine="737"/>
        <w:jc w:val="both"/>
      </w:pPr>
      <w:r>
        <w:rPr>
          <w:color w:val="000000"/>
          <w:sz w:val="28"/>
          <w:szCs w:val="28"/>
        </w:rPr>
        <w:t>Після знайомства та створення безпечного місця було проведено первинне інтерв'ю. Далі, з’ясування індивідуальних запитів та первинне занурення у метод інтегративної психокорекції. Під час первинної діагностики, було заповнено опитувальник PCL-5. Результата вказали на високий рівень посттравматичної симптоматики: усі учасники продемонстрували прояви гіперзбудження, уникання, нав’язливого відтворення травматичних подій та емоційної притупленості.</w:t>
      </w:r>
    </w:p>
    <w:p w14:paraId="523710C8" w14:textId="77777777" w:rsidR="00B51242" w:rsidRDefault="008E4E86">
      <w:pPr>
        <w:spacing w:line="360" w:lineRule="auto"/>
        <w:ind w:firstLine="850"/>
        <w:jc w:val="right"/>
        <w:rPr>
          <w:b/>
          <w:bCs/>
          <w:color w:val="000000"/>
          <w:sz w:val="28"/>
          <w:szCs w:val="28"/>
        </w:rPr>
      </w:pPr>
      <w:r>
        <w:rPr>
          <w:b/>
          <w:bCs/>
          <w:color w:val="000000"/>
          <w:sz w:val="28"/>
          <w:szCs w:val="28"/>
        </w:rPr>
        <w:t xml:space="preserve">                                                                                                </w:t>
      </w:r>
      <w:r>
        <w:rPr>
          <w:color w:val="000000"/>
          <w:sz w:val="28"/>
          <w:szCs w:val="28"/>
        </w:rPr>
        <w:t>Таблиця 4.1</w:t>
      </w:r>
    </w:p>
    <w:p w14:paraId="5166C551" w14:textId="77777777" w:rsidR="00B51242" w:rsidRDefault="008E4E86">
      <w:pPr>
        <w:spacing w:line="360" w:lineRule="auto"/>
        <w:ind w:firstLine="850"/>
        <w:jc w:val="both"/>
        <w:rPr>
          <w:b/>
          <w:bCs/>
          <w:color w:val="000000"/>
          <w:sz w:val="28"/>
          <w:szCs w:val="28"/>
        </w:rPr>
      </w:pPr>
      <w:r>
        <w:rPr>
          <w:color w:val="000000"/>
          <w:sz w:val="28"/>
          <w:szCs w:val="28"/>
        </w:rPr>
        <w:t xml:space="preserve">   Первинна діагностика за PCL-5 (військова версія)</w:t>
      </w:r>
    </w:p>
    <w:tbl>
      <w:tblPr>
        <w:tblW w:w="9638" w:type="dxa"/>
        <w:tblCellMar>
          <w:top w:w="55" w:type="dxa"/>
          <w:left w:w="55" w:type="dxa"/>
          <w:bottom w:w="55" w:type="dxa"/>
          <w:right w:w="55" w:type="dxa"/>
        </w:tblCellMar>
        <w:tblLook w:val="04A0" w:firstRow="1" w:lastRow="0" w:firstColumn="1" w:lastColumn="0" w:noHBand="0" w:noVBand="1"/>
      </w:tblPr>
      <w:tblGrid>
        <w:gridCol w:w="1578"/>
        <w:gridCol w:w="6766"/>
        <w:gridCol w:w="1294"/>
      </w:tblGrid>
      <w:tr w:rsidR="00B51242" w14:paraId="092E8D36" w14:textId="77777777">
        <w:tc>
          <w:tcPr>
            <w:tcW w:w="1578" w:type="dxa"/>
            <w:tcBorders>
              <w:top w:val="single" w:sz="2" w:space="0" w:color="000000"/>
              <w:left w:val="single" w:sz="2" w:space="0" w:color="000000"/>
              <w:bottom w:val="single" w:sz="2" w:space="0" w:color="000000"/>
            </w:tcBorders>
            <w:shd w:val="clear" w:color="auto" w:fill="auto"/>
          </w:tcPr>
          <w:p w14:paraId="5F71E0F0" w14:textId="77777777" w:rsidR="00B51242" w:rsidRDefault="008E4E86">
            <w:pPr>
              <w:pStyle w:val="3"/>
              <w:spacing w:before="0" w:after="0" w:line="360" w:lineRule="auto"/>
              <w:jc w:val="both"/>
            </w:pPr>
            <w:r>
              <w:t>Бали</w:t>
            </w:r>
          </w:p>
        </w:tc>
        <w:tc>
          <w:tcPr>
            <w:tcW w:w="6766" w:type="dxa"/>
            <w:tcBorders>
              <w:top w:val="single" w:sz="2" w:space="0" w:color="000000"/>
              <w:left w:val="single" w:sz="2" w:space="0" w:color="000000"/>
              <w:bottom w:val="single" w:sz="2" w:space="0" w:color="000000"/>
            </w:tcBorders>
            <w:shd w:val="clear" w:color="auto" w:fill="auto"/>
          </w:tcPr>
          <w:p w14:paraId="0445BD3A" w14:textId="77777777" w:rsidR="00B51242" w:rsidRDefault="008E4E86">
            <w:pPr>
              <w:pStyle w:val="3"/>
              <w:spacing w:before="0" w:after="0" w:line="360" w:lineRule="auto"/>
              <w:jc w:val="both"/>
            </w:pPr>
            <w:r>
              <w:t>Симптоми / рекомендації</w:t>
            </w:r>
          </w:p>
        </w:tc>
        <w:tc>
          <w:tcPr>
            <w:tcW w:w="1294" w:type="dxa"/>
            <w:tcBorders>
              <w:top w:val="single" w:sz="2" w:space="0" w:color="000000"/>
              <w:left w:val="single" w:sz="2" w:space="0" w:color="000000"/>
              <w:bottom w:val="single" w:sz="2" w:space="0" w:color="000000"/>
              <w:right w:val="single" w:sz="2" w:space="0" w:color="000000"/>
            </w:tcBorders>
            <w:shd w:val="clear" w:color="auto" w:fill="auto"/>
          </w:tcPr>
          <w:p w14:paraId="6FFADAC1" w14:textId="77777777" w:rsidR="00B51242" w:rsidRDefault="008E4E86">
            <w:pPr>
              <w:pStyle w:val="3"/>
              <w:spacing w:before="0" w:after="0" w:line="360" w:lineRule="auto"/>
              <w:jc w:val="both"/>
              <w:rPr>
                <w:sz w:val="26"/>
                <w:szCs w:val="26"/>
              </w:rPr>
            </w:pPr>
            <w:r>
              <w:rPr>
                <w:sz w:val="26"/>
                <w:szCs w:val="26"/>
              </w:rPr>
              <w:t>Кількість</w:t>
            </w:r>
          </w:p>
        </w:tc>
      </w:tr>
      <w:tr w:rsidR="00B51242" w14:paraId="654A6BF4" w14:textId="77777777">
        <w:tc>
          <w:tcPr>
            <w:tcW w:w="1578" w:type="dxa"/>
            <w:tcBorders>
              <w:left w:val="single" w:sz="2" w:space="0" w:color="000000"/>
              <w:bottom w:val="single" w:sz="2" w:space="0" w:color="000000"/>
            </w:tcBorders>
            <w:shd w:val="clear" w:color="auto" w:fill="auto"/>
          </w:tcPr>
          <w:p w14:paraId="649E5175" w14:textId="77777777" w:rsidR="00B51242" w:rsidRDefault="008E4E86">
            <w:pPr>
              <w:pStyle w:val="3"/>
              <w:spacing w:before="0" w:after="0" w:line="360" w:lineRule="auto"/>
              <w:jc w:val="both"/>
            </w:pPr>
            <w:r>
              <w:rPr>
                <w:rStyle w:val="StrongEmphasis"/>
              </w:rPr>
              <w:t xml:space="preserve">45-56 </w:t>
            </w:r>
          </w:p>
          <w:p w14:paraId="71CF991C" w14:textId="77777777" w:rsidR="00B51242" w:rsidRDefault="008E4E86">
            <w:pPr>
              <w:pStyle w:val="3"/>
              <w:spacing w:before="0" w:after="0" w:line="360" w:lineRule="auto"/>
              <w:jc w:val="both"/>
            </w:pPr>
            <w:r>
              <w:rPr>
                <w:rStyle w:val="StrongEmphasis"/>
              </w:rPr>
              <w:t>балів</w:t>
            </w:r>
          </w:p>
        </w:tc>
        <w:tc>
          <w:tcPr>
            <w:tcW w:w="6766" w:type="dxa"/>
            <w:tcBorders>
              <w:left w:val="single" w:sz="2" w:space="0" w:color="000000"/>
              <w:bottom w:val="single" w:sz="2" w:space="0" w:color="000000"/>
            </w:tcBorders>
            <w:shd w:val="clear" w:color="auto" w:fill="auto"/>
          </w:tcPr>
          <w:p w14:paraId="2143625D" w14:textId="77777777" w:rsidR="00B51242" w:rsidRDefault="008E4E86">
            <w:pPr>
              <w:pStyle w:val="3"/>
              <w:spacing w:before="0" w:after="0" w:line="360" w:lineRule="auto"/>
              <w:jc w:val="both"/>
            </w:pPr>
            <w:r>
              <w:rPr>
                <w:rStyle w:val="StrongEmphasis"/>
              </w:rPr>
              <w:t xml:space="preserve">Виражені симптоми ПТСР. </w:t>
            </w:r>
          </w:p>
          <w:p w14:paraId="2412BE9F" w14:textId="77777777" w:rsidR="00B51242" w:rsidRDefault="008E4E86">
            <w:pPr>
              <w:pStyle w:val="3"/>
              <w:spacing w:before="0" w:after="0" w:line="360" w:lineRule="auto"/>
              <w:jc w:val="both"/>
              <w:rPr>
                <w:b w:val="0"/>
                <w:bCs w:val="0"/>
              </w:rPr>
            </w:pPr>
            <w:r>
              <w:rPr>
                <w:b w:val="0"/>
                <w:bCs w:val="0"/>
              </w:rPr>
              <w:t>Симптоми стійкі та суттєво порушують повсякденне функціонування.</w:t>
            </w:r>
          </w:p>
          <w:p w14:paraId="597ECB55" w14:textId="77777777" w:rsidR="00B51242" w:rsidRDefault="008E4E86">
            <w:pPr>
              <w:pStyle w:val="3"/>
              <w:spacing w:before="0" w:after="0" w:line="360" w:lineRule="auto"/>
              <w:jc w:val="both"/>
            </w:pPr>
            <w:r>
              <w:t>Рекомендації:</w:t>
            </w:r>
          </w:p>
          <w:p w14:paraId="49E02ED9" w14:textId="77777777" w:rsidR="00B51242" w:rsidRDefault="008E4E86">
            <w:pPr>
              <w:pStyle w:val="3"/>
              <w:spacing w:before="0" w:after="0" w:line="360" w:lineRule="auto"/>
              <w:jc w:val="both"/>
              <w:rPr>
                <w:b w:val="0"/>
                <w:bCs w:val="0"/>
              </w:rPr>
            </w:pPr>
            <w:r>
              <w:rPr>
                <w:b w:val="0"/>
                <w:bCs w:val="0"/>
              </w:rPr>
              <w:t>- детальне обстеження;</w:t>
            </w:r>
          </w:p>
          <w:p w14:paraId="22E69A3F" w14:textId="77777777" w:rsidR="00B51242" w:rsidRDefault="008E4E86">
            <w:pPr>
              <w:pStyle w:val="3"/>
              <w:spacing w:before="0" w:after="0" w:line="360" w:lineRule="auto"/>
              <w:jc w:val="both"/>
              <w:rPr>
                <w:b w:val="0"/>
                <w:bCs w:val="0"/>
              </w:rPr>
            </w:pPr>
            <w:r>
              <w:rPr>
                <w:b w:val="0"/>
                <w:bCs w:val="0"/>
              </w:rPr>
              <w:t>- початок терапії (КПТ, TF-CBT, CPT, PE, EMDR);</w:t>
            </w:r>
          </w:p>
          <w:p w14:paraId="16F5AAC5" w14:textId="77777777" w:rsidR="00B51242" w:rsidRDefault="008E4E86">
            <w:pPr>
              <w:pStyle w:val="3"/>
              <w:spacing w:before="0" w:after="0" w:line="360" w:lineRule="auto"/>
              <w:jc w:val="both"/>
              <w:rPr>
                <w:b w:val="0"/>
                <w:bCs w:val="0"/>
              </w:rPr>
            </w:pPr>
            <w:r>
              <w:rPr>
                <w:b w:val="0"/>
                <w:bCs w:val="0"/>
              </w:rPr>
              <w:t>- оцінка коморбідних станів (депресія, тривога, стрес).</w:t>
            </w:r>
          </w:p>
        </w:tc>
        <w:tc>
          <w:tcPr>
            <w:tcW w:w="1294" w:type="dxa"/>
            <w:tcBorders>
              <w:left w:val="single" w:sz="2" w:space="0" w:color="000000"/>
              <w:bottom w:val="single" w:sz="2" w:space="0" w:color="000000"/>
              <w:right w:val="single" w:sz="2" w:space="0" w:color="000000"/>
            </w:tcBorders>
            <w:shd w:val="clear" w:color="auto" w:fill="auto"/>
          </w:tcPr>
          <w:p w14:paraId="64F47F41" w14:textId="77777777" w:rsidR="00B51242" w:rsidRDefault="008E4E86">
            <w:pPr>
              <w:pStyle w:val="3"/>
              <w:spacing w:before="0" w:after="0" w:line="360" w:lineRule="auto"/>
              <w:jc w:val="both"/>
            </w:pPr>
            <w:r>
              <w:rPr>
                <w:rStyle w:val="StrongEmphasis"/>
              </w:rPr>
              <w:t>62 %</w:t>
            </w:r>
          </w:p>
        </w:tc>
      </w:tr>
      <w:tr w:rsidR="00B51242" w14:paraId="7950E75F" w14:textId="77777777">
        <w:tc>
          <w:tcPr>
            <w:tcW w:w="1578" w:type="dxa"/>
            <w:tcBorders>
              <w:left w:val="single" w:sz="2" w:space="0" w:color="000000"/>
              <w:bottom w:val="single" w:sz="2" w:space="0" w:color="000000"/>
            </w:tcBorders>
            <w:shd w:val="clear" w:color="auto" w:fill="auto"/>
          </w:tcPr>
          <w:p w14:paraId="1CFEFCFA" w14:textId="77777777" w:rsidR="00B51242" w:rsidRDefault="008E4E86">
            <w:pPr>
              <w:pStyle w:val="3"/>
              <w:spacing w:line="360" w:lineRule="auto"/>
              <w:jc w:val="both"/>
            </w:pPr>
            <w:r>
              <w:rPr>
                <w:rStyle w:val="StrongEmphasis"/>
              </w:rPr>
              <w:t>57 +</w:t>
            </w:r>
          </w:p>
        </w:tc>
        <w:tc>
          <w:tcPr>
            <w:tcW w:w="6766" w:type="dxa"/>
            <w:tcBorders>
              <w:left w:val="single" w:sz="2" w:space="0" w:color="000000"/>
              <w:bottom w:val="single" w:sz="2" w:space="0" w:color="000000"/>
            </w:tcBorders>
            <w:shd w:val="clear" w:color="auto" w:fill="auto"/>
          </w:tcPr>
          <w:p w14:paraId="25157092" w14:textId="77777777" w:rsidR="00B51242" w:rsidRDefault="008E4E86">
            <w:pPr>
              <w:pStyle w:val="3"/>
              <w:spacing w:before="0" w:after="0" w:line="360" w:lineRule="auto"/>
              <w:jc w:val="both"/>
            </w:pPr>
            <w:r>
              <w:rPr>
                <w:rStyle w:val="StrongEmphasis"/>
              </w:rPr>
              <w:t>Тяжкий ПТСР - д</w:t>
            </w:r>
            <w:r>
              <w:t>уже висока інтенсивність симптоматики.</w:t>
            </w:r>
          </w:p>
          <w:p w14:paraId="1E7738D2" w14:textId="77777777" w:rsidR="00B51242" w:rsidRDefault="008E4E86">
            <w:pPr>
              <w:pStyle w:val="3"/>
              <w:spacing w:before="0" w:after="0" w:line="360" w:lineRule="auto"/>
              <w:jc w:val="both"/>
            </w:pPr>
            <w:r>
              <w:t xml:space="preserve">Ймовірні: </w:t>
            </w:r>
            <w:r>
              <w:rPr>
                <w:b w:val="0"/>
                <w:bCs w:val="0"/>
              </w:rPr>
              <w:t>дезадаптивні когніції, нічні кошмари, сильна гіпервозбудливість, значне уникнення, ризик виснаження, суїцидальні думки (не обов’язково, але підвищений ризик).</w:t>
            </w:r>
          </w:p>
          <w:p w14:paraId="14E952B0" w14:textId="77777777" w:rsidR="00B51242" w:rsidRDefault="008E4E86">
            <w:pPr>
              <w:pStyle w:val="3"/>
              <w:spacing w:before="0" w:after="0" w:line="360" w:lineRule="auto"/>
              <w:jc w:val="both"/>
            </w:pPr>
            <w:r>
              <w:t xml:space="preserve">Необхідне </w:t>
            </w:r>
            <w:r>
              <w:rPr>
                <w:rStyle w:val="StrongEmphasis"/>
                <w:b/>
                <w:bCs/>
              </w:rPr>
              <w:t>невідкладне втручання</w:t>
            </w:r>
            <w:r>
              <w:t>, серед якого:</w:t>
            </w:r>
          </w:p>
          <w:p w14:paraId="4933A0AA" w14:textId="77777777" w:rsidR="00B51242" w:rsidRDefault="008E4E86">
            <w:pPr>
              <w:pStyle w:val="3"/>
              <w:spacing w:before="0" w:after="0" w:line="360" w:lineRule="auto"/>
              <w:jc w:val="both"/>
              <w:rPr>
                <w:b w:val="0"/>
                <w:bCs w:val="0"/>
              </w:rPr>
            </w:pPr>
            <w:r>
              <w:rPr>
                <w:b w:val="0"/>
                <w:bCs w:val="0"/>
              </w:rPr>
              <w:t>- травмофокусована КПТ,</w:t>
            </w:r>
          </w:p>
          <w:p w14:paraId="23AE0460" w14:textId="77777777" w:rsidR="00B51242" w:rsidRDefault="008E4E86">
            <w:pPr>
              <w:pStyle w:val="3"/>
              <w:spacing w:before="0" w:after="0" w:line="360" w:lineRule="auto"/>
              <w:jc w:val="both"/>
              <w:rPr>
                <w:b w:val="0"/>
                <w:bCs w:val="0"/>
              </w:rPr>
            </w:pPr>
            <w:r>
              <w:rPr>
                <w:b w:val="0"/>
                <w:bCs w:val="0"/>
              </w:rPr>
              <w:t>- EMDR,</w:t>
            </w:r>
          </w:p>
          <w:p w14:paraId="6DE40A39" w14:textId="77777777" w:rsidR="00B51242" w:rsidRDefault="008E4E86">
            <w:pPr>
              <w:pStyle w:val="3"/>
              <w:spacing w:before="0" w:after="0" w:line="360" w:lineRule="auto"/>
              <w:jc w:val="both"/>
              <w:rPr>
                <w:b w:val="0"/>
                <w:bCs w:val="0"/>
              </w:rPr>
            </w:pPr>
            <w:r>
              <w:rPr>
                <w:b w:val="0"/>
                <w:bCs w:val="0"/>
              </w:rPr>
              <w:t>- стабілізаційна терапія,</w:t>
            </w:r>
          </w:p>
          <w:p w14:paraId="63C4762B" w14:textId="77777777" w:rsidR="00B51242" w:rsidRDefault="008E4E86">
            <w:pPr>
              <w:pStyle w:val="3"/>
              <w:spacing w:before="0" w:after="0" w:line="360" w:lineRule="auto"/>
              <w:jc w:val="both"/>
              <w:rPr>
                <w:b w:val="0"/>
                <w:bCs w:val="0"/>
              </w:rPr>
            </w:pPr>
            <w:r>
              <w:rPr>
                <w:b w:val="0"/>
                <w:bCs w:val="0"/>
              </w:rPr>
              <w:t>- медична консультація (за потреби).</w:t>
            </w:r>
          </w:p>
        </w:tc>
        <w:tc>
          <w:tcPr>
            <w:tcW w:w="1294" w:type="dxa"/>
            <w:tcBorders>
              <w:left w:val="single" w:sz="2" w:space="0" w:color="000000"/>
              <w:bottom w:val="single" w:sz="2" w:space="0" w:color="000000"/>
              <w:right w:val="single" w:sz="2" w:space="0" w:color="000000"/>
            </w:tcBorders>
            <w:shd w:val="clear" w:color="auto" w:fill="auto"/>
          </w:tcPr>
          <w:p w14:paraId="59A39CC1" w14:textId="77777777" w:rsidR="00B51242" w:rsidRDefault="008E4E86">
            <w:pPr>
              <w:spacing w:line="360" w:lineRule="auto"/>
              <w:rPr>
                <w:b/>
                <w:bCs/>
                <w:sz w:val="28"/>
                <w:szCs w:val="28"/>
              </w:rPr>
            </w:pPr>
            <w:r>
              <w:rPr>
                <w:b/>
                <w:bCs/>
                <w:sz w:val="28"/>
                <w:szCs w:val="28"/>
              </w:rPr>
              <w:t>38%</w:t>
            </w:r>
          </w:p>
        </w:tc>
      </w:tr>
    </w:tbl>
    <w:p w14:paraId="0DA123B1" w14:textId="77777777" w:rsidR="00B51242" w:rsidRDefault="00B51242">
      <w:pPr>
        <w:spacing w:line="360" w:lineRule="auto"/>
        <w:ind w:firstLine="850"/>
        <w:jc w:val="both"/>
        <w:rPr>
          <w:sz w:val="28"/>
          <w:szCs w:val="28"/>
        </w:rPr>
      </w:pPr>
    </w:p>
    <w:p w14:paraId="7E12F034" w14:textId="77777777" w:rsidR="00B51242" w:rsidRDefault="008E4E86">
      <w:pPr>
        <w:spacing w:line="360" w:lineRule="auto"/>
        <w:ind w:firstLine="737"/>
        <w:jc w:val="both"/>
      </w:pPr>
      <w:r>
        <w:rPr>
          <w:color w:val="000000"/>
          <w:sz w:val="28"/>
          <w:szCs w:val="28"/>
        </w:rPr>
        <w:t xml:space="preserve">Було надано перше домашнє завдання: антистресове дихання, м’язова релаксація та візуалізація «безпечного місця». </w:t>
      </w:r>
    </w:p>
    <w:p w14:paraId="2004506F" w14:textId="77777777" w:rsidR="00B51242" w:rsidRDefault="008E4E86">
      <w:pPr>
        <w:spacing w:line="360" w:lineRule="auto"/>
        <w:ind w:firstLine="737"/>
        <w:jc w:val="both"/>
      </w:pPr>
      <w:r>
        <w:rPr>
          <w:rStyle w:val="StrongEmphasis"/>
          <w:color w:val="000000"/>
          <w:sz w:val="28"/>
          <w:szCs w:val="28"/>
        </w:rPr>
        <w:t>Етап 2. Тренування уваги та мислення. Емоційна регуляція (заняття 2–3).</w:t>
      </w:r>
    </w:p>
    <w:p w14:paraId="0D9D1B37" w14:textId="77777777" w:rsidR="00B51242" w:rsidRDefault="008E4E86">
      <w:pPr>
        <w:spacing w:line="360" w:lineRule="auto"/>
        <w:ind w:firstLine="737"/>
        <w:jc w:val="both"/>
      </w:pPr>
      <w:r>
        <w:rPr>
          <w:rStyle w:val="StrongEmphasis"/>
          <w:b w:val="0"/>
          <w:bCs w:val="0"/>
          <w:color w:val="000000"/>
          <w:sz w:val="28"/>
          <w:szCs w:val="28"/>
        </w:rPr>
        <w:t>При перевірці домашнього завдання, за суб’єктивними звітами, учасники відзначали незначне зменшення фізичного напруження уже після першого блоку виконання вправ.</w:t>
      </w:r>
    </w:p>
    <w:p w14:paraId="1ED4B4B5" w14:textId="77777777" w:rsidR="00B51242" w:rsidRDefault="008E4E86">
      <w:pPr>
        <w:spacing w:line="360" w:lineRule="auto"/>
        <w:ind w:firstLine="737"/>
        <w:jc w:val="both"/>
      </w:pPr>
      <w:r>
        <w:rPr>
          <w:color w:val="000000"/>
          <w:sz w:val="28"/>
          <w:szCs w:val="28"/>
        </w:rPr>
        <w:t xml:space="preserve">Учасники дослідження були умовно поділені на дві групи з метою оптимізації обліку та порівняльного аналізу діагностичних показників. До </w:t>
      </w:r>
      <w:r>
        <w:rPr>
          <w:rStyle w:val="StrongEmphasis"/>
          <w:b w:val="0"/>
          <w:bCs w:val="0"/>
          <w:color w:val="000000"/>
          <w:sz w:val="28"/>
          <w:szCs w:val="28"/>
        </w:rPr>
        <w:t>групи №1</w:t>
      </w:r>
      <w:r>
        <w:rPr>
          <w:color w:val="000000"/>
          <w:sz w:val="28"/>
          <w:szCs w:val="28"/>
        </w:rPr>
        <w:t xml:space="preserve"> увійшли військовослужбовці з </w:t>
      </w:r>
      <w:r>
        <w:rPr>
          <w:rStyle w:val="StrongEmphasis"/>
          <w:b w:val="0"/>
          <w:bCs w:val="0"/>
          <w:color w:val="000000"/>
          <w:sz w:val="28"/>
          <w:szCs w:val="28"/>
        </w:rPr>
        <w:t>вираженими симптомами ПТСР</w:t>
      </w:r>
      <w:r>
        <w:rPr>
          <w:color w:val="000000"/>
          <w:sz w:val="28"/>
          <w:szCs w:val="28"/>
        </w:rPr>
        <w:t xml:space="preserve"> (у діапазоні </w:t>
      </w:r>
      <w:r>
        <w:rPr>
          <w:rStyle w:val="StrongEmphasis"/>
          <w:b w:val="0"/>
          <w:bCs w:val="0"/>
          <w:color w:val="000000"/>
          <w:sz w:val="28"/>
          <w:szCs w:val="28"/>
        </w:rPr>
        <w:t>45–56 балів</w:t>
      </w:r>
      <w:r>
        <w:rPr>
          <w:color w:val="000000"/>
          <w:sz w:val="28"/>
          <w:szCs w:val="28"/>
        </w:rPr>
        <w:t xml:space="preserve"> за шкалою), який відстежується у 62 % респондентів, тоді як </w:t>
      </w:r>
      <w:r>
        <w:rPr>
          <w:rStyle w:val="StrongEmphasis"/>
          <w:b w:val="0"/>
          <w:bCs w:val="0"/>
          <w:color w:val="000000"/>
          <w:sz w:val="28"/>
          <w:szCs w:val="28"/>
        </w:rPr>
        <w:t>група №2</w:t>
      </w:r>
      <w:r>
        <w:rPr>
          <w:color w:val="000000"/>
          <w:sz w:val="28"/>
          <w:szCs w:val="28"/>
        </w:rPr>
        <w:t xml:space="preserve"> включала учасників із </w:t>
      </w:r>
      <w:r>
        <w:rPr>
          <w:rStyle w:val="StrongEmphasis"/>
          <w:b w:val="0"/>
          <w:bCs w:val="0"/>
          <w:color w:val="000000"/>
          <w:sz w:val="28"/>
          <w:szCs w:val="28"/>
        </w:rPr>
        <w:t>тяжким ступенем ПТСР</w:t>
      </w:r>
      <w:r>
        <w:rPr>
          <w:color w:val="000000"/>
          <w:sz w:val="28"/>
          <w:szCs w:val="28"/>
        </w:rPr>
        <w:t xml:space="preserve"> (показники </w:t>
      </w:r>
      <w:r>
        <w:rPr>
          <w:rStyle w:val="StrongEmphasis"/>
          <w:b w:val="0"/>
          <w:bCs w:val="0"/>
          <w:color w:val="000000"/>
          <w:sz w:val="28"/>
          <w:szCs w:val="28"/>
        </w:rPr>
        <w:t>57 балів і вище), який відстежується у 38 % респондентів</w:t>
      </w:r>
      <w:r>
        <w:rPr>
          <w:color w:val="000000"/>
          <w:sz w:val="28"/>
          <w:szCs w:val="28"/>
        </w:rPr>
        <w:t>. Такий поділ забезпечив можливість диференційованої інтерпретації результатів та підвищив точність подальшого аналізу.</w:t>
      </w:r>
    </w:p>
    <w:p w14:paraId="61752E6C" w14:textId="77777777" w:rsidR="00B51242" w:rsidRDefault="008E4E86">
      <w:pPr>
        <w:spacing w:line="360" w:lineRule="auto"/>
        <w:ind w:firstLine="737"/>
        <w:jc w:val="both"/>
      </w:pPr>
      <w:r>
        <w:rPr>
          <w:color w:val="000000"/>
          <w:sz w:val="28"/>
          <w:szCs w:val="28"/>
        </w:rPr>
        <w:t>На цьому етапі діагностика показала:</w:t>
      </w:r>
    </w:p>
    <w:p w14:paraId="28B1C749" w14:textId="77777777" w:rsidR="00B51242" w:rsidRDefault="008E4E86">
      <w:pPr>
        <w:spacing w:line="360" w:lineRule="auto"/>
        <w:ind w:firstLine="850"/>
        <w:jc w:val="right"/>
      </w:pPr>
      <w:r>
        <w:rPr>
          <w:color w:val="000000"/>
          <w:sz w:val="28"/>
          <w:szCs w:val="28"/>
        </w:rPr>
        <w:t xml:space="preserve">                                                                                                 Діаграма 4.2                  </w:t>
      </w:r>
    </w:p>
    <w:p w14:paraId="3D589FFB" w14:textId="77777777" w:rsidR="00B51242" w:rsidRDefault="008E4E86">
      <w:pPr>
        <w:spacing w:line="360" w:lineRule="auto"/>
        <w:jc w:val="center"/>
        <w:rPr>
          <w:b/>
          <w:bCs/>
          <w:color w:val="000000"/>
          <w:sz w:val="28"/>
          <w:szCs w:val="28"/>
        </w:rPr>
      </w:pPr>
      <w:r>
        <w:rPr>
          <w:color w:val="000000"/>
          <w:sz w:val="28"/>
          <w:szCs w:val="28"/>
        </w:rPr>
        <w:t>Первинна діагностика за DASS-21 групи №1 (виражені симптоми)</w:t>
      </w:r>
    </w:p>
    <w:p w14:paraId="18EC0DFD" w14:textId="77777777" w:rsidR="00B51242" w:rsidRDefault="008E4E86">
      <w:pPr>
        <w:spacing w:line="360" w:lineRule="auto"/>
        <w:jc w:val="both"/>
      </w:pPr>
      <w:r>
        <w:rPr>
          <w:noProof/>
        </w:rPr>
        <w:drawing>
          <wp:inline distT="0" distB="0" distL="0" distR="0" wp14:anchorId="13CC1329" wp14:editId="07777777">
            <wp:extent cx="4404360" cy="323977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Pr>
          <w:color w:val="000000"/>
          <w:sz w:val="28"/>
          <w:szCs w:val="28"/>
        </w:rPr>
        <w:t xml:space="preserve">                                  </w:t>
      </w:r>
    </w:p>
    <w:p w14:paraId="3CD74E44" w14:textId="77777777" w:rsidR="00B51242" w:rsidRDefault="008E4E86">
      <w:pPr>
        <w:spacing w:line="360" w:lineRule="auto"/>
        <w:jc w:val="right"/>
      </w:pPr>
      <w:r>
        <w:rPr>
          <w:color w:val="000000"/>
          <w:sz w:val="28"/>
          <w:szCs w:val="28"/>
        </w:rPr>
        <w:t>Діаграма 4.3</w:t>
      </w:r>
    </w:p>
    <w:p w14:paraId="38B05DEA" w14:textId="77777777" w:rsidR="00B51242" w:rsidRDefault="008E4E86">
      <w:pPr>
        <w:spacing w:line="360" w:lineRule="auto"/>
        <w:jc w:val="center"/>
        <w:rPr>
          <w:b/>
          <w:bCs/>
          <w:color w:val="000000"/>
          <w:sz w:val="28"/>
          <w:szCs w:val="28"/>
        </w:rPr>
      </w:pPr>
      <w:r>
        <w:rPr>
          <w:color w:val="000000"/>
          <w:sz w:val="28"/>
          <w:szCs w:val="28"/>
        </w:rPr>
        <w:t>Первинна діагностика за DASS-21 групи №2 (тяжкий ступінь ПТСР)</w:t>
      </w:r>
    </w:p>
    <w:p w14:paraId="5C9C294A" w14:textId="77777777" w:rsidR="00B51242" w:rsidRDefault="008E4E86">
      <w:pPr>
        <w:spacing w:line="360" w:lineRule="auto"/>
        <w:jc w:val="both"/>
      </w:pPr>
      <w:r>
        <w:rPr>
          <w:noProof/>
        </w:rPr>
        <w:drawing>
          <wp:inline distT="0" distB="0" distL="0" distR="0" wp14:anchorId="685B3F68" wp14:editId="07777777">
            <wp:extent cx="4404360" cy="3239770"/>
            <wp:effectExtent l="0" t="0" r="0" b="0"/>
            <wp:docPr id="3" nam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pic:cNvPicPr>
                      <a:picLocks noChangeAspect="1" noChangeArrowheads="1"/>
                    </pic:cNvPicPr>
                  </pic:nvPicPr>
                  <pic:blipFill>
                    <a:blip r:embed="rId10"/>
                    <a:stretch>
                      <a:fillRect/>
                    </a:stretch>
                  </pic:blipFill>
                  <pic:spPr bwMode="auto">
                    <a:xfrm>
                      <a:off x="0" y="0"/>
                      <a:ext cx="4404360" cy="3239770"/>
                    </a:xfrm>
                    <a:prstGeom prst="rect">
                      <a:avLst/>
                    </a:prstGeom>
                  </pic:spPr>
                </pic:pic>
              </a:graphicData>
            </a:graphic>
          </wp:inline>
        </w:drawing>
      </w:r>
      <w:r>
        <w:rPr>
          <w:color w:val="000000"/>
          <w:sz w:val="28"/>
          <w:szCs w:val="28"/>
        </w:rPr>
        <w:t xml:space="preserve">                                 </w:t>
      </w:r>
    </w:p>
    <w:p w14:paraId="4C4CEA3D" w14:textId="77777777" w:rsidR="00B51242" w:rsidRDefault="00B51242">
      <w:pPr>
        <w:tabs>
          <w:tab w:val="left" w:pos="791"/>
        </w:tabs>
        <w:spacing w:line="360" w:lineRule="auto"/>
        <w:ind w:firstLine="850"/>
        <w:jc w:val="both"/>
      </w:pPr>
    </w:p>
    <w:p w14:paraId="08A695E8" w14:textId="77777777" w:rsidR="00B51242" w:rsidRDefault="008E4E86">
      <w:pPr>
        <w:tabs>
          <w:tab w:val="left" w:pos="791"/>
        </w:tabs>
        <w:spacing w:line="360" w:lineRule="auto"/>
        <w:ind w:firstLine="737"/>
        <w:jc w:val="both"/>
      </w:pPr>
      <w:r>
        <w:rPr>
          <w:color w:val="000000"/>
          <w:sz w:val="28"/>
          <w:szCs w:val="28"/>
        </w:rPr>
        <w:t xml:space="preserve">Під час психоосвіти учасники отримали інформацію про природу ПТСР, механізми формування автоматичних думок та їхній вплив на емоційні реакції.  </w:t>
      </w:r>
    </w:p>
    <w:p w14:paraId="5CE0CC7E" w14:textId="77777777" w:rsidR="00B51242" w:rsidRDefault="008E4E86">
      <w:pPr>
        <w:tabs>
          <w:tab w:val="left" w:pos="791"/>
        </w:tabs>
        <w:spacing w:line="360" w:lineRule="auto"/>
        <w:ind w:firstLine="737"/>
        <w:jc w:val="both"/>
      </w:pPr>
      <w:r>
        <w:rPr>
          <w:color w:val="000000"/>
          <w:sz w:val="28"/>
          <w:szCs w:val="28"/>
        </w:rPr>
        <w:t>Практичні вправи включали:</w:t>
      </w:r>
    </w:p>
    <w:p w14:paraId="5F11A343" w14:textId="77777777" w:rsidR="00B51242" w:rsidRDefault="008E4E86">
      <w:pPr>
        <w:numPr>
          <w:ilvl w:val="0"/>
          <w:numId w:val="2"/>
        </w:numPr>
        <w:tabs>
          <w:tab w:val="clear" w:pos="707"/>
          <w:tab w:val="left" w:pos="0"/>
        </w:tabs>
        <w:spacing w:line="360" w:lineRule="auto"/>
        <w:jc w:val="both"/>
        <w:rPr>
          <w:color w:val="000000"/>
          <w:sz w:val="28"/>
          <w:szCs w:val="28"/>
        </w:rPr>
      </w:pPr>
      <w:r>
        <w:rPr>
          <w:color w:val="000000"/>
          <w:sz w:val="28"/>
          <w:szCs w:val="28"/>
        </w:rPr>
        <w:t>виявлення автоматичних думок,</w:t>
      </w:r>
    </w:p>
    <w:p w14:paraId="60ED85F1" w14:textId="77777777" w:rsidR="00B51242" w:rsidRDefault="008E4E86">
      <w:pPr>
        <w:numPr>
          <w:ilvl w:val="0"/>
          <w:numId w:val="2"/>
        </w:numPr>
        <w:tabs>
          <w:tab w:val="clear" w:pos="707"/>
          <w:tab w:val="left" w:pos="0"/>
        </w:tabs>
        <w:spacing w:line="360" w:lineRule="auto"/>
        <w:jc w:val="both"/>
        <w:rPr>
          <w:color w:val="000000"/>
          <w:sz w:val="28"/>
          <w:szCs w:val="28"/>
        </w:rPr>
      </w:pPr>
      <w:r>
        <w:rPr>
          <w:color w:val="000000"/>
          <w:sz w:val="28"/>
          <w:szCs w:val="28"/>
        </w:rPr>
        <w:t>техніку «уповільнення думок»,</w:t>
      </w:r>
    </w:p>
    <w:p w14:paraId="2F1496F2" w14:textId="77777777" w:rsidR="00B51242" w:rsidRDefault="008E4E86">
      <w:pPr>
        <w:numPr>
          <w:ilvl w:val="0"/>
          <w:numId w:val="2"/>
        </w:numPr>
        <w:tabs>
          <w:tab w:val="clear" w:pos="707"/>
          <w:tab w:val="left" w:pos="0"/>
        </w:tabs>
        <w:spacing w:line="360" w:lineRule="auto"/>
        <w:jc w:val="both"/>
        <w:rPr>
          <w:color w:val="000000"/>
          <w:sz w:val="28"/>
          <w:szCs w:val="28"/>
        </w:rPr>
      </w:pPr>
      <w:r>
        <w:rPr>
          <w:color w:val="000000"/>
          <w:sz w:val="28"/>
          <w:szCs w:val="28"/>
        </w:rPr>
        <w:t>техніку «заземлення» 5-4-3-2-1,</w:t>
      </w:r>
    </w:p>
    <w:p w14:paraId="2C1565D2" w14:textId="77777777" w:rsidR="00B51242" w:rsidRDefault="008E4E86">
      <w:pPr>
        <w:numPr>
          <w:ilvl w:val="0"/>
          <w:numId w:val="2"/>
        </w:numPr>
        <w:tabs>
          <w:tab w:val="clear" w:pos="707"/>
          <w:tab w:val="left" w:pos="0"/>
        </w:tabs>
        <w:spacing w:line="360" w:lineRule="auto"/>
        <w:jc w:val="both"/>
        <w:rPr>
          <w:color w:val="000000"/>
          <w:sz w:val="28"/>
          <w:szCs w:val="28"/>
        </w:rPr>
      </w:pPr>
      <w:r>
        <w:rPr>
          <w:color w:val="000000"/>
          <w:sz w:val="28"/>
          <w:szCs w:val="28"/>
        </w:rPr>
        <w:t>роботу з когнітивними спотвореннями.</w:t>
      </w:r>
    </w:p>
    <w:p w14:paraId="0DF23173" w14:textId="77777777" w:rsidR="00B51242" w:rsidRDefault="008E4E86">
      <w:pPr>
        <w:pStyle w:val="2"/>
        <w:spacing w:before="0" w:after="0" w:line="360" w:lineRule="auto"/>
        <w:ind w:firstLine="737"/>
        <w:jc w:val="both"/>
      </w:pPr>
      <w:r>
        <w:rPr>
          <w:rStyle w:val="StrongEmphasis"/>
          <w:color w:val="000000"/>
          <w:sz w:val="28"/>
          <w:szCs w:val="28"/>
        </w:rPr>
        <w:t>Етап 3. Робота з переконаннями та когнітивна реструктуризація (заняття 4–5)</w:t>
      </w:r>
    </w:p>
    <w:p w14:paraId="0166A6CF" w14:textId="77777777" w:rsidR="00B51242" w:rsidRDefault="008E4E86">
      <w:pPr>
        <w:pStyle w:val="2"/>
        <w:spacing w:before="0" w:after="0" w:line="360" w:lineRule="auto"/>
        <w:ind w:firstLine="737"/>
        <w:jc w:val="both"/>
      </w:pPr>
      <w:r>
        <w:rPr>
          <w:b w:val="0"/>
          <w:bCs w:val="0"/>
          <w:color w:val="000000"/>
          <w:sz w:val="28"/>
          <w:szCs w:val="28"/>
        </w:rPr>
        <w:t>До початку четвертого заняття учасники демонстрували більш точну самоідентифікацію емоцій, зниження інтенсивності негативних реакцій та зменшення уникальної поведінки.</w:t>
      </w:r>
      <w:r>
        <w:rPr>
          <w:b w:val="0"/>
          <w:bCs w:val="0"/>
          <w:color w:val="C9211E"/>
          <w:sz w:val="28"/>
          <w:szCs w:val="28"/>
        </w:rPr>
        <w:t xml:space="preserve"> </w:t>
      </w:r>
    </w:p>
    <w:p w14:paraId="645897EC" w14:textId="77777777" w:rsidR="00B51242" w:rsidRDefault="008E4E86">
      <w:pPr>
        <w:pStyle w:val="2"/>
        <w:spacing w:before="0" w:after="0" w:line="360" w:lineRule="auto"/>
        <w:ind w:firstLine="737"/>
        <w:jc w:val="both"/>
        <w:rPr>
          <w:b w:val="0"/>
          <w:bCs w:val="0"/>
        </w:rPr>
      </w:pPr>
      <w:r>
        <w:rPr>
          <w:b w:val="0"/>
          <w:bCs w:val="0"/>
          <w:color w:val="000000"/>
          <w:sz w:val="28"/>
          <w:szCs w:val="28"/>
        </w:rPr>
        <w:t>Далі учасники почали опанувати техніку ABC (A — ситуація, B — переконання, C — наслідок) та розширений варіант ABCDE, що передбачає дискусію та ефективну альтернативу. На прикладі власних травматичних ситуацій військовослужбовці формували альтернативні інтерпретації, що знижували рівень самозвинувачення, сорому та фаталістичних переконань.</w:t>
      </w:r>
    </w:p>
    <w:p w14:paraId="7C993C3C" w14:textId="77777777" w:rsidR="00B51242" w:rsidRDefault="008E4E86">
      <w:pPr>
        <w:spacing w:line="360" w:lineRule="auto"/>
        <w:ind w:firstLine="737"/>
        <w:jc w:val="both"/>
      </w:pPr>
      <w:r>
        <w:rPr>
          <w:color w:val="000000"/>
          <w:sz w:val="28"/>
          <w:szCs w:val="28"/>
        </w:rPr>
        <w:t>На цьому етапі спостерігалося:</w:t>
      </w:r>
    </w:p>
    <w:p w14:paraId="1AA840F6" w14:textId="77777777" w:rsidR="00B51242" w:rsidRDefault="008E4E86">
      <w:pPr>
        <w:numPr>
          <w:ilvl w:val="0"/>
          <w:numId w:val="3"/>
        </w:numPr>
        <w:tabs>
          <w:tab w:val="clear" w:pos="707"/>
          <w:tab w:val="left" w:pos="0"/>
        </w:tabs>
        <w:spacing w:line="360" w:lineRule="auto"/>
        <w:jc w:val="both"/>
        <w:rPr>
          <w:color w:val="000000"/>
          <w:sz w:val="28"/>
          <w:szCs w:val="28"/>
        </w:rPr>
      </w:pPr>
      <w:r>
        <w:rPr>
          <w:color w:val="000000"/>
          <w:sz w:val="28"/>
          <w:szCs w:val="28"/>
        </w:rPr>
        <w:t>підвищення логічності та реалістичності мислення,</w:t>
      </w:r>
    </w:p>
    <w:p w14:paraId="42F8399E" w14:textId="77777777" w:rsidR="00B51242" w:rsidRDefault="008E4E86">
      <w:pPr>
        <w:numPr>
          <w:ilvl w:val="0"/>
          <w:numId w:val="3"/>
        </w:numPr>
        <w:tabs>
          <w:tab w:val="clear" w:pos="707"/>
          <w:tab w:val="left" w:pos="0"/>
        </w:tabs>
        <w:spacing w:line="360" w:lineRule="auto"/>
        <w:jc w:val="both"/>
        <w:rPr>
          <w:color w:val="000000"/>
          <w:sz w:val="28"/>
          <w:szCs w:val="28"/>
        </w:rPr>
      </w:pPr>
      <w:r>
        <w:rPr>
          <w:color w:val="000000"/>
          <w:sz w:val="28"/>
          <w:szCs w:val="28"/>
        </w:rPr>
        <w:t>формування навичок критичного аналізу негативних автоматичних думок,</w:t>
      </w:r>
    </w:p>
    <w:p w14:paraId="0D0616A3" w14:textId="77777777" w:rsidR="00B51242" w:rsidRDefault="008E4E86">
      <w:pPr>
        <w:numPr>
          <w:ilvl w:val="0"/>
          <w:numId w:val="3"/>
        </w:numPr>
        <w:tabs>
          <w:tab w:val="clear" w:pos="707"/>
          <w:tab w:val="left" w:pos="0"/>
        </w:tabs>
        <w:spacing w:line="360" w:lineRule="auto"/>
        <w:jc w:val="both"/>
        <w:rPr>
          <w:color w:val="000000"/>
          <w:sz w:val="28"/>
          <w:szCs w:val="28"/>
        </w:rPr>
      </w:pPr>
      <w:r>
        <w:rPr>
          <w:color w:val="000000"/>
          <w:sz w:val="28"/>
          <w:szCs w:val="28"/>
        </w:rPr>
        <w:t>зниження інтенсивності емоційних реакцій на тригерні стимули.</w:t>
      </w:r>
    </w:p>
    <w:p w14:paraId="5184A3BA" w14:textId="77777777" w:rsidR="00B51242" w:rsidRDefault="008E4E86">
      <w:pPr>
        <w:pStyle w:val="2"/>
        <w:spacing w:line="360" w:lineRule="auto"/>
        <w:ind w:firstLine="737"/>
        <w:jc w:val="both"/>
      </w:pPr>
      <w:r>
        <w:rPr>
          <w:rStyle w:val="StrongEmphasis"/>
          <w:color w:val="000000"/>
          <w:sz w:val="28"/>
          <w:szCs w:val="28"/>
        </w:rPr>
        <w:t>Етап 4. Експозиційна терапія, поведінкові експерименти та елементи EMDR (заняття 6–7)</w:t>
      </w:r>
    </w:p>
    <w:p w14:paraId="25E36FAF" w14:textId="77777777" w:rsidR="00B51242" w:rsidRDefault="008E4E86">
      <w:pPr>
        <w:spacing w:line="360" w:lineRule="auto"/>
        <w:ind w:firstLine="737"/>
        <w:jc w:val="both"/>
      </w:pPr>
      <w:r>
        <w:rPr>
          <w:color w:val="000000"/>
          <w:sz w:val="28"/>
          <w:szCs w:val="28"/>
        </w:rPr>
        <w:t>Цей етап був найінтенсивнішим у терапевтичному плані. Військовослужбовці  виконували контрольовані експозиції до травматичних спогадів, що дало можливість зменшити їхню емоційну насиченість.</w:t>
      </w:r>
    </w:p>
    <w:p w14:paraId="2E49458E" w14:textId="77777777" w:rsidR="00B51242" w:rsidRDefault="008E4E86">
      <w:pPr>
        <w:spacing w:line="360" w:lineRule="auto"/>
        <w:jc w:val="both"/>
        <w:rPr>
          <w:color w:val="000000"/>
          <w:sz w:val="28"/>
          <w:szCs w:val="28"/>
        </w:rPr>
      </w:pPr>
      <w:r>
        <w:rPr>
          <w:color w:val="000000"/>
          <w:sz w:val="28"/>
          <w:szCs w:val="28"/>
        </w:rPr>
        <w:t>Під час роботи з елементами EMDR використовувалися:</w:t>
      </w:r>
    </w:p>
    <w:p w14:paraId="382F68DE" w14:textId="77777777" w:rsidR="00B51242" w:rsidRDefault="008E4E86">
      <w:pPr>
        <w:numPr>
          <w:ilvl w:val="0"/>
          <w:numId w:val="4"/>
        </w:numPr>
        <w:tabs>
          <w:tab w:val="clear" w:pos="707"/>
          <w:tab w:val="left" w:pos="0"/>
        </w:tabs>
        <w:spacing w:line="360" w:lineRule="auto"/>
        <w:jc w:val="both"/>
        <w:rPr>
          <w:color w:val="000000"/>
          <w:sz w:val="28"/>
          <w:szCs w:val="28"/>
        </w:rPr>
      </w:pPr>
      <w:r>
        <w:rPr>
          <w:color w:val="000000"/>
          <w:sz w:val="28"/>
          <w:szCs w:val="28"/>
        </w:rPr>
        <w:t>білатеральні рухи очей,</w:t>
      </w:r>
    </w:p>
    <w:p w14:paraId="25840C7D" w14:textId="77777777" w:rsidR="00B51242" w:rsidRDefault="008E4E86">
      <w:pPr>
        <w:numPr>
          <w:ilvl w:val="0"/>
          <w:numId w:val="4"/>
        </w:numPr>
        <w:tabs>
          <w:tab w:val="clear" w:pos="707"/>
          <w:tab w:val="left" w:pos="0"/>
        </w:tabs>
        <w:spacing w:line="360" w:lineRule="auto"/>
        <w:jc w:val="both"/>
        <w:rPr>
          <w:color w:val="000000"/>
          <w:sz w:val="28"/>
          <w:szCs w:val="28"/>
        </w:rPr>
      </w:pPr>
      <w:r>
        <w:rPr>
          <w:color w:val="000000"/>
          <w:sz w:val="28"/>
          <w:szCs w:val="28"/>
        </w:rPr>
        <w:t>техніка десенсибілізації,</w:t>
      </w:r>
    </w:p>
    <w:p w14:paraId="27B37229" w14:textId="77777777" w:rsidR="00B51242" w:rsidRDefault="008E4E86">
      <w:pPr>
        <w:numPr>
          <w:ilvl w:val="0"/>
          <w:numId w:val="4"/>
        </w:numPr>
        <w:tabs>
          <w:tab w:val="clear" w:pos="707"/>
          <w:tab w:val="left" w:pos="0"/>
        </w:tabs>
        <w:spacing w:line="360" w:lineRule="auto"/>
        <w:jc w:val="both"/>
      </w:pPr>
      <w:r>
        <w:rPr>
          <w:color w:val="000000"/>
          <w:sz w:val="28"/>
          <w:szCs w:val="28"/>
        </w:rPr>
        <w:t>формування ресурсного образу.</w:t>
      </w:r>
    </w:p>
    <w:p w14:paraId="29C6C189" w14:textId="77777777" w:rsidR="00B51242" w:rsidRDefault="008E4E86">
      <w:pPr>
        <w:spacing w:line="360" w:lineRule="auto"/>
        <w:ind w:firstLine="794"/>
        <w:jc w:val="both"/>
      </w:pPr>
      <w:r>
        <w:rPr>
          <w:color w:val="000000"/>
          <w:sz w:val="28"/>
          <w:szCs w:val="28"/>
        </w:rPr>
        <w:t>Поведінкові експерименти допомогли учасникам перевірити на практиці неадаптивні переконання («я не впораюсь», «мені загрожує небезпека»), що сприяло поступовому зниженню уникання.</w:t>
      </w:r>
    </w:p>
    <w:p w14:paraId="786157C8" w14:textId="77777777" w:rsidR="00B51242" w:rsidRDefault="008E4E86">
      <w:pPr>
        <w:spacing w:line="360" w:lineRule="auto"/>
        <w:ind w:firstLine="737"/>
        <w:jc w:val="both"/>
      </w:pPr>
      <w:r>
        <w:rPr>
          <w:color w:val="000000"/>
          <w:sz w:val="28"/>
          <w:szCs w:val="28"/>
        </w:rPr>
        <w:t>Повторна діагностика після сьомого заняття показала значні покращення:</w:t>
      </w:r>
    </w:p>
    <w:p w14:paraId="64C7F681" w14:textId="77777777" w:rsidR="00B51242" w:rsidRDefault="008E4E86">
      <w:pPr>
        <w:spacing w:line="360" w:lineRule="auto"/>
        <w:ind w:firstLine="850"/>
        <w:jc w:val="both"/>
      </w:pPr>
      <w:r>
        <w:rPr>
          <w:color w:val="000000"/>
          <w:sz w:val="28"/>
          <w:szCs w:val="28"/>
        </w:rPr>
        <w:t>-зниження показників за PCL-5 на 10</w:t>
      </w:r>
      <w:r>
        <w:rPr>
          <w:rStyle w:val="StrongEmphasis"/>
          <w:b w:val="0"/>
          <w:bCs w:val="0"/>
          <w:color w:val="000000"/>
          <w:sz w:val="28"/>
          <w:szCs w:val="28"/>
        </w:rPr>
        <w:t>-15 балів,</w:t>
      </w:r>
      <w:r>
        <w:rPr>
          <w:rStyle w:val="StrongEmphasis"/>
          <w:color w:val="000000"/>
          <w:sz w:val="28"/>
          <w:szCs w:val="28"/>
        </w:rPr>
        <w:t xml:space="preserve"> </w:t>
      </w:r>
      <w:r>
        <w:rPr>
          <w:rStyle w:val="StrongEmphasis"/>
          <w:b w:val="0"/>
          <w:bCs w:val="0"/>
          <w:color w:val="000000"/>
          <w:sz w:val="28"/>
          <w:szCs w:val="28"/>
        </w:rPr>
        <w:t>що</w:t>
      </w:r>
      <w:r>
        <w:rPr>
          <w:color w:val="000000"/>
          <w:sz w:val="28"/>
          <w:szCs w:val="28"/>
        </w:rPr>
        <w:t xml:space="preserve"> свідчить про виражений терапевтичний ефект.</w:t>
      </w:r>
    </w:p>
    <w:p w14:paraId="0AC9E806" w14:textId="77777777" w:rsidR="00B51242" w:rsidRDefault="008E4E86">
      <w:pPr>
        <w:spacing w:line="360" w:lineRule="auto"/>
        <w:ind w:firstLine="850"/>
        <w:jc w:val="both"/>
      </w:pPr>
      <w:r>
        <w:rPr>
          <w:color w:val="000000"/>
          <w:sz w:val="28"/>
          <w:szCs w:val="28"/>
        </w:rPr>
        <w:t>- покращення за DASS-21 також були стабільними: депресія ↓ на 2–5, бали, тривога ↓ на 3–4 бали, стрес ↓ на 3–4 бали.</w:t>
      </w:r>
    </w:p>
    <w:p w14:paraId="07E881E7" w14:textId="77777777" w:rsidR="00B51242" w:rsidRDefault="008E4E86">
      <w:pPr>
        <w:spacing w:line="360" w:lineRule="auto"/>
        <w:jc w:val="right"/>
        <w:rPr>
          <w:b/>
          <w:bCs/>
          <w:color w:val="000000"/>
          <w:sz w:val="28"/>
          <w:szCs w:val="28"/>
        </w:rPr>
      </w:pPr>
      <w:r>
        <w:rPr>
          <w:color w:val="000000"/>
          <w:sz w:val="28"/>
          <w:szCs w:val="28"/>
        </w:rPr>
        <w:t>Таблиця 4.4</w:t>
      </w:r>
    </w:p>
    <w:p w14:paraId="48DFB24E" w14:textId="77777777" w:rsidR="00B51242" w:rsidRDefault="008E4E86">
      <w:pPr>
        <w:spacing w:line="360" w:lineRule="auto"/>
        <w:ind w:firstLine="850"/>
        <w:jc w:val="center"/>
        <w:rPr>
          <w:b/>
          <w:bCs/>
          <w:color w:val="000000"/>
          <w:sz w:val="28"/>
          <w:szCs w:val="28"/>
        </w:rPr>
      </w:pPr>
      <w:r>
        <w:rPr>
          <w:color w:val="000000"/>
          <w:sz w:val="28"/>
          <w:szCs w:val="28"/>
        </w:rPr>
        <w:t xml:space="preserve">   Повторна діагностика за PCL-5 (військова версія)</w:t>
      </w:r>
    </w:p>
    <w:tbl>
      <w:tblPr>
        <w:tblW w:w="9638" w:type="dxa"/>
        <w:tblCellMar>
          <w:top w:w="55" w:type="dxa"/>
          <w:left w:w="55" w:type="dxa"/>
          <w:bottom w:w="55" w:type="dxa"/>
          <w:right w:w="55" w:type="dxa"/>
        </w:tblCellMar>
        <w:tblLook w:val="04A0" w:firstRow="1" w:lastRow="0" w:firstColumn="1" w:lastColumn="0" w:noHBand="0" w:noVBand="1"/>
      </w:tblPr>
      <w:tblGrid>
        <w:gridCol w:w="1578"/>
        <w:gridCol w:w="6766"/>
        <w:gridCol w:w="1294"/>
      </w:tblGrid>
      <w:tr w:rsidR="00B51242" w14:paraId="1601B79B" w14:textId="77777777">
        <w:tc>
          <w:tcPr>
            <w:tcW w:w="1578" w:type="dxa"/>
            <w:tcBorders>
              <w:top w:val="single" w:sz="2" w:space="0" w:color="000000"/>
              <w:left w:val="single" w:sz="2" w:space="0" w:color="000000"/>
              <w:bottom w:val="single" w:sz="2" w:space="0" w:color="000000"/>
            </w:tcBorders>
            <w:shd w:val="clear" w:color="auto" w:fill="auto"/>
          </w:tcPr>
          <w:p w14:paraId="0A58D87F" w14:textId="77777777" w:rsidR="00B51242" w:rsidRDefault="008E4E86">
            <w:pPr>
              <w:pStyle w:val="3"/>
              <w:spacing w:before="0" w:after="0" w:line="360" w:lineRule="auto"/>
              <w:jc w:val="both"/>
            </w:pPr>
            <w:r>
              <w:t>Бали</w:t>
            </w:r>
          </w:p>
        </w:tc>
        <w:tc>
          <w:tcPr>
            <w:tcW w:w="6766" w:type="dxa"/>
            <w:tcBorders>
              <w:top w:val="single" w:sz="2" w:space="0" w:color="000000"/>
              <w:left w:val="single" w:sz="2" w:space="0" w:color="000000"/>
              <w:bottom w:val="single" w:sz="2" w:space="0" w:color="000000"/>
            </w:tcBorders>
            <w:shd w:val="clear" w:color="auto" w:fill="auto"/>
          </w:tcPr>
          <w:p w14:paraId="1A41F5EF" w14:textId="77777777" w:rsidR="00B51242" w:rsidRDefault="008E4E86">
            <w:pPr>
              <w:pStyle w:val="3"/>
              <w:spacing w:before="0" w:after="0" w:line="360" w:lineRule="auto"/>
              <w:jc w:val="both"/>
            </w:pPr>
            <w:r>
              <w:t>Симптоми / рекомендації</w:t>
            </w:r>
          </w:p>
        </w:tc>
        <w:tc>
          <w:tcPr>
            <w:tcW w:w="1294" w:type="dxa"/>
            <w:tcBorders>
              <w:top w:val="single" w:sz="2" w:space="0" w:color="000000"/>
              <w:left w:val="single" w:sz="2" w:space="0" w:color="000000"/>
              <w:bottom w:val="single" w:sz="2" w:space="0" w:color="000000"/>
              <w:right w:val="single" w:sz="2" w:space="0" w:color="000000"/>
            </w:tcBorders>
            <w:shd w:val="clear" w:color="auto" w:fill="auto"/>
          </w:tcPr>
          <w:p w14:paraId="650B5C81" w14:textId="77777777" w:rsidR="00B51242" w:rsidRDefault="008E4E86">
            <w:pPr>
              <w:pStyle w:val="3"/>
              <w:spacing w:before="0" w:after="0" w:line="360" w:lineRule="auto"/>
              <w:jc w:val="both"/>
              <w:rPr>
                <w:sz w:val="26"/>
                <w:szCs w:val="26"/>
              </w:rPr>
            </w:pPr>
            <w:r>
              <w:rPr>
                <w:sz w:val="26"/>
                <w:szCs w:val="26"/>
              </w:rPr>
              <w:t>Кількість</w:t>
            </w:r>
          </w:p>
        </w:tc>
      </w:tr>
      <w:tr w:rsidR="00B51242" w14:paraId="1ED63BA7" w14:textId="77777777">
        <w:tc>
          <w:tcPr>
            <w:tcW w:w="1578" w:type="dxa"/>
            <w:tcBorders>
              <w:left w:val="single" w:sz="2" w:space="0" w:color="000000"/>
              <w:bottom w:val="single" w:sz="2" w:space="0" w:color="000000"/>
            </w:tcBorders>
            <w:shd w:val="clear" w:color="auto" w:fill="auto"/>
          </w:tcPr>
          <w:p w14:paraId="419F270B" w14:textId="77777777" w:rsidR="00B51242" w:rsidRDefault="008E4E86">
            <w:pPr>
              <w:pStyle w:val="3"/>
              <w:spacing w:before="0" w:after="0" w:line="360" w:lineRule="auto"/>
              <w:jc w:val="both"/>
            </w:pPr>
            <w:r>
              <w:rPr>
                <w:rStyle w:val="StrongEmphasis"/>
                <w:b/>
                <w:bCs/>
              </w:rPr>
              <w:t>39–44</w:t>
            </w:r>
          </w:p>
        </w:tc>
        <w:tc>
          <w:tcPr>
            <w:tcW w:w="6766" w:type="dxa"/>
            <w:tcBorders>
              <w:left w:val="single" w:sz="2" w:space="0" w:color="000000"/>
              <w:bottom w:val="single" w:sz="2" w:space="0" w:color="000000"/>
            </w:tcBorders>
            <w:shd w:val="clear" w:color="auto" w:fill="auto"/>
          </w:tcPr>
          <w:p w14:paraId="46F52A59" w14:textId="77777777" w:rsidR="00B51242" w:rsidRDefault="008E4E86">
            <w:pPr>
              <w:pStyle w:val="3"/>
              <w:spacing w:before="0" w:after="0" w:line="360" w:lineRule="auto"/>
            </w:pPr>
            <w:r>
              <w:rPr>
                <w:rStyle w:val="StrongEmphasis"/>
                <w:b/>
                <w:bCs/>
              </w:rPr>
              <w:t>Помірний рівень симптомів ПТСР</w:t>
            </w:r>
          </w:p>
          <w:p w14:paraId="159B1347" w14:textId="77777777" w:rsidR="00B51242" w:rsidRDefault="008E4E86">
            <w:pPr>
              <w:pStyle w:val="3"/>
              <w:spacing w:before="0" w:after="0" w:line="360" w:lineRule="auto"/>
            </w:pPr>
            <w:r>
              <w:rPr>
                <w:rStyle w:val="StrongEmphasis"/>
              </w:rPr>
              <w:t xml:space="preserve">- </w:t>
            </w:r>
            <w:r>
              <w:rPr>
                <w:b w:val="0"/>
                <w:bCs w:val="0"/>
              </w:rPr>
              <w:t>Є окремі прояви: нав'язливі спогади, підвищена пильність, уникнення.</w:t>
            </w:r>
          </w:p>
          <w:p w14:paraId="075A9A45" w14:textId="77777777" w:rsidR="00B51242" w:rsidRDefault="008E4E86">
            <w:pPr>
              <w:pStyle w:val="3"/>
              <w:spacing w:before="0" w:after="0" w:line="360" w:lineRule="auto"/>
              <w:rPr>
                <w:b w:val="0"/>
                <w:bCs w:val="0"/>
              </w:rPr>
            </w:pPr>
            <w:r>
              <w:rPr>
                <w:b w:val="0"/>
                <w:bCs w:val="0"/>
              </w:rPr>
              <w:t>- Діагноз ПТСР не підтверджується автоматично, але присутні фактори ризику.</w:t>
            </w:r>
          </w:p>
          <w:p w14:paraId="450D52FD" w14:textId="77777777" w:rsidR="00B51242" w:rsidRDefault="008E4E86">
            <w:pPr>
              <w:pStyle w:val="3"/>
              <w:spacing w:before="0" w:after="0" w:line="360" w:lineRule="auto"/>
              <w:rPr>
                <w:b w:val="0"/>
                <w:bCs w:val="0"/>
              </w:rPr>
            </w:pPr>
            <w:r>
              <w:rPr>
                <w:b w:val="0"/>
                <w:bCs w:val="0"/>
              </w:rPr>
              <w:t>- Потребує продовження терапевтичної взаємодії до повного зникнення симптомів.</w:t>
            </w:r>
          </w:p>
        </w:tc>
        <w:tc>
          <w:tcPr>
            <w:tcW w:w="1294" w:type="dxa"/>
            <w:tcBorders>
              <w:left w:val="single" w:sz="2" w:space="0" w:color="000000"/>
              <w:bottom w:val="single" w:sz="2" w:space="0" w:color="000000"/>
              <w:right w:val="single" w:sz="2" w:space="0" w:color="000000"/>
            </w:tcBorders>
            <w:shd w:val="clear" w:color="auto" w:fill="auto"/>
          </w:tcPr>
          <w:p w14:paraId="17DCED26" w14:textId="77777777" w:rsidR="00B51242" w:rsidRDefault="008E4E86">
            <w:pPr>
              <w:pStyle w:val="3"/>
              <w:spacing w:before="0" w:after="0" w:line="360" w:lineRule="auto"/>
              <w:jc w:val="both"/>
              <w:rPr>
                <w:sz w:val="26"/>
                <w:szCs w:val="26"/>
              </w:rPr>
            </w:pPr>
            <w:r>
              <w:rPr>
                <w:sz w:val="26"/>
                <w:szCs w:val="26"/>
              </w:rPr>
              <w:t>20%</w:t>
            </w:r>
          </w:p>
        </w:tc>
      </w:tr>
      <w:tr w:rsidR="00B51242" w14:paraId="0BFF243C" w14:textId="77777777">
        <w:tc>
          <w:tcPr>
            <w:tcW w:w="1578" w:type="dxa"/>
            <w:tcBorders>
              <w:left w:val="single" w:sz="2" w:space="0" w:color="000000"/>
              <w:bottom w:val="single" w:sz="2" w:space="0" w:color="000000"/>
            </w:tcBorders>
            <w:shd w:val="clear" w:color="auto" w:fill="auto"/>
          </w:tcPr>
          <w:p w14:paraId="0875BF2D" w14:textId="77777777" w:rsidR="00B51242" w:rsidRDefault="008E4E86">
            <w:pPr>
              <w:pStyle w:val="3"/>
              <w:spacing w:before="0" w:after="0" w:line="360" w:lineRule="auto"/>
              <w:jc w:val="both"/>
            </w:pPr>
            <w:r>
              <w:rPr>
                <w:rStyle w:val="StrongEmphasis"/>
              </w:rPr>
              <w:t xml:space="preserve">45-56 </w:t>
            </w:r>
          </w:p>
          <w:p w14:paraId="50895670" w14:textId="77777777" w:rsidR="00B51242" w:rsidRDefault="00B51242">
            <w:pPr>
              <w:pStyle w:val="3"/>
              <w:spacing w:before="0" w:after="0" w:line="360" w:lineRule="auto"/>
              <w:jc w:val="both"/>
              <w:rPr>
                <w:rStyle w:val="StrongEmphasis"/>
              </w:rPr>
            </w:pPr>
          </w:p>
        </w:tc>
        <w:tc>
          <w:tcPr>
            <w:tcW w:w="6766" w:type="dxa"/>
            <w:tcBorders>
              <w:left w:val="single" w:sz="2" w:space="0" w:color="000000"/>
              <w:bottom w:val="single" w:sz="2" w:space="0" w:color="000000"/>
            </w:tcBorders>
            <w:shd w:val="clear" w:color="auto" w:fill="auto"/>
          </w:tcPr>
          <w:p w14:paraId="346BBE21" w14:textId="77777777" w:rsidR="00B51242" w:rsidRDefault="008E4E86">
            <w:pPr>
              <w:pStyle w:val="3"/>
              <w:spacing w:before="0" w:after="0" w:line="360" w:lineRule="auto"/>
              <w:jc w:val="both"/>
            </w:pPr>
            <w:r>
              <w:rPr>
                <w:rStyle w:val="StrongEmphasis"/>
              </w:rPr>
              <w:t xml:space="preserve">Виражені симптоми ПТСР. </w:t>
            </w:r>
          </w:p>
          <w:p w14:paraId="380F9E6D" w14:textId="77777777" w:rsidR="00B51242" w:rsidRDefault="008E4E86">
            <w:pPr>
              <w:pStyle w:val="3"/>
              <w:spacing w:before="0" w:after="0" w:line="360" w:lineRule="auto"/>
              <w:jc w:val="both"/>
              <w:rPr>
                <w:b w:val="0"/>
                <w:bCs w:val="0"/>
              </w:rPr>
            </w:pPr>
            <w:r>
              <w:rPr>
                <w:b w:val="0"/>
                <w:bCs w:val="0"/>
              </w:rPr>
              <w:t>Симптоми стійкі та суттєво порушують повсякденне функціонування.</w:t>
            </w:r>
          </w:p>
          <w:p w14:paraId="036903E0" w14:textId="77777777" w:rsidR="00B51242" w:rsidRDefault="008E4E86">
            <w:pPr>
              <w:pStyle w:val="3"/>
              <w:spacing w:before="0" w:after="0" w:line="360" w:lineRule="auto"/>
              <w:jc w:val="both"/>
            </w:pPr>
            <w:r>
              <w:t>Рекомендації:</w:t>
            </w:r>
          </w:p>
          <w:p w14:paraId="1313DC3A" w14:textId="77777777" w:rsidR="00B51242" w:rsidRDefault="008E4E86">
            <w:pPr>
              <w:pStyle w:val="3"/>
              <w:spacing w:before="0" w:after="0" w:line="360" w:lineRule="auto"/>
              <w:jc w:val="both"/>
              <w:rPr>
                <w:b w:val="0"/>
                <w:bCs w:val="0"/>
              </w:rPr>
            </w:pPr>
            <w:r>
              <w:rPr>
                <w:b w:val="0"/>
                <w:bCs w:val="0"/>
              </w:rPr>
              <w:t>- детальне обстеження;</w:t>
            </w:r>
          </w:p>
          <w:p w14:paraId="1392FE9C" w14:textId="77777777" w:rsidR="00B51242" w:rsidRDefault="008E4E86">
            <w:pPr>
              <w:pStyle w:val="3"/>
              <w:spacing w:before="0" w:after="0" w:line="360" w:lineRule="auto"/>
              <w:jc w:val="both"/>
              <w:rPr>
                <w:b w:val="0"/>
                <w:bCs w:val="0"/>
              </w:rPr>
            </w:pPr>
            <w:r>
              <w:rPr>
                <w:b w:val="0"/>
                <w:bCs w:val="0"/>
              </w:rPr>
              <w:t>- початок терапії (КПТ, TF-CBT, CPT, PE, EMDR);</w:t>
            </w:r>
          </w:p>
          <w:p w14:paraId="35C9B6AF" w14:textId="77777777" w:rsidR="00B51242" w:rsidRDefault="008E4E86">
            <w:pPr>
              <w:pStyle w:val="3"/>
              <w:spacing w:before="0" w:after="0" w:line="360" w:lineRule="auto"/>
              <w:jc w:val="both"/>
              <w:rPr>
                <w:b w:val="0"/>
                <w:bCs w:val="0"/>
              </w:rPr>
            </w:pPr>
            <w:r>
              <w:rPr>
                <w:b w:val="0"/>
                <w:bCs w:val="0"/>
              </w:rPr>
              <w:t>- оцінка коморбідних станів (депресія, тривога, стрес).</w:t>
            </w:r>
          </w:p>
        </w:tc>
        <w:tc>
          <w:tcPr>
            <w:tcW w:w="1294" w:type="dxa"/>
            <w:tcBorders>
              <w:left w:val="single" w:sz="2" w:space="0" w:color="000000"/>
              <w:bottom w:val="single" w:sz="2" w:space="0" w:color="000000"/>
              <w:right w:val="single" w:sz="2" w:space="0" w:color="000000"/>
            </w:tcBorders>
            <w:shd w:val="clear" w:color="auto" w:fill="auto"/>
          </w:tcPr>
          <w:p w14:paraId="559A72FF" w14:textId="77777777" w:rsidR="00B51242" w:rsidRDefault="008E4E86">
            <w:pPr>
              <w:pStyle w:val="3"/>
              <w:spacing w:before="0" w:after="0" w:line="360" w:lineRule="auto"/>
              <w:jc w:val="both"/>
            </w:pPr>
            <w:r>
              <w:rPr>
                <w:rStyle w:val="StrongEmphasis"/>
              </w:rPr>
              <w:t>52 %</w:t>
            </w:r>
          </w:p>
        </w:tc>
      </w:tr>
      <w:tr w:rsidR="00B51242" w14:paraId="1DC8E12C" w14:textId="77777777">
        <w:tc>
          <w:tcPr>
            <w:tcW w:w="1578" w:type="dxa"/>
            <w:tcBorders>
              <w:left w:val="single" w:sz="2" w:space="0" w:color="000000"/>
              <w:bottom w:val="single" w:sz="2" w:space="0" w:color="000000"/>
            </w:tcBorders>
            <w:shd w:val="clear" w:color="auto" w:fill="auto"/>
          </w:tcPr>
          <w:p w14:paraId="6D585BF2" w14:textId="77777777" w:rsidR="00B51242" w:rsidRDefault="008E4E86">
            <w:pPr>
              <w:pStyle w:val="3"/>
              <w:spacing w:line="360" w:lineRule="auto"/>
              <w:jc w:val="both"/>
            </w:pPr>
            <w:r>
              <w:rPr>
                <w:rStyle w:val="StrongEmphasis"/>
              </w:rPr>
              <w:t>57 +</w:t>
            </w:r>
          </w:p>
        </w:tc>
        <w:tc>
          <w:tcPr>
            <w:tcW w:w="6766" w:type="dxa"/>
            <w:tcBorders>
              <w:left w:val="single" w:sz="2" w:space="0" w:color="000000"/>
              <w:bottom w:val="single" w:sz="2" w:space="0" w:color="000000"/>
            </w:tcBorders>
            <w:shd w:val="clear" w:color="auto" w:fill="auto"/>
          </w:tcPr>
          <w:p w14:paraId="138A5005" w14:textId="77777777" w:rsidR="00B51242" w:rsidRDefault="008E4E86">
            <w:pPr>
              <w:pStyle w:val="3"/>
              <w:spacing w:before="0" w:after="0" w:line="360" w:lineRule="auto"/>
              <w:jc w:val="both"/>
            </w:pPr>
            <w:r>
              <w:rPr>
                <w:rStyle w:val="StrongEmphasis"/>
              </w:rPr>
              <w:t>Тяжкий ПТСР - д</w:t>
            </w:r>
            <w:r>
              <w:t>уже висока інтенсивність симптоматики.</w:t>
            </w:r>
          </w:p>
          <w:p w14:paraId="17843E53" w14:textId="77777777" w:rsidR="00B51242" w:rsidRDefault="008E4E86">
            <w:pPr>
              <w:pStyle w:val="3"/>
              <w:spacing w:before="0" w:after="0" w:line="360" w:lineRule="auto"/>
              <w:jc w:val="both"/>
            </w:pPr>
            <w:r>
              <w:t xml:space="preserve">Ймовірні: </w:t>
            </w:r>
            <w:r>
              <w:rPr>
                <w:b w:val="0"/>
                <w:bCs w:val="0"/>
              </w:rPr>
              <w:t>дезадаптивні когніції, нічні кошмари, сильна гіпервозбудливість, значне уникнення, ризик виснаження, суїцидальні думки (не обов’язково, але підвищений ризик).</w:t>
            </w:r>
          </w:p>
          <w:p w14:paraId="3DE47DE3" w14:textId="77777777" w:rsidR="00B51242" w:rsidRDefault="008E4E86">
            <w:pPr>
              <w:pStyle w:val="3"/>
              <w:spacing w:before="0" w:after="0" w:line="360" w:lineRule="auto"/>
              <w:jc w:val="both"/>
            </w:pPr>
            <w:r>
              <w:t xml:space="preserve">Необхідне </w:t>
            </w:r>
            <w:r>
              <w:rPr>
                <w:rStyle w:val="StrongEmphasis"/>
                <w:b/>
                <w:bCs/>
              </w:rPr>
              <w:t>невідкладне втручання</w:t>
            </w:r>
            <w:r>
              <w:t>, серед якого:</w:t>
            </w:r>
          </w:p>
          <w:p w14:paraId="2A217484" w14:textId="77777777" w:rsidR="00B51242" w:rsidRDefault="008E4E86">
            <w:pPr>
              <w:pStyle w:val="3"/>
              <w:spacing w:before="0" w:after="0" w:line="360" w:lineRule="auto"/>
              <w:jc w:val="both"/>
              <w:rPr>
                <w:b w:val="0"/>
                <w:bCs w:val="0"/>
              </w:rPr>
            </w:pPr>
            <w:r>
              <w:rPr>
                <w:b w:val="0"/>
                <w:bCs w:val="0"/>
              </w:rPr>
              <w:t>- травмофокусована КПТ,</w:t>
            </w:r>
          </w:p>
          <w:p w14:paraId="57DF412F" w14:textId="77777777" w:rsidR="00B51242" w:rsidRDefault="008E4E86">
            <w:pPr>
              <w:pStyle w:val="3"/>
              <w:spacing w:before="0" w:after="0" w:line="360" w:lineRule="auto"/>
              <w:jc w:val="both"/>
              <w:rPr>
                <w:b w:val="0"/>
                <w:bCs w:val="0"/>
              </w:rPr>
            </w:pPr>
            <w:r>
              <w:rPr>
                <w:b w:val="0"/>
                <w:bCs w:val="0"/>
              </w:rPr>
              <w:t>- EMDR,</w:t>
            </w:r>
          </w:p>
          <w:p w14:paraId="62D9B66A" w14:textId="77777777" w:rsidR="00B51242" w:rsidRDefault="008E4E86">
            <w:pPr>
              <w:pStyle w:val="3"/>
              <w:spacing w:before="0" w:after="0" w:line="360" w:lineRule="auto"/>
              <w:jc w:val="both"/>
              <w:rPr>
                <w:b w:val="0"/>
                <w:bCs w:val="0"/>
              </w:rPr>
            </w:pPr>
            <w:r>
              <w:rPr>
                <w:b w:val="0"/>
                <w:bCs w:val="0"/>
              </w:rPr>
              <w:t>- стабілізаційна терапія,</w:t>
            </w:r>
          </w:p>
          <w:p w14:paraId="2C34B123" w14:textId="77777777" w:rsidR="00B51242" w:rsidRDefault="008E4E86">
            <w:pPr>
              <w:pStyle w:val="3"/>
              <w:spacing w:before="0" w:after="0" w:line="360" w:lineRule="auto"/>
              <w:jc w:val="both"/>
              <w:rPr>
                <w:b w:val="0"/>
                <w:bCs w:val="0"/>
              </w:rPr>
            </w:pPr>
            <w:r>
              <w:rPr>
                <w:b w:val="0"/>
                <w:bCs w:val="0"/>
              </w:rPr>
              <w:t>- медична консультація (за потреби).</w:t>
            </w:r>
          </w:p>
        </w:tc>
        <w:tc>
          <w:tcPr>
            <w:tcW w:w="1294" w:type="dxa"/>
            <w:tcBorders>
              <w:left w:val="single" w:sz="2" w:space="0" w:color="000000"/>
              <w:bottom w:val="single" w:sz="2" w:space="0" w:color="000000"/>
              <w:right w:val="single" w:sz="2" w:space="0" w:color="000000"/>
            </w:tcBorders>
            <w:shd w:val="clear" w:color="auto" w:fill="auto"/>
          </w:tcPr>
          <w:p w14:paraId="4AF49237" w14:textId="77777777" w:rsidR="00B51242" w:rsidRDefault="008E4E86">
            <w:pPr>
              <w:spacing w:line="360" w:lineRule="auto"/>
              <w:rPr>
                <w:b/>
                <w:bCs/>
                <w:sz w:val="28"/>
                <w:szCs w:val="28"/>
              </w:rPr>
            </w:pPr>
            <w:r>
              <w:rPr>
                <w:b/>
                <w:bCs/>
                <w:sz w:val="28"/>
                <w:szCs w:val="28"/>
              </w:rPr>
              <w:t>28%</w:t>
            </w:r>
          </w:p>
        </w:tc>
      </w:tr>
    </w:tbl>
    <w:p w14:paraId="38C1F859" w14:textId="77777777" w:rsidR="00B51242" w:rsidRDefault="00B51242">
      <w:pPr>
        <w:spacing w:line="360" w:lineRule="auto"/>
        <w:ind w:firstLine="850"/>
        <w:jc w:val="both"/>
        <w:rPr>
          <w:color w:val="C9211E"/>
        </w:rPr>
      </w:pPr>
    </w:p>
    <w:p w14:paraId="4AFE6D91" w14:textId="77777777" w:rsidR="00B51242" w:rsidRDefault="008E4E86">
      <w:pPr>
        <w:spacing w:line="360" w:lineRule="auto"/>
        <w:ind w:firstLine="737"/>
        <w:jc w:val="both"/>
      </w:pPr>
      <w:r>
        <w:rPr>
          <w:color w:val="000000"/>
          <w:sz w:val="28"/>
          <w:szCs w:val="28"/>
        </w:rPr>
        <w:t xml:space="preserve">Показники учасників змістилися до діапазону </w:t>
      </w:r>
      <w:r>
        <w:rPr>
          <w:rStyle w:val="StrongEmphasis"/>
          <w:b w:val="0"/>
          <w:bCs w:val="0"/>
          <w:color w:val="000000"/>
          <w:sz w:val="28"/>
          <w:szCs w:val="28"/>
        </w:rPr>
        <w:t>помірного рівня вираженості симптомів ПТСР</w:t>
      </w:r>
      <w:r>
        <w:rPr>
          <w:color w:val="000000"/>
          <w:sz w:val="28"/>
          <w:szCs w:val="28"/>
        </w:rPr>
        <w:t xml:space="preserve">, що свідчить про наявність позитивної динаміки у сфері емоційної регуляції у 20% учасників дослідження. У зв’язку з цим була виокремленна </w:t>
      </w:r>
      <w:r>
        <w:rPr>
          <w:rStyle w:val="StrongEmphasis"/>
          <w:b w:val="0"/>
          <w:bCs w:val="0"/>
          <w:color w:val="000000"/>
          <w:sz w:val="28"/>
          <w:szCs w:val="28"/>
        </w:rPr>
        <w:t>група №3</w:t>
      </w:r>
      <w:r>
        <w:rPr>
          <w:color w:val="000000"/>
          <w:sz w:val="28"/>
          <w:szCs w:val="28"/>
        </w:rPr>
        <w:t xml:space="preserve">, до якої увійшли респонденти з </w:t>
      </w:r>
      <w:r>
        <w:rPr>
          <w:rStyle w:val="StrongEmphasis"/>
          <w:b w:val="0"/>
          <w:bCs w:val="0"/>
          <w:color w:val="000000"/>
          <w:sz w:val="28"/>
          <w:szCs w:val="28"/>
        </w:rPr>
        <w:t>помірним рівнем симптоматики ПТСР, яка буде окремо проходити оцінювання за  DASS-21.</w:t>
      </w:r>
    </w:p>
    <w:p w14:paraId="494DB7B4" w14:textId="77777777" w:rsidR="00B51242" w:rsidRDefault="008E4E86">
      <w:pPr>
        <w:spacing w:line="360" w:lineRule="auto"/>
        <w:ind w:firstLine="850"/>
        <w:jc w:val="right"/>
      </w:pPr>
      <w:r>
        <w:rPr>
          <w:color w:val="000000"/>
          <w:sz w:val="28"/>
          <w:szCs w:val="28"/>
        </w:rPr>
        <w:t xml:space="preserve">Діаграми  4.5   </w:t>
      </w:r>
    </w:p>
    <w:p w14:paraId="20F723AB" w14:textId="77777777" w:rsidR="00B51242" w:rsidRDefault="008E4E86">
      <w:pPr>
        <w:spacing w:line="360" w:lineRule="auto"/>
        <w:jc w:val="center"/>
      </w:pPr>
      <w:r>
        <w:rPr>
          <w:color w:val="000000"/>
          <w:sz w:val="28"/>
          <w:szCs w:val="28"/>
        </w:rPr>
        <w:t>Повторна діагностика за DASS-21 групи №1 (виражені симптоми)</w:t>
      </w:r>
    </w:p>
    <w:p w14:paraId="0C8FE7CE" w14:textId="77777777" w:rsidR="00B51242" w:rsidRDefault="00B51242">
      <w:pPr>
        <w:spacing w:line="360" w:lineRule="auto"/>
        <w:jc w:val="center"/>
        <w:rPr>
          <w:b/>
          <w:bCs/>
          <w:color w:val="000000"/>
          <w:sz w:val="28"/>
          <w:szCs w:val="28"/>
        </w:rPr>
      </w:pPr>
    </w:p>
    <w:p w14:paraId="41004F19" w14:textId="77777777" w:rsidR="00B51242" w:rsidRDefault="00B51242">
      <w:pPr>
        <w:spacing w:line="360" w:lineRule="auto"/>
        <w:jc w:val="center"/>
        <w:rPr>
          <w:b/>
          <w:bCs/>
          <w:color w:val="000000"/>
          <w:sz w:val="28"/>
          <w:szCs w:val="28"/>
        </w:rPr>
      </w:pPr>
    </w:p>
    <w:p w14:paraId="67C0C651" w14:textId="77777777" w:rsidR="00B51242" w:rsidRDefault="008E4E86">
      <w:pPr>
        <w:spacing w:line="360" w:lineRule="auto"/>
        <w:jc w:val="center"/>
      </w:pPr>
      <w:r>
        <w:rPr>
          <w:noProof/>
        </w:rPr>
        <w:drawing>
          <wp:inline distT="0" distB="0" distL="0" distR="0" wp14:anchorId="3A017543" wp14:editId="07777777">
            <wp:extent cx="4404360" cy="323977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08D56CC" w14:textId="77777777" w:rsidR="00B51242" w:rsidRDefault="00B51242">
      <w:pPr>
        <w:spacing w:line="360" w:lineRule="auto"/>
        <w:jc w:val="center"/>
        <w:rPr>
          <w:b/>
          <w:bCs/>
          <w:color w:val="000000"/>
          <w:sz w:val="28"/>
          <w:szCs w:val="28"/>
        </w:rPr>
      </w:pPr>
    </w:p>
    <w:p w14:paraId="797E50C6" w14:textId="77777777" w:rsidR="00B51242" w:rsidRDefault="00B51242">
      <w:pPr>
        <w:spacing w:line="360" w:lineRule="auto"/>
        <w:jc w:val="center"/>
        <w:rPr>
          <w:b/>
          <w:bCs/>
          <w:color w:val="000000"/>
          <w:sz w:val="28"/>
          <w:szCs w:val="28"/>
        </w:rPr>
      </w:pPr>
    </w:p>
    <w:p w14:paraId="4B34B095" w14:textId="77777777" w:rsidR="00B51242" w:rsidRDefault="008E4E86">
      <w:pPr>
        <w:spacing w:line="360" w:lineRule="auto"/>
        <w:jc w:val="right"/>
      </w:pPr>
      <w:r>
        <w:rPr>
          <w:color w:val="000000"/>
          <w:sz w:val="28"/>
          <w:szCs w:val="28"/>
        </w:rPr>
        <w:t>Діаграма 4.7</w:t>
      </w:r>
    </w:p>
    <w:p w14:paraId="43609FB5" w14:textId="77777777" w:rsidR="00B51242" w:rsidRDefault="008E4E86">
      <w:pPr>
        <w:spacing w:line="360" w:lineRule="auto"/>
        <w:jc w:val="center"/>
      </w:pPr>
      <w:r>
        <w:rPr>
          <w:color w:val="000000"/>
          <w:sz w:val="28"/>
          <w:szCs w:val="28"/>
        </w:rPr>
        <w:t>Повторна діагностика за DASS-21 групи № 2 (тяжкий ступінь ПТСР)</w:t>
      </w:r>
    </w:p>
    <w:p w14:paraId="70802ABF" w14:textId="77777777" w:rsidR="00B51242" w:rsidRDefault="008E4E86">
      <w:pPr>
        <w:spacing w:line="360" w:lineRule="auto"/>
        <w:jc w:val="both"/>
      </w:pPr>
      <w:r>
        <w:rPr>
          <w:b/>
          <w:bCs/>
          <w:color w:val="000000"/>
          <w:sz w:val="28"/>
          <w:szCs w:val="28"/>
        </w:rPr>
        <w:t xml:space="preserve">                  </w:t>
      </w:r>
      <w:r>
        <w:rPr>
          <w:color w:val="000000"/>
          <w:sz w:val="28"/>
          <w:szCs w:val="28"/>
        </w:rPr>
        <w:t xml:space="preserve">                            </w:t>
      </w:r>
    </w:p>
    <w:p w14:paraId="7B04FA47" w14:textId="77777777" w:rsidR="00B51242" w:rsidRDefault="00B51242">
      <w:pPr>
        <w:spacing w:line="360" w:lineRule="auto"/>
        <w:jc w:val="both"/>
        <w:rPr>
          <w:color w:val="000000"/>
          <w:sz w:val="28"/>
          <w:szCs w:val="28"/>
        </w:rPr>
      </w:pPr>
    </w:p>
    <w:p w14:paraId="568C698B" w14:textId="77777777" w:rsidR="00B51242" w:rsidRDefault="00B51242">
      <w:pPr>
        <w:spacing w:line="360" w:lineRule="auto"/>
        <w:ind w:firstLine="850"/>
        <w:jc w:val="both"/>
        <w:rPr>
          <w:color w:val="000000"/>
          <w:sz w:val="28"/>
          <w:szCs w:val="28"/>
        </w:rPr>
      </w:pPr>
    </w:p>
    <w:p w14:paraId="1A939487" w14:textId="77777777" w:rsidR="00B51242" w:rsidRDefault="008E4E86">
      <w:pPr>
        <w:spacing w:line="360" w:lineRule="auto"/>
        <w:ind w:firstLine="850"/>
        <w:jc w:val="both"/>
        <w:rPr>
          <w:color w:val="000000"/>
          <w:sz w:val="28"/>
          <w:szCs w:val="28"/>
        </w:rPr>
      </w:pPr>
      <w:r>
        <w:rPr>
          <w:noProof/>
        </w:rPr>
        <w:drawing>
          <wp:inline distT="0" distB="0" distL="0" distR="0" wp14:anchorId="0F1BC8AF" wp14:editId="07777777">
            <wp:extent cx="4404360" cy="323977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AA4C3FB" w14:textId="77777777" w:rsidR="00B51242" w:rsidRDefault="008E4E86">
      <w:pPr>
        <w:spacing w:line="360" w:lineRule="auto"/>
        <w:jc w:val="right"/>
      </w:pPr>
      <w:r>
        <w:rPr>
          <w:color w:val="000000"/>
          <w:sz w:val="28"/>
          <w:szCs w:val="28"/>
        </w:rPr>
        <w:t>Діаграма 4.7</w:t>
      </w:r>
    </w:p>
    <w:p w14:paraId="71B6D3EB" w14:textId="77777777" w:rsidR="00B51242" w:rsidRDefault="008E4E86">
      <w:pPr>
        <w:spacing w:line="360" w:lineRule="auto"/>
        <w:ind w:firstLine="850"/>
        <w:jc w:val="center"/>
      </w:pPr>
      <w:r>
        <w:rPr>
          <w:color w:val="000000"/>
          <w:sz w:val="28"/>
          <w:szCs w:val="28"/>
        </w:rPr>
        <w:t>Повторна діагностика за DASS-21 групи № 3 (помірний рівень)</w:t>
      </w:r>
    </w:p>
    <w:p w14:paraId="6AA258D8" w14:textId="77777777" w:rsidR="00B51242" w:rsidRDefault="00B51242">
      <w:pPr>
        <w:spacing w:line="360" w:lineRule="auto"/>
        <w:ind w:firstLine="850"/>
        <w:jc w:val="center"/>
        <w:rPr>
          <w:b/>
          <w:bCs/>
          <w:color w:val="000000"/>
          <w:sz w:val="28"/>
          <w:szCs w:val="28"/>
        </w:rPr>
      </w:pPr>
    </w:p>
    <w:p w14:paraId="6FFBD3EC" w14:textId="77777777" w:rsidR="00B51242" w:rsidRDefault="008E4E86">
      <w:pPr>
        <w:spacing w:line="360" w:lineRule="auto"/>
        <w:ind w:firstLine="850"/>
        <w:jc w:val="center"/>
      </w:pPr>
      <w:r>
        <w:rPr>
          <w:noProof/>
        </w:rPr>
        <w:drawing>
          <wp:inline distT="0" distB="0" distL="0" distR="0" wp14:anchorId="64BED522" wp14:editId="07777777">
            <wp:extent cx="4977765" cy="323977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0DCCCAD" w14:textId="77777777" w:rsidR="00B51242" w:rsidRDefault="00B51242">
      <w:pPr>
        <w:spacing w:line="360" w:lineRule="auto"/>
        <w:ind w:firstLine="850"/>
        <w:jc w:val="center"/>
        <w:rPr>
          <w:b/>
          <w:bCs/>
          <w:color w:val="000000"/>
          <w:sz w:val="28"/>
          <w:szCs w:val="28"/>
        </w:rPr>
      </w:pPr>
    </w:p>
    <w:p w14:paraId="57DF6442" w14:textId="77777777" w:rsidR="00B51242" w:rsidRDefault="008E4E86">
      <w:pPr>
        <w:spacing w:line="360" w:lineRule="auto"/>
        <w:ind w:firstLine="737"/>
        <w:jc w:val="both"/>
      </w:pPr>
      <w:r>
        <w:rPr>
          <w:color w:val="000000"/>
          <w:sz w:val="28"/>
          <w:szCs w:val="28"/>
        </w:rPr>
        <w:t>Практичне впровадження запропонованої інтегративної програми психологічної допомоги наочно засвідчує суттєві позитивні зміни у структурі клінічної вибірки:  формування групи з помірним рівнем симптоматики. Така динаміка свідчить не лише про кількісне зниження інтенсивності посттравматичних проявів, а й про якісну трансформацію психічного стану учасників у напрямі підвищення рівня адаптації та психологічної стійкості.</w:t>
      </w:r>
    </w:p>
    <w:p w14:paraId="30CC28BD" w14:textId="77777777" w:rsidR="00B51242" w:rsidRDefault="008E4E86">
      <w:pPr>
        <w:spacing w:line="360" w:lineRule="auto"/>
        <w:ind w:firstLine="737"/>
        <w:jc w:val="both"/>
      </w:pPr>
      <w:r>
        <w:rPr>
          <w:sz w:val="28"/>
          <w:szCs w:val="28"/>
        </w:rPr>
        <w:t>У підсумку можна стверджувати, що застосована інтегративна програма, яка поєднувала когнітивно-поведінкову терапію, тілесно-орієнтовані техніки та елементи EMDR, продемонструвала високу ефективність у роботі з військовослужбовцями із ПТСР. За результатами дослідження відбулося суттєве зниження інтенсивності посттравматичних симптомів, на 4-5 балів зменшилися показники депресії, тривоги та стресу,  зміцнилися навички саморегуляції й емоційного контролю, знизився рівень уникальної поведінки та гіперзбудження, а також покращилися когнітивні й поведінкові стратегії адаптації. Зниження показників за шкалою PCL-5 на 10–15 балів у всіх учасників є клінічно значущим і переконливо підтверджує ефективність інтегративного методу для подолання наслідків бойових травматичних подій.</w:t>
      </w:r>
    </w:p>
    <w:p w14:paraId="74FFF3E4" w14:textId="77777777" w:rsidR="00B51242" w:rsidRDefault="008E4E86">
      <w:pPr>
        <w:spacing w:line="360" w:lineRule="auto"/>
        <w:ind w:firstLine="737"/>
        <w:jc w:val="both"/>
      </w:pPr>
      <w:r>
        <w:rPr>
          <w:rStyle w:val="InternetLink"/>
          <w:rFonts w:eastAsia="Times New Roman" w:cs="Times New Roman"/>
          <w:b/>
          <w:bCs/>
          <w:color w:val="000000"/>
          <w:sz w:val="28"/>
          <w:szCs w:val="28"/>
          <w:u w:val="none"/>
          <w:lang w:eastAsia="ru-RU"/>
        </w:rPr>
        <w:t>Висновки до розділу 4.</w:t>
      </w:r>
    </w:p>
    <w:p w14:paraId="347BBC98" w14:textId="77777777" w:rsidR="00B51242" w:rsidRDefault="008E4E86">
      <w:pPr>
        <w:spacing w:line="360" w:lineRule="auto"/>
        <w:ind w:firstLine="737"/>
        <w:jc w:val="both"/>
      </w:pPr>
      <w:bookmarkStart w:id="14" w:name="__DdeLink__37346_400133658"/>
      <w:bookmarkEnd w:id="14"/>
      <w:r>
        <w:rPr>
          <w:color w:val="000000"/>
          <w:sz w:val="28"/>
          <w:szCs w:val="28"/>
        </w:rPr>
        <w:t>Практична частина дослідження, спрямована на оцінювання ефективності інтегративного методу, який поєднує КПТ, ТОТ та елементи EMDR, засвідчила суттєве покращення психологічного стану військовослужбовців із посттравматичним стресовим розладом. Реалізація семисесійної програми дозволила системно впливати на ключові симптоми ПТСР, проблемні когнітивні конструкції та дезадаптивні поведінкові патерни.</w:t>
      </w:r>
    </w:p>
    <w:p w14:paraId="2A4C25EC" w14:textId="77777777" w:rsidR="00B51242" w:rsidRDefault="008E4E86">
      <w:pPr>
        <w:spacing w:line="360" w:lineRule="auto"/>
        <w:ind w:firstLine="737"/>
        <w:jc w:val="both"/>
      </w:pPr>
      <w:r>
        <w:rPr>
          <w:color w:val="000000"/>
          <w:sz w:val="28"/>
          <w:szCs w:val="28"/>
        </w:rPr>
        <w:t>На етапі стабілізації та фізіологічної регуляції (заняття 1) було забезпечено формування терапевтичного альянсу, проведення первинної діагностики PCL-5 та впровадження базових навичок саморегуляції. Уже після першого циклу домашніх вправ (антистресове дихання, прогресивна м’язова релаксація, формування «безпечного місця») учасники демонстрували зниження соматичного напруження та підвищення суб’єктивного відчуття контролю.</w:t>
      </w:r>
    </w:p>
    <w:p w14:paraId="721E6A28" w14:textId="77777777" w:rsidR="00B51242" w:rsidRDefault="008E4E86">
      <w:pPr>
        <w:spacing w:line="360" w:lineRule="auto"/>
        <w:ind w:firstLine="737"/>
        <w:jc w:val="both"/>
      </w:pPr>
      <w:r>
        <w:rPr>
          <w:color w:val="000000"/>
          <w:sz w:val="28"/>
          <w:szCs w:val="28"/>
        </w:rPr>
        <w:t>Другий і третій блоки (заняття 2–3), спрямовані на тренування уваги, мислення та емоційної регуляції, забезпечили корекцію автоматичних думок, підвищення усвідомлення емоційних реакцій та зменшення рівня тривожності й стресу. Результати проміжної діагностики за DASS-21 підтвердили тенденцію до зниження інтенсивності негативних емоційних станів, що свідчить про ефективність когнітивного компонента втручання.</w:t>
      </w:r>
    </w:p>
    <w:p w14:paraId="64A8545F" w14:textId="77777777" w:rsidR="00B51242" w:rsidRDefault="008E4E86">
      <w:pPr>
        <w:spacing w:line="360" w:lineRule="auto"/>
        <w:ind w:firstLine="737"/>
        <w:jc w:val="both"/>
      </w:pPr>
      <w:r>
        <w:rPr>
          <w:color w:val="000000"/>
          <w:sz w:val="28"/>
          <w:szCs w:val="28"/>
        </w:rPr>
        <w:t>Під час занять 4–5, орієнтованих на роботу з переконаннями та когнітивну реструктуризацію, учасники опанували техніку АВС та розширений варіант ABCDE, що сприяло формуванню більш адаптивних інтерпретацій травматичного досвіду. У ході практичних завдань відзначено поступову зміну дисфункціональних переконань, зменшення рівня самокритики та підвищення стійкості до тригерів, пов’язаних із травматичними подіями.</w:t>
      </w:r>
    </w:p>
    <w:p w14:paraId="29E145A2" w14:textId="77777777" w:rsidR="00B51242" w:rsidRDefault="008E4E86">
      <w:pPr>
        <w:spacing w:line="360" w:lineRule="auto"/>
        <w:ind w:firstLine="737"/>
        <w:jc w:val="both"/>
      </w:pPr>
      <w:r>
        <w:rPr>
          <w:color w:val="000000"/>
          <w:sz w:val="28"/>
          <w:szCs w:val="28"/>
        </w:rPr>
        <w:t>Етап експозиційної терапії та поведінкових експериментів (заняття 6–7) відіграв ключову роль у зниженні уникальної поведінки та переробці травматичних спогадів. Поєднання інструментів КПТ із елементами EMDR сприяло глибшій інтеграції травматичного матеріалу та зменшенню фізіологічної реактивності. Відпрацювання експозиційних технік у домашніх умовах дало змогу учасникам поступово перенести навички саморегуляції у життєві ситуації, що підвищило довготривалу ефективність втручання.</w:t>
      </w:r>
    </w:p>
    <w:p w14:paraId="67A06945" w14:textId="77777777" w:rsidR="00B51242" w:rsidRDefault="008E4E86">
      <w:pPr>
        <w:spacing w:line="360" w:lineRule="auto"/>
        <w:ind w:firstLine="737"/>
        <w:jc w:val="both"/>
      </w:pPr>
      <w:r>
        <w:rPr>
          <w:color w:val="000000"/>
          <w:sz w:val="28"/>
          <w:szCs w:val="28"/>
        </w:rPr>
        <w:t>Повторне проходження опитувальника PCL-5 після сьомого заняття продемонструвало суттєве зниження показників ПТСР порівняно з первинною діагностикою. Динаміка результатів свідчить про зменшення інтенсивності нав’язливих спогадів, гіперзбудження, уникання та негативних змін у когнітивних і емоційних сферах.</w:t>
      </w:r>
    </w:p>
    <w:p w14:paraId="3076C420" w14:textId="77777777" w:rsidR="00B51242" w:rsidRDefault="008E4E86">
      <w:pPr>
        <w:spacing w:line="360" w:lineRule="auto"/>
        <w:ind w:firstLine="737"/>
        <w:jc w:val="both"/>
      </w:pPr>
      <w:r>
        <w:rPr>
          <w:color w:val="000000"/>
          <w:sz w:val="28"/>
          <w:szCs w:val="28"/>
        </w:rPr>
        <w:t>Узагальнюючи отримані дані, можна зробити висновок, що інтегративний підхід, який поєднує техніки КПТ, ТОТ та EMDR, є ефективним для роботи з військовослужбовцями, що мають прояви ПТСР. Системна структура втручання, послідовність етапів, акцент на психоосвіті та когнітивно-поведінкових навичках, а також поєднання експозиційних методів зі стабілізаційними техніками забезпечують багатовекторний вплив на симптоматику розладу. Застосований метод продемонстрував здатність не лише знижувати симптоми, але й формувати навички саморегуляції, стресостійкості та адаптивної поведінки, що є критично важливим для військовослужбовців у процесі відновлення та повернення до повсякденного функціонування.</w:t>
      </w:r>
    </w:p>
    <w:p w14:paraId="36AF6883" w14:textId="77777777" w:rsidR="00B51242" w:rsidRDefault="00B51242">
      <w:pPr>
        <w:spacing w:line="360" w:lineRule="auto"/>
        <w:jc w:val="both"/>
        <w:rPr>
          <w:rStyle w:val="InternetLink"/>
          <w:color w:val="000000"/>
          <w:sz w:val="28"/>
          <w:szCs w:val="28"/>
        </w:rPr>
      </w:pPr>
    </w:p>
    <w:p w14:paraId="54C529ED" w14:textId="77777777" w:rsidR="00B51242" w:rsidRDefault="00B51242">
      <w:pPr>
        <w:rPr>
          <w:rStyle w:val="InternetLink"/>
          <w:rFonts w:ascii="Arial" w:eastAsia="Times New Roman" w:hAnsi="Arial" w:cs="Times New Roman"/>
          <w:color w:val="FF0000"/>
          <w:sz w:val="28"/>
          <w:szCs w:val="28"/>
          <w:u w:val="none"/>
          <w:lang w:eastAsia="ru-RU"/>
        </w:rPr>
      </w:pPr>
    </w:p>
    <w:p w14:paraId="1C0157D6" w14:textId="77777777" w:rsidR="00B51242" w:rsidRDefault="00B51242">
      <w:pPr>
        <w:rPr>
          <w:rStyle w:val="InternetLink"/>
          <w:rFonts w:ascii="Arial" w:eastAsia="Times New Roman" w:hAnsi="Arial" w:cs="Times New Roman"/>
          <w:color w:val="FF0000"/>
          <w:sz w:val="28"/>
          <w:szCs w:val="28"/>
          <w:u w:val="none"/>
          <w:lang w:eastAsia="ru-RU"/>
        </w:rPr>
      </w:pPr>
    </w:p>
    <w:p w14:paraId="3691E7B2" w14:textId="77777777" w:rsidR="00B51242" w:rsidRDefault="00B51242">
      <w:pPr>
        <w:rPr>
          <w:rStyle w:val="InternetLink"/>
          <w:rFonts w:ascii="Arial" w:eastAsia="Times New Roman" w:hAnsi="Arial" w:cs="Times New Roman"/>
          <w:color w:val="FF0000"/>
          <w:sz w:val="28"/>
          <w:szCs w:val="28"/>
          <w:u w:val="none"/>
          <w:lang w:eastAsia="ru-RU"/>
        </w:rPr>
      </w:pPr>
    </w:p>
    <w:p w14:paraId="526770CE" w14:textId="77777777" w:rsidR="00B51242" w:rsidRDefault="00B51242">
      <w:pPr>
        <w:rPr>
          <w:rStyle w:val="InternetLink"/>
          <w:rFonts w:ascii="Arial" w:eastAsia="Times New Roman" w:hAnsi="Arial" w:cs="Times New Roman"/>
          <w:color w:val="FF0000"/>
          <w:sz w:val="28"/>
          <w:szCs w:val="28"/>
          <w:u w:val="none"/>
          <w:lang w:eastAsia="ru-RU"/>
        </w:rPr>
      </w:pPr>
    </w:p>
    <w:p w14:paraId="7CBEED82" w14:textId="77777777" w:rsidR="00B51242" w:rsidRDefault="00B51242">
      <w:pPr>
        <w:rPr>
          <w:rStyle w:val="InternetLink"/>
          <w:rFonts w:ascii="Arial" w:eastAsia="Times New Roman" w:hAnsi="Arial" w:cs="Times New Roman"/>
          <w:color w:val="FF0000"/>
          <w:sz w:val="28"/>
          <w:szCs w:val="28"/>
          <w:u w:val="none"/>
          <w:lang w:eastAsia="ru-RU"/>
        </w:rPr>
      </w:pPr>
    </w:p>
    <w:p w14:paraId="6E36661F" w14:textId="77777777" w:rsidR="00B51242" w:rsidRDefault="00B51242">
      <w:pPr>
        <w:rPr>
          <w:rStyle w:val="InternetLink"/>
          <w:rFonts w:ascii="Arial" w:eastAsia="Times New Roman" w:hAnsi="Arial" w:cs="Times New Roman"/>
          <w:color w:val="FF0000"/>
          <w:sz w:val="28"/>
          <w:szCs w:val="28"/>
          <w:u w:val="none"/>
          <w:lang w:eastAsia="ru-RU"/>
        </w:rPr>
      </w:pPr>
    </w:p>
    <w:p w14:paraId="38645DC7" w14:textId="77777777" w:rsidR="00B51242" w:rsidRDefault="00B51242">
      <w:pPr>
        <w:rPr>
          <w:rStyle w:val="InternetLink"/>
          <w:rFonts w:ascii="Arial" w:eastAsia="Times New Roman" w:hAnsi="Arial" w:cs="Times New Roman"/>
          <w:color w:val="FF0000"/>
          <w:sz w:val="28"/>
          <w:szCs w:val="28"/>
          <w:u w:val="none"/>
          <w:lang w:eastAsia="ru-RU"/>
        </w:rPr>
      </w:pPr>
    </w:p>
    <w:p w14:paraId="135E58C4" w14:textId="77777777" w:rsidR="00B51242" w:rsidRDefault="00B51242">
      <w:pPr>
        <w:rPr>
          <w:rStyle w:val="InternetLink"/>
          <w:rFonts w:ascii="Arial" w:eastAsia="Times New Roman" w:hAnsi="Arial" w:cs="Times New Roman"/>
          <w:color w:val="FF0000"/>
          <w:sz w:val="28"/>
          <w:szCs w:val="28"/>
          <w:u w:val="none"/>
          <w:lang w:eastAsia="ru-RU"/>
        </w:rPr>
      </w:pPr>
    </w:p>
    <w:p w14:paraId="62EBF9A1" w14:textId="77777777" w:rsidR="00B51242" w:rsidRDefault="00B51242">
      <w:pPr>
        <w:rPr>
          <w:rStyle w:val="InternetLink"/>
          <w:rFonts w:ascii="Arial" w:eastAsia="Times New Roman" w:hAnsi="Arial" w:cs="Times New Roman"/>
          <w:color w:val="FF0000"/>
          <w:sz w:val="28"/>
          <w:szCs w:val="28"/>
          <w:u w:val="none"/>
          <w:lang w:eastAsia="ru-RU"/>
        </w:rPr>
      </w:pPr>
    </w:p>
    <w:p w14:paraId="0C6C2CD5" w14:textId="77777777" w:rsidR="00B51242" w:rsidRDefault="00B51242">
      <w:pPr>
        <w:rPr>
          <w:rStyle w:val="InternetLink"/>
          <w:rFonts w:ascii="Arial" w:eastAsia="Times New Roman" w:hAnsi="Arial" w:cs="Times New Roman"/>
          <w:color w:val="FF0000"/>
          <w:sz w:val="28"/>
          <w:szCs w:val="28"/>
          <w:u w:val="none"/>
          <w:lang w:eastAsia="ru-RU"/>
        </w:rPr>
      </w:pPr>
    </w:p>
    <w:p w14:paraId="709E88E4" w14:textId="77777777" w:rsidR="00B51242" w:rsidRDefault="00B51242">
      <w:pPr>
        <w:rPr>
          <w:rStyle w:val="InternetLink"/>
          <w:rFonts w:ascii="Arial" w:eastAsia="Times New Roman" w:hAnsi="Arial" w:cs="Times New Roman"/>
          <w:color w:val="FF0000"/>
          <w:sz w:val="28"/>
          <w:szCs w:val="28"/>
          <w:u w:val="none"/>
          <w:lang w:eastAsia="ru-RU"/>
        </w:rPr>
      </w:pPr>
    </w:p>
    <w:p w14:paraId="508C98E9" w14:textId="77777777" w:rsidR="00B51242" w:rsidRDefault="00B51242">
      <w:pPr>
        <w:rPr>
          <w:rStyle w:val="InternetLink"/>
          <w:rFonts w:ascii="Arial" w:eastAsia="Times New Roman" w:hAnsi="Arial" w:cs="Times New Roman"/>
          <w:color w:val="FF0000"/>
          <w:sz w:val="28"/>
          <w:szCs w:val="28"/>
          <w:u w:val="none"/>
          <w:lang w:eastAsia="ru-RU"/>
        </w:rPr>
      </w:pPr>
    </w:p>
    <w:p w14:paraId="779F8E76" w14:textId="77777777" w:rsidR="00B51242" w:rsidRDefault="00B51242">
      <w:pPr>
        <w:rPr>
          <w:rStyle w:val="InternetLink"/>
          <w:rFonts w:ascii="Arial" w:eastAsia="Times New Roman" w:hAnsi="Arial" w:cs="Times New Roman"/>
          <w:color w:val="FF0000"/>
          <w:sz w:val="28"/>
          <w:szCs w:val="28"/>
          <w:u w:val="none"/>
          <w:lang w:eastAsia="ru-RU"/>
        </w:rPr>
      </w:pPr>
    </w:p>
    <w:p w14:paraId="7818863E" w14:textId="77777777" w:rsidR="00B51242" w:rsidRDefault="00B51242">
      <w:pPr>
        <w:rPr>
          <w:rStyle w:val="InternetLink"/>
          <w:rFonts w:ascii="Arial" w:eastAsia="Times New Roman" w:hAnsi="Arial" w:cs="Times New Roman"/>
          <w:color w:val="FF0000"/>
          <w:sz w:val="28"/>
          <w:szCs w:val="28"/>
          <w:u w:val="none"/>
          <w:lang w:eastAsia="ru-RU"/>
        </w:rPr>
      </w:pPr>
    </w:p>
    <w:p w14:paraId="44F69B9A" w14:textId="77777777" w:rsidR="00B51242" w:rsidRDefault="00B51242">
      <w:pPr>
        <w:rPr>
          <w:rStyle w:val="InternetLink"/>
          <w:rFonts w:ascii="Arial" w:eastAsia="Times New Roman" w:hAnsi="Arial" w:cs="Times New Roman"/>
          <w:color w:val="FF0000"/>
          <w:sz w:val="28"/>
          <w:szCs w:val="28"/>
          <w:u w:val="none"/>
          <w:lang w:eastAsia="ru-RU"/>
        </w:rPr>
      </w:pPr>
    </w:p>
    <w:p w14:paraId="5F07D11E" w14:textId="77777777" w:rsidR="00B51242" w:rsidRDefault="00B51242">
      <w:pPr>
        <w:rPr>
          <w:rStyle w:val="InternetLink"/>
          <w:rFonts w:ascii="Arial" w:eastAsia="Times New Roman" w:hAnsi="Arial" w:cs="Times New Roman"/>
          <w:color w:val="FF0000"/>
          <w:sz w:val="28"/>
          <w:szCs w:val="28"/>
          <w:u w:val="none"/>
          <w:lang w:eastAsia="ru-RU"/>
        </w:rPr>
      </w:pPr>
    </w:p>
    <w:p w14:paraId="41508A3C" w14:textId="77777777" w:rsidR="00B51242" w:rsidRDefault="00B51242">
      <w:pPr>
        <w:rPr>
          <w:rStyle w:val="InternetLink"/>
          <w:rFonts w:ascii="Arial" w:eastAsia="Times New Roman" w:hAnsi="Arial" w:cs="Times New Roman"/>
          <w:color w:val="FF0000"/>
          <w:sz w:val="28"/>
          <w:szCs w:val="28"/>
          <w:u w:val="none"/>
          <w:lang w:eastAsia="ru-RU"/>
        </w:rPr>
      </w:pPr>
    </w:p>
    <w:p w14:paraId="43D6B1D6" w14:textId="77777777" w:rsidR="00B51242" w:rsidRDefault="00B51242">
      <w:pPr>
        <w:rPr>
          <w:rStyle w:val="InternetLink"/>
          <w:rFonts w:ascii="Arial" w:eastAsia="Times New Roman" w:hAnsi="Arial" w:cs="Times New Roman"/>
          <w:color w:val="FF0000"/>
          <w:sz w:val="28"/>
          <w:szCs w:val="28"/>
          <w:u w:val="none"/>
          <w:lang w:eastAsia="ru-RU"/>
        </w:rPr>
      </w:pPr>
    </w:p>
    <w:p w14:paraId="17DBC151" w14:textId="77777777" w:rsidR="00B51242" w:rsidRDefault="00B51242">
      <w:pPr>
        <w:rPr>
          <w:rStyle w:val="InternetLink"/>
          <w:rFonts w:ascii="Arial" w:eastAsia="Times New Roman" w:hAnsi="Arial" w:cs="Times New Roman"/>
          <w:color w:val="FF0000"/>
          <w:sz w:val="28"/>
          <w:szCs w:val="28"/>
          <w:u w:val="none"/>
          <w:lang w:eastAsia="ru-RU"/>
        </w:rPr>
      </w:pPr>
    </w:p>
    <w:p w14:paraId="6F8BD81B" w14:textId="77777777" w:rsidR="00B51242" w:rsidRDefault="00B51242">
      <w:pPr>
        <w:rPr>
          <w:rStyle w:val="InternetLink"/>
          <w:rFonts w:ascii="Arial" w:eastAsia="Times New Roman" w:hAnsi="Arial" w:cs="Times New Roman"/>
          <w:color w:val="FF0000"/>
          <w:sz w:val="28"/>
          <w:szCs w:val="28"/>
          <w:u w:val="none"/>
          <w:lang w:eastAsia="ru-RU"/>
        </w:rPr>
      </w:pPr>
    </w:p>
    <w:p w14:paraId="2613E9C1" w14:textId="77777777" w:rsidR="00B51242" w:rsidRDefault="00B51242">
      <w:pPr>
        <w:rPr>
          <w:rStyle w:val="InternetLink"/>
          <w:rFonts w:ascii="Arial" w:eastAsia="Times New Roman" w:hAnsi="Arial" w:cs="Times New Roman"/>
          <w:color w:val="FF0000"/>
          <w:sz w:val="28"/>
          <w:szCs w:val="28"/>
          <w:u w:val="none"/>
          <w:lang w:eastAsia="ru-RU"/>
        </w:rPr>
      </w:pPr>
    </w:p>
    <w:p w14:paraId="1037B8A3" w14:textId="77777777" w:rsidR="00B51242" w:rsidRDefault="00B51242">
      <w:pPr>
        <w:rPr>
          <w:rStyle w:val="InternetLink"/>
          <w:rFonts w:ascii="Arial" w:eastAsia="Times New Roman" w:hAnsi="Arial" w:cs="Times New Roman"/>
          <w:color w:val="FF0000"/>
          <w:sz w:val="28"/>
          <w:szCs w:val="28"/>
          <w:u w:val="none"/>
          <w:lang w:eastAsia="ru-RU"/>
        </w:rPr>
      </w:pPr>
    </w:p>
    <w:p w14:paraId="687C6DE0" w14:textId="77777777" w:rsidR="00B51242" w:rsidRDefault="00B51242">
      <w:pPr>
        <w:rPr>
          <w:rStyle w:val="InternetLink"/>
          <w:rFonts w:ascii="Arial" w:eastAsia="Times New Roman" w:hAnsi="Arial" w:cs="Times New Roman"/>
          <w:color w:val="FF0000"/>
          <w:sz w:val="28"/>
          <w:szCs w:val="28"/>
          <w:u w:val="none"/>
          <w:lang w:eastAsia="ru-RU"/>
        </w:rPr>
      </w:pPr>
    </w:p>
    <w:p w14:paraId="5B2F9378" w14:textId="77777777" w:rsidR="00B51242" w:rsidRDefault="00B51242">
      <w:pPr>
        <w:rPr>
          <w:rStyle w:val="InternetLink"/>
          <w:rFonts w:ascii="Arial" w:eastAsia="Times New Roman" w:hAnsi="Arial" w:cs="Times New Roman"/>
          <w:color w:val="FF0000"/>
          <w:sz w:val="28"/>
          <w:szCs w:val="28"/>
          <w:u w:val="none"/>
          <w:lang w:eastAsia="ru-RU"/>
        </w:rPr>
      </w:pPr>
    </w:p>
    <w:p w14:paraId="58E6DD4E" w14:textId="77777777" w:rsidR="00B51242" w:rsidRDefault="00B51242">
      <w:pPr>
        <w:pStyle w:val="1"/>
        <w:spacing w:before="0" w:after="0" w:line="360" w:lineRule="auto"/>
        <w:jc w:val="center"/>
        <w:rPr>
          <w:rStyle w:val="StrongEmphasis"/>
          <w:rFonts w:eastAsia="Times New Roman" w:cs="Times New Roman"/>
          <w:color w:val="000000"/>
          <w:sz w:val="28"/>
          <w:szCs w:val="28"/>
        </w:rPr>
      </w:pPr>
    </w:p>
    <w:p w14:paraId="7D3BEE8F" w14:textId="77777777" w:rsidR="00B51242" w:rsidRDefault="00B51242">
      <w:pPr>
        <w:pStyle w:val="1"/>
        <w:spacing w:before="0" w:after="0" w:line="360" w:lineRule="auto"/>
        <w:jc w:val="center"/>
        <w:rPr>
          <w:rStyle w:val="StrongEmphasis"/>
          <w:rFonts w:eastAsia="Times New Roman" w:cs="Times New Roman"/>
          <w:color w:val="000000"/>
          <w:sz w:val="28"/>
          <w:szCs w:val="28"/>
        </w:rPr>
      </w:pPr>
    </w:p>
    <w:p w14:paraId="190BDC66" w14:textId="77777777" w:rsidR="00B51242" w:rsidRDefault="008E4E86">
      <w:pPr>
        <w:pStyle w:val="1"/>
        <w:spacing w:before="0" w:after="0" w:line="360" w:lineRule="auto"/>
        <w:jc w:val="center"/>
      </w:pPr>
      <w:r>
        <w:rPr>
          <w:rStyle w:val="StrongEmphasis"/>
          <w:rFonts w:eastAsia="Times New Roman" w:cs="Times New Roman"/>
          <w:color w:val="000000"/>
          <w:sz w:val="28"/>
          <w:szCs w:val="28"/>
        </w:rPr>
        <w:t>ВИСНОВКИ</w:t>
      </w:r>
    </w:p>
    <w:p w14:paraId="17E28372" w14:textId="77777777" w:rsidR="00B51242" w:rsidRDefault="008E4E86">
      <w:pPr>
        <w:spacing w:line="360" w:lineRule="auto"/>
        <w:ind w:firstLine="737"/>
        <w:jc w:val="both"/>
      </w:pPr>
      <w:r>
        <w:rPr>
          <w:color w:val="000000"/>
          <w:sz w:val="28"/>
          <w:szCs w:val="28"/>
        </w:rPr>
        <w:t>У ході виконання магістерської роботи було здійснено комплексне теоретико-емпіричне дослідження проблеми використання когнітивно-поведінкової терапії в структурі психологічної підтримки військовослужбовців із посттравматичним стресовим розладом. Актуальність обраної теми підтверджується масштабами психотравматизації військових в умовах повномасштабної війни, високою поширеністю ПТСР, складністю його клінічного перебігу та необхідністю пошуку ефективних, науково обґрунтованих і водночас практично доступних методів психологічної допомоги.</w:t>
      </w:r>
    </w:p>
    <w:p w14:paraId="40D808B8" w14:textId="77777777" w:rsidR="00B51242" w:rsidRDefault="008E4E86">
      <w:pPr>
        <w:spacing w:line="360" w:lineRule="auto"/>
        <w:ind w:firstLine="737"/>
        <w:jc w:val="both"/>
      </w:pPr>
      <w:r>
        <w:rPr>
          <w:color w:val="000000"/>
          <w:sz w:val="28"/>
          <w:szCs w:val="28"/>
        </w:rPr>
        <w:t>У першому розділі роботи було визначено науковий апарат дослідження, сформульовано мету, завдання, об’єкт, предмет, гіпотезу, а також окреслено методи дослідження. Встановлено, що ефективна психологічна підтримка військовослужбовців із ПТСР потребує не ізольованого використання окремих психотерапевтичних методів, а інтегративного підходу, який дозволяє одночасно впливати на когнітивні, емоційні, поведінкові та тілесні компоненти психотравматичної реакції. Сформована емпірична вибірка з 30 військовослужбовців із підтвердженим діагнозом ПТСР без коморбідних психічних станів забезпечила достатню репрезентативність для проведення пілотного дослідження ефективності запропонованої інтегративної програми психологічної підтримки.</w:t>
      </w:r>
    </w:p>
    <w:p w14:paraId="70D89D9D" w14:textId="77777777" w:rsidR="00B51242" w:rsidRDefault="008E4E86">
      <w:pPr>
        <w:spacing w:line="360" w:lineRule="auto"/>
        <w:ind w:firstLine="737"/>
        <w:jc w:val="both"/>
      </w:pPr>
      <w:r>
        <w:rPr>
          <w:color w:val="000000"/>
          <w:sz w:val="28"/>
          <w:szCs w:val="28"/>
        </w:rPr>
        <w:t>У другому розділі здійснено ґрунтовний теоретичний аналіз історичних аспектів формування уявлень про посттравматичний стресовий розлад як окремий психічний діагноз, а також еволюції методів психологічної та психотерапевтичної допомоги постраждалим від бойової психотравми. Встановлено, що ПТСР розглядається сучасною наукою не лише як наслідок окремої травмувальної події, а як складний багаторівневий розлад, що формується під впливом індивідуальних, нейрофізіологічних, когнітивних, емоційних і соціальних чинників.</w:t>
      </w:r>
    </w:p>
    <w:p w14:paraId="2541B259" w14:textId="77777777" w:rsidR="00B51242" w:rsidRDefault="008E4E86">
      <w:pPr>
        <w:spacing w:line="360" w:lineRule="auto"/>
        <w:ind w:firstLine="737"/>
        <w:jc w:val="both"/>
      </w:pPr>
      <w:r>
        <w:rPr>
          <w:color w:val="000000"/>
          <w:sz w:val="28"/>
          <w:szCs w:val="28"/>
        </w:rPr>
        <w:t>Проаналізовано розвиток когнітивно-поведінкової терапії від класичних моделей до підходів «третьої хвилі», що суттєво розширили інструментарій роботи з травматичними переживаннями. З’ясовано, що сучасна КПТ у роботі з ПТСР спрямована не лише на усунення симптомів, а й на зміну глибинних переконань, відновлення почуття контролю, безпеки, самодостатності, а також на формування адаптивних стратегій поведінки. Розкрито сутність когнітивної моделі ПТСР та Оксфордського підходу, які пояснюють стійкість симптомів через порушення процесів переробки травматичної інформації та негативні оцінки пережитого досвіду.</w:t>
      </w:r>
    </w:p>
    <w:p w14:paraId="0ED9711D" w14:textId="77777777" w:rsidR="00B51242" w:rsidRDefault="008E4E86">
      <w:pPr>
        <w:spacing w:line="360" w:lineRule="auto"/>
        <w:ind w:firstLine="737"/>
        <w:jc w:val="both"/>
      </w:pPr>
      <w:r>
        <w:rPr>
          <w:color w:val="000000"/>
          <w:sz w:val="28"/>
          <w:szCs w:val="28"/>
        </w:rPr>
        <w:t>Окрему увагу у роботі приділено аналізу проблематики психологічної допомоги військовослужбовцям із ПТСР. Виявлено, що серед ключових труднощів практичної роботи виступають високі показники відсіву з терапії, часті рецидиви після завершення лікувального циклу, коморбідність із депресивними станами, виражене гіперзбудження, а також необхідність надання допомоги в умовах триваючої загрози та повторної травматизації. Ці обставини значно ускладнюють класичні протоколи психотерапії та вимагають їх адаптації до реалій військового середовища.</w:t>
      </w:r>
    </w:p>
    <w:p w14:paraId="2D214FAD" w14:textId="77777777" w:rsidR="00B51242" w:rsidRDefault="008E4E86">
      <w:pPr>
        <w:spacing w:line="360" w:lineRule="auto"/>
        <w:ind w:firstLine="737"/>
        <w:jc w:val="both"/>
      </w:pPr>
      <w:r>
        <w:rPr>
          <w:color w:val="000000"/>
          <w:sz w:val="28"/>
          <w:szCs w:val="28"/>
        </w:rPr>
        <w:t>У третьому розділі обґрунтовано доцільність застосування інтегративного підходу у психологічній підтримці військовослужбовців із ПТСР. Доведено, що поєднання когнітивно-поведінкової терапії з елементами тілесно-орієнтованої терапії та EMDR дозволяє підвищити ефективність лікування за рахунок одночасного впливу на різні рівні психотравматичної реакції. КПТ у цьому випадку виступає базовим методом, який формує каркас психокорекційної роботи, тоді як тілесно-орієнтовані техніки та EMDR виконують стабілізувальну, ресурсну та підтримувальну функцію.</w:t>
      </w:r>
    </w:p>
    <w:p w14:paraId="5D543768" w14:textId="77777777" w:rsidR="00B51242" w:rsidRDefault="008E4E86">
      <w:pPr>
        <w:spacing w:line="360" w:lineRule="auto"/>
        <w:ind w:firstLine="737"/>
        <w:jc w:val="both"/>
      </w:pPr>
      <w:r>
        <w:rPr>
          <w:color w:val="000000"/>
          <w:sz w:val="28"/>
          <w:szCs w:val="28"/>
        </w:rPr>
        <w:t>Було визначено фундаментальні принципи інтегративного підходу, зокрема клієнтоорієнтованість, поступовість, безпечність, опора на ресурси, індивідуалізація психотерапевтичної взаємодії, активна участь військовослужбовця у процесі змін. Запропоновано концепцію «ментального тренера» як елементу внутрішньої підтримки, що сприяє формуванню самоспостереження, самоконтролю та відповідальності за власний психологічний стан.</w:t>
      </w:r>
    </w:p>
    <w:p w14:paraId="204C0048" w14:textId="77777777" w:rsidR="00B51242" w:rsidRDefault="008E4E86">
      <w:pPr>
        <w:spacing w:line="360" w:lineRule="auto"/>
        <w:ind w:firstLine="737"/>
        <w:jc w:val="both"/>
      </w:pPr>
      <w:r>
        <w:rPr>
          <w:color w:val="000000"/>
          <w:sz w:val="28"/>
          <w:szCs w:val="28"/>
        </w:rPr>
        <w:t>Розроблено структурований комплекс методів психологічної підтримки, який включає когнітивні інтервенції, тілесно-орієнтовані стабілізаційні техніки, елементи EMDR, поведінкові експерименти, а також систему структурованих домашніх завдань. Визначено основні складові структури плану психологічної підтримки: чітке визначення актуальних симптомів, формування основного вектора психотерапевтичної роботи, фіксація стану на початку та наприкінці кожного заняття, а також використання домашніх завдань як фундаменту закріплення терапевтичних змін.</w:t>
      </w:r>
    </w:p>
    <w:p w14:paraId="71B4349E" w14:textId="77777777" w:rsidR="00B51242" w:rsidRDefault="008E4E86">
      <w:pPr>
        <w:spacing w:line="360" w:lineRule="auto"/>
        <w:ind w:firstLine="737"/>
        <w:jc w:val="both"/>
      </w:pPr>
      <w:r>
        <w:rPr>
          <w:color w:val="000000"/>
          <w:sz w:val="28"/>
          <w:szCs w:val="28"/>
        </w:rPr>
        <w:t>У межах третього розділу детально представлено поетапний план психологічної підтримки, що охоплює 12 занять: від стабілізації та фізіологічної регуляції до роботи з переконаннями, когнітивної реструктуризації, експозиційної терапії, поведінкових експериментів, опрацювання травматичного досвіду, розвитку міжособистісних відносин, планування майбутнього та профілактики рецидивів. Така структура дозволяє забезпечити логічну послідовність психотерапевтичного процесу та зменшити ризик повторної дестабілізації.</w:t>
      </w:r>
    </w:p>
    <w:p w14:paraId="099E60FA" w14:textId="77777777" w:rsidR="00B51242" w:rsidRDefault="008E4E86">
      <w:pPr>
        <w:spacing w:line="360" w:lineRule="auto"/>
        <w:ind w:firstLine="737"/>
        <w:jc w:val="both"/>
      </w:pPr>
      <w:r>
        <w:rPr>
          <w:color w:val="000000"/>
          <w:sz w:val="28"/>
          <w:szCs w:val="28"/>
        </w:rPr>
        <w:t>У четвертому розділі здійснено емпіричне дослідження ефективності застосування когнітивно-поведінкової терапії в комплексі з тілесно-орієнтованими техніками та елементами EMDR. Результати аналізу показали, що після проходження інтегративної програми у більшості військовослужбовців спостерігалася позитивна динаміка психологічного стану. Було зафіксовано зниження інтенсивності основних симптомів ПТСР, зменшення рівня гіперзбудження, тривожності, уникнення, а також редукцію депресивних проявів.</w:t>
      </w:r>
    </w:p>
    <w:p w14:paraId="3679062B" w14:textId="77777777" w:rsidR="00B51242" w:rsidRDefault="008E4E86">
      <w:pPr>
        <w:spacing w:line="360" w:lineRule="auto"/>
        <w:ind w:firstLine="737"/>
        <w:jc w:val="both"/>
      </w:pPr>
      <w:r>
        <w:rPr>
          <w:color w:val="000000"/>
          <w:sz w:val="28"/>
          <w:szCs w:val="28"/>
        </w:rPr>
        <w:t>Встановлено, що застосування когнітивної реструктуризації та поведінкових експериментів сприяло зміні дезадаптивних переконань, пов’язаних із почуттям провини, безпорадності, недовіри до оточення та негативного бачення майбутнього. Водночас тілесно-орієнтовані техніки забезпечували швидшу стабілізацію фізіологічного стану, покращення якості сну, зменшення соматичних симптомів тривоги. Використання елементів EMDR сприяло зниженню інтенсивності афективного відгуку на травматичні спогади та підвищенню толерантності до їхнього усвідомлення.</w:t>
      </w:r>
    </w:p>
    <w:p w14:paraId="20CFA704" w14:textId="77777777" w:rsidR="00B51242" w:rsidRDefault="008E4E86">
      <w:pPr>
        <w:spacing w:line="360" w:lineRule="auto"/>
        <w:ind w:firstLine="737"/>
        <w:jc w:val="both"/>
      </w:pPr>
      <w:r>
        <w:rPr>
          <w:color w:val="000000"/>
          <w:sz w:val="28"/>
          <w:szCs w:val="28"/>
        </w:rPr>
        <w:t>Особливу роль у підвищенні ефективності програми відіграла система домашніх завдань, сформованих за принципами S.M.A.R.T., що забезпечували перенесення набутих навичок у повсякденну діяльність. Регулярне використання робочих листів, щоденників самоспостереження та інструментів моніторингу тригерів сприяло підвищенню усвідомленості власного стану, відповідальності за процес змін та стабільності досягнутих результатів.</w:t>
      </w:r>
    </w:p>
    <w:p w14:paraId="27A23096" w14:textId="77777777" w:rsidR="00B51242" w:rsidRDefault="008E4E86">
      <w:pPr>
        <w:spacing w:line="360" w:lineRule="auto"/>
        <w:ind w:firstLine="737"/>
        <w:jc w:val="both"/>
      </w:pPr>
      <w:r>
        <w:rPr>
          <w:color w:val="000000"/>
          <w:sz w:val="28"/>
          <w:szCs w:val="28"/>
        </w:rPr>
        <w:t>Отримані емпіричні дані підтвердили висунуту в роботі гіпотезу про те, що поєднання технік КПТ з елементами ТОТ та EMDR на відповідних етапах лікування забезпечує більш високий рівень ефективності психологічної підтримки військовослужбовців із ПТСР, ніж використання окремих методів у ізольованому вигляді.</w:t>
      </w:r>
    </w:p>
    <w:p w14:paraId="7E7D897C" w14:textId="77777777" w:rsidR="00B51242" w:rsidRDefault="008E4E86">
      <w:pPr>
        <w:spacing w:line="360" w:lineRule="auto"/>
        <w:ind w:firstLine="737"/>
        <w:jc w:val="both"/>
      </w:pPr>
      <w:r>
        <w:rPr>
          <w:color w:val="000000"/>
          <w:sz w:val="28"/>
          <w:szCs w:val="28"/>
        </w:rPr>
        <w:t>Узагальнюючи результати дослідження, можна зробити висновок, що інтегративний підхід дозволяє:</w:t>
      </w:r>
    </w:p>
    <w:p w14:paraId="3EB520A3" w14:textId="77777777" w:rsidR="00B51242" w:rsidRDefault="008E4E86">
      <w:pPr>
        <w:spacing w:line="360" w:lineRule="auto"/>
        <w:ind w:firstLine="850"/>
        <w:jc w:val="both"/>
        <w:rPr>
          <w:sz w:val="28"/>
          <w:szCs w:val="28"/>
        </w:rPr>
      </w:pPr>
      <w:r>
        <w:rPr>
          <w:color w:val="000000"/>
          <w:sz w:val="28"/>
          <w:szCs w:val="28"/>
        </w:rPr>
        <w:t>- зменшити інтенсивність симптомів ПТСР;</w:t>
      </w:r>
    </w:p>
    <w:p w14:paraId="631658BB" w14:textId="77777777" w:rsidR="00B51242" w:rsidRDefault="008E4E86">
      <w:pPr>
        <w:spacing w:line="360" w:lineRule="auto"/>
        <w:ind w:firstLine="850"/>
        <w:jc w:val="both"/>
        <w:rPr>
          <w:sz w:val="28"/>
          <w:szCs w:val="28"/>
        </w:rPr>
      </w:pPr>
      <w:r>
        <w:rPr>
          <w:color w:val="000000"/>
          <w:sz w:val="28"/>
          <w:szCs w:val="28"/>
        </w:rPr>
        <w:t>- скоротити прояви гіперзбудження та уникнення;</w:t>
      </w:r>
    </w:p>
    <w:p w14:paraId="005F6738" w14:textId="77777777" w:rsidR="00B51242" w:rsidRDefault="008E4E86">
      <w:pPr>
        <w:spacing w:line="360" w:lineRule="auto"/>
        <w:ind w:firstLine="850"/>
        <w:jc w:val="both"/>
        <w:rPr>
          <w:sz w:val="28"/>
          <w:szCs w:val="28"/>
        </w:rPr>
      </w:pPr>
      <w:r>
        <w:rPr>
          <w:color w:val="000000"/>
          <w:sz w:val="28"/>
          <w:szCs w:val="28"/>
        </w:rPr>
        <w:t>- покращити емоційну регуляцію та рівень психологічної стабільності;</w:t>
      </w:r>
    </w:p>
    <w:p w14:paraId="71BF4384" w14:textId="77777777" w:rsidR="00B51242" w:rsidRDefault="008E4E86">
      <w:pPr>
        <w:spacing w:line="360" w:lineRule="auto"/>
        <w:ind w:firstLine="850"/>
        <w:jc w:val="both"/>
        <w:rPr>
          <w:sz w:val="28"/>
          <w:szCs w:val="28"/>
        </w:rPr>
      </w:pPr>
      <w:r>
        <w:rPr>
          <w:color w:val="000000"/>
          <w:sz w:val="28"/>
          <w:szCs w:val="28"/>
        </w:rPr>
        <w:t>- змінити дезадаптивні когнітивні установки;</w:t>
      </w:r>
    </w:p>
    <w:p w14:paraId="09881D33" w14:textId="77777777" w:rsidR="00B51242" w:rsidRDefault="008E4E86">
      <w:pPr>
        <w:spacing w:line="360" w:lineRule="auto"/>
        <w:ind w:firstLine="850"/>
        <w:jc w:val="both"/>
        <w:rPr>
          <w:sz w:val="28"/>
          <w:szCs w:val="28"/>
        </w:rPr>
      </w:pPr>
      <w:r>
        <w:rPr>
          <w:color w:val="000000"/>
          <w:sz w:val="28"/>
          <w:szCs w:val="28"/>
        </w:rPr>
        <w:t>- підвищити функціональність поведінки та якість міжособистісних відносин;</w:t>
      </w:r>
    </w:p>
    <w:p w14:paraId="7CDB6FD8" w14:textId="77777777" w:rsidR="00B51242" w:rsidRDefault="008E4E86">
      <w:pPr>
        <w:spacing w:line="360" w:lineRule="auto"/>
        <w:ind w:firstLine="850"/>
        <w:jc w:val="both"/>
      </w:pPr>
      <w:r>
        <w:rPr>
          <w:color w:val="000000"/>
          <w:sz w:val="28"/>
          <w:szCs w:val="28"/>
        </w:rPr>
        <w:t>- знизити ризик рецидивів у післятерапевтичному періоді.</w:t>
      </w:r>
    </w:p>
    <w:p w14:paraId="2C7E1616" w14:textId="77777777" w:rsidR="00B51242" w:rsidRDefault="008E4E86">
      <w:pPr>
        <w:spacing w:line="360" w:lineRule="auto"/>
        <w:ind w:firstLine="850"/>
        <w:jc w:val="both"/>
      </w:pPr>
      <w:r>
        <w:rPr>
          <w:color w:val="000000"/>
          <w:sz w:val="28"/>
          <w:szCs w:val="28"/>
        </w:rPr>
        <w:t>Результати магістерської роботи мають як теоретичне, так і практичне значення. У теоретичному аспекті дослідження поглиблює наукові уявлення про можливості інтеграції КПТ, тілесно-орієнтованої терапії та EMDR у роботі з бойовою психотравмою. У практичному аспекті – запропонований план може бути використаний у діяльності практичних психологів, психотерапевтів, фахівців центрів психологічної реабілітації та у системі психологічного забезпечення військовослужбовців.</w:t>
      </w:r>
    </w:p>
    <w:p w14:paraId="351D9304" w14:textId="77777777" w:rsidR="00B51242" w:rsidRDefault="008E4E86">
      <w:pPr>
        <w:spacing w:line="360" w:lineRule="auto"/>
        <w:ind w:firstLine="850"/>
        <w:jc w:val="both"/>
      </w:pPr>
      <w:r>
        <w:rPr>
          <w:color w:val="000000"/>
          <w:sz w:val="28"/>
          <w:szCs w:val="28"/>
        </w:rPr>
        <w:t>Водночас проведене дослідження не вичерпує всі аспекти зазначеної проблематики та відкриває перспективи для подальших наукових розвідок. Подальших досліджень потребує вивчення довготривалої ефективності інтегративних програм, їх адаптація до різних категорій військовослужбовців, а також аналіз впливу повторної травматизації на результати психотерапії.</w:t>
      </w:r>
    </w:p>
    <w:p w14:paraId="2E0787C6" w14:textId="77777777" w:rsidR="00B51242" w:rsidRDefault="008E4E86">
      <w:pPr>
        <w:spacing w:line="360" w:lineRule="auto"/>
        <w:ind w:firstLine="850"/>
        <w:jc w:val="both"/>
      </w:pPr>
      <w:r>
        <w:rPr>
          <w:color w:val="000000"/>
          <w:sz w:val="28"/>
          <w:szCs w:val="28"/>
        </w:rPr>
        <w:t>Мету магістерської роботи досягнуто, поставлені завдання виконано, гіпотезу підтверджено, а отримані результати можуть бути використані для вдосконалення сучасної системи психологічної підтримки військовослужбовців із посттравматичним стресовим розладом.</w:t>
      </w:r>
    </w:p>
    <w:p w14:paraId="3B88899E" w14:textId="77777777" w:rsidR="00B51242" w:rsidRDefault="00B51242">
      <w:pPr>
        <w:spacing w:line="360" w:lineRule="auto"/>
        <w:ind w:firstLine="850"/>
        <w:jc w:val="both"/>
        <w:rPr>
          <w:color w:val="000000"/>
          <w:sz w:val="28"/>
          <w:szCs w:val="28"/>
        </w:rPr>
      </w:pPr>
    </w:p>
    <w:p w14:paraId="29D6B04F" w14:textId="77777777" w:rsidR="00B51242" w:rsidRDefault="008E4E86">
      <w:pPr>
        <w:spacing w:line="360" w:lineRule="auto"/>
      </w:pPr>
      <w:r w:rsidRPr="00D3629B">
        <w:rPr>
          <w:rStyle w:val="InternetLink"/>
          <w:rFonts w:eastAsia="Times New Roman" w:cs="Times New Roman"/>
          <w:color w:val="000000"/>
          <w:sz w:val="28"/>
          <w:szCs w:val="28"/>
          <w:u w:val="none"/>
        </w:rPr>
        <w:t xml:space="preserve"> </w:t>
      </w:r>
    </w:p>
    <w:p w14:paraId="69E2BB2B" w14:textId="77777777" w:rsidR="00B51242" w:rsidRDefault="00B51242">
      <w:pPr>
        <w:rPr>
          <w:rStyle w:val="InternetLink"/>
          <w:sz w:val="28"/>
          <w:szCs w:val="28"/>
        </w:rPr>
      </w:pPr>
    </w:p>
    <w:p w14:paraId="57C0D796" w14:textId="77777777" w:rsidR="00B51242" w:rsidRDefault="00B51242">
      <w:pPr>
        <w:rPr>
          <w:rStyle w:val="InternetLink"/>
          <w:sz w:val="28"/>
          <w:szCs w:val="28"/>
        </w:rPr>
      </w:pPr>
    </w:p>
    <w:p w14:paraId="0D142F6F" w14:textId="77777777" w:rsidR="00B51242" w:rsidRDefault="00B51242">
      <w:pPr>
        <w:rPr>
          <w:rStyle w:val="InternetLink"/>
          <w:sz w:val="28"/>
          <w:szCs w:val="28"/>
        </w:rPr>
      </w:pPr>
    </w:p>
    <w:p w14:paraId="4475AD14" w14:textId="77777777" w:rsidR="00B51242" w:rsidRDefault="00B51242">
      <w:pPr>
        <w:rPr>
          <w:rStyle w:val="InternetLink"/>
          <w:sz w:val="28"/>
          <w:szCs w:val="28"/>
        </w:rPr>
      </w:pPr>
    </w:p>
    <w:p w14:paraId="120C4E94" w14:textId="77777777" w:rsidR="00B51242" w:rsidRDefault="00B51242"/>
    <w:p w14:paraId="42AFC42D" w14:textId="77777777" w:rsidR="00B51242" w:rsidRDefault="00B51242"/>
    <w:p w14:paraId="271CA723" w14:textId="77777777" w:rsidR="00B51242" w:rsidRDefault="00B51242"/>
    <w:p w14:paraId="75FBE423" w14:textId="77777777" w:rsidR="00B51242" w:rsidRDefault="00B51242"/>
    <w:p w14:paraId="2D3F0BEC" w14:textId="77777777" w:rsidR="00B51242" w:rsidRDefault="00B51242"/>
    <w:p w14:paraId="75CF4315" w14:textId="77777777" w:rsidR="00B51242" w:rsidRDefault="00B51242"/>
    <w:p w14:paraId="3CB648E9" w14:textId="77777777" w:rsidR="00B51242" w:rsidRDefault="00B51242"/>
    <w:p w14:paraId="0C178E9E" w14:textId="77777777" w:rsidR="00B51242" w:rsidRDefault="00B51242"/>
    <w:p w14:paraId="3C0395D3" w14:textId="77777777" w:rsidR="00B51242" w:rsidRDefault="00B51242"/>
    <w:p w14:paraId="3254BC2F" w14:textId="77777777" w:rsidR="00B51242" w:rsidRDefault="00B51242"/>
    <w:p w14:paraId="651E9592" w14:textId="77777777" w:rsidR="00B51242" w:rsidRDefault="00B51242"/>
    <w:p w14:paraId="269E314A" w14:textId="77777777" w:rsidR="00B51242" w:rsidRDefault="00B51242"/>
    <w:p w14:paraId="47341341" w14:textId="77777777" w:rsidR="00B51242" w:rsidRDefault="00B51242">
      <w:pPr>
        <w:sectPr w:rsidR="00B51242">
          <w:type w:val="continuous"/>
          <w:pgSz w:w="11906" w:h="16838"/>
          <w:pgMar w:top="895" w:right="908" w:bottom="1092" w:left="1736" w:header="838" w:footer="0" w:gutter="0"/>
          <w:cols w:space="720"/>
          <w:formProt w:val="0"/>
          <w:docGrid w:linePitch="100"/>
        </w:sectPr>
      </w:pPr>
    </w:p>
    <w:p w14:paraId="1FAB8E94" w14:textId="77777777" w:rsidR="00B51242" w:rsidRDefault="008E4E86">
      <w:pPr>
        <w:pStyle w:val="2"/>
        <w:spacing w:line="360" w:lineRule="auto"/>
        <w:ind w:left="720"/>
        <w:jc w:val="center"/>
      </w:pPr>
      <w:r>
        <w:rPr>
          <w:rStyle w:val="StrongEmphasis"/>
          <w:rFonts w:cs="Times New Roman"/>
          <w:sz w:val="28"/>
          <w:szCs w:val="28"/>
        </w:rPr>
        <w:t>СПИСОК ВИКОРИСТАНИХ ДЖЕРЕЛ ТА ЛІТЕРАТУРИ</w:t>
      </w:r>
    </w:p>
    <w:p w14:paraId="19D7DF5A" w14:textId="2F278CDB" w:rsidR="00B51242" w:rsidRPr="00D3629B" w:rsidRDefault="008E4E86">
      <w:pPr>
        <w:numPr>
          <w:ilvl w:val="0"/>
          <w:numId w:val="7"/>
        </w:numPr>
        <w:tabs>
          <w:tab w:val="clear" w:pos="720"/>
          <w:tab w:val="left" w:pos="0"/>
        </w:tabs>
        <w:spacing w:line="360" w:lineRule="auto"/>
        <w:jc w:val="both"/>
      </w:pPr>
      <w:r>
        <w:rPr>
          <w:rFonts w:cs="Times New Roman"/>
          <w:sz w:val="28"/>
          <w:szCs w:val="28"/>
        </w:rPr>
        <w:t>Александра Лоуен. Фізична динаміка структури характеру. Корвет, 2019. 318 с</w:t>
      </w:r>
    </w:p>
    <w:p w14:paraId="4E9012C2" w14:textId="4BDEB324" w:rsidR="00D3629B" w:rsidRPr="00D3629B" w:rsidRDefault="00D3629B" w:rsidP="00D3629B">
      <w:pPr>
        <w:spacing w:line="360" w:lineRule="auto"/>
        <w:ind w:left="360"/>
        <w:rPr>
          <w:rFonts w:cs="Times New Roman"/>
          <w:sz w:val="28"/>
          <w:szCs w:val="28"/>
        </w:rPr>
      </w:pPr>
      <w:bookmarkStart w:id="15" w:name="_Hlk224262031"/>
      <w:bookmarkStart w:id="16" w:name="_Hlk224282419"/>
      <w:r w:rsidRPr="00D3629B">
        <w:rPr>
          <w:rFonts w:cs="Times New Roman"/>
          <w:b/>
          <w:bCs/>
          <w:sz w:val="28"/>
          <w:szCs w:val="28"/>
        </w:rPr>
        <w:t>2.</w:t>
      </w:r>
      <w:r w:rsidRPr="00D3629B">
        <w:rPr>
          <w:rFonts w:cs="Times New Roman"/>
          <w:sz w:val="28"/>
          <w:szCs w:val="28"/>
        </w:rPr>
        <w:t xml:space="preserve">Аннєнкова І.П., Дружкова І.С., Рудінська О.В. Психологічні чинники дотримання академічної доброчесності в контексті застосування штучного інтелекту у вищій медичній освіті. </w:t>
      </w:r>
      <w:r w:rsidRPr="00D3629B">
        <w:rPr>
          <w:rFonts w:cs="Times New Roman"/>
          <w:i/>
          <w:iCs/>
          <w:sz w:val="28"/>
          <w:szCs w:val="28"/>
        </w:rPr>
        <w:t>Наукові записки Львівського державного університету безпеки життєдіяльності. Педагогіка і психологія.</w:t>
      </w:r>
      <w:r w:rsidRPr="00D3629B">
        <w:rPr>
          <w:rFonts w:cs="Times New Roman"/>
          <w:sz w:val="28"/>
          <w:szCs w:val="28"/>
        </w:rPr>
        <w:t xml:space="preserve"> 2025. No 1 (5). С. 192–199. DOI: </w:t>
      </w:r>
      <w:hyperlink r:id="rId14" w:history="1">
        <w:r w:rsidRPr="00D3629B">
          <w:rPr>
            <w:rStyle w:val="a4"/>
            <w:rFonts w:cs="Times New Roman"/>
            <w:sz w:val="28"/>
            <w:szCs w:val="28"/>
          </w:rPr>
          <w:t>https://doi.org/10.32782/3041-1297/2025-1-26</w:t>
        </w:r>
      </w:hyperlink>
    </w:p>
    <w:bookmarkEnd w:id="15"/>
    <w:bookmarkEnd w:id="16"/>
    <w:p w14:paraId="5A112432" w14:textId="77777777" w:rsidR="00B51242" w:rsidRDefault="008E4E86">
      <w:pPr>
        <w:numPr>
          <w:ilvl w:val="0"/>
          <w:numId w:val="7"/>
        </w:numPr>
        <w:tabs>
          <w:tab w:val="clear" w:pos="720"/>
          <w:tab w:val="left" w:pos="0"/>
        </w:tabs>
        <w:spacing w:line="360" w:lineRule="auto"/>
        <w:jc w:val="both"/>
      </w:pPr>
      <w:r>
        <w:rPr>
          <w:rFonts w:cs="Times New Roman"/>
          <w:sz w:val="28"/>
          <w:szCs w:val="28"/>
        </w:rPr>
        <w:t>Бессед Ван Дер Колк. Тіло пам’ятає все. Харків : Vivat, 2021. 624 с</w:t>
      </w:r>
    </w:p>
    <w:p w14:paraId="37AD71F0" w14:textId="77777777" w:rsidR="00B51242" w:rsidRDefault="008E4E86">
      <w:pPr>
        <w:numPr>
          <w:ilvl w:val="0"/>
          <w:numId w:val="7"/>
        </w:numPr>
        <w:tabs>
          <w:tab w:val="clear" w:pos="720"/>
          <w:tab w:val="left" w:pos="0"/>
        </w:tabs>
        <w:spacing w:line="360" w:lineRule="auto"/>
        <w:jc w:val="both"/>
      </w:pPr>
      <w:r>
        <w:rPr>
          <w:rFonts w:cs="Times New Roman"/>
          <w:sz w:val="28"/>
          <w:szCs w:val="28"/>
        </w:rPr>
        <w:t>Борисова О.О. Інтрузії у формі флешбеків як ядерний маркер постравматичного стресового розладу в учасників бойових дій. Вісник Львівського університету. Серія психологічні науки. 2023. Випуск 18. С. 10–20. DOI:</w:t>
      </w:r>
      <w:hyperlink r:id="rId15" w:tgtFrame="_new">
        <w:r>
          <w:rPr>
            <w:rStyle w:val="InternetLink"/>
            <w:rFonts w:cs="Times New Roman"/>
            <w:sz w:val="28"/>
            <w:szCs w:val="28"/>
          </w:rPr>
          <w:t>https://doi.org/10.30970/PS.2023.18.2</w:t>
        </w:r>
      </w:hyperlink>
    </w:p>
    <w:p w14:paraId="6AC636F6"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Боярин Л.В. Поняття посттравматичного стресового розладу: історія становлення. </w:t>
      </w:r>
      <w:r>
        <w:rPr>
          <w:rFonts w:cs="Times New Roman"/>
          <w:sz w:val="28"/>
          <w:szCs w:val="28"/>
          <w:lang w:val="en-US"/>
        </w:rPr>
        <w:t>URL</w:t>
      </w:r>
      <w:r w:rsidRPr="00D3629B">
        <w:rPr>
          <w:rFonts w:cs="Times New Roman"/>
          <w:sz w:val="28"/>
          <w:szCs w:val="28"/>
          <w:lang w:val="ru-RU"/>
        </w:rPr>
        <w:t>:</w:t>
      </w:r>
      <w:hyperlink r:id="rId16" w:tgtFrame="_new">
        <w:r>
          <w:rPr>
            <w:rStyle w:val="InternetLink"/>
            <w:rFonts w:cs="Times New Roman"/>
            <w:sz w:val="28"/>
            <w:szCs w:val="28"/>
          </w:rPr>
          <w:t>https://elar.navs.edu.ua/server/api/core/bitstreams/969a2086-8060-4874-a8d9-6002d4d5c253/content</w:t>
        </w:r>
      </w:hyperlink>
      <w:r>
        <w:rPr>
          <w:rFonts w:cs="Times New Roman"/>
          <w:sz w:val="28"/>
          <w:szCs w:val="28"/>
        </w:rPr>
        <w:t xml:space="preserve"> (дата звернення: 20.05.2025)</w:t>
      </w:r>
    </w:p>
    <w:p w14:paraId="6F5414D4"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Васьківська С., Гірник А. Інтегративний підхід до проблем психологічної реабілітації воїнів в Україні. Проблеми політичної психології, 2024. № 16. С. 84-98. </w:t>
      </w:r>
      <w:hyperlink r:id="rId17" w:tgtFrame="_new">
        <w:r>
          <w:rPr>
            <w:rStyle w:val="InternetLink"/>
            <w:rFonts w:cs="Times New Roman"/>
            <w:sz w:val="28"/>
            <w:szCs w:val="28"/>
          </w:rPr>
          <w:t>https://doi.org/10.33120/popp-Vol16-Year2024-165</w:t>
        </w:r>
      </w:hyperlink>
    </w:p>
    <w:p w14:paraId="3518BE60" w14:textId="77777777" w:rsidR="00B51242" w:rsidRDefault="008E4E86">
      <w:pPr>
        <w:numPr>
          <w:ilvl w:val="0"/>
          <w:numId w:val="7"/>
        </w:numPr>
        <w:tabs>
          <w:tab w:val="clear" w:pos="720"/>
          <w:tab w:val="left" w:pos="0"/>
        </w:tabs>
        <w:spacing w:line="360" w:lineRule="auto"/>
        <w:jc w:val="both"/>
      </w:pPr>
      <w:r>
        <w:rPr>
          <w:rFonts w:cs="Times New Roman"/>
          <w:sz w:val="28"/>
          <w:szCs w:val="28"/>
        </w:rPr>
        <w:t>Вдовіченко О.В., Соколова І.М., Педченко О.В., Степанова С.С., Фролова О.В. Психологічна реабілітація і супровід ветеранів війни: досвід Ізраїлю // ZESZYTY NAUKOWE WYŻSZEJ SZKOŁY TECHNICZNEJ W KATOWICACH. 2023. № 16. С. 107-118.</w:t>
      </w:r>
    </w:p>
    <w:p w14:paraId="56F08D6D" w14:textId="303F6BF3" w:rsidR="00B51242" w:rsidRPr="00D3629B" w:rsidRDefault="008E4E86">
      <w:pPr>
        <w:numPr>
          <w:ilvl w:val="0"/>
          <w:numId w:val="7"/>
        </w:numPr>
        <w:tabs>
          <w:tab w:val="clear" w:pos="720"/>
          <w:tab w:val="left" w:pos="0"/>
        </w:tabs>
        <w:spacing w:line="360" w:lineRule="auto"/>
        <w:jc w:val="both"/>
      </w:pPr>
      <w:r>
        <w:rPr>
          <w:rFonts w:cs="Times New Roman"/>
          <w:sz w:val="28"/>
          <w:szCs w:val="28"/>
        </w:rPr>
        <w:t>Горбунова В.В. Робота з посттравматичним стресовим розладом (ПТСР) у межах когнітивно-поведінкової терапії // Психологічна допомога особистості, що переживає наслідки травматичних подій: зб. ст. Міленіум. Київ, 2015. С.26-35. ISSN 978-966-9183-2</w:t>
      </w:r>
    </w:p>
    <w:p w14:paraId="50B4574A" w14:textId="3A60C860" w:rsidR="00D3629B" w:rsidRPr="00D3629B" w:rsidRDefault="00D3629B" w:rsidP="00D3629B">
      <w:pPr>
        <w:spacing w:line="360" w:lineRule="auto"/>
        <w:ind w:left="360"/>
        <w:rPr>
          <w:rFonts w:cs="Times New Roman"/>
          <w:sz w:val="28"/>
          <w:szCs w:val="28"/>
        </w:rPr>
      </w:pPr>
      <w:bookmarkStart w:id="17" w:name="_Hlk224261530"/>
      <w:r w:rsidRPr="00D3629B">
        <w:rPr>
          <w:rFonts w:cs="Times New Roman"/>
          <w:b/>
          <w:bCs/>
          <w:sz w:val="28"/>
          <w:szCs w:val="28"/>
        </w:rPr>
        <w:t>8.</w:t>
      </w:r>
      <w:r w:rsidRPr="00D3629B">
        <w:rPr>
          <w:rFonts w:cs="Times New Roman"/>
          <w:sz w:val="28"/>
          <w:szCs w:val="28"/>
        </w:rPr>
        <w:t xml:space="preserve">Грекова А. В., Литвиненко О.Д., Рудінська О.В., Князькова В.Я. Вплив цифрового стилю життя на соціально-психологічну адаптацію молоді </w:t>
      </w:r>
      <w:r w:rsidRPr="00D3629B">
        <w:rPr>
          <w:rFonts w:cs="Times New Roman"/>
          <w:i/>
          <w:iCs/>
          <w:sz w:val="28"/>
          <w:szCs w:val="28"/>
        </w:rPr>
        <w:t>Вісник соціальної гігієни та організації охорони здоров'я України</w:t>
      </w:r>
      <w:r w:rsidRPr="00D3629B">
        <w:rPr>
          <w:rFonts w:cs="Times New Roman"/>
          <w:sz w:val="28"/>
          <w:szCs w:val="28"/>
        </w:rPr>
        <w:t xml:space="preserve">.  2025.  №. 1. С. 6-11. DOI:  </w:t>
      </w:r>
      <w:hyperlink r:id="rId18" w:history="1">
        <w:r w:rsidRPr="00D3629B">
          <w:rPr>
            <w:rStyle w:val="a4"/>
            <w:rFonts w:cs="Times New Roman"/>
            <w:sz w:val="28"/>
            <w:szCs w:val="28"/>
          </w:rPr>
          <w:t>https://doi.org/10.11603/1681-2786.2025.1.15334</w:t>
        </w:r>
      </w:hyperlink>
    </w:p>
    <w:bookmarkEnd w:id="17"/>
    <w:p w14:paraId="5269B6C5" w14:textId="77777777" w:rsidR="00B51242" w:rsidRDefault="008E4E86">
      <w:pPr>
        <w:numPr>
          <w:ilvl w:val="0"/>
          <w:numId w:val="7"/>
        </w:numPr>
        <w:tabs>
          <w:tab w:val="clear" w:pos="720"/>
          <w:tab w:val="left" w:pos="0"/>
        </w:tabs>
        <w:spacing w:line="360" w:lineRule="auto"/>
        <w:jc w:val="both"/>
      </w:pPr>
      <w:r>
        <w:rPr>
          <w:rFonts w:cs="Times New Roman"/>
          <w:sz w:val="28"/>
          <w:szCs w:val="28"/>
        </w:rPr>
        <w:t>Даніел Канемана. Мислення швидке і повільне.  Київ : Наш формат, 2025. 479 с.</w:t>
      </w:r>
    </w:p>
    <w:p w14:paraId="5D0630CB" w14:textId="77777777" w:rsidR="00B51242" w:rsidRDefault="008E4E86">
      <w:pPr>
        <w:numPr>
          <w:ilvl w:val="0"/>
          <w:numId w:val="7"/>
        </w:numPr>
        <w:tabs>
          <w:tab w:val="clear" w:pos="720"/>
          <w:tab w:val="left" w:pos="0"/>
        </w:tabs>
        <w:spacing w:line="360" w:lineRule="auto"/>
        <w:jc w:val="both"/>
      </w:pPr>
      <w:r>
        <w:rPr>
          <w:rFonts w:cs="Times New Roman"/>
          <w:sz w:val="28"/>
          <w:szCs w:val="28"/>
        </w:rPr>
        <w:t>Іванов Є.В. Організація саціально-психологічної адаптації учасників бойовиїх дій: методи та прийоми // International scientific journal «Grail of Science». 2023. № 26. С. 92-95.</w:t>
      </w:r>
    </w:p>
    <w:p w14:paraId="408FA279"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Іщук Н.В. Філософські і релігійні джерела когнітивно-поведінкової терапії // Філософія релігії та медицини в постсекулярну добу. VІ Міжнародна науково-практична конференція, присвячена пам’яті свт. Луки (В. Ф. Войно-Ясенецького). Київ, 2024 р. С. 71-74.</w:t>
      </w:r>
    </w:p>
    <w:p w14:paraId="6A385C61"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Кількість пацієнтів зі встановленим діагнозом ПТСР в Україні що зростає. Що треба знати про ПТСР. Міністерство охорони здоров'я. </w:t>
      </w:r>
      <w:r>
        <w:rPr>
          <w:rFonts w:cs="Times New Roman"/>
          <w:sz w:val="28"/>
          <w:szCs w:val="28"/>
          <w:lang w:val="en-US"/>
        </w:rPr>
        <w:t>URL</w:t>
      </w:r>
      <w:r w:rsidRPr="00D3629B">
        <w:rPr>
          <w:rFonts w:cs="Times New Roman"/>
          <w:sz w:val="28"/>
          <w:szCs w:val="28"/>
          <w:lang w:val="ru-RU"/>
        </w:rPr>
        <w:t>:</w:t>
      </w:r>
      <w:hyperlink r:id="rId19">
        <w:r>
          <w:rPr>
            <w:rStyle w:val="InternetLink"/>
            <w:rFonts w:cs="Times New Roman"/>
            <w:sz w:val="28"/>
            <w:szCs w:val="28"/>
          </w:rPr>
          <w:t>https://moz.gov.ua/uk/kilkist-pacientiv-zi-vstanovlenim-diagnozom-ptsr-v-ukraini-zrostae-scho-treba-znati-pro-posttravmatichnij-stresovij-rozlad</w:t>
        </w:r>
      </w:hyperlink>
      <w:r>
        <w:rPr>
          <w:rFonts w:cs="Times New Roman"/>
          <w:sz w:val="28"/>
          <w:szCs w:val="28"/>
        </w:rPr>
        <w:t xml:space="preserve"> (дата звернення: 15.06.2025)</w:t>
      </w:r>
    </w:p>
    <w:p w14:paraId="64226F74"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Лавренюк Я. В., Кулешова О. В. Комплексний підхід до медико — психологічної реабілітації військовослужбовців: огляд науково обгрунтованих практик та втручань. Наукові записки. 2024. Серія: Психологія. №2. С 77–81. DOI:</w:t>
      </w:r>
      <w:hyperlink r:id="rId20" w:tgtFrame="_new">
        <w:r>
          <w:rPr>
            <w:rStyle w:val="InternetLink"/>
            <w:rFonts w:cs="Times New Roman"/>
            <w:sz w:val="28"/>
            <w:szCs w:val="28"/>
            <w:lang w:val="en-US"/>
          </w:rPr>
          <w:t>https</w:t>
        </w:r>
        <w:r w:rsidRPr="00D3629B">
          <w:rPr>
            <w:rStyle w:val="InternetLink"/>
            <w:rFonts w:cs="Times New Roman"/>
            <w:sz w:val="28"/>
            <w:szCs w:val="28"/>
            <w:lang w:val="ru-RU"/>
          </w:rPr>
          <w:t>://</w:t>
        </w:r>
        <w:r>
          <w:rPr>
            <w:rStyle w:val="InternetLink"/>
            <w:rFonts w:cs="Times New Roman"/>
            <w:sz w:val="28"/>
            <w:szCs w:val="28"/>
            <w:lang w:val="en-US"/>
          </w:rPr>
          <w:t>doi</w:t>
        </w:r>
        <w:r w:rsidRPr="00D3629B">
          <w:rPr>
            <w:rStyle w:val="InternetLink"/>
            <w:rFonts w:cs="Times New Roman"/>
            <w:sz w:val="28"/>
            <w:szCs w:val="28"/>
            <w:lang w:val="ru-RU"/>
          </w:rPr>
          <w:t>.</w:t>
        </w:r>
        <w:r>
          <w:rPr>
            <w:rStyle w:val="InternetLink"/>
            <w:rFonts w:cs="Times New Roman"/>
            <w:sz w:val="28"/>
            <w:szCs w:val="28"/>
            <w:lang w:val="en-US"/>
          </w:rPr>
          <w:t>org</w:t>
        </w:r>
        <w:r w:rsidRPr="00D3629B">
          <w:rPr>
            <w:rStyle w:val="InternetLink"/>
            <w:rFonts w:cs="Times New Roman"/>
            <w:sz w:val="28"/>
            <w:szCs w:val="28"/>
            <w:lang w:val="ru-RU"/>
          </w:rPr>
          <w:t>/10.32782/</w:t>
        </w:r>
        <w:r>
          <w:rPr>
            <w:rStyle w:val="InternetLink"/>
            <w:rFonts w:cs="Times New Roman"/>
            <w:sz w:val="28"/>
            <w:szCs w:val="28"/>
            <w:lang w:val="en-US"/>
          </w:rPr>
          <w:t>cusu</w:t>
        </w:r>
        <w:r w:rsidRPr="00D3629B">
          <w:rPr>
            <w:rStyle w:val="InternetLink"/>
            <w:rFonts w:cs="Times New Roman"/>
            <w:sz w:val="28"/>
            <w:szCs w:val="28"/>
            <w:lang w:val="ru-RU"/>
          </w:rPr>
          <w:t>-</w:t>
        </w:r>
        <w:r>
          <w:rPr>
            <w:rStyle w:val="InternetLink"/>
            <w:rFonts w:cs="Times New Roman"/>
            <w:sz w:val="28"/>
            <w:szCs w:val="28"/>
            <w:lang w:val="en-US"/>
          </w:rPr>
          <w:t>psy</w:t>
        </w:r>
        <w:r w:rsidRPr="00D3629B">
          <w:rPr>
            <w:rStyle w:val="InternetLink"/>
            <w:rFonts w:cs="Times New Roman"/>
            <w:sz w:val="28"/>
            <w:szCs w:val="28"/>
            <w:lang w:val="ru-RU"/>
          </w:rPr>
          <w:t>-2024-2-11</w:t>
        </w:r>
      </w:hyperlink>
    </w:p>
    <w:p w14:paraId="5792AAC5"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МКХ-11. РОЗДІЛ 06: Психічні і поведінкові розлади та порушення нейропсихічного розвитку. МОРІОН / Мішиєва В.Д. та ін.  Київ. 2023. С. 304</w:t>
      </w:r>
    </w:p>
    <w:p w14:paraId="2ADC2337"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Міністерство охорони здоров'я: минулого року в Україні було зареєстровано 23 тисячі людей з ПТСР Українські національні новини (UNN). Українські національні новини. Київ, 2024. </w:t>
      </w:r>
      <w:r>
        <w:rPr>
          <w:rFonts w:cs="Times New Roman"/>
          <w:sz w:val="28"/>
          <w:szCs w:val="28"/>
          <w:lang w:val="en-US"/>
        </w:rPr>
        <w:t>URL</w:t>
      </w:r>
      <w:r w:rsidRPr="00D3629B">
        <w:rPr>
          <w:rFonts w:cs="Times New Roman"/>
          <w:sz w:val="28"/>
          <w:szCs w:val="28"/>
          <w:lang w:val="ru-RU"/>
        </w:rPr>
        <w:t>:</w:t>
      </w:r>
      <w:hyperlink r:id="rId21" w:tgtFrame="_new">
        <w:r>
          <w:rPr>
            <w:rStyle w:val="InternetLink"/>
            <w:rFonts w:cs="Times New Roman"/>
            <w:sz w:val="28"/>
            <w:szCs w:val="28"/>
          </w:rPr>
          <w:t>https://unn.ua/en/news/ministry-of-health-23-thousand-people-with-ptsd-were-registered-in-ukraine-last-year</w:t>
        </w:r>
      </w:hyperlink>
      <w:r>
        <w:rPr>
          <w:rFonts w:cs="Times New Roman"/>
          <w:sz w:val="28"/>
          <w:szCs w:val="28"/>
        </w:rPr>
        <w:t xml:space="preserve"> (дата звернення 09.04.2025 року).</w:t>
      </w:r>
    </w:p>
    <w:p w14:paraId="1E0F5FE2"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Могильник А. І., Тарасенко К.В., Адамчук Н.М., Давиденко А.В. Бойовий посттравматичний стресовий розлад: історія і реалії // ІІІ Всеукраїнської науково-практичної конференції з міжнародною участю «Медична реабілітація в Україні: сучасний стан та напрями розвитку, проблеми та перспективи», м. Полтава, 2023. С. 45-55.</w:t>
      </w:r>
    </w:p>
    <w:p w14:paraId="0F180D1B"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Наказ МОЗ України № 703 від 23 квітня 2025 року</w:t>
      </w:r>
    </w:p>
    <w:p w14:paraId="69BD6226"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Оверчук В.А. Особливості використання КПТ у лікуванні пацієнтів з психологічними розладами // Матеріали XXXVІI-ої Міжнародної науково-практичної конференції, м. Ольборг (Данія) дистанційно. 07 жовт. 2023 р. С. 214-219.</w:t>
      </w:r>
    </w:p>
    <w:p w14:paraId="118FA663"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Опря Є. В., Чернова Т. М., Горячев П. І., Єрмуракі П. П. Актуальність використання терапії біологічного зворотнього зв’язку у лікуванні ПТСР в Україні в умовах триваючої військової агресії // Science and society: modern trends in a changing world. Proceedings of the 6th International scientific and practical conference. MDPC Publishing. Vienna, Austria. 2024. Pp. 75-78. URL:</w:t>
      </w:r>
      <w:hyperlink r:id="rId22" w:tgtFrame="_new">
        <w:r>
          <w:rPr>
            <w:rStyle w:val="InternetLink"/>
            <w:rFonts w:cs="Times New Roman"/>
            <w:sz w:val="28"/>
            <w:szCs w:val="28"/>
          </w:rPr>
          <w:t>https://sci-conf.com.ua/vi-mizhnarodna-naukovo-praktichna-konferentsiya-science-and-society-modern-trends-in-a-changing-world-13-15-05-2024-viden-avstriya-arhiv/</w:t>
        </w:r>
      </w:hyperlink>
    </w:p>
    <w:p w14:paraId="25F03D2B"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Оксана Шинкарук, Наталія Бишивець, Мирослав Датчак, Олена Андрієєва.</w:t>
      </w:r>
      <w:r>
        <w:rPr>
          <w:rFonts w:cs="Times New Roman"/>
          <w:sz w:val="28"/>
          <w:szCs w:val="28"/>
        </w:rPr>
        <w:br/>
        <w:t xml:space="preserve">Психічне здоров'я та посттравматичний стресовий розлад у військовослужбовців залежно від участі в активних бойових операціях. // Фізичне виховання, спорт і культура здоров'я в сучасному суспільстві. 2024. № 2. С. 39-51. </w:t>
      </w:r>
      <w:hyperlink r:id="rId23" w:tgtFrame="_new">
        <w:r>
          <w:rPr>
            <w:rStyle w:val="InternetLink"/>
            <w:rFonts w:cs="Times New Roman"/>
            <w:sz w:val="28"/>
            <w:szCs w:val="28"/>
          </w:rPr>
          <w:t>https://doi.org/10.29038/2220-7481-2024-02-39-51</w:t>
        </w:r>
      </w:hyperlink>
    </w:p>
    <w:p w14:paraId="6CF29CBA"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Посттравматичний стресовий розлад у ветеранів: інноваційні методи терапії та профілактики // Психіатрія, неврологія та медична психологія. 2025. Том 12, № 1.</w:t>
      </w:r>
      <w:r>
        <w:rPr>
          <w:rFonts w:cs="Times New Roman"/>
          <w:sz w:val="28"/>
          <w:szCs w:val="28"/>
        </w:rPr>
        <w:br/>
        <w:t>DOI:</w:t>
      </w:r>
      <w:hyperlink r:id="rId24" w:tgtFrame="_new">
        <w:r>
          <w:rPr>
            <w:rStyle w:val="InternetLink"/>
            <w:rFonts w:cs="Times New Roman"/>
            <w:sz w:val="28"/>
            <w:szCs w:val="28"/>
            <w:lang w:val="en-US"/>
          </w:rPr>
          <w:t>https://doi.org/10.26565/2312-5675-2025-27-03</w:t>
        </w:r>
      </w:hyperlink>
    </w:p>
    <w:p w14:paraId="74917BC7"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Протокол з діагностики та терапії ПТСР. Національний інституту клінічної майстерності Великобританії (NICE). URL:</w:t>
      </w:r>
      <w:hyperlink r:id="rId25">
        <w:r>
          <w:rPr>
            <w:rStyle w:val="InternetLink"/>
            <w:rFonts w:cs="Times New Roman"/>
            <w:sz w:val="28"/>
            <w:szCs w:val="28"/>
          </w:rPr>
          <w:t>https://www.nice.org.uk/guidance/ng116</w:t>
        </w:r>
      </w:hyperlink>
      <w:r>
        <w:rPr>
          <w:rFonts w:cs="Times New Roman"/>
          <w:sz w:val="28"/>
          <w:szCs w:val="28"/>
        </w:rPr>
        <w:t xml:space="preserve"> (дата звернення: 28.10.2025)</w:t>
      </w:r>
    </w:p>
    <w:p w14:paraId="187E7186"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Салюк М.А., Меркулов М.М. Психологічні особливості прояву постравматичного стресового розладу у військовослужбовців // Молодий вчений. 2024. № 4 (128). С. 114-119.</w:t>
      </w:r>
    </w:p>
    <w:p w14:paraId="617EAFA6"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Технології психотерапевтичної допомоги постраждалим у подоланні проявів посттравматичного стресового розладу: монографія / З. Г. Кісарчук та ін. ; за ред: З. Г. Кісарчук. Київ: Видавничий Дім «Слово», 2020. 178 с. ISBN 978-966-194-316-1</w:t>
      </w:r>
    </w:p>
    <w:p w14:paraId="1526C8F2"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Телемарафон "Єдині новини" Статистика ПТСР на Україні. </w:t>
      </w:r>
      <w:r>
        <w:rPr>
          <w:rFonts w:cs="Times New Roman"/>
          <w:sz w:val="28"/>
          <w:szCs w:val="28"/>
          <w:lang w:val="en-US"/>
        </w:rPr>
        <w:t>URL</w:t>
      </w:r>
      <w:r w:rsidRPr="00D3629B">
        <w:rPr>
          <w:rFonts w:cs="Times New Roman"/>
          <w:sz w:val="28"/>
          <w:szCs w:val="28"/>
          <w:lang w:val="ru-RU"/>
        </w:rPr>
        <w:t>:</w:t>
      </w:r>
      <w:hyperlink r:id="rId26">
        <w:r>
          <w:rPr>
            <w:rStyle w:val="InternetLink"/>
            <w:rFonts w:cs="Times New Roman"/>
            <w:sz w:val="28"/>
            <w:szCs w:val="28"/>
          </w:rPr>
          <w:t>https://www.ukrinform.ua/rubric-society/3867254-v-ukraini-zareestrovani-23-tisaci-pacientiv-z-ptsr-lasko.html</w:t>
        </w:r>
      </w:hyperlink>
      <w:r>
        <w:rPr>
          <w:rFonts w:cs="Times New Roman"/>
          <w:sz w:val="28"/>
          <w:szCs w:val="28"/>
        </w:rPr>
        <w:t xml:space="preserve"> (дата звернення: 14.05.2025)</w:t>
      </w:r>
    </w:p>
    <w:p w14:paraId="3F39B00D"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Уніфікований клінічний протокол первинної та спеціалізованої медичної допомоги. Гостра реакція на стрес. Посттравматичний стресовий розлад. Порушення адаптації. Наказ Міністерства охорони здоров’я України 19 липня 2024 року № 1265</w:t>
      </w:r>
    </w:p>
    <w:p w14:paraId="0DE76ECF"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Чорна В.В. та ін. Посттравматичний стресовий розлад під час повномасштабної війни у військовослужбовців // Молодий вчений. 2023. № 12 (124). С. 28-39</w:t>
      </w:r>
    </w:p>
    <w:p w14:paraId="204028AB"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Юрценюк О. С., Сумарюк Б.М. Історія, розвиток та формування вчення про стрес-асоційовані психічні розлади: звязок виникнення стрес-асоційованих розладів з суспільними реаліями // Current issues of social studies and history of medіcine. Joint Ukrainian – Romanian scientifi c journal, 2024.</w:t>
      </w:r>
    </w:p>
    <w:p w14:paraId="2E98D739" w14:textId="77777777" w:rsidR="00B51242" w:rsidRDefault="008E4E86">
      <w:pPr>
        <w:spacing w:line="360" w:lineRule="auto"/>
        <w:ind w:left="720"/>
        <w:jc w:val="both"/>
      </w:pPr>
      <w:r>
        <w:rPr>
          <w:rFonts w:cs="Times New Roman"/>
          <w:sz w:val="28"/>
          <w:szCs w:val="28"/>
        </w:rPr>
        <w:t>DOI:10.24061/2411-6181.1.2024.420</w:t>
      </w:r>
    </w:p>
    <w:p w14:paraId="3C02565A" w14:textId="77777777" w:rsidR="00B51242" w:rsidRDefault="008E4E86">
      <w:pPr>
        <w:numPr>
          <w:ilvl w:val="0"/>
          <w:numId w:val="7"/>
        </w:numPr>
        <w:tabs>
          <w:tab w:val="clear" w:pos="720"/>
          <w:tab w:val="left" w:pos="0"/>
        </w:tabs>
        <w:spacing w:line="360" w:lineRule="auto"/>
        <w:jc w:val="both"/>
      </w:pPr>
      <w:r>
        <w:rPr>
          <w:rFonts w:cs="Times New Roman"/>
          <w:sz w:val="28"/>
          <w:szCs w:val="28"/>
        </w:rPr>
        <w:t>Active duty and ex-serving military personnel with post-traumatic stress disorder treated with psychological therapies: systematic review and meta-analysis DOI:</w:t>
      </w:r>
      <w:hyperlink r:id="rId27">
        <w:r>
          <w:rPr>
            <w:rStyle w:val="InternetLink"/>
            <w:rFonts w:cs="Times New Roman"/>
            <w:sz w:val="28"/>
            <w:szCs w:val="28"/>
            <w:lang w:val="en-US"/>
          </w:rPr>
          <w:t>https://doi.org/10.1080/20008198.2019.1684226</w:t>
        </w:r>
      </w:hyperlink>
      <w:r>
        <w:rPr>
          <w:rFonts w:cs="Times New Roman"/>
          <w:sz w:val="28"/>
          <w:szCs w:val="28"/>
          <w:lang w:val="en-US"/>
        </w:rPr>
        <w:t xml:space="preserve"> </w:t>
      </w:r>
      <w:r>
        <w:rPr>
          <w:rFonts w:cs="Times New Roman"/>
          <w:sz w:val="28"/>
          <w:szCs w:val="28"/>
        </w:rPr>
        <w:t>(дата звернення: 05.09.2025)</w:t>
      </w:r>
    </w:p>
    <w:p w14:paraId="5EE6CADA"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Alicia Martin, et al. Treatment Guidelines for PTSD: A Systematic Revie // J Clin Med. 2021. № 10(18):4175. </w:t>
      </w:r>
      <w:r>
        <w:rPr>
          <w:rFonts w:cs="Times New Roman"/>
          <w:sz w:val="28"/>
          <w:szCs w:val="28"/>
          <w:lang w:val="en-US"/>
        </w:rPr>
        <w:t>DOI</w:t>
      </w:r>
      <w:r>
        <w:rPr>
          <w:rFonts w:cs="Times New Roman"/>
          <w:sz w:val="28"/>
          <w:szCs w:val="28"/>
        </w:rPr>
        <w:t>:10.3390/jcm10184175</w:t>
      </w:r>
    </w:p>
    <w:p w14:paraId="2DFC061A" w14:textId="77777777" w:rsidR="00B51242" w:rsidRDefault="008E4E86">
      <w:pPr>
        <w:numPr>
          <w:ilvl w:val="0"/>
          <w:numId w:val="7"/>
        </w:numPr>
        <w:tabs>
          <w:tab w:val="clear" w:pos="720"/>
          <w:tab w:val="left" w:pos="0"/>
        </w:tabs>
        <w:spacing w:line="360" w:lineRule="auto"/>
        <w:jc w:val="both"/>
      </w:pPr>
      <w:r>
        <w:rPr>
          <w:rFonts w:cs="Times New Roman"/>
          <w:sz w:val="28"/>
          <w:szCs w:val="28"/>
        </w:rPr>
        <w:t>Alexander C. Kline, Cameron T. McCabe, Justin S. Campbell, Kristen H. Walter Residual Posttraumatic Stress Disorder and Depression Symptoms Following a Residential Posttraumatic Stress Disorder Treatment Program for U.S. // Active Duty Service Members. Psychological Trauma: Theory, Research, Practice, and Policy, №16(Suppl 3), S502–S510. DOI:</w:t>
      </w:r>
      <w:hyperlink r:id="rId28">
        <w:r>
          <w:rPr>
            <w:rStyle w:val="InternetLink"/>
            <w:rFonts w:cs="Times New Roman"/>
            <w:sz w:val="28"/>
            <w:szCs w:val="28"/>
            <w:lang w:val="en-US"/>
          </w:rPr>
          <w:t>https://doi.org/10.1037/tra0001621</w:t>
        </w:r>
      </w:hyperlink>
      <w:r>
        <w:rPr>
          <w:rFonts w:cs="Times New Roman"/>
          <w:sz w:val="28"/>
          <w:szCs w:val="28"/>
          <w:lang w:val="en-US"/>
        </w:rPr>
        <w:t xml:space="preserve"> </w:t>
      </w:r>
      <w:r>
        <w:rPr>
          <w:rFonts w:cs="Times New Roman"/>
          <w:sz w:val="28"/>
          <w:szCs w:val="28"/>
        </w:rPr>
        <w:t xml:space="preserve">(Дата звернення: 30.10.2025) </w:t>
      </w:r>
    </w:p>
    <w:p w14:paraId="665F3D99"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Allan V. Horwitz. PTSD: A Short History. By Allan V. Horwitz.// Johns Hoprins University Press, Baltimore. 2018. P. 238. ISBN: 9781421426396 </w:t>
      </w:r>
    </w:p>
    <w:p w14:paraId="6C61EEFE" w14:textId="77777777" w:rsidR="00B51242" w:rsidRDefault="008E4E86">
      <w:pPr>
        <w:numPr>
          <w:ilvl w:val="0"/>
          <w:numId w:val="7"/>
        </w:numPr>
        <w:tabs>
          <w:tab w:val="clear" w:pos="720"/>
          <w:tab w:val="left" w:pos="0"/>
        </w:tabs>
        <w:spacing w:line="360" w:lineRule="auto"/>
        <w:jc w:val="both"/>
      </w:pPr>
      <w:r>
        <w:rPr>
          <w:rFonts w:cs="Times New Roman"/>
          <w:sz w:val="28"/>
          <w:szCs w:val="28"/>
        </w:rPr>
        <w:t>Antje Krüger-Gottschalk et al. Effectiveness in routine care: trauma-focused treatment for PTSD. European Journal of Psychotraumatology. 2025. Volume 16. DOI:</w:t>
      </w:r>
      <w:hyperlink r:id="rId29" w:tgtFrame="_new">
        <w:r>
          <w:rPr>
            <w:rStyle w:val="InternetLink"/>
            <w:rFonts w:cs="Times New Roman"/>
            <w:sz w:val="28"/>
            <w:szCs w:val="28"/>
            <w:lang w:val="en-US"/>
          </w:rPr>
          <w:t>https://doi.org/10.1080/20008066.2025.2452680</w:t>
        </w:r>
      </w:hyperlink>
    </w:p>
    <w:p w14:paraId="55681809"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Benfer, N., Spitzer, E. G., &amp; Bardeen, J. R. . Efficacy of Third Wave Cognitive Behavioral Therapies in the Treatment of Posttraumatic Stress: A Meta-analytic Study. Journal of Anxiety Disorders. 2021.Volume 78</w:t>
      </w:r>
    </w:p>
    <w:p w14:paraId="5755DF05" w14:textId="77777777" w:rsidR="00B51242" w:rsidRDefault="008E4E86">
      <w:pPr>
        <w:spacing w:line="360" w:lineRule="auto"/>
        <w:ind w:left="720"/>
        <w:jc w:val="both"/>
      </w:pPr>
      <w:r>
        <w:rPr>
          <w:rFonts w:cs="Times New Roman"/>
          <w:sz w:val="28"/>
          <w:szCs w:val="28"/>
        </w:rPr>
        <w:t>DOI:</w:t>
      </w:r>
      <w:hyperlink r:id="rId30" w:tgtFrame="_new">
        <w:r>
          <w:rPr>
            <w:rStyle w:val="InternetLink"/>
            <w:rFonts w:cs="Times New Roman"/>
            <w:sz w:val="28"/>
            <w:szCs w:val="28"/>
            <w:lang w:val="en-US"/>
          </w:rPr>
          <w:t>https</w:t>
        </w:r>
        <w:r w:rsidRPr="00D3629B">
          <w:rPr>
            <w:rStyle w:val="InternetLink"/>
            <w:rFonts w:cs="Times New Roman"/>
            <w:sz w:val="28"/>
            <w:szCs w:val="28"/>
          </w:rPr>
          <w:t>://</w:t>
        </w:r>
        <w:r>
          <w:rPr>
            <w:rStyle w:val="InternetLink"/>
            <w:rFonts w:cs="Times New Roman"/>
            <w:sz w:val="28"/>
            <w:szCs w:val="28"/>
            <w:lang w:val="en-US"/>
          </w:rPr>
          <w:t>doi</w:t>
        </w:r>
        <w:r w:rsidRPr="00D3629B">
          <w:rPr>
            <w:rStyle w:val="InternetLink"/>
            <w:rFonts w:cs="Times New Roman"/>
            <w:sz w:val="28"/>
            <w:szCs w:val="28"/>
          </w:rPr>
          <w:t>.</w:t>
        </w:r>
        <w:r>
          <w:rPr>
            <w:rStyle w:val="InternetLink"/>
            <w:rFonts w:cs="Times New Roman"/>
            <w:sz w:val="28"/>
            <w:szCs w:val="28"/>
            <w:lang w:val="en-US"/>
          </w:rPr>
          <w:t>org</w:t>
        </w:r>
        <w:r w:rsidRPr="00D3629B">
          <w:rPr>
            <w:rStyle w:val="InternetLink"/>
            <w:rFonts w:cs="Times New Roman"/>
            <w:sz w:val="28"/>
            <w:szCs w:val="28"/>
          </w:rPr>
          <w:t>/10.1016/</w:t>
        </w:r>
        <w:r>
          <w:rPr>
            <w:rStyle w:val="InternetLink"/>
            <w:rFonts w:cs="Times New Roman"/>
            <w:sz w:val="28"/>
            <w:szCs w:val="28"/>
            <w:lang w:val="en-US"/>
          </w:rPr>
          <w:t>j</w:t>
        </w:r>
        <w:r w:rsidRPr="00D3629B">
          <w:rPr>
            <w:rStyle w:val="InternetLink"/>
            <w:rFonts w:cs="Times New Roman"/>
            <w:sz w:val="28"/>
            <w:szCs w:val="28"/>
          </w:rPr>
          <w:t>.</w:t>
        </w:r>
        <w:r>
          <w:rPr>
            <w:rStyle w:val="InternetLink"/>
            <w:rFonts w:cs="Times New Roman"/>
            <w:sz w:val="28"/>
            <w:szCs w:val="28"/>
            <w:lang w:val="en-US"/>
          </w:rPr>
          <w:t>janxdis</w:t>
        </w:r>
        <w:r w:rsidRPr="00D3629B">
          <w:rPr>
            <w:rStyle w:val="InternetLink"/>
            <w:rFonts w:cs="Times New Roman"/>
            <w:sz w:val="28"/>
            <w:szCs w:val="28"/>
          </w:rPr>
          <w:t>.2021.102360</w:t>
        </w:r>
      </w:hyperlink>
    </w:p>
    <w:p w14:paraId="18BC605E"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Bernice Andrews, Chris R.Brewin, Rosanna Philpott. Lorna Stewart. Delayed-Onset Posttraumatic Stress Disorder: A Systematic Review of the Evidence // American Journal of Psychiatry Volume 164, Number 9 DOI:</w:t>
      </w:r>
      <w:hyperlink r:id="rId31" w:tgtFrame="_new">
        <w:r>
          <w:rPr>
            <w:rStyle w:val="InternetLink"/>
            <w:rFonts w:cs="Times New Roman"/>
            <w:sz w:val="28"/>
            <w:szCs w:val="28"/>
            <w:lang w:val="en-US"/>
          </w:rPr>
          <w:t>https://doi.org/10.1176/appi.ajp.2007.06091491</w:t>
        </w:r>
      </w:hyperlink>
    </w:p>
    <w:p w14:paraId="5B1DB163"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Blair E. Wisco et al. A comparison of ICD-11 and DSM criteria for posttraumatic stress disorder in two national samples of U.S. military veterans // Journal of Affective Disorders. 2017 . Volume 223. DOI:10.1016/j.jad.2017.07.006</w:t>
      </w:r>
    </w:p>
    <w:p w14:paraId="63B399F6"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Brenton Russell, Alexander J. Mussap. Posttraumatic stress, visual working memory, and visual imagery in military personnel // Springer Nature Link. 2024 Volume 43, Р.р. 1278–1295, DOI:10.1007/s12144-023-04338-1</w:t>
      </w:r>
    </w:p>
    <w:p w14:paraId="7C214A11"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Catrin Lewis, Neil P. Roberts, Samuel Gibson, Jonathan I. Bisson. Dropout from psychological therapies for post-traumatic stress disorder (PTSD) in adults: systematic review and meta-analysis // European Journal of Psychotraumatology. 2020. Volume 11 </w:t>
      </w:r>
      <w:hyperlink r:id="rId32" w:tgtFrame="_new">
        <w:r>
          <w:rPr>
            <w:rStyle w:val="InternetLink"/>
            <w:rFonts w:cs="Times New Roman"/>
            <w:sz w:val="28"/>
            <w:szCs w:val="28"/>
          </w:rPr>
          <w:t>https://doi.org/10.1080/20008198.2019.1709709</w:t>
        </w:r>
      </w:hyperlink>
    </w:p>
    <w:p w14:paraId="6AFED6E2"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Comparison of DSM-5 and proposed ICD-11 criteria for PTSD with DSM-IV and ICD-10: changes in PTSD prevalence in military personnel //</w:t>
      </w:r>
      <w:r>
        <w:rPr>
          <w:rFonts w:cs="Times New Roman"/>
          <w:sz w:val="28"/>
          <w:szCs w:val="28"/>
        </w:rPr>
        <w:br/>
        <w:t>European Journal of Psychotraumatology. 2017. Volume 8. DOI: 10.1080/20008198.2017.1386988</w:t>
      </w:r>
    </w:p>
    <w:p w14:paraId="7FA98465"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Dedert, et al. Clinical effectiveness study of a treatment to prepare for trauma-focused evidence-based psychotherapies at a veterans affairs specialty posttraumatic stress disorder clinic. // Psychological Services. 2021. 18(4), Р.р. 651–662.</w:t>
      </w:r>
    </w:p>
    <w:p w14:paraId="5DF4EC39" w14:textId="77777777" w:rsidR="00B51242" w:rsidRDefault="008E4E86">
      <w:pPr>
        <w:spacing w:line="360" w:lineRule="auto"/>
        <w:ind w:left="720"/>
        <w:jc w:val="both"/>
      </w:pPr>
      <w:r>
        <w:rPr>
          <w:rFonts w:cs="Times New Roman"/>
          <w:sz w:val="28"/>
          <w:szCs w:val="28"/>
        </w:rPr>
        <w:t>DOI:</w:t>
      </w:r>
      <w:hyperlink r:id="rId33" w:tgtFrame="_new">
        <w:r>
          <w:rPr>
            <w:rStyle w:val="InternetLink"/>
            <w:rFonts w:cs="Times New Roman"/>
            <w:sz w:val="28"/>
            <w:szCs w:val="28"/>
            <w:lang w:val="en-US"/>
          </w:rPr>
          <w:t>https://doi.org/10.1037/ser0000425</w:t>
        </w:r>
      </w:hyperlink>
    </w:p>
    <w:p w14:paraId="570FA5E0" w14:textId="77777777" w:rsidR="00D3629B" w:rsidRPr="00D3629B" w:rsidRDefault="008E4E86" w:rsidP="00D3629B">
      <w:pPr>
        <w:numPr>
          <w:ilvl w:val="0"/>
          <w:numId w:val="7"/>
        </w:numPr>
        <w:tabs>
          <w:tab w:val="clear" w:pos="720"/>
          <w:tab w:val="left" w:pos="0"/>
        </w:tabs>
        <w:spacing w:line="360" w:lineRule="auto"/>
        <w:jc w:val="both"/>
      </w:pPr>
      <w:r>
        <w:rPr>
          <w:rFonts w:cs="Times New Roman"/>
          <w:sz w:val="28"/>
          <w:szCs w:val="28"/>
        </w:rPr>
        <w:t xml:space="preserve"> Diagnostic and Statistical Manual of Mental Disorders DSM-5. // Internet arhive 25.07.2022. URL:</w:t>
      </w:r>
      <w:hyperlink r:id="rId34" w:tgtFrame="_new">
        <w:r>
          <w:rPr>
            <w:rStyle w:val="InternetLink"/>
            <w:rFonts w:cs="Times New Roman"/>
            <w:sz w:val="28"/>
            <w:szCs w:val="28"/>
          </w:rPr>
          <w:t>https://archive.org/details/APA-DSM-5/mode/2up</w:t>
        </w:r>
      </w:hyperlink>
      <w:r>
        <w:rPr>
          <w:rFonts w:cs="Times New Roman"/>
          <w:sz w:val="28"/>
          <w:szCs w:val="28"/>
        </w:rPr>
        <w:t xml:space="preserve"> (дата звернення 05.03.2025)</w:t>
      </w:r>
      <w:r w:rsidRPr="00D3629B">
        <w:rPr>
          <w:rFonts w:cs="Times New Roman"/>
          <w:sz w:val="28"/>
          <w:szCs w:val="28"/>
        </w:rPr>
        <w:t xml:space="preserve"> </w:t>
      </w:r>
      <w:bookmarkStart w:id="18" w:name="_Hlk224262256"/>
    </w:p>
    <w:p w14:paraId="300D0258" w14:textId="0C4CF1FB" w:rsidR="00D3629B" w:rsidRPr="00D3629B" w:rsidRDefault="00D3629B" w:rsidP="00D3629B">
      <w:pPr>
        <w:tabs>
          <w:tab w:val="left" w:pos="0"/>
        </w:tabs>
        <w:spacing w:line="360" w:lineRule="auto"/>
        <w:ind w:left="720"/>
        <w:jc w:val="both"/>
        <w:rPr>
          <w:rFonts w:cs="Times New Roman"/>
          <w:sz w:val="28"/>
          <w:szCs w:val="28"/>
        </w:rPr>
      </w:pPr>
      <w:r w:rsidRPr="00D3629B">
        <w:rPr>
          <w:rFonts w:cs="Times New Roman"/>
          <w:b/>
          <w:bCs/>
          <w:sz w:val="28"/>
          <w:szCs w:val="28"/>
        </w:rPr>
        <w:t>41.</w:t>
      </w:r>
      <w:r w:rsidRPr="00D3629B">
        <w:rPr>
          <w:rFonts w:cs="Times New Roman"/>
          <w:sz w:val="28"/>
          <w:szCs w:val="28"/>
        </w:rPr>
        <w:t xml:space="preserve">Druzhkova I., Annienkova I., Busel S., Nemchenko H., Rudinska O. Gender challenges in healthcare, psychological strategies for overcoming discrimination </w:t>
      </w:r>
      <w:r w:rsidRPr="00D3629B">
        <w:rPr>
          <w:rFonts w:cs="Times New Roman"/>
          <w:i/>
          <w:iCs/>
          <w:sz w:val="28"/>
          <w:szCs w:val="28"/>
        </w:rPr>
        <w:t>Amazonia Investiga.</w:t>
      </w:r>
      <w:r w:rsidRPr="00D3629B">
        <w:rPr>
          <w:rFonts w:cs="Times New Roman"/>
          <w:sz w:val="28"/>
          <w:szCs w:val="28"/>
        </w:rPr>
        <w:t xml:space="preserve">  2025. Vol. 14, No. 86.  P. 114–130. DOI: </w:t>
      </w:r>
      <w:hyperlink r:id="rId35" w:history="1">
        <w:r w:rsidRPr="00D3629B">
          <w:rPr>
            <w:rStyle w:val="a4"/>
            <w:rFonts w:cs="Times New Roman"/>
            <w:sz w:val="28"/>
            <w:szCs w:val="28"/>
          </w:rPr>
          <w:t>https://doi.org/10.34069/AI/2025.86.02.10</w:t>
        </w:r>
      </w:hyperlink>
    </w:p>
    <w:bookmarkEnd w:id="18"/>
    <w:p w14:paraId="2B1ECAFB" w14:textId="7E1FB56B" w:rsidR="00B51242" w:rsidRDefault="008E4E86">
      <w:pPr>
        <w:numPr>
          <w:ilvl w:val="0"/>
          <w:numId w:val="7"/>
        </w:numPr>
        <w:tabs>
          <w:tab w:val="clear" w:pos="720"/>
          <w:tab w:val="left" w:pos="0"/>
        </w:tabs>
        <w:spacing w:line="360" w:lineRule="auto"/>
        <w:jc w:val="both"/>
      </w:pPr>
      <w:r>
        <w:rPr>
          <w:rFonts w:cs="Times New Roman"/>
          <w:sz w:val="28"/>
          <w:szCs w:val="28"/>
        </w:rPr>
        <w:t>Ehlers A., et al. Therapist-assisted online psychological therapies differing in trauma focus for post-traumatic stress disorder (STOP-PTSD): a UK-based, single-blind, randomised controlled trial // The Lancet Psychiatry. 2023. Volume 10, Issue 8. Р.р. 608-622</w:t>
      </w:r>
    </w:p>
    <w:p w14:paraId="1ED1C4C2" w14:textId="77777777" w:rsidR="00B51242" w:rsidRDefault="008E4E86">
      <w:pPr>
        <w:numPr>
          <w:ilvl w:val="0"/>
          <w:numId w:val="7"/>
        </w:numPr>
        <w:tabs>
          <w:tab w:val="clear" w:pos="720"/>
          <w:tab w:val="left" w:pos="0"/>
        </w:tabs>
        <w:spacing w:line="360" w:lineRule="auto"/>
        <w:jc w:val="both"/>
      </w:pPr>
      <w:r>
        <w:rPr>
          <w:rFonts w:cs="Times New Roman"/>
          <w:color w:val="000000"/>
          <w:sz w:val="28"/>
          <w:szCs w:val="28"/>
        </w:rPr>
        <w:t xml:space="preserve"> Erik Eng Berge, Roger Hagen, Joar Halvorsen.PTSD relapse in Veterans of Iraq and Afghanistan: A systematic review // Military Psychology. 2020. Volume 32. </w:t>
      </w:r>
      <w:hyperlink r:id="rId36">
        <w:r>
          <w:rPr>
            <w:rStyle w:val="InternetLink"/>
            <w:rFonts w:cs="Times New Roman"/>
            <w:color w:val="000000"/>
            <w:sz w:val="28"/>
            <w:szCs w:val="28"/>
          </w:rPr>
          <w:t>https://doi.org/10.1080/08995605.2020.1754123</w:t>
        </w:r>
      </w:hyperlink>
    </w:p>
    <w:p w14:paraId="56DC06D2" w14:textId="77777777" w:rsidR="00B51242" w:rsidRDefault="008E4E86">
      <w:pPr>
        <w:numPr>
          <w:ilvl w:val="0"/>
          <w:numId w:val="7"/>
        </w:numPr>
        <w:tabs>
          <w:tab w:val="clear" w:pos="720"/>
          <w:tab w:val="left" w:pos="0"/>
        </w:tabs>
        <w:spacing w:line="360" w:lineRule="auto"/>
        <w:jc w:val="both"/>
      </w:pPr>
      <w:r>
        <w:rPr>
          <w:rFonts w:cs="Times New Roman"/>
          <w:color w:val="000000"/>
          <w:sz w:val="28"/>
          <w:szCs w:val="28"/>
        </w:rPr>
        <w:t>Essential Stoic Philosophy: All In One Stoicism // CreateSpace Independent Publishing Platform. 2017. Р. 84. ISBN 9781542617239</w:t>
      </w:r>
    </w:p>
    <w:p w14:paraId="1BD25EF0"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Georgina M Gross et al. Clinical outcomes of veterans affairs residential PTSD treatment for PTSD and depressive symptoms: 1-year follow-up outcomes and gender differences //  Psychol Trauma. 2023. №15(8) Р.р. 1406-1415. </w:t>
      </w:r>
      <w:r>
        <w:rPr>
          <w:rFonts w:cs="Times New Roman"/>
          <w:sz w:val="28"/>
          <w:szCs w:val="28"/>
          <w:lang w:val="en-US"/>
        </w:rPr>
        <w:t>DOI:</w:t>
      </w:r>
      <w:r>
        <w:rPr>
          <w:rFonts w:cs="Times New Roman"/>
          <w:sz w:val="28"/>
          <w:szCs w:val="28"/>
        </w:rPr>
        <w:t>10.1037/tra0001494</w:t>
      </w:r>
    </w:p>
    <w:p w14:paraId="7E6B6ACE" w14:textId="77777777" w:rsidR="00B51242" w:rsidRDefault="008E4E86">
      <w:pPr>
        <w:numPr>
          <w:ilvl w:val="0"/>
          <w:numId w:val="7"/>
        </w:numPr>
        <w:tabs>
          <w:tab w:val="clear" w:pos="720"/>
          <w:tab w:val="left" w:pos="0"/>
        </w:tabs>
        <w:spacing w:line="360" w:lineRule="auto"/>
        <w:jc w:val="both"/>
      </w:pPr>
      <w:r>
        <w:rPr>
          <w:rFonts w:cs="Times New Roman"/>
          <w:sz w:val="28"/>
          <w:szCs w:val="28"/>
        </w:rPr>
        <w:t>Giovanni M. Ruggiero, Marcantonio M. Spada, Gabriele Caselli, Sandra Sassaroli. A Historical and Theoretical Review of Cognitive Behavioral Therapies: From Structural Self-Knowledge to Functional Processes // J Rat-Emo Cognitive-Behav Ther. 2018. DOI:</w:t>
      </w:r>
      <w:r>
        <w:rPr>
          <w:rStyle w:val="InternetLink"/>
          <w:rFonts w:cs="Times New Roman"/>
          <w:sz w:val="28"/>
          <w:szCs w:val="28"/>
        </w:rPr>
        <w:t>https://doi.org/10.1007/s10942-018-0292-8</w:t>
      </w:r>
    </w:p>
    <w:p w14:paraId="5984015F" w14:textId="77777777" w:rsidR="00B51242" w:rsidRDefault="008E4E86">
      <w:pPr>
        <w:numPr>
          <w:ilvl w:val="0"/>
          <w:numId w:val="7"/>
        </w:numPr>
        <w:tabs>
          <w:tab w:val="clear" w:pos="720"/>
          <w:tab w:val="left" w:pos="0"/>
        </w:tabs>
        <w:spacing w:line="360" w:lineRule="auto"/>
        <w:jc w:val="both"/>
      </w:pPr>
      <w:r>
        <w:rPr>
          <w:rFonts w:cs="Times New Roman"/>
          <w:sz w:val="28"/>
          <w:szCs w:val="28"/>
        </w:rPr>
        <w:t>Hannah Murray, Anke Ehlers. Cognitive therapy for moral injury in post-traumatic stress disorder // Тhe Cognitive Behaviour Therapist. 2021 vol. 14, e8, Р.Р. 1-19 doi:10.1017/S1754470X21000040</w:t>
      </w:r>
    </w:p>
    <w:p w14:paraId="63FD5961" w14:textId="77777777" w:rsidR="00B51242" w:rsidRDefault="008E4E86">
      <w:pPr>
        <w:numPr>
          <w:ilvl w:val="0"/>
          <w:numId w:val="7"/>
        </w:numPr>
        <w:tabs>
          <w:tab w:val="clear" w:pos="720"/>
          <w:tab w:val="left" w:pos="0"/>
        </w:tabs>
        <w:spacing w:line="360" w:lineRule="auto"/>
        <w:jc w:val="both"/>
      </w:pPr>
      <w:r>
        <w:rPr>
          <w:rFonts w:cs="Times New Roman"/>
          <w:color w:val="000000"/>
          <w:sz w:val="28"/>
          <w:szCs w:val="28"/>
        </w:rPr>
        <w:t xml:space="preserve"> ICD-11 ICD-11 for Mortality and Morbidity Statistics.  6B40 Post traumatic stress disorder.</w:t>
      </w:r>
    </w:p>
    <w:p w14:paraId="16821E56" w14:textId="77777777" w:rsidR="00B51242" w:rsidRDefault="008E4E86">
      <w:pPr>
        <w:tabs>
          <w:tab w:val="left" w:pos="0"/>
        </w:tabs>
        <w:spacing w:line="360" w:lineRule="auto"/>
        <w:ind w:left="720"/>
        <w:jc w:val="both"/>
      </w:pPr>
      <w:r>
        <w:rPr>
          <w:rFonts w:cs="Times New Roman"/>
          <w:color w:val="000000"/>
          <w:sz w:val="28"/>
          <w:szCs w:val="28"/>
          <w:lang w:val="en-US"/>
        </w:rPr>
        <w:t>URL</w:t>
      </w:r>
      <w:r w:rsidRPr="00D3629B">
        <w:rPr>
          <w:rFonts w:cs="Times New Roman"/>
          <w:color w:val="000000"/>
          <w:sz w:val="28"/>
          <w:szCs w:val="28"/>
        </w:rPr>
        <w:t>:</w:t>
      </w:r>
      <w:hyperlink r:id="rId37" w:anchor="2070699808" w:history="1">
        <w:r>
          <w:rPr>
            <w:rStyle w:val="InternetLink"/>
            <w:rFonts w:cs="Times New Roman"/>
            <w:color w:val="000000"/>
            <w:sz w:val="28"/>
            <w:szCs w:val="28"/>
          </w:rPr>
          <w:t>https://icd.who.int/browse/2025-01/mms/en#2070699808</w:t>
        </w:r>
      </w:hyperlink>
    </w:p>
    <w:p w14:paraId="2AE1127C"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Jenny JW Liu et al. A meta-analysis of internet-based cognitive behavioral therapy for military and veteran populations // Springer Nature Link. 2023 Volume 23, article number 223, DOI: 10.1186/s12888-023-04668-1</w:t>
      </w:r>
    </w:p>
    <w:p w14:paraId="020906F5" w14:textId="77777777" w:rsidR="00B51242" w:rsidRDefault="008E4E86">
      <w:pPr>
        <w:numPr>
          <w:ilvl w:val="0"/>
          <w:numId w:val="7"/>
        </w:numPr>
        <w:tabs>
          <w:tab w:val="clear" w:pos="720"/>
          <w:tab w:val="left" w:pos="0"/>
        </w:tabs>
        <w:spacing w:line="360" w:lineRule="auto"/>
        <w:jc w:val="both"/>
      </w:pPr>
      <w:r>
        <w:rPr>
          <w:rFonts w:cs="Times New Roman"/>
          <w:sz w:val="28"/>
          <w:szCs w:val="28"/>
        </w:rPr>
        <w:t>Jens Peter Ellekilde Bonde, Johan Høy Jensen,Geert E. Smid, Esben Meulengracht Flachs, Ask Elklit, Ole Mors, Poul Videbech Time course of symptoms in posttraumatic stress disorder with delayed expression: A systematic review // Wiley online library. 2021 DOI:</w:t>
      </w:r>
      <w:hyperlink r:id="rId38">
        <w:r>
          <w:rPr>
            <w:rStyle w:val="InternetLink"/>
            <w:rFonts w:cs="Times New Roman"/>
            <w:sz w:val="28"/>
            <w:szCs w:val="28"/>
            <w:lang w:val="en-US"/>
          </w:rPr>
          <w:t>https://doi.org/10.1111/acps.13372</w:t>
        </w:r>
      </w:hyperlink>
    </w:p>
    <w:p w14:paraId="25C3638A"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Julia C. Sager et al. A meta-analytic review of cognitive processing therapy with and without the written account // Journal of Anxiety Disorders.  2025. Volume 110. DOI:</w:t>
      </w:r>
      <w:hyperlink r:id="rId39" w:tgtFrame="_new">
        <w:r>
          <w:rPr>
            <w:rStyle w:val="InternetLink"/>
            <w:rFonts w:cs="Times New Roman"/>
            <w:sz w:val="28"/>
            <w:szCs w:val="28"/>
            <w:lang w:val="en-US"/>
          </w:rPr>
          <w:t>https://doi.org/10.1016/j.janxdis.2025.102976</w:t>
        </w:r>
      </w:hyperlink>
    </w:p>
    <w:p w14:paraId="6D117156"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Judith S. Beck, Sarah Fleming. A Brief History of Aaron T. Beck, MD, and Cognitive Behavior Therapy // Clinical Psychology in Europe. 2021. DOI: </w:t>
      </w:r>
      <w:hyperlink r:id="rId40" w:tgtFrame="_new">
        <w:r>
          <w:rPr>
            <w:rStyle w:val="InternetLink"/>
            <w:rFonts w:cs="Times New Roman"/>
            <w:sz w:val="28"/>
            <w:szCs w:val="28"/>
          </w:rPr>
          <w:t>https://doi.org/10.32872/cpe.6701</w:t>
        </w:r>
      </w:hyperlink>
    </w:p>
    <w:p w14:paraId="1D505532"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Jungho Suh, Sungbok Chang, Hyunjun Park. Optimization of Video Stimuli Parameters in EMDR Therapy Using Artificial Neural Networks for Enhanced Treatment Efficacy. Appl. Sci. 2025, 15(2) Р. 934 DOI:</w:t>
      </w:r>
      <w:hyperlink r:id="rId41">
        <w:r>
          <w:rPr>
            <w:rStyle w:val="InternetLink"/>
            <w:rFonts w:cs="Times New Roman"/>
            <w:sz w:val="28"/>
            <w:szCs w:val="28"/>
            <w:lang w:val="en-US"/>
          </w:rPr>
          <w:t>https://doi.org/10.3390/app15020934</w:t>
        </w:r>
      </w:hyperlink>
    </w:p>
    <w:p w14:paraId="224BC10A"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Lara G. Hilton et al. Evaluation of an Integrative Post-Traumatic Stress Disorder Treatment Program // The Journal of Alternative and Complementary Medicine. Vol. 25, No. S1 DOI:</w:t>
      </w:r>
      <w:hyperlink r:id="rId42" w:tgtFrame="_new">
        <w:r>
          <w:rPr>
            <w:rStyle w:val="InternetLink"/>
            <w:rFonts w:cs="Times New Roman"/>
            <w:sz w:val="28"/>
            <w:szCs w:val="28"/>
            <w:lang w:val="en-US"/>
          </w:rPr>
          <w:t>https://doi.org/10.1089/acm.2018.0424</w:t>
        </w:r>
      </w:hyperlink>
    </w:p>
    <w:p w14:paraId="7FF67B57" w14:textId="77777777" w:rsidR="00B51242" w:rsidRDefault="008E4E86">
      <w:pPr>
        <w:numPr>
          <w:ilvl w:val="0"/>
          <w:numId w:val="7"/>
        </w:numPr>
        <w:tabs>
          <w:tab w:val="clear" w:pos="720"/>
          <w:tab w:val="left" w:pos="0"/>
        </w:tabs>
        <w:spacing w:line="360" w:lineRule="auto"/>
        <w:jc w:val="both"/>
      </w:pPr>
      <w:r>
        <w:rPr>
          <w:rFonts w:cs="Times New Roman"/>
          <w:sz w:val="28"/>
          <w:szCs w:val="28"/>
        </w:rPr>
        <w:t>Louise Maxfield, William T. Melnyk, Gordon C. A. Hayman. A Working Memory Explanation for the Effects of Eye Movements in EMDR // Journal of EMDR Practice and Research. 2008. Vol 2, Issue 4. DOI:10.1891/1933-3196.2.4.247</w:t>
      </w:r>
    </w:p>
    <w:p w14:paraId="40DA214A"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Marc-Antoine Crocq, Louis Crocq. From shell shock and war neurosis to posttraumatic stress disorder: a history of psychotraumatology //</w:t>
      </w:r>
      <w:r>
        <w:rPr>
          <w:rFonts w:cs="Times New Roman"/>
          <w:sz w:val="28"/>
          <w:szCs w:val="28"/>
        </w:rPr>
        <w:br/>
        <w:t xml:space="preserve">Dialogues in Clinical Neuroscience. 2022. P.р. 47-55 </w:t>
      </w:r>
      <w:r>
        <w:rPr>
          <w:rFonts w:cs="Times New Roman"/>
          <w:sz w:val="28"/>
          <w:szCs w:val="28"/>
          <w:lang w:val="en-US"/>
        </w:rPr>
        <w:t>DOI:</w:t>
      </w:r>
      <w:r>
        <w:rPr>
          <w:rStyle w:val="InternetLink"/>
          <w:rFonts w:cs="Times New Roman"/>
          <w:sz w:val="28"/>
          <w:szCs w:val="28"/>
          <w:lang w:val="en-US"/>
        </w:rPr>
        <w:t>https://doi.org/10.31887/DCNS.2000.2.1/macrocq</w:t>
      </w:r>
    </w:p>
    <w:p w14:paraId="12CD4526"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Martina Köhler, Simone Goebel, Anya Pedersen. PTSD severity among emergency personnel: An investigation based on the Ehlers and Clark cognitive model // Psychological Trauma: Theory, Research, Practice, and Policy. 2019.  Sep;11(6) Р.р. 677-684. </w:t>
      </w:r>
      <w:r>
        <w:rPr>
          <w:rFonts w:cs="Times New Roman"/>
          <w:sz w:val="28"/>
          <w:szCs w:val="28"/>
          <w:lang w:val="en-US"/>
        </w:rPr>
        <w:t>DOI</w:t>
      </w:r>
      <w:r>
        <w:rPr>
          <w:rFonts w:cs="Times New Roman"/>
          <w:sz w:val="28"/>
          <w:szCs w:val="28"/>
        </w:rPr>
        <w:t>: 10.1037/tra0000466</w:t>
      </w:r>
    </w:p>
    <w:p w14:paraId="035DF1CA"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Mihai Popescua Elena-Anda Popescu, Thomas J. DeGraba, John D. Hughes. Cognitive flexibility in post-traumatic stress disorder: Sustained interference associated with altered</w:t>
      </w:r>
      <w:r>
        <w:rPr>
          <w:rFonts w:cs="Times New Roman"/>
          <w:sz w:val="28"/>
          <w:szCs w:val="28"/>
        </w:rPr>
        <w:br/>
        <w:t>modulation of cortical oscillatory activity during task-switching // NeuroImage: Clinical. 2023. Volume 37. DOI:</w:t>
      </w:r>
      <w:hyperlink r:id="rId43">
        <w:r>
          <w:rPr>
            <w:rStyle w:val="InternetLink"/>
            <w:rFonts w:cs="Times New Roman"/>
            <w:sz w:val="28"/>
            <w:szCs w:val="28"/>
            <w:lang w:val="en-US"/>
          </w:rPr>
          <w:t>https://doi.org/10.1016/j.nicl.2022.103297</w:t>
        </w:r>
      </w:hyperlink>
    </w:p>
    <w:p w14:paraId="5B7C1D41"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Naomi Ennis, Iris Sijercic, Candice M. Monson. Trauma-focused cognitive-behavioral therapies for posttraumatic stress disorder under ongoing threat: A systematic review. Clinical Psychology Review. Volume 88. 2021. DOI:</w:t>
      </w:r>
      <w:hyperlink r:id="rId44" w:tgtFrame="_new">
        <w:r>
          <w:rPr>
            <w:rStyle w:val="InternetLink"/>
            <w:rFonts w:cs="Times New Roman"/>
            <w:sz w:val="28"/>
            <w:szCs w:val="28"/>
            <w:lang w:val="en-US"/>
          </w:rPr>
          <w:t>https://doi.org/10.1016/j.cpr.2021.102049</w:t>
        </w:r>
      </w:hyperlink>
    </w:p>
    <w:p w14:paraId="78B77500"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w:t>
      </w:r>
      <w:r>
        <w:rPr>
          <w:rStyle w:val="StrongEmphasis"/>
          <w:rFonts w:cs="Times New Roman"/>
          <w:b w:val="0"/>
          <w:bCs w:val="0"/>
          <w:sz w:val="28"/>
          <w:szCs w:val="28"/>
        </w:rPr>
        <w:t xml:space="preserve">National Center for PTSD. PTSD Treatment Basics. 2025 . </w:t>
      </w:r>
      <w:r>
        <w:rPr>
          <w:rStyle w:val="StrongEmphasis"/>
          <w:rFonts w:cs="Times New Roman"/>
          <w:b w:val="0"/>
          <w:bCs w:val="0"/>
          <w:sz w:val="28"/>
          <w:szCs w:val="28"/>
          <w:lang w:val="en-US"/>
        </w:rPr>
        <w:t>URL</w:t>
      </w:r>
      <w:r w:rsidRPr="00D3629B">
        <w:rPr>
          <w:rStyle w:val="StrongEmphasis"/>
          <w:rFonts w:cs="Times New Roman"/>
          <w:b w:val="0"/>
          <w:bCs w:val="0"/>
          <w:sz w:val="28"/>
          <w:szCs w:val="28"/>
          <w:lang w:val="ru-RU"/>
        </w:rPr>
        <w:t>:</w:t>
      </w:r>
      <w:hyperlink r:id="rId45">
        <w:r>
          <w:rPr>
            <w:rStyle w:val="StrongEmphasis"/>
            <w:rFonts w:cs="Times New Roman"/>
            <w:b w:val="0"/>
            <w:bCs w:val="0"/>
            <w:sz w:val="28"/>
            <w:szCs w:val="28"/>
          </w:rPr>
          <w:t>https://www.ptsd.va.gov/understand_tx/tx_basics.asp</w:t>
        </w:r>
      </w:hyperlink>
      <w:r>
        <w:rPr>
          <w:rStyle w:val="StrongEmphasis"/>
          <w:rFonts w:cs="Times New Roman"/>
          <w:b w:val="0"/>
          <w:bCs w:val="0"/>
          <w:sz w:val="28"/>
          <w:szCs w:val="28"/>
        </w:rPr>
        <w:t xml:space="preserve"> (дата звернення: 05.09.2025)</w:t>
      </w:r>
    </w:p>
    <w:p w14:paraId="38406C19"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Ofir Levi, Ariel Ben Yehuda, Daniel S. Pine, Yair Bar-Haim A Sobering Look at Treatment Effectiveness of Military-Related Posttraumatic Stress Disorder // Sage Jornals Volume 10, Issue 4 DOI:</w:t>
      </w:r>
      <w:hyperlink r:id="rId46">
        <w:r>
          <w:rPr>
            <w:rStyle w:val="InternetLink"/>
            <w:rFonts w:cs="Times New Roman"/>
            <w:sz w:val="28"/>
            <w:szCs w:val="28"/>
            <w:lang w:val="en-US"/>
          </w:rPr>
          <w:t>https://doi.org/10.1177/21677026211051314</w:t>
        </w:r>
      </w:hyperlink>
      <w:r>
        <w:rPr>
          <w:rFonts w:cs="Times New Roman"/>
          <w:sz w:val="28"/>
          <w:szCs w:val="28"/>
          <w:lang w:val="en-US"/>
        </w:rPr>
        <w:t xml:space="preserve"> </w:t>
      </w:r>
      <w:r>
        <w:rPr>
          <w:rFonts w:cs="Times New Roman"/>
          <w:sz w:val="28"/>
          <w:szCs w:val="28"/>
        </w:rPr>
        <w:t>(дата звернення: 20.08.2025)</w:t>
      </w:r>
    </w:p>
    <w:p w14:paraId="3700ED6E"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Paula P Schnurr et al. Comparison of Prolonged Exposure vs Cognitive Processing Therapy for Treatment of Posttraumatic Stress Disorder Among US Veterans: A Randomized Clinical Trial // JAMA Netw Open. 2022.  №5(1)</w:t>
      </w:r>
    </w:p>
    <w:p w14:paraId="7C9E1CEB" w14:textId="77777777" w:rsidR="00B51242" w:rsidRDefault="008E4E86">
      <w:pPr>
        <w:spacing w:line="360" w:lineRule="auto"/>
        <w:ind w:left="720"/>
        <w:jc w:val="both"/>
      </w:pPr>
      <w:r>
        <w:rPr>
          <w:rFonts w:cs="Times New Roman"/>
          <w:sz w:val="28"/>
          <w:szCs w:val="28"/>
          <w:lang w:val="en-US"/>
        </w:rPr>
        <w:t>DOI:</w:t>
      </w:r>
      <w:r>
        <w:rPr>
          <w:rFonts w:cs="Times New Roman"/>
          <w:sz w:val="28"/>
          <w:szCs w:val="28"/>
        </w:rPr>
        <w:t>:10.1001/jamanetworkopen.2021.36921.</w:t>
      </w:r>
    </w:p>
    <w:p w14:paraId="548B3C29"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Paula P. Schnurr et al. The Management of Posttraumatic Stress Disorder and Acute Stress Disorder: Synopsis of the 2023 U.S. Department of Veterans Affairs and U.S // Department of Defense Clinical Practice Guideline. Annals of Internal Medicine. Volume 177, Number 3 DOI:</w:t>
      </w:r>
      <w:hyperlink r:id="rId47" w:tgtFrame="_new">
        <w:r>
          <w:rPr>
            <w:rStyle w:val="InternetLink"/>
            <w:rFonts w:cs="Times New Roman"/>
            <w:sz w:val="28"/>
            <w:szCs w:val="28"/>
            <w:lang w:val="en-US"/>
          </w:rPr>
          <w:t>https://doi.org/10.7326/M23-2757</w:t>
        </w:r>
      </w:hyperlink>
    </w:p>
    <w:p w14:paraId="06C97DFF"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Patrick Smith et al. . Early-stage randomised controlled trial of therapist-supported online cognitive therapy for post-traumatic stress disorder in young people // J Child Psychol Psychiatry. 2025. №66(8). Р.р. 1117–1128 DOI:</w:t>
      </w:r>
      <w:hyperlink r:id="rId48" w:tgtFrame="_new">
        <w:r>
          <w:rPr>
            <w:rStyle w:val="InternetLink"/>
            <w:rFonts w:cs="Times New Roman"/>
            <w:sz w:val="28"/>
            <w:szCs w:val="28"/>
            <w:lang w:val="en-US"/>
          </w:rPr>
          <w:t>https://doi.org/10.1111/jcpp.14124</w:t>
        </w:r>
      </w:hyperlink>
    </w:p>
    <w:p w14:paraId="793F9E86"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Philip Held et al. Veterans’ 12-month PTSD and depression outcomes following 2- and 3-week intensive cognitive processing therapy-based treatment. Eur J Psychotraumatol 2024 May 21;15(1):2350908. </w:t>
      </w:r>
      <w:r>
        <w:rPr>
          <w:rFonts w:cs="Times New Roman"/>
          <w:sz w:val="28"/>
          <w:szCs w:val="28"/>
          <w:lang w:val="en-US"/>
        </w:rPr>
        <w:t>DOI</w:t>
      </w:r>
      <w:r>
        <w:rPr>
          <w:rFonts w:cs="Times New Roman"/>
          <w:sz w:val="28"/>
          <w:szCs w:val="28"/>
        </w:rPr>
        <w:t>: 10.1080/20008066.2024.2350908</w:t>
      </w:r>
    </w:p>
    <w:p w14:paraId="2455809A"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Recurrence of post-traumatic stress disorder: systematic review of definitions, prevalence and predictors // BMC Psychiatry. 2024. Volume 24, № 37.</w:t>
      </w:r>
    </w:p>
    <w:p w14:paraId="79A9DB8F"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Shannon R Miles et al. Hyperarousal symptoms linger after successful PTSD treatment in active duty military // Psychol Trauma. 2023 №15(8) Р.р. 1398-1405. </w:t>
      </w:r>
      <w:r>
        <w:rPr>
          <w:rFonts w:cs="Times New Roman"/>
          <w:sz w:val="28"/>
          <w:szCs w:val="28"/>
          <w:lang w:val="en-US"/>
        </w:rPr>
        <w:t>DOI</w:t>
      </w:r>
      <w:r>
        <w:rPr>
          <w:rFonts w:cs="Times New Roman"/>
          <w:sz w:val="28"/>
          <w:szCs w:val="28"/>
        </w:rPr>
        <w:t>: 10.1037/tra0001292.</w:t>
      </w:r>
    </w:p>
    <w:p w14:paraId="1F7FEA19"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Speed of Eye Movements (April 2020). </w:t>
      </w:r>
      <w:r>
        <w:rPr>
          <w:rFonts w:cs="Times New Roman"/>
          <w:sz w:val="28"/>
          <w:szCs w:val="28"/>
          <w:lang w:val="en-US"/>
        </w:rPr>
        <w:t>URL</w:t>
      </w:r>
      <w:r w:rsidRPr="00D3629B">
        <w:rPr>
          <w:rFonts w:cs="Times New Roman"/>
          <w:sz w:val="28"/>
          <w:szCs w:val="28"/>
          <w:lang w:val="ru-RU"/>
        </w:rPr>
        <w:t>:</w:t>
      </w:r>
      <w:hyperlink r:id="rId49" w:tgtFrame="_new">
        <w:r>
          <w:rPr>
            <w:rStyle w:val="InternetLink"/>
            <w:rFonts w:cs="Times New Roman"/>
            <w:sz w:val="28"/>
            <w:szCs w:val="28"/>
          </w:rPr>
          <w:t>https://www.emdrgateway.com/news/2020/4/2/speed-of-eye-movements?utm_source=chatgpt.com</w:t>
        </w:r>
      </w:hyperlink>
      <w:r>
        <w:rPr>
          <w:rFonts w:cs="Times New Roman"/>
          <w:sz w:val="28"/>
          <w:szCs w:val="28"/>
        </w:rPr>
        <w:t xml:space="preserve"> (дата звернення 26.09.2025)</w:t>
      </w:r>
    </w:p>
    <w:p w14:paraId="122BB3CE"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Stoicorum Veterum Fragmenta Collegit Ioannes Ab Arnim // Legare Street Press. 2022. Р. 194. ISBN-13: </w:t>
      </w:r>
      <w:r>
        <w:rPr>
          <w:rFonts w:cs="Times New Roman"/>
          <w:sz w:val="28"/>
          <w:szCs w:val="28"/>
          <w:rtl/>
        </w:rPr>
        <w:t xml:space="preserve">‏ </w:t>
      </w:r>
      <w:r>
        <w:rPr>
          <w:rFonts w:cs="Times New Roman"/>
          <w:sz w:val="28"/>
          <w:szCs w:val="28"/>
        </w:rPr>
        <w:t>978-1015725096</w:t>
      </w:r>
    </w:p>
    <w:p w14:paraId="5CFA3739"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Tamaki Amano, Motomi Toichi. The Role of Alternating Bilateral Stimulation in Establishing Positive Cognition in EMDR Therapy: A Multi-Channel Near-Infrared Spectroscopy Study // Journals plos. 2016.</w:t>
      </w:r>
    </w:p>
    <w:p w14:paraId="7B6B773D" w14:textId="77777777" w:rsidR="00B51242" w:rsidRDefault="008E4E86">
      <w:pPr>
        <w:spacing w:line="360" w:lineRule="auto"/>
        <w:ind w:left="720"/>
        <w:jc w:val="both"/>
      </w:pPr>
      <w:r>
        <w:rPr>
          <w:rFonts w:cs="Times New Roman"/>
          <w:sz w:val="28"/>
          <w:szCs w:val="28"/>
        </w:rPr>
        <w:t>DOI:</w:t>
      </w:r>
      <w:hyperlink r:id="rId50" w:tgtFrame="_new">
        <w:r>
          <w:rPr>
            <w:rStyle w:val="InternetLink"/>
            <w:rFonts w:cs="Times New Roman"/>
            <w:sz w:val="28"/>
            <w:szCs w:val="28"/>
            <w:lang w:val="en-US"/>
          </w:rPr>
          <w:t>https</w:t>
        </w:r>
        <w:r w:rsidRPr="00D3629B">
          <w:rPr>
            <w:rStyle w:val="InternetLink"/>
            <w:rFonts w:cs="Times New Roman"/>
            <w:sz w:val="28"/>
            <w:szCs w:val="28"/>
          </w:rPr>
          <w:t>://</w:t>
        </w:r>
        <w:r>
          <w:rPr>
            <w:rStyle w:val="InternetLink"/>
            <w:rFonts w:cs="Times New Roman"/>
            <w:sz w:val="28"/>
            <w:szCs w:val="28"/>
            <w:lang w:val="en-US"/>
          </w:rPr>
          <w:t>doi</w:t>
        </w:r>
        <w:r w:rsidRPr="00D3629B">
          <w:rPr>
            <w:rStyle w:val="InternetLink"/>
            <w:rFonts w:cs="Times New Roman"/>
            <w:sz w:val="28"/>
            <w:szCs w:val="28"/>
          </w:rPr>
          <w:t>.</w:t>
        </w:r>
        <w:r>
          <w:rPr>
            <w:rStyle w:val="InternetLink"/>
            <w:rFonts w:cs="Times New Roman"/>
            <w:sz w:val="28"/>
            <w:szCs w:val="28"/>
            <w:lang w:val="en-US"/>
          </w:rPr>
          <w:t>org</w:t>
        </w:r>
        <w:r w:rsidRPr="00D3629B">
          <w:rPr>
            <w:rStyle w:val="InternetLink"/>
            <w:rFonts w:cs="Times New Roman"/>
            <w:sz w:val="28"/>
            <w:szCs w:val="28"/>
          </w:rPr>
          <w:t>/10.1371/</w:t>
        </w:r>
        <w:r>
          <w:rPr>
            <w:rStyle w:val="InternetLink"/>
            <w:rFonts w:cs="Times New Roman"/>
            <w:sz w:val="28"/>
            <w:szCs w:val="28"/>
            <w:lang w:val="en-US"/>
          </w:rPr>
          <w:t>journal</w:t>
        </w:r>
        <w:r w:rsidRPr="00D3629B">
          <w:rPr>
            <w:rStyle w:val="InternetLink"/>
            <w:rFonts w:cs="Times New Roman"/>
            <w:sz w:val="28"/>
            <w:szCs w:val="28"/>
          </w:rPr>
          <w:t>.</w:t>
        </w:r>
        <w:r>
          <w:rPr>
            <w:rStyle w:val="InternetLink"/>
            <w:rFonts w:cs="Times New Roman"/>
            <w:sz w:val="28"/>
            <w:szCs w:val="28"/>
            <w:lang w:val="en-US"/>
          </w:rPr>
          <w:t>pone</w:t>
        </w:r>
        <w:r w:rsidRPr="00D3629B">
          <w:rPr>
            <w:rStyle w:val="InternetLink"/>
            <w:rFonts w:cs="Times New Roman"/>
            <w:sz w:val="28"/>
            <w:szCs w:val="28"/>
          </w:rPr>
          <w:t>.0162735</w:t>
        </w:r>
      </w:hyperlink>
    </w:p>
    <w:p w14:paraId="549B8EB9"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T Allen Gore, Joel Z Lucas Posttraumatic Stress Disorder Guidelines. // Medcape. 2024</w:t>
      </w:r>
    </w:p>
    <w:p w14:paraId="7362467D" w14:textId="77777777" w:rsidR="00B51242" w:rsidRDefault="008E4E86">
      <w:pPr>
        <w:tabs>
          <w:tab w:val="left" w:pos="0"/>
        </w:tabs>
        <w:spacing w:line="360" w:lineRule="auto"/>
        <w:ind w:left="720"/>
        <w:jc w:val="both"/>
      </w:pPr>
      <w:r>
        <w:rPr>
          <w:rFonts w:cs="Times New Roman"/>
          <w:sz w:val="28"/>
          <w:szCs w:val="28"/>
          <w:lang w:val="en-US"/>
        </w:rPr>
        <w:t>URL</w:t>
      </w:r>
      <w:r w:rsidRPr="00D3629B">
        <w:rPr>
          <w:rFonts w:cs="Times New Roman"/>
          <w:sz w:val="28"/>
          <w:szCs w:val="28"/>
        </w:rPr>
        <w:t>:</w:t>
      </w:r>
      <w:hyperlink r:id="rId51" w:tgtFrame="_new">
        <w:r>
          <w:rPr>
            <w:rStyle w:val="InternetLink"/>
            <w:rFonts w:cs="Times New Roman"/>
            <w:sz w:val="28"/>
            <w:szCs w:val="28"/>
          </w:rPr>
          <w:t>https://www.medscape.com/_gl=1*n5cfd3*_gcl_au*MTcyNTg3MjQ5NS4xNzY0NTI3NzA5</w:t>
        </w:r>
      </w:hyperlink>
    </w:p>
    <w:p w14:paraId="3DC7972B"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The Structure of EMDR Therapy: A Guide for the Therapist // Front. Psychol. Sec. Psychology for Clinical Settings. 2021. Volume 12.</w:t>
      </w:r>
    </w:p>
    <w:p w14:paraId="78E211FC" w14:textId="77777777" w:rsidR="00B51242" w:rsidRDefault="008E4E86">
      <w:pPr>
        <w:spacing w:line="360" w:lineRule="auto"/>
        <w:ind w:left="720"/>
        <w:jc w:val="both"/>
      </w:pPr>
      <w:r>
        <w:rPr>
          <w:rFonts w:cs="Times New Roman"/>
          <w:color w:val="000000"/>
          <w:sz w:val="28"/>
          <w:szCs w:val="28"/>
        </w:rPr>
        <w:t>DOI:</w:t>
      </w:r>
      <w:hyperlink r:id="rId52" w:tgtFrame="_new">
        <w:r>
          <w:rPr>
            <w:rStyle w:val="InternetLink"/>
            <w:rFonts w:cs="Times New Roman"/>
            <w:color w:val="000000"/>
            <w:sz w:val="28"/>
            <w:szCs w:val="28"/>
            <w:lang w:val="en-US"/>
          </w:rPr>
          <w:t>https</w:t>
        </w:r>
        <w:r w:rsidRPr="00D3629B">
          <w:rPr>
            <w:rStyle w:val="InternetLink"/>
            <w:rFonts w:cs="Times New Roman"/>
            <w:color w:val="000000"/>
            <w:sz w:val="28"/>
            <w:szCs w:val="28"/>
          </w:rPr>
          <w:t>://</w:t>
        </w:r>
        <w:r>
          <w:rPr>
            <w:rStyle w:val="InternetLink"/>
            <w:rFonts w:cs="Times New Roman"/>
            <w:color w:val="000000"/>
            <w:sz w:val="28"/>
            <w:szCs w:val="28"/>
            <w:lang w:val="en-US"/>
          </w:rPr>
          <w:t>doi</w:t>
        </w:r>
        <w:r w:rsidRPr="00D3629B">
          <w:rPr>
            <w:rStyle w:val="InternetLink"/>
            <w:rFonts w:cs="Times New Roman"/>
            <w:color w:val="000000"/>
            <w:sz w:val="28"/>
            <w:szCs w:val="28"/>
          </w:rPr>
          <w:t>.</w:t>
        </w:r>
        <w:r>
          <w:rPr>
            <w:rStyle w:val="InternetLink"/>
            <w:rFonts w:cs="Times New Roman"/>
            <w:color w:val="000000"/>
            <w:sz w:val="28"/>
            <w:szCs w:val="28"/>
            <w:lang w:val="en-US"/>
          </w:rPr>
          <w:t>org</w:t>
        </w:r>
        <w:r w:rsidRPr="00D3629B">
          <w:rPr>
            <w:rStyle w:val="InternetLink"/>
            <w:rFonts w:cs="Times New Roman"/>
            <w:color w:val="000000"/>
            <w:sz w:val="28"/>
            <w:szCs w:val="28"/>
          </w:rPr>
          <w:t>/10.3389/</w:t>
        </w:r>
        <w:r>
          <w:rPr>
            <w:rStyle w:val="InternetLink"/>
            <w:rFonts w:cs="Times New Roman"/>
            <w:color w:val="000000"/>
            <w:sz w:val="28"/>
            <w:szCs w:val="28"/>
            <w:lang w:val="en-US"/>
          </w:rPr>
          <w:t>fpsyg</w:t>
        </w:r>
        <w:r w:rsidRPr="00D3629B">
          <w:rPr>
            <w:rStyle w:val="InternetLink"/>
            <w:rFonts w:cs="Times New Roman"/>
            <w:color w:val="000000"/>
            <w:sz w:val="28"/>
            <w:szCs w:val="28"/>
          </w:rPr>
          <w:t>.2021.660753</w:t>
        </w:r>
      </w:hyperlink>
    </w:p>
    <w:p w14:paraId="18761710"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U.S. Department of Veterans Affairs. VA/DOD Clinical Practice Guidelines. 2023 </w:t>
      </w:r>
      <w:r>
        <w:rPr>
          <w:rFonts w:cs="Times New Roman"/>
          <w:sz w:val="28"/>
          <w:szCs w:val="28"/>
          <w:lang w:val="en-US"/>
        </w:rPr>
        <w:t>URL:</w:t>
      </w:r>
      <w:hyperlink r:id="rId53" w:tgtFrame="_new">
        <w:r>
          <w:rPr>
            <w:rStyle w:val="InternetLink"/>
            <w:rFonts w:cs="Times New Roman"/>
            <w:sz w:val="28"/>
            <w:szCs w:val="28"/>
          </w:rPr>
          <w:t>https://www.healthquality.va.gov/guidelines/mh/ptsd/</w:t>
        </w:r>
      </w:hyperlink>
    </w:p>
    <w:p w14:paraId="7C8E1833"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Woodward E., et al. Effects of psychotherapies for posttraumatic stress disorder on sleep disturbances: Results from a randomized clinical trial // Behaviour Research and Therapy. Volume 97. P.р 75-85 DOI:10.1016/j.brat.2017.07.001</w:t>
      </w:r>
    </w:p>
    <w:p w14:paraId="518C8569" w14:textId="77777777" w:rsidR="00B51242" w:rsidRDefault="008E4E86">
      <w:pPr>
        <w:numPr>
          <w:ilvl w:val="0"/>
          <w:numId w:val="7"/>
        </w:numPr>
        <w:tabs>
          <w:tab w:val="clear" w:pos="720"/>
          <w:tab w:val="left" w:pos="0"/>
        </w:tabs>
        <w:spacing w:line="360" w:lineRule="auto"/>
        <w:jc w:val="both"/>
      </w:pPr>
      <w:r>
        <w:rPr>
          <w:rFonts w:cs="Times New Roman"/>
          <w:sz w:val="28"/>
          <w:szCs w:val="28"/>
        </w:rPr>
        <w:t xml:space="preserve"> Zahava Solomon, Mario Mikulincer. Trajectories of PTSD: A 20-Year Longitudinal Study. American Journal of Psychiatry. Volume 163, Number 4. DOI:</w:t>
      </w:r>
      <w:hyperlink r:id="rId54">
        <w:r>
          <w:rPr>
            <w:rStyle w:val="InternetLink"/>
            <w:rFonts w:cs="Times New Roman"/>
            <w:sz w:val="28"/>
            <w:szCs w:val="28"/>
            <w:lang w:val="en-US"/>
          </w:rPr>
          <w:t>https://doi.org/10.1176/ajp.2006.163.4.659</w:t>
        </w:r>
      </w:hyperlink>
    </w:p>
    <w:p w14:paraId="42EF2083" w14:textId="77777777" w:rsidR="00B51242" w:rsidRDefault="00B51242"/>
    <w:p w14:paraId="7B40C951" w14:textId="77777777" w:rsidR="00B51242" w:rsidRDefault="00B51242"/>
    <w:p w14:paraId="4B4D7232" w14:textId="77777777" w:rsidR="00B51242" w:rsidRDefault="00B51242"/>
    <w:p w14:paraId="2093CA67" w14:textId="77777777" w:rsidR="00B51242" w:rsidRDefault="00B51242"/>
    <w:p w14:paraId="2503B197" w14:textId="77777777" w:rsidR="00B51242" w:rsidRDefault="00B51242"/>
    <w:p w14:paraId="38288749" w14:textId="77777777" w:rsidR="00B51242" w:rsidRDefault="00B51242"/>
    <w:p w14:paraId="20BD9A1A" w14:textId="77777777" w:rsidR="00B51242" w:rsidRDefault="00B51242">
      <w:pPr>
        <w:spacing w:line="360" w:lineRule="auto"/>
        <w:jc w:val="center"/>
        <w:rPr>
          <w:b/>
          <w:bCs/>
          <w:color w:val="000000"/>
        </w:rPr>
      </w:pPr>
    </w:p>
    <w:p w14:paraId="0C136CF1" w14:textId="77777777" w:rsidR="00B51242" w:rsidRDefault="00B51242">
      <w:pPr>
        <w:spacing w:line="360" w:lineRule="auto"/>
        <w:jc w:val="center"/>
        <w:rPr>
          <w:b/>
          <w:bCs/>
          <w:color w:val="000000"/>
        </w:rPr>
      </w:pPr>
    </w:p>
    <w:p w14:paraId="0A392C6A" w14:textId="77777777" w:rsidR="00B51242" w:rsidRDefault="00B51242">
      <w:pPr>
        <w:spacing w:line="360" w:lineRule="auto"/>
        <w:jc w:val="center"/>
        <w:rPr>
          <w:b/>
          <w:bCs/>
          <w:color w:val="000000"/>
        </w:rPr>
      </w:pPr>
    </w:p>
    <w:p w14:paraId="290583F9" w14:textId="77777777" w:rsidR="00B51242" w:rsidRDefault="00B51242">
      <w:pPr>
        <w:spacing w:line="360" w:lineRule="auto"/>
        <w:jc w:val="center"/>
        <w:rPr>
          <w:b/>
          <w:bCs/>
          <w:color w:val="000000"/>
        </w:rPr>
      </w:pPr>
    </w:p>
    <w:p w14:paraId="68F21D90" w14:textId="77777777" w:rsidR="00B51242" w:rsidRDefault="00B51242">
      <w:pPr>
        <w:spacing w:line="360" w:lineRule="auto"/>
        <w:jc w:val="center"/>
        <w:rPr>
          <w:b/>
          <w:bCs/>
          <w:color w:val="000000"/>
        </w:rPr>
      </w:pPr>
    </w:p>
    <w:p w14:paraId="13C326F3" w14:textId="77777777" w:rsidR="00B51242" w:rsidRDefault="00B51242">
      <w:pPr>
        <w:spacing w:line="360" w:lineRule="auto"/>
        <w:jc w:val="center"/>
        <w:rPr>
          <w:b/>
          <w:bCs/>
          <w:color w:val="000000"/>
        </w:rPr>
      </w:pPr>
    </w:p>
    <w:p w14:paraId="4853B841" w14:textId="77777777" w:rsidR="00B51242" w:rsidRDefault="00B51242">
      <w:pPr>
        <w:spacing w:line="360" w:lineRule="auto"/>
        <w:jc w:val="center"/>
        <w:rPr>
          <w:b/>
          <w:bCs/>
          <w:color w:val="000000"/>
        </w:rPr>
      </w:pPr>
    </w:p>
    <w:p w14:paraId="50125231" w14:textId="77777777" w:rsidR="00B51242" w:rsidRDefault="00B51242">
      <w:pPr>
        <w:spacing w:line="360" w:lineRule="auto"/>
        <w:jc w:val="center"/>
        <w:rPr>
          <w:b/>
          <w:bCs/>
          <w:color w:val="000000"/>
        </w:rPr>
      </w:pPr>
    </w:p>
    <w:p w14:paraId="5A25747A" w14:textId="77777777" w:rsidR="00B51242" w:rsidRDefault="00B51242">
      <w:pPr>
        <w:spacing w:line="360" w:lineRule="auto"/>
        <w:jc w:val="center"/>
        <w:rPr>
          <w:b/>
          <w:bCs/>
          <w:color w:val="000000"/>
        </w:rPr>
      </w:pPr>
    </w:p>
    <w:p w14:paraId="1B60CB6D" w14:textId="77777777" w:rsidR="00B51242" w:rsidRDefault="008E4E86">
      <w:pPr>
        <w:spacing w:line="360" w:lineRule="auto"/>
        <w:jc w:val="center"/>
        <w:rPr>
          <w:sz w:val="28"/>
          <w:szCs w:val="28"/>
        </w:rPr>
      </w:pPr>
      <w:r>
        <w:rPr>
          <w:b/>
          <w:bCs/>
          <w:color w:val="000000"/>
          <w:sz w:val="28"/>
          <w:szCs w:val="28"/>
        </w:rPr>
        <w:t>ДОДАТКИ</w:t>
      </w:r>
    </w:p>
    <w:p w14:paraId="09B8D95D" w14:textId="77777777" w:rsidR="00B51242" w:rsidRDefault="00B51242">
      <w:pPr>
        <w:spacing w:line="360" w:lineRule="auto"/>
        <w:jc w:val="right"/>
        <w:rPr>
          <w:sz w:val="28"/>
          <w:szCs w:val="28"/>
        </w:rPr>
      </w:pPr>
    </w:p>
    <w:p w14:paraId="05A067B6" w14:textId="77777777" w:rsidR="00B51242" w:rsidRDefault="008E4E86">
      <w:pPr>
        <w:spacing w:line="360" w:lineRule="auto"/>
        <w:jc w:val="right"/>
        <w:rPr>
          <w:sz w:val="28"/>
          <w:szCs w:val="28"/>
        </w:rPr>
      </w:pPr>
      <w:r>
        <w:rPr>
          <w:b/>
          <w:bCs/>
          <w:color w:val="000000"/>
          <w:sz w:val="28"/>
          <w:szCs w:val="28"/>
        </w:rPr>
        <w:t>Додаток А</w:t>
      </w:r>
    </w:p>
    <w:p w14:paraId="52D548C8" w14:textId="77777777" w:rsidR="00B51242" w:rsidRDefault="008E4E86">
      <w:pPr>
        <w:spacing w:line="360" w:lineRule="auto"/>
        <w:jc w:val="center"/>
        <w:rPr>
          <w:sz w:val="28"/>
          <w:szCs w:val="28"/>
        </w:rPr>
      </w:pPr>
      <w:r>
        <w:rPr>
          <w:b/>
          <w:bCs/>
          <w:color w:val="000000"/>
          <w:sz w:val="28"/>
          <w:szCs w:val="28"/>
        </w:rPr>
        <w:t xml:space="preserve"> Посттравматичний стресовий розлад у дзеркалі історії: події, прояви, допомога.</w:t>
      </w:r>
    </w:p>
    <w:tbl>
      <w:tblPr>
        <w:tblW w:w="8791" w:type="dxa"/>
        <w:tblInd w:w="388" w:type="dxa"/>
        <w:tblCellMar>
          <w:top w:w="55" w:type="dxa"/>
          <w:left w:w="55" w:type="dxa"/>
          <w:bottom w:w="55" w:type="dxa"/>
          <w:right w:w="55" w:type="dxa"/>
        </w:tblCellMar>
        <w:tblLook w:val="04A0" w:firstRow="1" w:lastRow="0" w:firstColumn="1" w:lastColumn="0" w:noHBand="0" w:noVBand="1"/>
      </w:tblPr>
      <w:tblGrid>
        <w:gridCol w:w="1721"/>
        <w:gridCol w:w="4407"/>
        <w:gridCol w:w="2663"/>
      </w:tblGrid>
      <w:tr w:rsidR="00B51242" w14:paraId="041AB519" w14:textId="77777777">
        <w:tc>
          <w:tcPr>
            <w:tcW w:w="1068" w:type="dxa"/>
            <w:tcBorders>
              <w:top w:val="single" w:sz="2" w:space="0" w:color="000000"/>
              <w:left w:val="single" w:sz="2" w:space="0" w:color="000000"/>
              <w:bottom w:val="single" w:sz="2" w:space="0" w:color="000000"/>
            </w:tcBorders>
            <w:shd w:val="clear" w:color="auto" w:fill="auto"/>
          </w:tcPr>
          <w:p w14:paraId="15D4550E" w14:textId="77777777" w:rsidR="00B51242" w:rsidRDefault="008E4E86">
            <w:pPr>
              <w:spacing w:line="360" w:lineRule="auto"/>
              <w:jc w:val="both"/>
              <w:rPr>
                <w:sz w:val="28"/>
                <w:szCs w:val="28"/>
              </w:rPr>
            </w:pPr>
            <w:r>
              <w:rPr>
                <w:color w:val="000000"/>
                <w:sz w:val="28"/>
                <w:szCs w:val="28"/>
              </w:rPr>
              <w:t>Хронологія подій (рік)</w:t>
            </w:r>
          </w:p>
        </w:tc>
        <w:tc>
          <w:tcPr>
            <w:tcW w:w="4991" w:type="dxa"/>
            <w:tcBorders>
              <w:top w:val="single" w:sz="2" w:space="0" w:color="000000"/>
              <w:left w:val="single" w:sz="2" w:space="0" w:color="000000"/>
              <w:bottom w:val="single" w:sz="2" w:space="0" w:color="000000"/>
            </w:tcBorders>
            <w:shd w:val="clear" w:color="auto" w:fill="auto"/>
          </w:tcPr>
          <w:p w14:paraId="480833E1" w14:textId="77777777" w:rsidR="00B51242" w:rsidRDefault="008E4E86">
            <w:pPr>
              <w:spacing w:line="360" w:lineRule="auto"/>
              <w:jc w:val="both"/>
              <w:rPr>
                <w:sz w:val="28"/>
                <w:szCs w:val="28"/>
              </w:rPr>
            </w:pPr>
            <w:r>
              <w:rPr>
                <w:color w:val="000000"/>
                <w:sz w:val="28"/>
                <w:szCs w:val="28"/>
              </w:rPr>
              <w:t xml:space="preserve">Перебіг історичних подій та симптоматика посттравматичного стресового розладу (ПТСР) </w:t>
            </w:r>
          </w:p>
          <w:p w14:paraId="78BEFD2A" w14:textId="77777777" w:rsidR="00B51242" w:rsidRDefault="00B51242">
            <w:pPr>
              <w:spacing w:line="360" w:lineRule="auto"/>
              <w:jc w:val="both"/>
              <w:rPr>
                <w:color w:val="000000"/>
                <w:sz w:val="28"/>
                <w:szCs w:val="28"/>
              </w:rPr>
            </w:pPr>
          </w:p>
          <w:p w14:paraId="27A76422" w14:textId="77777777" w:rsidR="00B51242" w:rsidRDefault="00B51242">
            <w:pPr>
              <w:spacing w:line="360" w:lineRule="auto"/>
              <w:jc w:val="both"/>
              <w:rPr>
                <w:color w:val="000000"/>
                <w:sz w:val="28"/>
                <w:szCs w:val="28"/>
              </w:rPr>
            </w:pPr>
          </w:p>
        </w:tc>
        <w:tc>
          <w:tcPr>
            <w:tcW w:w="2732" w:type="dxa"/>
            <w:tcBorders>
              <w:top w:val="single" w:sz="2" w:space="0" w:color="000000"/>
              <w:left w:val="single" w:sz="2" w:space="0" w:color="000000"/>
              <w:bottom w:val="single" w:sz="2" w:space="0" w:color="000000"/>
              <w:right w:val="single" w:sz="2" w:space="0" w:color="000000"/>
            </w:tcBorders>
            <w:shd w:val="clear" w:color="auto" w:fill="auto"/>
          </w:tcPr>
          <w:p w14:paraId="7B17850A" w14:textId="77777777" w:rsidR="00B51242" w:rsidRDefault="008E4E86">
            <w:pPr>
              <w:spacing w:line="360" w:lineRule="auto"/>
              <w:jc w:val="both"/>
              <w:rPr>
                <w:sz w:val="28"/>
                <w:szCs w:val="28"/>
              </w:rPr>
            </w:pPr>
            <w:r>
              <w:rPr>
                <w:color w:val="000000"/>
                <w:sz w:val="28"/>
                <w:szCs w:val="28"/>
              </w:rPr>
              <w:t xml:space="preserve">Підходи до подолання наслідків: методи психологічної підтримки та втручання </w:t>
            </w:r>
          </w:p>
        </w:tc>
      </w:tr>
      <w:tr w:rsidR="00B51242" w14:paraId="1F08308B" w14:textId="77777777">
        <w:tc>
          <w:tcPr>
            <w:tcW w:w="1068" w:type="dxa"/>
            <w:tcBorders>
              <w:left w:val="single" w:sz="2" w:space="0" w:color="000000"/>
              <w:bottom w:val="single" w:sz="2" w:space="0" w:color="000000"/>
            </w:tcBorders>
            <w:shd w:val="clear" w:color="auto" w:fill="auto"/>
          </w:tcPr>
          <w:p w14:paraId="2B474B1B" w14:textId="77777777" w:rsidR="00B51242" w:rsidRDefault="008E4E86">
            <w:pPr>
              <w:spacing w:line="360" w:lineRule="auto"/>
              <w:jc w:val="both"/>
              <w:rPr>
                <w:sz w:val="28"/>
                <w:szCs w:val="28"/>
              </w:rPr>
            </w:pPr>
            <w:r>
              <w:rPr>
                <w:color w:val="000000"/>
                <w:sz w:val="28"/>
                <w:szCs w:val="28"/>
              </w:rPr>
              <w:t>Давні часи / біблійна доба</w:t>
            </w:r>
          </w:p>
          <w:p w14:paraId="4EBBFE59" w14:textId="77777777" w:rsidR="00B51242" w:rsidRDefault="008E4E86">
            <w:pPr>
              <w:spacing w:line="360" w:lineRule="auto"/>
              <w:jc w:val="both"/>
              <w:rPr>
                <w:sz w:val="28"/>
                <w:szCs w:val="28"/>
              </w:rPr>
            </w:pPr>
            <w:r>
              <w:rPr>
                <w:color w:val="000000"/>
                <w:sz w:val="28"/>
                <w:szCs w:val="28"/>
              </w:rPr>
              <w:t>Старий заповіт</w:t>
            </w:r>
          </w:p>
          <w:p w14:paraId="71E1737C" w14:textId="77777777" w:rsidR="00B51242" w:rsidRDefault="008E4E86">
            <w:pPr>
              <w:spacing w:line="360" w:lineRule="auto"/>
              <w:jc w:val="both"/>
              <w:rPr>
                <w:sz w:val="28"/>
                <w:szCs w:val="28"/>
              </w:rPr>
            </w:pPr>
            <w:r>
              <w:rPr>
                <w:color w:val="000000"/>
                <w:sz w:val="28"/>
                <w:szCs w:val="28"/>
              </w:rPr>
              <w:t>Повторення Закону. 20; 8</w:t>
            </w:r>
          </w:p>
        </w:tc>
        <w:tc>
          <w:tcPr>
            <w:tcW w:w="4991" w:type="dxa"/>
            <w:tcBorders>
              <w:left w:val="single" w:sz="2" w:space="0" w:color="000000"/>
              <w:bottom w:val="single" w:sz="2" w:space="0" w:color="000000"/>
            </w:tcBorders>
            <w:shd w:val="clear" w:color="auto" w:fill="auto"/>
          </w:tcPr>
          <w:p w14:paraId="558E96D3" w14:textId="77777777" w:rsidR="00B51242" w:rsidRDefault="008E4E86">
            <w:pPr>
              <w:spacing w:line="360" w:lineRule="auto"/>
              <w:jc w:val="both"/>
            </w:pPr>
            <w:r>
              <w:rPr>
                <w:color w:val="000000"/>
                <w:sz w:val="28"/>
                <w:szCs w:val="28"/>
              </w:rPr>
              <w:t>„Хто є </w:t>
            </w:r>
            <w:r>
              <w:rPr>
                <w:rStyle w:val="a3"/>
                <w:color w:val="000000"/>
                <w:sz w:val="28"/>
                <w:szCs w:val="28"/>
              </w:rPr>
              <w:t>тут</w:t>
            </w:r>
            <w:r>
              <w:rPr>
                <w:color w:val="000000"/>
                <w:sz w:val="28"/>
                <w:szCs w:val="28"/>
              </w:rPr>
              <w:t> такий, що лякли́вий та м'якосе́рдий? Нехай він іде й вертається до свого дому, щоб не розсла́бив він серця́ братів своїх, як є серце його“.  Версія короля Джейма</w:t>
            </w:r>
          </w:p>
          <w:p w14:paraId="2AB1D033" w14:textId="77777777" w:rsidR="00B51242" w:rsidRDefault="008E4E86">
            <w:pPr>
              <w:spacing w:line="360" w:lineRule="auto"/>
              <w:jc w:val="both"/>
            </w:pPr>
            <w:r>
              <w:rPr>
                <w:color w:val="000000"/>
                <w:sz w:val="28"/>
                <w:szCs w:val="28"/>
              </w:rPr>
              <w:t xml:space="preserve">Учасники бою відчували страх, тривогу, емоційне виснаження; можливе тремтіння, втеча з поля бою — прояви, подібні до ПТСР </w:t>
            </w:r>
            <w:r w:rsidRPr="00D3629B">
              <w:rPr>
                <w:rStyle w:val="InternetLink"/>
                <w:rFonts w:eastAsia="Calibri"/>
                <w:color w:val="000000"/>
                <w:sz w:val="28"/>
                <w:szCs w:val="28"/>
                <w:u w:val="none"/>
                <w:lang w:val="ru-RU"/>
              </w:rPr>
              <w:t>[31].</w:t>
            </w:r>
          </w:p>
        </w:tc>
        <w:tc>
          <w:tcPr>
            <w:tcW w:w="2732" w:type="dxa"/>
            <w:tcBorders>
              <w:left w:val="single" w:sz="2" w:space="0" w:color="000000"/>
              <w:bottom w:val="single" w:sz="2" w:space="0" w:color="000000"/>
              <w:right w:val="single" w:sz="2" w:space="0" w:color="000000"/>
            </w:tcBorders>
            <w:shd w:val="clear" w:color="auto" w:fill="auto"/>
          </w:tcPr>
          <w:p w14:paraId="3606C404" w14:textId="77777777" w:rsidR="00B51242" w:rsidRDefault="008E4E86">
            <w:pPr>
              <w:spacing w:after="140" w:line="360" w:lineRule="auto"/>
              <w:jc w:val="both"/>
              <w:rPr>
                <w:sz w:val="28"/>
                <w:szCs w:val="28"/>
              </w:rPr>
            </w:pPr>
            <w:r>
              <w:rPr>
                <w:color w:val="000000"/>
                <w:sz w:val="28"/>
                <w:szCs w:val="28"/>
              </w:rPr>
              <w:t>Визнання емоційної слабкості як підстави для збереження єдності армії. Практика усунення травмованих для зменшення впливу страху на інших, так як його вважали заразним.  Ранній підхід до психоемоційного захисту громади.</w:t>
            </w:r>
          </w:p>
        </w:tc>
      </w:tr>
      <w:tr w:rsidR="00B51242" w14:paraId="00046CA3" w14:textId="77777777">
        <w:tc>
          <w:tcPr>
            <w:tcW w:w="1068" w:type="dxa"/>
            <w:tcBorders>
              <w:left w:val="single" w:sz="2" w:space="0" w:color="000000"/>
              <w:bottom w:val="single" w:sz="2" w:space="0" w:color="000000"/>
            </w:tcBorders>
            <w:shd w:val="clear" w:color="auto" w:fill="auto"/>
          </w:tcPr>
          <w:p w14:paraId="3E9AC734" w14:textId="77777777" w:rsidR="00B51242" w:rsidRDefault="008E4E86">
            <w:pPr>
              <w:spacing w:after="140" w:line="360" w:lineRule="auto"/>
              <w:jc w:val="both"/>
              <w:rPr>
                <w:sz w:val="28"/>
                <w:szCs w:val="28"/>
              </w:rPr>
            </w:pPr>
            <w:r>
              <w:rPr>
                <w:color w:val="000000"/>
                <w:sz w:val="28"/>
                <w:szCs w:val="28"/>
              </w:rPr>
              <w:t xml:space="preserve">440 -377 рр. до н. е. </w:t>
            </w:r>
          </w:p>
        </w:tc>
        <w:tc>
          <w:tcPr>
            <w:tcW w:w="4991" w:type="dxa"/>
            <w:tcBorders>
              <w:left w:val="single" w:sz="2" w:space="0" w:color="000000"/>
              <w:bottom w:val="single" w:sz="2" w:space="0" w:color="000000"/>
            </w:tcBorders>
            <w:shd w:val="clear" w:color="auto" w:fill="auto"/>
          </w:tcPr>
          <w:p w14:paraId="450AD675" w14:textId="77777777" w:rsidR="00B51242" w:rsidRDefault="008E4E86">
            <w:pPr>
              <w:spacing w:after="140" w:line="360" w:lineRule="auto"/>
              <w:jc w:val="both"/>
              <w:rPr>
                <w:sz w:val="28"/>
                <w:szCs w:val="28"/>
              </w:rPr>
            </w:pPr>
            <w:r>
              <w:rPr>
                <w:color w:val="000000"/>
                <w:sz w:val="28"/>
                <w:szCs w:val="28"/>
              </w:rPr>
              <w:t>Перший випадок хронічних психічних симптомів, спричинених раптовим переляком на полі бою, описано в розповіді про битву при Марафоні, написаній Геродотом ( Історія, книга VI, переклад Джорджа Ролінсона):</w:t>
            </w:r>
          </w:p>
          <w:p w14:paraId="3F8DFC63" w14:textId="77777777" w:rsidR="00B51242" w:rsidRDefault="008E4E86">
            <w:pPr>
              <w:spacing w:after="140" w:line="360" w:lineRule="auto"/>
              <w:jc w:val="both"/>
            </w:pPr>
            <w:r>
              <w:rPr>
                <w:color w:val="000000"/>
                <w:sz w:val="28"/>
                <w:szCs w:val="28"/>
              </w:rPr>
              <w:t xml:space="preserve">Примітно, що симптоми викликані не фізичною раною, а переляком і баченням убитого товариша, і що вони зберігаються протягом багатьох років. Втрата зору має першочергову перевагу у вигляді придушення бачення небезпеки та вторинну користь у забезпеченні підтримки та догляду. Страшні бойові сни згадуються Гіппократом </w:t>
            </w:r>
            <w:r>
              <w:rPr>
                <w:rStyle w:val="InternetLink"/>
                <w:rFonts w:eastAsia="Calibri"/>
                <w:color w:val="000000"/>
                <w:sz w:val="28"/>
                <w:szCs w:val="28"/>
                <w:u w:val="none"/>
                <w:lang w:val="en-US"/>
              </w:rPr>
              <w:t>[31].</w:t>
            </w:r>
          </w:p>
        </w:tc>
        <w:tc>
          <w:tcPr>
            <w:tcW w:w="2732" w:type="dxa"/>
            <w:tcBorders>
              <w:left w:val="single" w:sz="2" w:space="0" w:color="000000"/>
              <w:bottom w:val="single" w:sz="2" w:space="0" w:color="000000"/>
              <w:right w:val="single" w:sz="2" w:space="0" w:color="000000"/>
            </w:tcBorders>
            <w:shd w:val="clear" w:color="auto" w:fill="auto"/>
          </w:tcPr>
          <w:p w14:paraId="57A40169" w14:textId="77777777" w:rsidR="00B51242" w:rsidRDefault="008E4E86">
            <w:pPr>
              <w:spacing w:line="360" w:lineRule="auto"/>
              <w:jc w:val="both"/>
              <w:rPr>
                <w:sz w:val="28"/>
                <w:szCs w:val="28"/>
              </w:rPr>
            </w:pPr>
            <w:r>
              <w:rPr>
                <w:color w:val="000000"/>
                <w:sz w:val="28"/>
                <w:szCs w:val="28"/>
              </w:rPr>
              <w:t xml:space="preserve">Симптоми сприймались як божественне покарання або особиста слабкість. Відсутність лікування; можливе усамітнення або звернення до релігійних практик. </w:t>
            </w:r>
          </w:p>
          <w:p w14:paraId="49206A88" w14:textId="77777777" w:rsidR="00B51242" w:rsidRDefault="00B51242">
            <w:pPr>
              <w:spacing w:line="360" w:lineRule="auto"/>
              <w:jc w:val="both"/>
              <w:rPr>
                <w:color w:val="000000"/>
                <w:sz w:val="28"/>
                <w:szCs w:val="28"/>
              </w:rPr>
            </w:pPr>
          </w:p>
        </w:tc>
      </w:tr>
      <w:tr w:rsidR="00B51242" w14:paraId="439A620E" w14:textId="77777777">
        <w:tc>
          <w:tcPr>
            <w:tcW w:w="1068" w:type="dxa"/>
            <w:tcBorders>
              <w:left w:val="single" w:sz="2" w:space="0" w:color="000000"/>
              <w:bottom w:val="single" w:sz="2" w:space="0" w:color="000000"/>
            </w:tcBorders>
            <w:shd w:val="clear" w:color="auto" w:fill="auto"/>
          </w:tcPr>
          <w:p w14:paraId="364B305D" w14:textId="77777777" w:rsidR="00B51242" w:rsidRDefault="008E4E86">
            <w:pPr>
              <w:spacing w:line="360" w:lineRule="auto"/>
              <w:jc w:val="both"/>
            </w:pPr>
            <w:r>
              <w:rPr>
                <w:rStyle w:val="StrongEmphasis"/>
                <w:b w:val="0"/>
                <w:bCs w:val="0"/>
                <w:color w:val="000000"/>
                <w:sz w:val="28"/>
                <w:szCs w:val="28"/>
              </w:rPr>
              <w:t>490 році до н.е.</w:t>
            </w:r>
            <w:r>
              <w:rPr>
                <w:color w:val="000000"/>
                <w:sz w:val="28"/>
                <w:szCs w:val="28"/>
              </w:rPr>
              <w:t xml:space="preserve">,  </w:t>
            </w:r>
          </w:p>
        </w:tc>
        <w:tc>
          <w:tcPr>
            <w:tcW w:w="4991" w:type="dxa"/>
            <w:tcBorders>
              <w:left w:val="single" w:sz="2" w:space="0" w:color="000000"/>
              <w:bottom w:val="single" w:sz="2" w:space="0" w:color="000000"/>
            </w:tcBorders>
            <w:shd w:val="clear" w:color="auto" w:fill="auto"/>
          </w:tcPr>
          <w:p w14:paraId="48A17C62" w14:textId="77777777" w:rsidR="00B51242" w:rsidRDefault="008E4E86">
            <w:pPr>
              <w:spacing w:after="140" w:line="360" w:lineRule="auto"/>
              <w:jc w:val="both"/>
              <w:rPr>
                <w:sz w:val="28"/>
                <w:szCs w:val="28"/>
              </w:rPr>
            </w:pPr>
            <w:r>
              <w:rPr>
                <w:color w:val="000000"/>
                <w:sz w:val="28"/>
                <w:szCs w:val="28"/>
              </w:rPr>
              <w:t> Давньогрецький поет Гомер у своїй епічній поемі ро пригоди Одіссея описує наслідки психічної травми. Представляючи Одіссея, який має повторні спогади про травматичні події, що відбулися на полі бою, він супроводжує це емоційною відчуженістю, відчуттям провини за те, що вижив після Троянської війни  [</w:t>
            </w:r>
            <w:r w:rsidRPr="00D3629B">
              <w:rPr>
                <w:color w:val="000000"/>
                <w:sz w:val="28"/>
                <w:szCs w:val="28"/>
              </w:rPr>
              <w:t>27].</w:t>
            </w:r>
          </w:p>
        </w:tc>
        <w:tc>
          <w:tcPr>
            <w:tcW w:w="2732" w:type="dxa"/>
            <w:tcBorders>
              <w:left w:val="single" w:sz="2" w:space="0" w:color="000000"/>
              <w:bottom w:val="single" w:sz="2" w:space="0" w:color="000000"/>
              <w:right w:val="single" w:sz="2" w:space="0" w:color="000000"/>
            </w:tcBorders>
            <w:shd w:val="clear" w:color="auto" w:fill="auto"/>
          </w:tcPr>
          <w:p w14:paraId="1A8FC097" w14:textId="77777777" w:rsidR="00B51242" w:rsidRDefault="008E4E86">
            <w:pPr>
              <w:spacing w:line="360" w:lineRule="auto"/>
              <w:jc w:val="both"/>
              <w:rPr>
                <w:sz w:val="28"/>
                <w:szCs w:val="28"/>
              </w:rPr>
            </w:pPr>
            <w:r>
              <w:rPr>
                <w:color w:val="000000"/>
                <w:sz w:val="28"/>
                <w:szCs w:val="28"/>
              </w:rPr>
              <w:t>Метафоричне осмислення через мистецтво. Психічна травма сприймалась як частина героїчного шляху. Допомога — міфологізація досвіду, переосмислення через розповідь.</w:t>
            </w:r>
          </w:p>
        </w:tc>
      </w:tr>
      <w:tr w:rsidR="00B51242" w14:paraId="316E94E0" w14:textId="77777777">
        <w:tc>
          <w:tcPr>
            <w:tcW w:w="1068" w:type="dxa"/>
            <w:tcBorders>
              <w:left w:val="single" w:sz="2" w:space="0" w:color="000000"/>
              <w:bottom w:val="single" w:sz="2" w:space="0" w:color="000000"/>
            </w:tcBorders>
            <w:shd w:val="clear" w:color="auto" w:fill="auto"/>
          </w:tcPr>
          <w:p w14:paraId="72FE3DA9" w14:textId="77777777" w:rsidR="00B51242" w:rsidRDefault="008E4E86">
            <w:pPr>
              <w:spacing w:after="140" w:line="360" w:lineRule="auto"/>
              <w:jc w:val="both"/>
              <w:rPr>
                <w:sz w:val="28"/>
                <w:szCs w:val="28"/>
              </w:rPr>
            </w:pPr>
            <w:r>
              <w:rPr>
                <w:color w:val="000000"/>
                <w:sz w:val="28"/>
                <w:szCs w:val="28"/>
              </w:rPr>
              <w:t>1300 по 600 роки до н. е.</w:t>
            </w:r>
          </w:p>
        </w:tc>
        <w:tc>
          <w:tcPr>
            <w:tcW w:w="4991" w:type="dxa"/>
            <w:tcBorders>
              <w:left w:val="single" w:sz="2" w:space="0" w:color="000000"/>
              <w:bottom w:val="single" w:sz="2" w:space="0" w:color="000000"/>
            </w:tcBorders>
            <w:shd w:val="clear" w:color="auto" w:fill="auto"/>
          </w:tcPr>
          <w:p w14:paraId="19ECE596" w14:textId="77777777" w:rsidR="00B51242" w:rsidRDefault="008E4E86">
            <w:pPr>
              <w:spacing w:after="140" w:line="360" w:lineRule="auto"/>
              <w:jc w:val="both"/>
              <w:rPr>
                <w:sz w:val="28"/>
                <w:szCs w:val="28"/>
              </w:rPr>
            </w:pPr>
            <w:r>
              <w:rPr>
                <w:color w:val="000000"/>
                <w:sz w:val="28"/>
                <w:szCs w:val="28"/>
              </w:rPr>
              <w:t>Початки вивчення посттравматичного стресового розладу (ПТСР) можна прослідкувати з давніх часів, адже спроби описати цей розлад дослідники виявили в писемних джерелах давнього Ассирійського царства, Ассирійські військові стикалися з значними труднощами у процесі адаптації з військового життя до цивільного [27].</w:t>
            </w:r>
          </w:p>
          <w:p w14:paraId="67B7A70C" w14:textId="77777777" w:rsidR="00B51242" w:rsidRDefault="00B51242">
            <w:pPr>
              <w:spacing w:line="360" w:lineRule="auto"/>
              <w:jc w:val="both"/>
              <w:rPr>
                <w:color w:val="000000"/>
                <w:sz w:val="28"/>
                <w:szCs w:val="28"/>
              </w:rPr>
            </w:pPr>
          </w:p>
        </w:tc>
        <w:tc>
          <w:tcPr>
            <w:tcW w:w="2732" w:type="dxa"/>
            <w:tcBorders>
              <w:left w:val="single" w:sz="2" w:space="0" w:color="000000"/>
              <w:bottom w:val="single" w:sz="2" w:space="0" w:color="000000"/>
              <w:right w:val="single" w:sz="2" w:space="0" w:color="000000"/>
            </w:tcBorders>
            <w:shd w:val="clear" w:color="auto" w:fill="auto"/>
          </w:tcPr>
          <w:p w14:paraId="09F27044" w14:textId="77777777" w:rsidR="00B51242" w:rsidRDefault="008E4E86">
            <w:pPr>
              <w:spacing w:line="360" w:lineRule="auto"/>
              <w:jc w:val="both"/>
              <w:rPr>
                <w:sz w:val="28"/>
                <w:szCs w:val="28"/>
              </w:rPr>
            </w:pPr>
            <w:r>
              <w:rPr>
                <w:color w:val="000000"/>
                <w:sz w:val="28"/>
                <w:szCs w:val="28"/>
              </w:rPr>
              <w:t>Початкове усвідомлення впливу війни на психіку. Обмежене розуміння, відсутність лікування, але ротаційна система частково виконувала реабілітаційну функцію.</w:t>
            </w:r>
          </w:p>
        </w:tc>
      </w:tr>
      <w:tr w:rsidR="00B51242" w14:paraId="401B5EFD" w14:textId="77777777">
        <w:tc>
          <w:tcPr>
            <w:tcW w:w="1068" w:type="dxa"/>
            <w:tcBorders>
              <w:left w:val="single" w:sz="2" w:space="0" w:color="000000"/>
              <w:bottom w:val="single" w:sz="2" w:space="0" w:color="000000"/>
            </w:tcBorders>
            <w:shd w:val="clear" w:color="auto" w:fill="auto"/>
          </w:tcPr>
          <w:p w14:paraId="414C05D6" w14:textId="77777777" w:rsidR="00B51242" w:rsidRDefault="008E4E86">
            <w:pPr>
              <w:spacing w:after="140" w:line="360" w:lineRule="auto"/>
              <w:jc w:val="both"/>
              <w:rPr>
                <w:sz w:val="28"/>
                <w:szCs w:val="28"/>
              </w:rPr>
            </w:pPr>
            <w:r>
              <w:rPr>
                <w:color w:val="000000"/>
                <w:sz w:val="28"/>
                <w:szCs w:val="28"/>
              </w:rPr>
              <w:t>1388 р</w:t>
            </w:r>
          </w:p>
        </w:tc>
        <w:tc>
          <w:tcPr>
            <w:tcW w:w="4991" w:type="dxa"/>
            <w:tcBorders>
              <w:left w:val="single" w:sz="2" w:space="0" w:color="000000"/>
              <w:bottom w:val="single" w:sz="2" w:space="0" w:color="000000"/>
            </w:tcBorders>
            <w:shd w:val="clear" w:color="auto" w:fill="auto"/>
          </w:tcPr>
          <w:p w14:paraId="3A64C50C" w14:textId="77777777" w:rsidR="00B51242" w:rsidRDefault="008E4E86">
            <w:pPr>
              <w:spacing w:after="140" w:line="360" w:lineRule="auto"/>
              <w:jc w:val="both"/>
            </w:pPr>
            <w:r>
              <w:rPr>
                <w:color w:val="000000"/>
                <w:sz w:val="28"/>
                <w:szCs w:val="28"/>
              </w:rPr>
              <w:t xml:space="preserve">Випадок П’єра де Біма: нічні пробудження, імпульсивна агресія, неспроможність жити в мирному середовищі — типові прояви бойової травми.Жан Фруасар описав випадок П’єра де Біма: неможливість спати поруч із родиною, раптові нічні пробудження, імпульсивна готовність до бою — характерні симптоми ПТСР (гіперактивність, тривожність, флешбеки) </w:t>
            </w:r>
            <w:r w:rsidRPr="00D3629B">
              <w:rPr>
                <w:rStyle w:val="InternetLink"/>
                <w:rFonts w:eastAsia="Calibri"/>
                <w:color w:val="000000"/>
                <w:sz w:val="28"/>
                <w:szCs w:val="28"/>
                <w:u w:val="none"/>
              </w:rPr>
              <w:t>[31].</w:t>
            </w:r>
          </w:p>
        </w:tc>
        <w:tc>
          <w:tcPr>
            <w:tcW w:w="2732" w:type="dxa"/>
            <w:tcBorders>
              <w:left w:val="single" w:sz="2" w:space="0" w:color="000000"/>
              <w:bottom w:val="single" w:sz="2" w:space="0" w:color="000000"/>
              <w:right w:val="single" w:sz="2" w:space="0" w:color="000000"/>
            </w:tcBorders>
            <w:shd w:val="clear" w:color="auto" w:fill="auto"/>
          </w:tcPr>
          <w:p w14:paraId="6CEE52F9" w14:textId="77777777" w:rsidR="00B51242" w:rsidRDefault="008E4E86">
            <w:pPr>
              <w:spacing w:line="360" w:lineRule="auto"/>
              <w:jc w:val="both"/>
              <w:rPr>
                <w:sz w:val="28"/>
                <w:szCs w:val="28"/>
              </w:rPr>
            </w:pPr>
            <w:r>
              <w:rPr>
                <w:color w:val="000000"/>
                <w:sz w:val="28"/>
                <w:szCs w:val="28"/>
              </w:rPr>
              <w:t>Відсутність системної допомоги. Поведінку вважали особистісною особливістю, а не психічним розладом.</w:t>
            </w:r>
          </w:p>
        </w:tc>
      </w:tr>
      <w:tr w:rsidR="00B51242" w14:paraId="1FB095B9" w14:textId="77777777">
        <w:tc>
          <w:tcPr>
            <w:tcW w:w="1068" w:type="dxa"/>
            <w:tcBorders>
              <w:left w:val="single" w:sz="2" w:space="0" w:color="000000"/>
              <w:bottom w:val="single" w:sz="2" w:space="0" w:color="000000"/>
            </w:tcBorders>
            <w:shd w:val="clear" w:color="auto" w:fill="auto"/>
          </w:tcPr>
          <w:p w14:paraId="1CD2DFA0" w14:textId="77777777" w:rsidR="00B51242" w:rsidRDefault="008E4E86">
            <w:pPr>
              <w:spacing w:after="140" w:line="360" w:lineRule="auto"/>
              <w:jc w:val="both"/>
              <w:rPr>
                <w:sz w:val="28"/>
                <w:szCs w:val="28"/>
              </w:rPr>
            </w:pPr>
            <w:r>
              <w:rPr>
                <w:color w:val="000000"/>
                <w:sz w:val="28"/>
                <w:szCs w:val="28"/>
              </w:rPr>
              <w:t>1621 р.</w:t>
            </w:r>
          </w:p>
        </w:tc>
        <w:tc>
          <w:tcPr>
            <w:tcW w:w="4991" w:type="dxa"/>
            <w:tcBorders>
              <w:left w:val="single" w:sz="2" w:space="0" w:color="000000"/>
              <w:bottom w:val="single" w:sz="2" w:space="0" w:color="000000"/>
            </w:tcBorders>
            <w:shd w:val="clear" w:color="auto" w:fill="auto"/>
          </w:tcPr>
          <w:p w14:paraId="76A69F78" w14:textId="77777777" w:rsidR="00B51242" w:rsidRDefault="008E4E86">
            <w:pPr>
              <w:spacing w:after="140" w:line="360" w:lineRule="auto"/>
              <w:jc w:val="both"/>
            </w:pPr>
            <w:r>
              <w:rPr>
                <w:color w:val="000000"/>
                <w:sz w:val="28"/>
                <w:szCs w:val="28"/>
              </w:rPr>
              <w:t xml:space="preserve">Роберт Бартон у книзі </w:t>
            </w:r>
            <w:r>
              <w:rPr>
                <w:rStyle w:val="a3"/>
                <w:color w:val="000000"/>
                <w:sz w:val="28"/>
                <w:szCs w:val="28"/>
              </w:rPr>
              <w:t>«Анатомія меланхолії»</w:t>
            </w:r>
            <w:r>
              <w:rPr>
                <w:color w:val="000000"/>
                <w:sz w:val="28"/>
                <w:szCs w:val="28"/>
              </w:rPr>
              <w:t xml:space="preserve">  порушив питання психологічні проблеми, що виникають внаслідок психотравмуючих подій. Симптоми: депресія, тривожність, емоційне виснаження — характерні прояви ПТСР </w:t>
            </w:r>
            <w:r>
              <w:rPr>
                <w:color w:val="000000"/>
                <w:sz w:val="28"/>
                <w:szCs w:val="28"/>
                <w:lang w:val="en-US"/>
              </w:rPr>
              <w:t>[4].</w:t>
            </w:r>
          </w:p>
        </w:tc>
        <w:tc>
          <w:tcPr>
            <w:tcW w:w="2732" w:type="dxa"/>
            <w:tcBorders>
              <w:left w:val="single" w:sz="2" w:space="0" w:color="000000"/>
              <w:bottom w:val="single" w:sz="2" w:space="0" w:color="000000"/>
              <w:right w:val="single" w:sz="2" w:space="0" w:color="000000"/>
            </w:tcBorders>
            <w:shd w:val="clear" w:color="auto" w:fill="auto"/>
          </w:tcPr>
          <w:p w14:paraId="5322B245" w14:textId="77777777" w:rsidR="00B51242" w:rsidRDefault="008E4E86">
            <w:pPr>
              <w:spacing w:line="360" w:lineRule="auto"/>
              <w:jc w:val="both"/>
              <w:rPr>
                <w:sz w:val="28"/>
                <w:szCs w:val="28"/>
              </w:rPr>
            </w:pPr>
            <w:r>
              <w:rPr>
                <w:color w:val="000000"/>
                <w:sz w:val="28"/>
                <w:szCs w:val="28"/>
              </w:rPr>
              <w:t xml:space="preserve">Раннє філософсько-медичне осмислення психічної травми. Пропонувались моральна підтримка, читання, музика, спілкування — перші натяки на терапевтичні підходи. </w:t>
            </w:r>
          </w:p>
        </w:tc>
      </w:tr>
      <w:tr w:rsidR="00B51242" w14:paraId="23B8E445" w14:textId="77777777">
        <w:tc>
          <w:tcPr>
            <w:tcW w:w="1068" w:type="dxa"/>
            <w:tcBorders>
              <w:left w:val="single" w:sz="2" w:space="0" w:color="000000"/>
              <w:bottom w:val="single" w:sz="2" w:space="0" w:color="000000"/>
            </w:tcBorders>
            <w:shd w:val="clear" w:color="auto" w:fill="auto"/>
          </w:tcPr>
          <w:p w14:paraId="2FA7AC4D" w14:textId="77777777" w:rsidR="00B51242" w:rsidRDefault="008E4E86">
            <w:pPr>
              <w:spacing w:after="140" w:line="360" w:lineRule="auto"/>
              <w:jc w:val="both"/>
              <w:rPr>
                <w:sz w:val="28"/>
                <w:szCs w:val="28"/>
              </w:rPr>
            </w:pPr>
            <w:r>
              <w:rPr>
                <w:color w:val="000000"/>
                <w:sz w:val="28"/>
                <w:szCs w:val="28"/>
              </w:rPr>
              <w:t xml:space="preserve">1761 р. </w:t>
            </w:r>
          </w:p>
        </w:tc>
        <w:tc>
          <w:tcPr>
            <w:tcW w:w="4991" w:type="dxa"/>
            <w:tcBorders>
              <w:left w:val="single" w:sz="2" w:space="0" w:color="000000"/>
              <w:bottom w:val="single" w:sz="2" w:space="0" w:color="000000"/>
            </w:tcBorders>
            <w:shd w:val="clear" w:color="auto" w:fill="auto"/>
          </w:tcPr>
          <w:p w14:paraId="6BC68C55" w14:textId="77777777" w:rsidR="00B51242" w:rsidRDefault="008E4E86">
            <w:pPr>
              <w:spacing w:after="140" w:line="360" w:lineRule="auto"/>
              <w:jc w:val="both"/>
              <w:rPr>
                <w:sz w:val="28"/>
                <w:szCs w:val="28"/>
              </w:rPr>
            </w:pPr>
            <w:r>
              <w:rPr>
                <w:color w:val="000000"/>
                <w:sz w:val="28"/>
                <w:szCs w:val="28"/>
              </w:rPr>
              <w:t>ПТСР бере свій початок з 1761 року, коли австрійський лікар Леопольд Ауенбруггер, який відомий як винахідни к методу перкусії у діагностиці соматичних хвороб, опублікував одну зі своїх праць під назвою «Percussion and nostalgia» . У цій праці він описав симптоми у солдат, які були подібні до посттравматичного стресового розладу і називав їх «ностальгією». Даний стан характеризувався тривогою, порушенням сну, спогадами про війну та сумом за домом.</w:t>
            </w:r>
          </w:p>
          <w:p w14:paraId="006A4955" w14:textId="77777777" w:rsidR="00B51242" w:rsidRDefault="008E4E86">
            <w:pPr>
              <w:spacing w:after="140" w:line="360" w:lineRule="auto"/>
              <w:jc w:val="both"/>
              <w:rPr>
                <w:sz w:val="28"/>
                <w:szCs w:val="28"/>
              </w:rPr>
            </w:pPr>
            <w:r>
              <w:rPr>
                <w:color w:val="000000"/>
                <w:sz w:val="28"/>
                <w:szCs w:val="28"/>
              </w:rPr>
              <w:t>Симптоми солдат: тривога, безсоння, ностальгія, флешбеки — раннє клінічне описання стану, схожого на ПТСР [27].</w:t>
            </w:r>
          </w:p>
        </w:tc>
        <w:tc>
          <w:tcPr>
            <w:tcW w:w="2732" w:type="dxa"/>
            <w:tcBorders>
              <w:left w:val="single" w:sz="2" w:space="0" w:color="000000"/>
              <w:bottom w:val="single" w:sz="2" w:space="0" w:color="000000"/>
              <w:right w:val="single" w:sz="2" w:space="0" w:color="000000"/>
            </w:tcBorders>
            <w:shd w:val="clear" w:color="auto" w:fill="auto"/>
          </w:tcPr>
          <w:p w14:paraId="1E74DDFB" w14:textId="77777777" w:rsidR="00B51242" w:rsidRDefault="008E4E86">
            <w:pPr>
              <w:spacing w:line="360" w:lineRule="auto"/>
              <w:jc w:val="both"/>
              <w:rPr>
                <w:sz w:val="28"/>
                <w:szCs w:val="28"/>
              </w:rPr>
            </w:pPr>
            <w:r>
              <w:rPr>
                <w:color w:val="000000"/>
                <w:sz w:val="28"/>
                <w:szCs w:val="28"/>
              </w:rPr>
              <w:t>Вперше зафіксовано як медичний феномен. Пропонувались обмежені методи — спокій, повернення додому. Важливий крок до медичного визнання проблеми.</w:t>
            </w:r>
          </w:p>
        </w:tc>
      </w:tr>
      <w:tr w:rsidR="00B51242" w14:paraId="71887C79" w14:textId="77777777">
        <w:tc>
          <w:tcPr>
            <w:tcW w:w="1068" w:type="dxa"/>
            <w:tcBorders>
              <w:left w:val="single" w:sz="2" w:space="0" w:color="000000"/>
              <w:bottom w:val="single" w:sz="2" w:space="0" w:color="000000"/>
            </w:tcBorders>
            <w:shd w:val="clear" w:color="auto" w:fill="auto"/>
          </w:tcPr>
          <w:p w14:paraId="3B7FD67C" w14:textId="77777777" w:rsidR="00B51242" w:rsidRDefault="00B51242">
            <w:pPr>
              <w:spacing w:after="140" w:line="360" w:lineRule="auto"/>
              <w:jc w:val="both"/>
              <w:rPr>
                <w:color w:val="000000"/>
                <w:sz w:val="28"/>
                <w:szCs w:val="28"/>
              </w:rPr>
            </w:pPr>
          </w:p>
        </w:tc>
        <w:tc>
          <w:tcPr>
            <w:tcW w:w="4991" w:type="dxa"/>
            <w:tcBorders>
              <w:left w:val="single" w:sz="2" w:space="0" w:color="000000"/>
              <w:bottom w:val="single" w:sz="2" w:space="0" w:color="000000"/>
            </w:tcBorders>
            <w:shd w:val="clear" w:color="auto" w:fill="auto"/>
          </w:tcPr>
          <w:p w14:paraId="38D6B9B6" w14:textId="77777777" w:rsidR="00B51242" w:rsidRDefault="00B51242">
            <w:pPr>
              <w:spacing w:after="140" w:line="360" w:lineRule="auto"/>
              <w:jc w:val="both"/>
              <w:rPr>
                <w:color w:val="000000"/>
                <w:sz w:val="28"/>
                <w:szCs w:val="28"/>
                <w:highlight w:val="yellow"/>
                <w:lang w:val="ru-RU"/>
              </w:rPr>
            </w:pPr>
          </w:p>
        </w:tc>
        <w:tc>
          <w:tcPr>
            <w:tcW w:w="2732" w:type="dxa"/>
            <w:tcBorders>
              <w:left w:val="single" w:sz="2" w:space="0" w:color="000000"/>
              <w:bottom w:val="single" w:sz="2" w:space="0" w:color="000000"/>
              <w:right w:val="single" w:sz="2" w:space="0" w:color="000000"/>
            </w:tcBorders>
            <w:shd w:val="clear" w:color="auto" w:fill="auto"/>
          </w:tcPr>
          <w:p w14:paraId="22F860BB" w14:textId="77777777" w:rsidR="00B51242" w:rsidRDefault="00B51242">
            <w:pPr>
              <w:spacing w:line="360" w:lineRule="auto"/>
              <w:jc w:val="both"/>
              <w:rPr>
                <w:color w:val="000000"/>
                <w:sz w:val="28"/>
                <w:szCs w:val="28"/>
              </w:rPr>
            </w:pPr>
          </w:p>
        </w:tc>
      </w:tr>
      <w:tr w:rsidR="00B51242" w14:paraId="495A8FC9" w14:textId="77777777">
        <w:tc>
          <w:tcPr>
            <w:tcW w:w="1068" w:type="dxa"/>
            <w:tcBorders>
              <w:left w:val="single" w:sz="2" w:space="0" w:color="000000"/>
              <w:bottom w:val="single" w:sz="2" w:space="0" w:color="000000"/>
            </w:tcBorders>
            <w:shd w:val="clear" w:color="auto" w:fill="auto"/>
          </w:tcPr>
          <w:p w14:paraId="0B5275E7" w14:textId="77777777" w:rsidR="00B51242" w:rsidRDefault="008E4E86">
            <w:pPr>
              <w:spacing w:line="360" w:lineRule="auto"/>
              <w:jc w:val="both"/>
              <w:rPr>
                <w:sz w:val="28"/>
                <w:szCs w:val="28"/>
              </w:rPr>
            </w:pPr>
            <w:r>
              <w:rPr>
                <w:color w:val="000000"/>
                <w:sz w:val="28"/>
                <w:szCs w:val="28"/>
              </w:rPr>
              <w:t>1798</w:t>
            </w:r>
          </w:p>
        </w:tc>
        <w:tc>
          <w:tcPr>
            <w:tcW w:w="4991" w:type="dxa"/>
            <w:tcBorders>
              <w:left w:val="single" w:sz="2" w:space="0" w:color="000000"/>
              <w:bottom w:val="single" w:sz="2" w:space="0" w:color="000000"/>
            </w:tcBorders>
            <w:shd w:val="clear" w:color="auto" w:fill="auto"/>
          </w:tcPr>
          <w:p w14:paraId="73191810" w14:textId="77777777" w:rsidR="00B51242" w:rsidRDefault="008E4E86">
            <w:pPr>
              <w:spacing w:after="140" w:line="360" w:lineRule="auto"/>
              <w:jc w:val="both"/>
              <w:rPr>
                <w:sz w:val="28"/>
                <w:szCs w:val="28"/>
              </w:rPr>
            </w:pPr>
            <w:r>
              <w:rPr>
                <w:color w:val="000000"/>
                <w:sz w:val="28"/>
                <w:szCs w:val="28"/>
              </w:rPr>
              <w:t>Початок сучасної психіатрії</w:t>
            </w:r>
          </w:p>
          <w:p w14:paraId="77885B96" w14:textId="77777777" w:rsidR="00B51242" w:rsidRDefault="008E4E86">
            <w:pPr>
              <w:spacing w:after="140" w:line="360" w:lineRule="auto"/>
              <w:jc w:val="both"/>
            </w:pPr>
            <w:r>
              <w:rPr>
                <w:color w:val="000000"/>
                <w:sz w:val="28"/>
                <w:szCs w:val="28"/>
              </w:rPr>
              <w:t xml:space="preserve">Зі свого досвіду роботи з пацієнтами, шокованими подіями та війнами Французької революції, Філіп Пінель написав перші точні описи воєнних неврозів, які він назвав «кардіореспіраторними неврозами» (порушення дихання), і гострих ступорозних посттравматичних станів, які він назвав «ідіотизмом» (емоційне оніміння) </w:t>
            </w:r>
            <w:r w:rsidRPr="00D3629B">
              <w:rPr>
                <w:rStyle w:val="InternetLink"/>
                <w:rFonts w:eastAsia="Calibri"/>
                <w:color w:val="000000"/>
                <w:sz w:val="28"/>
                <w:szCs w:val="28"/>
                <w:u w:val="none"/>
              </w:rPr>
              <w:t>[31].</w:t>
            </w:r>
          </w:p>
        </w:tc>
        <w:tc>
          <w:tcPr>
            <w:tcW w:w="2732" w:type="dxa"/>
            <w:tcBorders>
              <w:left w:val="single" w:sz="2" w:space="0" w:color="000000"/>
              <w:bottom w:val="single" w:sz="2" w:space="0" w:color="000000"/>
              <w:right w:val="single" w:sz="2" w:space="0" w:color="000000"/>
            </w:tcBorders>
            <w:shd w:val="clear" w:color="auto" w:fill="auto"/>
          </w:tcPr>
          <w:p w14:paraId="4825BD0F" w14:textId="77777777" w:rsidR="00B51242" w:rsidRDefault="008E4E86">
            <w:pPr>
              <w:spacing w:line="360" w:lineRule="auto"/>
              <w:jc w:val="both"/>
              <w:rPr>
                <w:sz w:val="28"/>
                <w:szCs w:val="28"/>
              </w:rPr>
            </w:pPr>
            <w:r>
              <w:rPr>
                <w:color w:val="000000"/>
                <w:sz w:val="28"/>
                <w:szCs w:val="28"/>
              </w:rPr>
              <w:t xml:space="preserve">Важливий крок до формування сучасної психіатрії. Початок класифікації симптомів, перші спроби діагностики. Лікування базувалось на гуманному ставленні, спостереженні, створенні безпечного середовища. </w:t>
            </w:r>
          </w:p>
        </w:tc>
      </w:tr>
      <w:tr w:rsidR="00B51242" w14:paraId="704A4A43" w14:textId="77777777">
        <w:tc>
          <w:tcPr>
            <w:tcW w:w="1068" w:type="dxa"/>
            <w:tcBorders>
              <w:left w:val="single" w:sz="2" w:space="0" w:color="000000"/>
              <w:bottom w:val="single" w:sz="2" w:space="0" w:color="000000"/>
            </w:tcBorders>
            <w:shd w:val="clear" w:color="auto" w:fill="auto"/>
          </w:tcPr>
          <w:p w14:paraId="5891917B" w14:textId="77777777" w:rsidR="00B51242" w:rsidRDefault="008E4E86">
            <w:pPr>
              <w:spacing w:line="360" w:lineRule="auto"/>
              <w:jc w:val="both"/>
              <w:rPr>
                <w:sz w:val="28"/>
                <w:szCs w:val="28"/>
              </w:rPr>
            </w:pPr>
            <w:r>
              <w:rPr>
                <w:color w:val="000000"/>
                <w:sz w:val="28"/>
                <w:szCs w:val="28"/>
              </w:rPr>
              <w:t xml:space="preserve">1830-40-ті роки. </w:t>
            </w:r>
          </w:p>
        </w:tc>
        <w:tc>
          <w:tcPr>
            <w:tcW w:w="4991" w:type="dxa"/>
            <w:tcBorders>
              <w:left w:val="single" w:sz="2" w:space="0" w:color="000000"/>
              <w:bottom w:val="single" w:sz="2" w:space="0" w:color="000000"/>
            </w:tcBorders>
            <w:shd w:val="clear" w:color="auto" w:fill="auto"/>
          </w:tcPr>
          <w:p w14:paraId="40459B34" w14:textId="77777777" w:rsidR="00B51242" w:rsidRDefault="008E4E86">
            <w:pPr>
              <w:spacing w:after="140" w:line="360" w:lineRule="auto"/>
              <w:jc w:val="both"/>
              <w:rPr>
                <w:sz w:val="28"/>
                <w:szCs w:val="28"/>
              </w:rPr>
            </w:pPr>
            <w:r>
              <w:rPr>
                <w:color w:val="000000"/>
                <w:sz w:val="28"/>
                <w:szCs w:val="28"/>
              </w:rPr>
              <w:t xml:space="preserve">Промислова революція та впровадження машин з паровим приводом мали стати причиною перших цивільних техногенних катастроф і випадків посттравматичного стресового розладу поза полем бою. Уяву громадськості вразили перші вражаючі залізничні катастрофи, а лікарі того часу були спантеличені психологічними симптомами тих, хто вижив. </w:t>
            </w:r>
          </w:p>
          <w:p w14:paraId="1F75F04C" w14:textId="77777777" w:rsidR="00B51242" w:rsidRDefault="008E4E86">
            <w:pPr>
              <w:spacing w:after="140" w:line="360" w:lineRule="auto"/>
              <w:jc w:val="both"/>
            </w:pPr>
            <w:r>
              <w:rPr>
                <w:color w:val="000000"/>
                <w:sz w:val="28"/>
                <w:szCs w:val="28"/>
              </w:rPr>
              <w:t xml:space="preserve"> Симптоми: тривога, шоковий стан, фізична слабкість, порушення сну. Виникли терміни «залізничний хребет» і «залізничний мозок» </w:t>
            </w:r>
            <w:r>
              <w:rPr>
                <w:rStyle w:val="InternetLink"/>
                <w:rFonts w:eastAsia="Calibri"/>
                <w:color w:val="000000"/>
                <w:sz w:val="28"/>
                <w:szCs w:val="28"/>
                <w:u w:val="none"/>
                <w:lang w:val="en-US"/>
              </w:rPr>
              <w:t>[31].</w:t>
            </w:r>
          </w:p>
        </w:tc>
        <w:tc>
          <w:tcPr>
            <w:tcW w:w="2732" w:type="dxa"/>
            <w:tcBorders>
              <w:left w:val="single" w:sz="2" w:space="0" w:color="000000"/>
              <w:bottom w:val="single" w:sz="2" w:space="0" w:color="000000"/>
              <w:right w:val="single" w:sz="2" w:space="0" w:color="000000"/>
            </w:tcBorders>
            <w:shd w:val="clear" w:color="auto" w:fill="auto"/>
          </w:tcPr>
          <w:p w14:paraId="3AE16A99" w14:textId="77777777" w:rsidR="00B51242" w:rsidRDefault="008E4E86">
            <w:pPr>
              <w:spacing w:line="360" w:lineRule="auto"/>
              <w:jc w:val="both"/>
              <w:rPr>
                <w:sz w:val="28"/>
                <w:szCs w:val="28"/>
              </w:rPr>
            </w:pPr>
            <w:r>
              <w:rPr>
                <w:color w:val="000000"/>
                <w:sz w:val="28"/>
                <w:szCs w:val="28"/>
              </w:rPr>
              <w:t xml:space="preserve">Тривала суперечка: органічна теорія (ушкодження мозку/хребта) проти психогенної (емоційний шок). Психологічна допомога не була системною; лікування — переважно фізіологічне або спроби ізоляції. </w:t>
            </w:r>
          </w:p>
          <w:p w14:paraId="5A2E895B" w14:textId="77777777" w:rsidR="00B51242" w:rsidRDefault="008E4E86">
            <w:pPr>
              <w:spacing w:after="140" w:line="360" w:lineRule="auto"/>
              <w:jc w:val="both"/>
              <w:rPr>
                <w:sz w:val="28"/>
                <w:szCs w:val="28"/>
              </w:rPr>
            </w:pPr>
            <w:r>
              <w:rPr>
                <w:color w:val="000000"/>
                <w:sz w:val="28"/>
                <w:szCs w:val="28"/>
              </w:rPr>
              <w:t xml:space="preserve">Ця суперечка тривала до Першої світової війни. </w:t>
            </w:r>
          </w:p>
        </w:tc>
      </w:tr>
      <w:tr w:rsidR="00B51242" w14:paraId="1DC8847C" w14:textId="77777777">
        <w:tc>
          <w:tcPr>
            <w:tcW w:w="1068" w:type="dxa"/>
            <w:tcBorders>
              <w:left w:val="single" w:sz="2" w:space="0" w:color="000000"/>
              <w:bottom w:val="single" w:sz="2" w:space="0" w:color="000000"/>
            </w:tcBorders>
            <w:shd w:val="clear" w:color="auto" w:fill="auto"/>
          </w:tcPr>
          <w:p w14:paraId="0A484453" w14:textId="77777777" w:rsidR="00B51242" w:rsidRDefault="008E4E86">
            <w:pPr>
              <w:spacing w:line="360" w:lineRule="auto"/>
              <w:jc w:val="both"/>
              <w:rPr>
                <w:sz w:val="28"/>
                <w:szCs w:val="28"/>
              </w:rPr>
            </w:pPr>
            <w:r>
              <w:rPr>
                <w:color w:val="000000"/>
                <w:sz w:val="28"/>
                <w:szCs w:val="28"/>
              </w:rPr>
              <w:t xml:space="preserve">1862–1871 рр. </w:t>
            </w:r>
          </w:p>
        </w:tc>
        <w:tc>
          <w:tcPr>
            <w:tcW w:w="4991" w:type="dxa"/>
            <w:tcBorders>
              <w:left w:val="single" w:sz="2" w:space="0" w:color="000000"/>
              <w:bottom w:val="single" w:sz="2" w:space="0" w:color="000000"/>
            </w:tcBorders>
            <w:shd w:val="clear" w:color="auto" w:fill="auto"/>
          </w:tcPr>
          <w:p w14:paraId="50D84290" w14:textId="77777777" w:rsidR="00B51242" w:rsidRDefault="008E4E86">
            <w:pPr>
              <w:spacing w:after="140" w:line="360" w:lineRule="auto"/>
              <w:jc w:val="both"/>
              <w:rPr>
                <w:sz w:val="28"/>
                <w:szCs w:val="28"/>
              </w:rPr>
            </w:pPr>
            <w:r>
              <w:rPr>
                <w:color w:val="000000"/>
                <w:sz w:val="28"/>
                <w:szCs w:val="28"/>
              </w:rPr>
              <w:t xml:space="preserve"> Якоб Мендес да Коста під час Громадянської війни в США описав «серце солдата» (синдром да Кости): тривожність, задишка, серцебиття, біль у грудях, втома.  </w:t>
            </w:r>
          </w:p>
          <w:p w14:paraId="0A6959E7" w14:textId="77777777" w:rsidR="00B51242" w:rsidRDefault="008E4E86">
            <w:pPr>
              <w:spacing w:line="360" w:lineRule="auto"/>
              <w:jc w:val="both"/>
              <w:rPr>
                <w:sz w:val="28"/>
                <w:szCs w:val="28"/>
              </w:rPr>
            </w:pPr>
            <w:r>
              <w:rPr>
                <w:color w:val="000000"/>
                <w:sz w:val="28"/>
                <w:szCs w:val="28"/>
              </w:rPr>
              <w:t xml:space="preserve"> </w:t>
            </w:r>
          </w:p>
        </w:tc>
        <w:tc>
          <w:tcPr>
            <w:tcW w:w="2732" w:type="dxa"/>
            <w:tcBorders>
              <w:left w:val="single" w:sz="2" w:space="0" w:color="000000"/>
              <w:bottom w:val="single" w:sz="2" w:space="0" w:color="000000"/>
              <w:right w:val="single" w:sz="2" w:space="0" w:color="000000"/>
            </w:tcBorders>
            <w:shd w:val="clear" w:color="auto" w:fill="auto"/>
          </w:tcPr>
          <w:p w14:paraId="6A5785EE" w14:textId="77777777" w:rsidR="00B51242" w:rsidRDefault="008E4E86">
            <w:pPr>
              <w:spacing w:line="360" w:lineRule="auto"/>
              <w:jc w:val="both"/>
              <w:rPr>
                <w:sz w:val="28"/>
                <w:szCs w:val="28"/>
              </w:rPr>
            </w:pPr>
            <w:r>
              <w:rPr>
                <w:color w:val="000000"/>
                <w:sz w:val="28"/>
                <w:szCs w:val="28"/>
              </w:rPr>
              <w:t>Спочатку вважали серцевим захворюванням. Згодом синдром було класифіковано як психічний розлад, пов’язаний зі стресом. Перші спроби диференціювати фізичні та психогенні симптоми. Початок усвідомлення зв'язку між війною, стресом і психічним здоров’ям [</w:t>
            </w:r>
            <w:r w:rsidRPr="00D3629B">
              <w:rPr>
                <w:color w:val="000000"/>
                <w:sz w:val="28"/>
                <w:szCs w:val="28"/>
              </w:rPr>
              <w:t>27].</w:t>
            </w:r>
          </w:p>
        </w:tc>
      </w:tr>
      <w:tr w:rsidR="00B51242" w14:paraId="0D1C72CD" w14:textId="77777777">
        <w:tc>
          <w:tcPr>
            <w:tcW w:w="1068" w:type="dxa"/>
            <w:tcBorders>
              <w:left w:val="single" w:sz="2" w:space="0" w:color="000000"/>
              <w:bottom w:val="single" w:sz="2" w:space="0" w:color="000000"/>
            </w:tcBorders>
            <w:shd w:val="clear" w:color="auto" w:fill="auto"/>
          </w:tcPr>
          <w:p w14:paraId="6E480D19" w14:textId="77777777" w:rsidR="00B51242" w:rsidRDefault="008E4E86">
            <w:pPr>
              <w:spacing w:line="360" w:lineRule="auto"/>
              <w:jc w:val="both"/>
              <w:rPr>
                <w:sz w:val="28"/>
                <w:szCs w:val="28"/>
              </w:rPr>
            </w:pPr>
            <w:r>
              <w:rPr>
                <w:color w:val="000000"/>
                <w:sz w:val="28"/>
                <w:szCs w:val="28"/>
              </w:rPr>
              <w:t>1896 р.</w:t>
            </w:r>
          </w:p>
        </w:tc>
        <w:tc>
          <w:tcPr>
            <w:tcW w:w="4991" w:type="dxa"/>
            <w:tcBorders>
              <w:left w:val="single" w:sz="2" w:space="0" w:color="000000"/>
              <w:bottom w:val="single" w:sz="2" w:space="0" w:color="000000"/>
            </w:tcBorders>
            <w:shd w:val="clear" w:color="auto" w:fill="auto"/>
          </w:tcPr>
          <w:p w14:paraId="259D7590" w14:textId="77777777" w:rsidR="00B51242" w:rsidRDefault="008E4E86">
            <w:pPr>
              <w:spacing w:after="140" w:line="360" w:lineRule="auto"/>
              <w:jc w:val="both"/>
              <w:rPr>
                <w:sz w:val="28"/>
                <w:szCs w:val="28"/>
              </w:rPr>
            </w:pPr>
            <w:r>
              <w:rPr>
                <w:color w:val="000000"/>
                <w:sz w:val="28"/>
                <w:szCs w:val="28"/>
              </w:rPr>
              <w:t>Еміль Крепелін звернув  увагу на прояви агресії та тривоги, що виникали після важкого стресу чи поранення і називав ці прояви «неврозом страху»</w:t>
            </w:r>
          </w:p>
          <w:p w14:paraId="0889CFFE" w14:textId="77777777" w:rsidR="00B51242" w:rsidRDefault="008E4E86">
            <w:pPr>
              <w:spacing w:after="140" w:line="360" w:lineRule="auto"/>
              <w:jc w:val="both"/>
              <w:rPr>
                <w:sz w:val="28"/>
                <w:szCs w:val="28"/>
              </w:rPr>
            </w:pPr>
            <w:r>
              <w:rPr>
                <w:color w:val="000000"/>
                <w:sz w:val="28"/>
                <w:szCs w:val="28"/>
              </w:rPr>
              <w:t xml:space="preserve">Симптоми: гіперактивність, збудження, панічні реакції </w:t>
            </w:r>
            <w:r w:rsidRPr="00D3629B">
              <w:rPr>
                <w:color w:val="000000"/>
                <w:sz w:val="28"/>
                <w:szCs w:val="28"/>
              </w:rPr>
              <w:t>[4].</w:t>
            </w:r>
          </w:p>
        </w:tc>
        <w:tc>
          <w:tcPr>
            <w:tcW w:w="2732" w:type="dxa"/>
            <w:tcBorders>
              <w:left w:val="single" w:sz="2" w:space="0" w:color="000000"/>
              <w:bottom w:val="single" w:sz="2" w:space="0" w:color="000000"/>
              <w:right w:val="single" w:sz="2" w:space="0" w:color="000000"/>
            </w:tcBorders>
            <w:shd w:val="clear" w:color="auto" w:fill="auto"/>
          </w:tcPr>
          <w:p w14:paraId="369B3B47" w14:textId="77777777" w:rsidR="00B51242" w:rsidRDefault="008E4E86">
            <w:pPr>
              <w:spacing w:line="360" w:lineRule="auto"/>
              <w:jc w:val="both"/>
              <w:rPr>
                <w:sz w:val="28"/>
                <w:szCs w:val="28"/>
              </w:rPr>
            </w:pPr>
            <w:r>
              <w:rPr>
                <w:color w:val="000000"/>
                <w:sz w:val="28"/>
                <w:szCs w:val="28"/>
              </w:rPr>
              <w:t xml:space="preserve">Початок наукової психіатричної класифікації стресових розладів. Спроби опису та діагностики як окремих психічних станів, відкриваючи шлях до майбутнього лікування ПТСР. </w:t>
            </w:r>
          </w:p>
        </w:tc>
      </w:tr>
      <w:tr w:rsidR="00B51242" w14:paraId="744DAEA6" w14:textId="77777777">
        <w:tc>
          <w:tcPr>
            <w:tcW w:w="1068" w:type="dxa"/>
            <w:tcBorders>
              <w:left w:val="single" w:sz="2" w:space="0" w:color="000000"/>
              <w:bottom w:val="single" w:sz="2" w:space="0" w:color="000000"/>
            </w:tcBorders>
            <w:shd w:val="clear" w:color="auto" w:fill="auto"/>
          </w:tcPr>
          <w:p w14:paraId="2A4D349F" w14:textId="77777777" w:rsidR="00B51242" w:rsidRDefault="008E4E86">
            <w:pPr>
              <w:spacing w:line="360" w:lineRule="auto"/>
              <w:jc w:val="both"/>
              <w:rPr>
                <w:sz w:val="28"/>
                <w:szCs w:val="28"/>
              </w:rPr>
            </w:pPr>
            <w:r>
              <w:rPr>
                <w:color w:val="000000"/>
                <w:sz w:val="28"/>
                <w:szCs w:val="28"/>
              </w:rPr>
              <w:t xml:space="preserve">1884–1886 рр. </w:t>
            </w:r>
          </w:p>
        </w:tc>
        <w:tc>
          <w:tcPr>
            <w:tcW w:w="4991" w:type="dxa"/>
            <w:tcBorders>
              <w:left w:val="single" w:sz="2" w:space="0" w:color="000000"/>
              <w:bottom w:val="single" w:sz="2" w:space="0" w:color="000000"/>
            </w:tcBorders>
            <w:shd w:val="clear" w:color="auto" w:fill="auto"/>
          </w:tcPr>
          <w:p w14:paraId="18AB277E" w14:textId="77777777" w:rsidR="00B51242" w:rsidRDefault="008E4E86">
            <w:pPr>
              <w:spacing w:after="140" w:line="360" w:lineRule="auto"/>
              <w:jc w:val="both"/>
              <w:rPr>
                <w:sz w:val="28"/>
                <w:szCs w:val="28"/>
              </w:rPr>
            </w:pPr>
            <w:r>
              <w:rPr>
                <w:color w:val="000000"/>
                <w:sz w:val="28"/>
                <w:szCs w:val="28"/>
              </w:rPr>
              <w:t>Концепція “травматичного неврозу”, розроблена Германом Оппенгеймом – німецьким неврологом і психіатром, відомим завдяки опису багатьох симптомів і хвороб. була х  на  На початку Першої свідтової війни Герман Оппенгейм працював неврологом і надавав медичну допомогу пацієнтам у військовій лікарні на 200 ліжок. Протягом цього періоду він змінив акцент, знизивши значення деяких фізичних симптомів, таких як порушення фізичного відчуття та втрата поля зору. Замість цього, він акцентував увагу на інших псевдоневрологічних розладах як особливих діагностичних ознаках, зокрема на м’язових спазмах та різних формах тремору, які він називав «псевдоспастичним парезом з тремором».</w:t>
            </w:r>
          </w:p>
          <w:p w14:paraId="1C2596BD" w14:textId="77777777" w:rsidR="00B51242" w:rsidRDefault="008E4E86">
            <w:pPr>
              <w:spacing w:after="140" w:line="360" w:lineRule="auto"/>
              <w:jc w:val="both"/>
              <w:rPr>
                <w:sz w:val="28"/>
                <w:szCs w:val="28"/>
              </w:rPr>
            </w:pPr>
            <w:r>
              <w:rPr>
                <w:color w:val="000000"/>
                <w:sz w:val="28"/>
                <w:szCs w:val="28"/>
              </w:rPr>
              <w:t>Симптоми: тремор, м’язові спазми, псевдоспастичний парез з тремором, психічна травма, переляк [27].</w:t>
            </w:r>
          </w:p>
        </w:tc>
        <w:tc>
          <w:tcPr>
            <w:tcW w:w="2732" w:type="dxa"/>
            <w:tcBorders>
              <w:left w:val="single" w:sz="2" w:space="0" w:color="000000"/>
              <w:bottom w:val="single" w:sz="2" w:space="0" w:color="000000"/>
              <w:right w:val="single" w:sz="2" w:space="0" w:color="000000"/>
            </w:tcBorders>
            <w:shd w:val="clear" w:color="auto" w:fill="auto"/>
          </w:tcPr>
          <w:p w14:paraId="36285A6C" w14:textId="77777777" w:rsidR="00B51242" w:rsidRDefault="008E4E86">
            <w:pPr>
              <w:spacing w:line="360" w:lineRule="auto"/>
              <w:jc w:val="both"/>
              <w:rPr>
                <w:sz w:val="28"/>
                <w:szCs w:val="28"/>
              </w:rPr>
            </w:pPr>
            <w:r>
              <w:rPr>
                <w:color w:val="000000"/>
                <w:sz w:val="28"/>
                <w:szCs w:val="28"/>
              </w:rPr>
              <w:t xml:space="preserve">Вперше ПТСР розглядається як окрема нозологічна форма. Акцент на ролі психотравми у виникненні розладів. Початок системного підходу до діагностики та класифікації військових невр </w:t>
            </w:r>
          </w:p>
        </w:tc>
      </w:tr>
      <w:tr w:rsidR="00B51242" w14:paraId="1CF5B580" w14:textId="77777777">
        <w:tc>
          <w:tcPr>
            <w:tcW w:w="1068" w:type="dxa"/>
            <w:tcBorders>
              <w:left w:val="single" w:sz="2" w:space="0" w:color="000000"/>
              <w:bottom w:val="single" w:sz="2" w:space="0" w:color="000000"/>
            </w:tcBorders>
            <w:shd w:val="clear" w:color="auto" w:fill="auto"/>
          </w:tcPr>
          <w:p w14:paraId="0B388149" w14:textId="77777777" w:rsidR="00B51242" w:rsidRDefault="008E4E86">
            <w:pPr>
              <w:spacing w:line="360" w:lineRule="auto"/>
              <w:jc w:val="both"/>
              <w:rPr>
                <w:sz w:val="28"/>
                <w:szCs w:val="28"/>
              </w:rPr>
            </w:pPr>
            <w:r>
              <w:rPr>
                <w:color w:val="000000"/>
                <w:sz w:val="28"/>
                <w:szCs w:val="28"/>
              </w:rPr>
              <w:t xml:space="preserve">1889–1896 рр. </w:t>
            </w:r>
          </w:p>
        </w:tc>
        <w:tc>
          <w:tcPr>
            <w:tcW w:w="4991" w:type="dxa"/>
            <w:tcBorders>
              <w:left w:val="single" w:sz="2" w:space="0" w:color="000000"/>
              <w:bottom w:val="single" w:sz="2" w:space="0" w:color="000000"/>
            </w:tcBorders>
            <w:shd w:val="clear" w:color="auto" w:fill="auto"/>
          </w:tcPr>
          <w:p w14:paraId="7D113C12" w14:textId="77777777" w:rsidR="00B51242" w:rsidRDefault="008E4E86">
            <w:pPr>
              <w:spacing w:after="140" w:line="360" w:lineRule="auto"/>
              <w:jc w:val="both"/>
            </w:pPr>
            <w:r>
              <w:rPr>
                <w:color w:val="000000"/>
                <w:sz w:val="28"/>
                <w:szCs w:val="28"/>
              </w:rPr>
              <w:t xml:space="preserve"> Термін «травматичний невроз», запропонований Оппенгеймом, викликав дискусії у медичному середовищі. Жан-Мартен Шарко — відомий французький невролог — заперечував самостійність цього діагнозу, вважаючи його варіантом істерії або неврастенії. У 1896 р. бельгійський психіатр Жан Крок повідомив про 28 випадків психічних розладів після залізничних катастроф, що вказувало на зв'язок між травмою та симптомами: тремор, страх, напади паніки, розлади сну. У рамках знаменитих вівторкових лекцій у Сальпетрієрі, Шарко вперше представив Жане й Фрейду ідею «травматичної істерії». П'єр Жане описав феномен дисоціації — розщеплення психіки після психотравми. Зиґмунд Фрейд далі розвинув концепцію, наголошуючи на ролі витіснених (забутих) спогадів і патогенній дії внутрішнього конфлікту. Це стало основою майбутньої психоаналітичної теорії ПТСР </w:t>
            </w:r>
            <w:r>
              <w:rPr>
                <w:rStyle w:val="InternetLink"/>
                <w:rFonts w:eastAsia="Calibri"/>
                <w:color w:val="000000"/>
                <w:sz w:val="28"/>
                <w:szCs w:val="28"/>
                <w:u w:val="none"/>
                <w:lang w:val="en-US"/>
              </w:rPr>
              <w:t>[31].</w:t>
            </w:r>
          </w:p>
        </w:tc>
        <w:tc>
          <w:tcPr>
            <w:tcW w:w="2732" w:type="dxa"/>
            <w:tcBorders>
              <w:left w:val="single" w:sz="2" w:space="0" w:color="000000"/>
              <w:bottom w:val="single" w:sz="2" w:space="0" w:color="000000"/>
              <w:right w:val="single" w:sz="2" w:space="0" w:color="000000"/>
            </w:tcBorders>
            <w:shd w:val="clear" w:color="auto" w:fill="auto"/>
          </w:tcPr>
          <w:p w14:paraId="5DBB644C" w14:textId="77777777" w:rsidR="00B51242" w:rsidRDefault="008E4E86">
            <w:pPr>
              <w:spacing w:line="360" w:lineRule="auto"/>
              <w:jc w:val="both"/>
              <w:rPr>
                <w:sz w:val="28"/>
                <w:szCs w:val="28"/>
              </w:rPr>
            </w:pPr>
            <w:r>
              <w:rPr>
                <w:color w:val="000000"/>
                <w:sz w:val="28"/>
                <w:szCs w:val="28"/>
              </w:rPr>
              <w:t xml:space="preserve"> Відкриття «травматичної істерії» поклало початок психоаналітичному підходу до лікування ПТСР. Ключовими методами стали: виявлення пригнічених спогадів, розуміння ролі несвідомого та застосування «катарсису» — полегшення через проговорення травматичного досвіду. Це стало першою формою психотерапії травм. </w:t>
            </w:r>
          </w:p>
        </w:tc>
      </w:tr>
      <w:tr w:rsidR="00B51242" w14:paraId="360F512E" w14:textId="77777777">
        <w:tc>
          <w:tcPr>
            <w:tcW w:w="1068" w:type="dxa"/>
            <w:tcBorders>
              <w:left w:val="single" w:sz="2" w:space="0" w:color="000000"/>
              <w:bottom w:val="single" w:sz="2" w:space="0" w:color="000000"/>
            </w:tcBorders>
            <w:shd w:val="clear" w:color="auto" w:fill="auto"/>
          </w:tcPr>
          <w:p w14:paraId="502AD0AF" w14:textId="77777777" w:rsidR="00B51242" w:rsidRDefault="008E4E86">
            <w:pPr>
              <w:spacing w:line="360" w:lineRule="auto"/>
              <w:jc w:val="both"/>
              <w:rPr>
                <w:sz w:val="28"/>
                <w:szCs w:val="28"/>
              </w:rPr>
            </w:pPr>
            <w:r>
              <w:rPr>
                <w:color w:val="000000"/>
                <w:sz w:val="28"/>
                <w:szCs w:val="28"/>
              </w:rPr>
              <w:t>1907 р.</w:t>
            </w:r>
          </w:p>
        </w:tc>
        <w:tc>
          <w:tcPr>
            <w:tcW w:w="4991" w:type="dxa"/>
            <w:tcBorders>
              <w:left w:val="single" w:sz="2" w:space="0" w:color="000000"/>
              <w:bottom w:val="single" w:sz="2" w:space="0" w:color="000000"/>
            </w:tcBorders>
            <w:shd w:val="clear" w:color="auto" w:fill="auto"/>
          </w:tcPr>
          <w:p w14:paraId="7643F845" w14:textId="77777777" w:rsidR="00B51242" w:rsidRDefault="008E4E86">
            <w:pPr>
              <w:spacing w:after="140" w:line="360" w:lineRule="auto"/>
              <w:jc w:val="both"/>
            </w:pPr>
            <w:r>
              <w:rPr>
                <w:color w:val="000000"/>
                <w:sz w:val="28"/>
                <w:szCs w:val="28"/>
              </w:rPr>
              <w:t xml:space="preserve">Німецький лікар Хонігман, працюючи у військових структурах Німеччини, вперше ввів термін </w:t>
            </w:r>
            <w:r>
              <w:rPr>
                <w:rStyle w:val="StrongEmphasis"/>
                <w:b w:val="0"/>
                <w:bCs w:val="0"/>
                <w:color w:val="000000"/>
                <w:sz w:val="28"/>
                <w:szCs w:val="28"/>
              </w:rPr>
              <w:t>«воєнний невроз» (Kriegsneurose)</w:t>
            </w:r>
            <w:r>
              <w:rPr>
                <w:color w:val="000000"/>
                <w:sz w:val="28"/>
                <w:szCs w:val="28"/>
              </w:rPr>
              <w:t xml:space="preserve"> для опису психологічних розладів у солдатів, які пережили бойові дії. Він спостерігав у них </w:t>
            </w:r>
            <w:r>
              <w:rPr>
                <w:rStyle w:val="StrongEmphasis"/>
                <w:b w:val="0"/>
                <w:bCs w:val="0"/>
                <w:color w:val="000000"/>
                <w:sz w:val="28"/>
                <w:szCs w:val="28"/>
              </w:rPr>
              <w:t>панічні напади, тремор, дезорієнтацію, розлади сну, дратівливість і уникнення звуків, схожих на вибухи</w:t>
            </w:r>
            <w:r>
              <w:rPr>
                <w:color w:val="000000"/>
                <w:sz w:val="28"/>
                <w:szCs w:val="28"/>
              </w:rPr>
              <w:t xml:space="preserve">. Ці симптоми раніше класифікували як «бойову істерію» або «неврастенію», але Хонігман підкреслив, що вони схожі на симптоми, описані Оппенгеймом після залізничних аварій — свідчення того, що </w:t>
            </w:r>
            <w:r>
              <w:rPr>
                <w:rStyle w:val="StrongEmphasis"/>
                <w:b w:val="0"/>
                <w:bCs w:val="0"/>
                <w:color w:val="000000"/>
                <w:sz w:val="28"/>
                <w:szCs w:val="28"/>
              </w:rPr>
              <w:t xml:space="preserve">емоційний шок, а не лише фізичні поранення, є основним чинником розвитку розладу </w:t>
            </w:r>
            <w:r w:rsidRPr="00D3629B">
              <w:rPr>
                <w:rStyle w:val="InternetLink"/>
                <w:rFonts w:eastAsia="Calibri"/>
                <w:color w:val="000000"/>
                <w:sz w:val="28"/>
                <w:szCs w:val="28"/>
                <w:u w:val="none"/>
              </w:rPr>
              <w:t>[31].</w:t>
            </w:r>
          </w:p>
        </w:tc>
        <w:tc>
          <w:tcPr>
            <w:tcW w:w="2732" w:type="dxa"/>
            <w:tcBorders>
              <w:left w:val="single" w:sz="2" w:space="0" w:color="000000"/>
              <w:bottom w:val="single" w:sz="2" w:space="0" w:color="000000"/>
              <w:right w:val="single" w:sz="2" w:space="0" w:color="000000"/>
            </w:tcBorders>
            <w:shd w:val="clear" w:color="auto" w:fill="auto"/>
          </w:tcPr>
          <w:p w14:paraId="2E0298B1" w14:textId="77777777" w:rsidR="00B51242" w:rsidRDefault="008E4E86">
            <w:pPr>
              <w:spacing w:line="360" w:lineRule="auto"/>
              <w:jc w:val="both"/>
            </w:pPr>
            <w:r>
              <w:rPr>
                <w:color w:val="000000"/>
                <w:sz w:val="28"/>
                <w:szCs w:val="28"/>
              </w:rPr>
              <w:t xml:space="preserve">Формулювання поняття «воєнний невроз» стало кроком до відокремлення цього стану як окремої категорії, що потребує спеціального підходу. Це дозволило поставити питання про розробку </w:t>
            </w:r>
            <w:r>
              <w:rPr>
                <w:rStyle w:val="StrongEmphasis"/>
                <w:b w:val="0"/>
                <w:bCs w:val="0"/>
                <w:color w:val="000000"/>
                <w:sz w:val="28"/>
                <w:szCs w:val="28"/>
              </w:rPr>
              <w:t>цілеспрямованих методів лікування</w:t>
            </w:r>
            <w:r>
              <w:rPr>
                <w:color w:val="000000"/>
                <w:sz w:val="28"/>
                <w:szCs w:val="28"/>
              </w:rPr>
              <w:t xml:space="preserve">, включно з </w:t>
            </w:r>
            <w:r>
              <w:rPr>
                <w:rStyle w:val="StrongEmphasis"/>
                <w:b w:val="0"/>
                <w:bCs w:val="0"/>
                <w:color w:val="000000"/>
                <w:sz w:val="28"/>
                <w:szCs w:val="28"/>
              </w:rPr>
              <w:t>психотерапією, обмеженням бойового стресу та профілактичною ротацією солдатів</w:t>
            </w:r>
            <w:r>
              <w:rPr>
                <w:color w:val="000000"/>
                <w:sz w:val="28"/>
                <w:szCs w:val="28"/>
              </w:rPr>
              <w:t xml:space="preserve">. </w:t>
            </w:r>
          </w:p>
        </w:tc>
      </w:tr>
      <w:tr w:rsidR="00B51242" w14:paraId="0E0CEB0A" w14:textId="77777777">
        <w:tc>
          <w:tcPr>
            <w:tcW w:w="1068" w:type="dxa"/>
            <w:tcBorders>
              <w:left w:val="single" w:sz="2" w:space="0" w:color="000000"/>
              <w:bottom w:val="single" w:sz="2" w:space="0" w:color="000000"/>
            </w:tcBorders>
            <w:shd w:val="clear" w:color="auto" w:fill="auto"/>
          </w:tcPr>
          <w:p w14:paraId="6869911C" w14:textId="77777777" w:rsidR="00B51242" w:rsidRDefault="008E4E86">
            <w:pPr>
              <w:spacing w:line="360" w:lineRule="auto"/>
              <w:jc w:val="both"/>
              <w:rPr>
                <w:sz w:val="28"/>
                <w:szCs w:val="28"/>
              </w:rPr>
            </w:pPr>
            <w:r>
              <w:rPr>
                <w:color w:val="000000"/>
                <w:sz w:val="28"/>
                <w:szCs w:val="28"/>
              </w:rPr>
              <w:t xml:space="preserve">1914–1918 (Перша світова війна) </w:t>
            </w:r>
          </w:p>
        </w:tc>
        <w:tc>
          <w:tcPr>
            <w:tcW w:w="4991" w:type="dxa"/>
            <w:tcBorders>
              <w:left w:val="single" w:sz="2" w:space="0" w:color="000000"/>
              <w:bottom w:val="single" w:sz="2" w:space="0" w:color="000000"/>
            </w:tcBorders>
            <w:shd w:val="clear" w:color="auto" w:fill="auto"/>
          </w:tcPr>
          <w:p w14:paraId="502B3AF5" w14:textId="77777777" w:rsidR="00B51242" w:rsidRDefault="008E4E86">
            <w:pPr>
              <w:spacing w:line="360" w:lineRule="auto"/>
              <w:jc w:val="both"/>
            </w:pPr>
            <w:r>
              <w:rPr>
                <w:color w:val="000000"/>
                <w:sz w:val="28"/>
                <w:szCs w:val="28"/>
              </w:rPr>
              <w:t xml:space="preserve"> Перша світова війна, безумовно, є періодом в історії, коли «сучасна» війна збіглася з «науковою » психіатрією, яка намагалася визначити діагностичні сутності, як ми їх розуміємо сьогодні.  Масове використання техніки, окопна війна, артилерійський обстріл та хімічна зброя спричинили у солдатів </w:t>
            </w:r>
            <w:r>
              <w:rPr>
                <w:rStyle w:val="StrongEmphasis"/>
                <w:b w:val="0"/>
                <w:bCs w:val="0"/>
                <w:color w:val="000000"/>
                <w:sz w:val="28"/>
                <w:szCs w:val="28"/>
              </w:rPr>
              <w:t>шок, деперсоналізацію, тривожність, флешбеки, нічні кошмари</w:t>
            </w:r>
            <w:r>
              <w:rPr>
                <w:color w:val="000000"/>
                <w:sz w:val="28"/>
                <w:szCs w:val="28"/>
              </w:rPr>
              <w:t xml:space="preserve">, описані як </w:t>
            </w:r>
            <w:r>
              <w:rPr>
                <w:rStyle w:val="StrongEmphasis"/>
                <w:b w:val="0"/>
                <w:bCs w:val="0"/>
                <w:color w:val="000000"/>
                <w:sz w:val="28"/>
                <w:szCs w:val="28"/>
              </w:rPr>
              <w:t>«воєнний шок»</w:t>
            </w:r>
            <w:r>
              <w:rPr>
                <w:color w:val="000000"/>
                <w:sz w:val="28"/>
                <w:szCs w:val="28"/>
              </w:rPr>
              <w:t>. Психічні страждання знайшли відображення в</w:t>
            </w:r>
            <w:r>
              <w:rPr>
                <w:color w:val="000000"/>
                <w:sz w:val="28"/>
                <w:szCs w:val="28"/>
                <w:lang w:val="ru-RU"/>
              </w:rPr>
              <w:t xml:space="preserve"> роботах </w:t>
            </w:r>
            <w:r>
              <w:rPr>
                <w:color w:val="000000"/>
                <w:sz w:val="28"/>
                <w:szCs w:val="28"/>
              </w:rPr>
              <w:t xml:space="preserve">Грейвза, Юнгера, Барбюса </w:t>
            </w:r>
            <w:r>
              <w:rPr>
                <w:rStyle w:val="InternetLink"/>
                <w:rFonts w:eastAsia="Calibri"/>
                <w:color w:val="000000"/>
                <w:sz w:val="28"/>
                <w:szCs w:val="28"/>
                <w:u w:val="none"/>
                <w:lang w:val="en-US"/>
              </w:rPr>
              <w:t>[31].</w:t>
            </w:r>
          </w:p>
        </w:tc>
        <w:tc>
          <w:tcPr>
            <w:tcW w:w="2732" w:type="dxa"/>
            <w:tcBorders>
              <w:left w:val="single" w:sz="2" w:space="0" w:color="000000"/>
              <w:bottom w:val="single" w:sz="2" w:space="0" w:color="000000"/>
              <w:right w:val="single" w:sz="2" w:space="0" w:color="000000"/>
            </w:tcBorders>
            <w:shd w:val="clear" w:color="auto" w:fill="auto"/>
          </w:tcPr>
          <w:p w14:paraId="2565ECBD" w14:textId="77777777" w:rsidR="00B51242" w:rsidRDefault="008E4E86">
            <w:pPr>
              <w:spacing w:line="360" w:lineRule="auto"/>
              <w:jc w:val="both"/>
            </w:pPr>
            <w:r>
              <w:rPr>
                <w:color w:val="000000"/>
                <w:sz w:val="28"/>
                <w:szCs w:val="28"/>
              </w:rPr>
              <w:t xml:space="preserve">Поява перших систематизованих підходів до </w:t>
            </w:r>
            <w:r>
              <w:rPr>
                <w:rStyle w:val="StrongEmphasis"/>
                <w:b w:val="0"/>
                <w:bCs w:val="0"/>
                <w:color w:val="000000"/>
                <w:sz w:val="28"/>
                <w:szCs w:val="28"/>
              </w:rPr>
              <w:t>психіатричної допомоги на фронті</w:t>
            </w:r>
            <w:r>
              <w:rPr>
                <w:color w:val="000000"/>
                <w:sz w:val="28"/>
                <w:szCs w:val="28"/>
              </w:rPr>
              <w:t xml:space="preserve">, евакуації постраждалих, введення термінів «воєнна істерія» та «бойовий шок». Початок сучасної психотравматології. </w:t>
            </w:r>
          </w:p>
          <w:p w14:paraId="698536F5" w14:textId="77777777" w:rsidR="00B51242" w:rsidRDefault="00B51242">
            <w:pPr>
              <w:spacing w:line="360" w:lineRule="auto"/>
              <w:jc w:val="both"/>
              <w:rPr>
                <w:color w:val="000000"/>
                <w:sz w:val="28"/>
                <w:szCs w:val="28"/>
              </w:rPr>
            </w:pPr>
          </w:p>
        </w:tc>
      </w:tr>
      <w:tr w:rsidR="00B51242" w14:paraId="0C28E205" w14:textId="77777777">
        <w:tc>
          <w:tcPr>
            <w:tcW w:w="1068" w:type="dxa"/>
            <w:tcBorders>
              <w:left w:val="single" w:sz="2" w:space="0" w:color="000000"/>
              <w:bottom w:val="single" w:sz="2" w:space="0" w:color="000000"/>
            </w:tcBorders>
            <w:shd w:val="clear" w:color="auto" w:fill="auto"/>
          </w:tcPr>
          <w:p w14:paraId="2AC765AE" w14:textId="77777777" w:rsidR="00B51242" w:rsidRDefault="008E4E86">
            <w:pPr>
              <w:spacing w:line="360" w:lineRule="auto"/>
              <w:jc w:val="both"/>
              <w:rPr>
                <w:sz w:val="28"/>
                <w:szCs w:val="28"/>
              </w:rPr>
            </w:pPr>
            <w:r>
              <w:rPr>
                <w:color w:val="000000"/>
                <w:sz w:val="28"/>
                <w:szCs w:val="28"/>
              </w:rPr>
              <w:t>1914–1915</w:t>
            </w:r>
          </w:p>
        </w:tc>
        <w:tc>
          <w:tcPr>
            <w:tcW w:w="4991" w:type="dxa"/>
            <w:tcBorders>
              <w:left w:val="single" w:sz="2" w:space="0" w:color="000000"/>
              <w:bottom w:val="single" w:sz="2" w:space="0" w:color="000000"/>
            </w:tcBorders>
            <w:shd w:val="clear" w:color="auto" w:fill="auto"/>
          </w:tcPr>
          <w:p w14:paraId="77EB3881" w14:textId="77777777" w:rsidR="00B51242" w:rsidRDefault="008E4E86">
            <w:pPr>
              <w:spacing w:after="140" w:line="360" w:lineRule="auto"/>
              <w:jc w:val="both"/>
              <w:rPr>
                <w:sz w:val="28"/>
                <w:szCs w:val="28"/>
              </w:rPr>
            </w:pPr>
            <w:r>
              <w:rPr>
                <w:color w:val="000000"/>
                <w:sz w:val="28"/>
                <w:szCs w:val="28"/>
              </w:rPr>
              <w:t xml:space="preserve">Перші місяці Першої світової війни показали неочікувано велику кількість психіатричних випадків серед солдатів. Симптоматика включала: сильний тремор, параліч, нерухомі пози, кульгання, судоми, втрата голосу, ступор, втрата свідомості, істеричні розлади, хронічна тривога, панічні атаки, депресивні стани. Багато пацієнтів втрачали здатність функціонувати в бойових умовах. </w:t>
            </w:r>
          </w:p>
        </w:tc>
        <w:tc>
          <w:tcPr>
            <w:tcW w:w="2732" w:type="dxa"/>
            <w:tcBorders>
              <w:left w:val="single" w:sz="2" w:space="0" w:color="000000"/>
              <w:bottom w:val="single" w:sz="2" w:space="0" w:color="000000"/>
              <w:right w:val="single" w:sz="2" w:space="0" w:color="000000"/>
            </w:tcBorders>
            <w:shd w:val="clear" w:color="auto" w:fill="auto"/>
          </w:tcPr>
          <w:p w14:paraId="7007D188" w14:textId="77777777" w:rsidR="00B51242" w:rsidRDefault="008E4E86">
            <w:pPr>
              <w:spacing w:line="360" w:lineRule="auto"/>
              <w:jc w:val="both"/>
              <w:rPr>
                <w:sz w:val="28"/>
                <w:szCs w:val="28"/>
              </w:rPr>
            </w:pPr>
            <w:r>
              <w:rPr>
                <w:color w:val="000000"/>
                <w:sz w:val="28"/>
                <w:szCs w:val="28"/>
              </w:rPr>
              <w:t xml:space="preserve">Початково основним методом було транспортування постраждалих у тил для лікування. Проте евакуація часто поглиблювала психічні розлади, перетворюючи їх на хронічні форми. Це спричиняло відсторонення від служби й інвалідизацію, що підштовхнуло до переоцінки підходів. </w:t>
            </w:r>
          </w:p>
        </w:tc>
      </w:tr>
      <w:tr w:rsidR="00B51242" w14:paraId="0D6EE7E4" w14:textId="77777777">
        <w:tc>
          <w:tcPr>
            <w:tcW w:w="1068" w:type="dxa"/>
            <w:tcBorders>
              <w:left w:val="single" w:sz="2" w:space="0" w:color="000000"/>
              <w:bottom w:val="single" w:sz="2" w:space="0" w:color="000000"/>
            </w:tcBorders>
            <w:shd w:val="clear" w:color="auto" w:fill="auto"/>
          </w:tcPr>
          <w:p w14:paraId="567DEC74" w14:textId="77777777" w:rsidR="00B51242" w:rsidRDefault="008E4E86">
            <w:pPr>
              <w:spacing w:line="360" w:lineRule="auto"/>
              <w:jc w:val="both"/>
              <w:rPr>
                <w:sz w:val="28"/>
                <w:szCs w:val="28"/>
              </w:rPr>
            </w:pPr>
            <w:r>
              <w:rPr>
                <w:color w:val="000000"/>
                <w:sz w:val="28"/>
                <w:szCs w:val="28"/>
              </w:rPr>
              <w:t xml:space="preserve">1915 р. </w:t>
            </w:r>
          </w:p>
        </w:tc>
        <w:tc>
          <w:tcPr>
            <w:tcW w:w="4991" w:type="dxa"/>
            <w:tcBorders>
              <w:left w:val="single" w:sz="2" w:space="0" w:color="000000"/>
              <w:bottom w:val="single" w:sz="2" w:space="0" w:color="000000"/>
            </w:tcBorders>
            <w:shd w:val="clear" w:color="auto" w:fill="auto"/>
          </w:tcPr>
          <w:p w14:paraId="59C7DC06" w14:textId="77777777" w:rsidR="00B51242" w:rsidRDefault="008E4E86">
            <w:pPr>
              <w:spacing w:line="360" w:lineRule="auto"/>
              <w:jc w:val="both"/>
            </w:pPr>
            <w:r>
              <w:rPr>
                <w:color w:val="000000"/>
                <w:sz w:val="28"/>
                <w:szCs w:val="28"/>
              </w:rPr>
              <w:t xml:space="preserve">Чарльз Майерс увів термін </w:t>
            </w:r>
            <w:r>
              <w:rPr>
                <w:rStyle w:val="StrongEmphasis"/>
                <w:b w:val="0"/>
                <w:bCs w:val="0"/>
                <w:color w:val="000000"/>
                <w:sz w:val="28"/>
                <w:szCs w:val="28"/>
              </w:rPr>
              <w:t>«снарядний шок»</w:t>
            </w:r>
            <w:r>
              <w:rPr>
                <w:color w:val="000000"/>
                <w:sz w:val="28"/>
                <w:szCs w:val="28"/>
              </w:rPr>
              <w:t xml:space="preserve"> для опису реакції солдатів на інтенсивне бомбардування: </w:t>
            </w:r>
            <w:r>
              <w:rPr>
                <w:rStyle w:val="StrongEmphasis"/>
                <w:b w:val="0"/>
                <w:bCs w:val="0"/>
                <w:color w:val="000000"/>
                <w:sz w:val="28"/>
                <w:szCs w:val="28"/>
              </w:rPr>
              <w:t>тремор, плач, паніка, амнезія, гіперчутливість до шуму, головні болі, тривога, порушення сну та мови</w:t>
            </w:r>
            <w:r>
              <w:rPr>
                <w:color w:val="000000"/>
                <w:sz w:val="28"/>
                <w:szCs w:val="28"/>
              </w:rPr>
              <w:t>.   Це реакція на інтенсивність бомбардування та бойових дій, які викликали безпорадність, що може проявлятися у вигляді паніки, страху, втечі або нездатності міркувати, спати, ходити чи говорити. До 10% офіцерів і 4% солдат мали ознаки психічного шоку [27].</w:t>
            </w:r>
          </w:p>
        </w:tc>
        <w:tc>
          <w:tcPr>
            <w:tcW w:w="2732" w:type="dxa"/>
            <w:tcBorders>
              <w:left w:val="single" w:sz="2" w:space="0" w:color="000000"/>
              <w:bottom w:val="single" w:sz="2" w:space="0" w:color="000000"/>
              <w:right w:val="single" w:sz="2" w:space="0" w:color="000000"/>
            </w:tcBorders>
            <w:shd w:val="clear" w:color="auto" w:fill="auto"/>
          </w:tcPr>
          <w:p w14:paraId="4FEFB7A1" w14:textId="77777777" w:rsidR="00B51242" w:rsidRDefault="008E4E86">
            <w:pPr>
              <w:spacing w:line="360" w:lineRule="auto"/>
              <w:jc w:val="both"/>
            </w:pPr>
            <w:r>
              <w:rPr>
                <w:color w:val="000000"/>
                <w:sz w:val="28"/>
                <w:szCs w:val="28"/>
              </w:rPr>
              <w:t xml:space="preserve">Початкові спроби </w:t>
            </w:r>
            <w:r>
              <w:rPr>
                <w:rStyle w:val="StrongEmphasis"/>
                <w:b w:val="0"/>
                <w:bCs w:val="0"/>
                <w:color w:val="000000"/>
                <w:sz w:val="28"/>
                <w:szCs w:val="28"/>
              </w:rPr>
              <w:t>класифікації симптомів та диференціації фізичних і психічних причин</w:t>
            </w:r>
            <w:r>
              <w:rPr>
                <w:color w:val="000000"/>
                <w:sz w:val="28"/>
                <w:szCs w:val="28"/>
              </w:rPr>
              <w:t>. Надання допомоги через евакуацію, ізоляцію, реабілітацію.</w:t>
            </w:r>
          </w:p>
        </w:tc>
      </w:tr>
      <w:tr w:rsidR="00B51242" w14:paraId="7CA63497" w14:textId="77777777">
        <w:tc>
          <w:tcPr>
            <w:tcW w:w="1068" w:type="dxa"/>
            <w:tcBorders>
              <w:left w:val="single" w:sz="2" w:space="0" w:color="000000"/>
              <w:bottom w:val="single" w:sz="2" w:space="0" w:color="000000"/>
            </w:tcBorders>
            <w:shd w:val="clear" w:color="auto" w:fill="auto"/>
          </w:tcPr>
          <w:p w14:paraId="1F2AE146" w14:textId="77777777" w:rsidR="00B51242" w:rsidRDefault="008E4E86">
            <w:pPr>
              <w:spacing w:line="360" w:lineRule="auto"/>
              <w:jc w:val="both"/>
              <w:rPr>
                <w:sz w:val="28"/>
                <w:szCs w:val="28"/>
              </w:rPr>
            </w:pPr>
            <w:r>
              <w:rPr>
                <w:color w:val="000000"/>
                <w:sz w:val="28"/>
                <w:szCs w:val="28"/>
              </w:rPr>
              <w:t xml:space="preserve"> 1916</w:t>
            </w:r>
          </w:p>
        </w:tc>
        <w:tc>
          <w:tcPr>
            <w:tcW w:w="4991" w:type="dxa"/>
            <w:tcBorders>
              <w:left w:val="single" w:sz="2" w:space="0" w:color="000000"/>
              <w:bottom w:val="single" w:sz="2" w:space="0" w:color="000000"/>
            </w:tcBorders>
            <w:shd w:val="clear" w:color="auto" w:fill="auto"/>
          </w:tcPr>
          <w:p w14:paraId="0B336FDA" w14:textId="77777777" w:rsidR="00B51242" w:rsidRDefault="008E4E86">
            <w:pPr>
              <w:spacing w:line="360" w:lineRule="auto"/>
              <w:jc w:val="both"/>
              <w:rPr>
                <w:sz w:val="28"/>
                <w:szCs w:val="28"/>
              </w:rPr>
            </w:pPr>
            <w:r>
              <w:rPr>
                <w:color w:val="000000"/>
                <w:sz w:val="28"/>
                <w:szCs w:val="28"/>
              </w:rPr>
              <w:t xml:space="preserve">Досвід показав, що солдати, які отримували лікування поблизу лінії фронту, мали значно кращі прогнози. Їх підтримували побратими, зберігався контакт з військовим середовищем. Навпаки, ті, хто був евакуйований у тилові госпіталі, частіше розвивали хронічні симптоми та не поверталися до служби. </w:t>
            </w:r>
          </w:p>
        </w:tc>
        <w:tc>
          <w:tcPr>
            <w:tcW w:w="2732" w:type="dxa"/>
            <w:tcBorders>
              <w:left w:val="single" w:sz="2" w:space="0" w:color="000000"/>
              <w:bottom w:val="single" w:sz="2" w:space="0" w:color="000000"/>
              <w:right w:val="single" w:sz="2" w:space="0" w:color="000000"/>
            </w:tcBorders>
            <w:shd w:val="clear" w:color="auto" w:fill="auto"/>
          </w:tcPr>
          <w:p w14:paraId="1F78F86A" w14:textId="77777777" w:rsidR="00B51242" w:rsidRDefault="008E4E86">
            <w:pPr>
              <w:spacing w:line="360" w:lineRule="auto"/>
              <w:jc w:val="both"/>
            </w:pPr>
            <w:r>
              <w:rPr>
                <w:color w:val="000000"/>
                <w:sz w:val="28"/>
                <w:szCs w:val="28"/>
              </w:rPr>
              <w:t xml:space="preserve">Військова психіатрія змінила підхід: від централізованої евакуації до лікування </w:t>
            </w:r>
            <w:r>
              <w:rPr>
                <w:rStyle w:val="StrongEmphasis"/>
                <w:b w:val="0"/>
                <w:bCs w:val="0"/>
                <w:color w:val="000000"/>
                <w:sz w:val="28"/>
                <w:szCs w:val="28"/>
              </w:rPr>
              <w:t>в прифронтових центрах</w:t>
            </w:r>
            <w:r>
              <w:rPr>
                <w:color w:val="000000"/>
                <w:sz w:val="28"/>
                <w:szCs w:val="28"/>
              </w:rPr>
              <w:t xml:space="preserve">, оснащених мінімальним персоналом (унтер-офіцери). Залишення пацієнтів у військовій ієрархії сприяло реабілітації та швидшому поверненню до бойових підрозділів. </w:t>
            </w:r>
          </w:p>
        </w:tc>
      </w:tr>
      <w:tr w:rsidR="00B51242" w14:paraId="6CFDF6C1" w14:textId="77777777">
        <w:tc>
          <w:tcPr>
            <w:tcW w:w="1068" w:type="dxa"/>
            <w:tcBorders>
              <w:left w:val="single" w:sz="2" w:space="0" w:color="000000"/>
              <w:bottom w:val="single" w:sz="2" w:space="0" w:color="000000"/>
            </w:tcBorders>
            <w:shd w:val="clear" w:color="auto" w:fill="auto"/>
          </w:tcPr>
          <w:p w14:paraId="060F7A10" w14:textId="77777777" w:rsidR="00B51242" w:rsidRDefault="008E4E86">
            <w:pPr>
              <w:spacing w:line="360" w:lineRule="auto"/>
              <w:jc w:val="both"/>
              <w:rPr>
                <w:sz w:val="28"/>
                <w:szCs w:val="28"/>
              </w:rPr>
            </w:pPr>
            <w:r>
              <w:rPr>
                <w:color w:val="000000"/>
                <w:sz w:val="28"/>
                <w:szCs w:val="28"/>
              </w:rPr>
              <w:t xml:space="preserve">1915–1917 рр. </w:t>
            </w:r>
          </w:p>
        </w:tc>
        <w:tc>
          <w:tcPr>
            <w:tcW w:w="4991" w:type="dxa"/>
            <w:tcBorders>
              <w:left w:val="single" w:sz="2" w:space="0" w:color="000000"/>
              <w:bottom w:val="single" w:sz="2" w:space="0" w:color="000000"/>
            </w:tcBorders>
            <w:shd w:val="clear" w:color="auto" w:fill="auto"/>
          </w:tcPr>
          <w:p w14:paraId="0342BEAE" w14:textId="77777777" w:rsidR="00B51242" w:rsidRDefault="008E4E86">
            <w:pPr>
              <w:spacing w:line="360" w:lineRule="auto"/>
              <w:jc w:val="both"/>
            </w:pPr>
            <w:r>
              <w:rPr>
                <w:color w:val="000000"/>
                <w:sz w:val="28"/>
                <w:szCs w:val="28"/>
              </w:rPr>
              <w:t xml:space="preserve">Вдомий німецький психіатр Роберт Гаупп у своїх дослідженнях зауважував, що основними психогенними чинниками госпіталізації військовослужбовців під час Першої світової війни були інтенсивні емоційні переживання, зумовлені вибухами артилерійських снарядів та мін, а також спостереження сцен масових каліцтв і загибелі товаришів по службі. У клінічній картині цих станів переважали симптоми раптової німоти, функціональної глухоти, генералізованого тремору, порушення ходи та рівноваги, епізоди втрати свідомості й судомні реакції. З огляду на значну кількість таких випадків, яка перевищувала кількість поранених із фізичними ушкодженнями, Гаупп ініціював відкриття спеціалізованих психіатричних шпиталів для лікування осіб з тяжкими реакціями на бойовий стрес </w:t>
            </w:r>
            <w:r w:rsidRPr="00D3629B">
              <w:rPr>
                <w:rStyle w:val="InternetLink"/>
                <w:rFonts w:eastAsia="Calibri"/>
                <w:color w:val="000000"/>
                <w:sz w:val="28"/>
                <w:szCs w:val="28"/>
                <w:u w:val="none"/>
              </w:rPr>
              <w:t>[31].</w:t>
            </w:r>
          </w:p>
          <w:p w14:paraId="4E58DDDB" w14:textId="7EE76D21" w:rsidR="00B51242" w:rsidRDefault="00F127A9">
            <w:pPr>
              <w:spacing w:line="360" w:lineRule="auto"/>
              <w:jc w:val="both"/>
              <w:rPr>
                <w:color w:val="000000"/>
                <w:sz w:val="28"/>
                <w:szCs w:val="28"/>
              </w:rPr>
            </w:pPr>
            <w:r>
              <w:rPr>
                <w:noProof/>
              </w:rPr>
              <mc:AlternateContent>
                <mc:Choice Requires="wps">
                  <w:drawing>
                    <wp:anchor distT="0" distB="0" distL="0" distR="0" simplePos="0" relativeHeight="8" behindDoc="0" locked="0" layoutInCell="1" allowOverlap="1" wp14:anchorId="5470BAD2" wp14:editId="3F7B7940">
                      <wp:simplePos x="0" y="0"/>
                      <wp:positionH relativeFrom="page">
                        <wp:posOffset>635</wp:posOffset>
                      </wp:positionH>
                      <wp:positionV relativeFrom="line">
                        <wp:posOffset>635</wp:posOffset>
                      </wp:positionV>
                      <wp:extent cx="116205" cy="1887220"/>
                      <wp:effectExtent l="0" t="0" r="0" b="0"/>
                      <wp:wrapNone/>
                      <wp:docPr id="7" name="Frame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6205" cy="1887220"/>
                              </a:xfrm>
                              <a:prstGeom prst="rect">
                                <a:avLst/>
                              </a:prstGeom>
                              <a:noFill/>
                              <a:ln>
                                <a:no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66ADFF65" id="Frame7" o:spid="_x0000_s1026" style="position:absolute;margin-left:.05pt;margin-top:.05pt;width:9.15pt;height:148.6pt;z-index:8;visibility:visible;mso-wrap-style:square;mso-width-percent:0;mso-height-percent:0;mso-wrap-distance-left:0;mso-wrap-distance-top:0;mso-wrap-distance-right:0;mso-wrap-distance-bottom:0;mso-position-horizontal:absolute;mso-position-horizontal-relative:page;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" filled="f" stroked="f">
                      <w10:wrap anchorx="page" anchory="line"/>
                    </v:rect>
                  </w:pict>
                </mc:Fallback>
              </mc:AlternateContent>
            </w:r>
          </w:p>
        </w:tc>
        <w:tc>
          <w:tcPr>
            <w:tcW w:w="2732" w:type="dxa"/>
            <w:tcBorders>
              <w:left w:val="single" w:sz="2" w:space="0" w:color="000000"/>
              <w:bottom w:val="single" w:sz="2" w:space="0" w:color="000000"/>
              <w:right w:val="single" w:sz="2" w:space="0" w:color="000000"/>
            </w:tcBorders>
            <w:shd w:val="clear" w:color="auto" w:fill="auto"/>
          </w:tcPr>
          <w:p w14:paraId="7E82A402" w14:textId="77777777" w:rsidR="00B51242" w:rsidRDefault="008E4E86">
            <w:pPr>
              <w:spacing w:line="360" w:lineRule="auto"/>
              <w:jc w:val="both"/>
            </w:pPr>
            <w:r>
              <w:rPr>
                <w:color w:val="000000"/>
                <w:sz w:val="28"/>
                <w:szCs w:val="28"/>
              </w:rPr>
              <w:t xml:space="preserve">Солдатів почали розміщувати в </w:t>
            </w:r>
            <w:r>
              <w:rPr>
                <w:rStyle w:val="StrongEmphasis"/>
                <w:b w:val="0"/>
                <w:bCs w:val="0"/>
                <w:color w:val="000000"/>
                <w:sz w:val="28"/>
                <w:szCs w:val="28"/>
              </w:rPr>
              <w:t>спеціалізованих психіатричних закладах</w:t>
            </w:r>
            <w:r>
              <w:rPr>
                <w:color w:val="000000"/>
                <w:sz w:val="28"/>
                <w:szCs w:val="28"/>
              </w:rPr>
              <w:t xml:space="preserve">. Визнавалась роль </w:t>
            </w:r>
            <w:r>
              <w:rPr>
                <w:rStyle w:val="StrongEmphasis"/>
                <w:b w:val="0"/>
                <w:bCs w:val="0"/>
                <w:color w:val="000000"/>
                <w:sz w:val="28"/>
                <w:szCs w:val="28"/>
              </w:rPr>
              <w:t>емоційного шоку</w:t>
            </w:r>
            <w:r>
              <w:rPr>
                <w:color w:val="000000"/>
                <w:sz w:val="28"/>
                <w:szCs w:val="28"/>
              </w:rPr>
              <w:t xml:space="preserve"> як провідного чинника; це змінило організацію медичної допомоги. </w:t>
            </w:r>
          </w:p>
        </w:tc>
      </w:tr>
      <w:tr w:rsidR="00B51242" w14:paraId="61C258D9" w14:textId="77777777">
        <w:tc>
          <w:tcPr>
            <w:tcW w:w="1068" w:type="dxa"/>
            <w:tcBorders>
              <w:left w:val="single" w:sz="2" w:space="0" w:color="000000"/>
              <w:bottom w:val="single" w:sz="2" w:space="0" w:color="000000"/>
            </w:tcBorders>
            <w:shd w:val="clear" w:color="auto" w:fill="auto"/>
          </w:tcPr>
          <w:p w14:paraId="353E43AD" w14:textId="77777777" w:rsidR="00B51242" w:rsidRDefault="008E4E86">
            <w:pPr>
              <w:spacing w:line="360" w:lineRule="auto"/>
              <w:jc w:val="both"/>
              <w:rPr>
                <w:sz w:val="28"/>
                <w:szCs w:val="28"/>
              </w:rPr>
            </w:pPr>
            <w:r>
              <w:rPr>
                <w:color w:val="000000"/>
                <w:sz w:val="28"/>
                <w:szCs w:val="28"/>
              </w:rPr>
              <w:t>1917</w:t>
            </w:r>
          </w:p>
        </w:tc>
        <w:tc>
          <w:tcPr>
            <w:tcW w:w="4991" w:type="dxa"/>
            <w:tcBorders>
              <w:left w:val="single" w:sz="2" w:space="0" w:color="000000"/>
              <w:bottom w:val="single" w:sz="2" w:space="0" w:color="000000"/>
            </w:tcBorders>
            <w:shd w:val="clear" w:color="auto" w:fill="auto"/>
          </w:tcPr>
          <w:p w14:paraId="3058217A" w14:textId="77777777" w:rsidR="00B51242" w:rsidRDefault="008E4E86">
            <w:pPr>
              <w:spacing w:line="360" w:lineRule="auto"/>
              <w:jc w:val="both"/>
              <w:rPr>
                <w:sz w:val="28"/>
                <w:szCs w:val="28"/>
              </w:rPr>
            </w:pPr>
            <w:r>
              <w:rPr>
                <w:color w:val="000000"/>
                <w:sz w:val="28"/>
                <w:szCs w:val="28"/>
              </w:rPr>
              <w:t xml:space="preserve">На основі бойового досвіду американський психіатр Томас В. Салмон узагальнив п'ять принципів лікування «психіатрії передової»: </w:t>
            </w:r>
          </w:p>
          <w:p w14:paraId="5B64199A" w14:textId="77777777" w:rsidR="00B51242" w:rsidRDefault="008E4E86">
            <w:pPr>
              <w:spacing w:line="360" w:lineRule="auto"/>
              <w:jc w:val="both"/>
            </w:pPr>
            <w:r>
              <w:rPr>
                <w:rStyle w:val="StrongEmphasis"/>
                <w:b w:val="0"/>
                <w:bCs w:val="0"/>
                <w:color w:val="000000"/>
                <w:sz w:val="28"/>
                <w:szCs w:val="28"/>
              </w:rPr>
              <w:t>Негайність</w:t>
            </w:r>
            <w:r>
              <w:rPr>
                <w:color w:val="000000"/>
                <w:sz w:val="28"/>
                <w:szCs w:val="28"/>
              </w:rPr>
              <w:t xml:space="preserve"> — лікування до розвитку хронічного стану.</w:t>
            </w:r>
          </w:p>
          <w:p w14:paraId="6EDC5699" w14:textId="77777777" w:rsidR="00B51242" w:rsidRDefault="008E4E86">
            <w:pPr>
              <w:spacing w:line="360" w:lineRule="auto"/>
              <w:jc w:val="both"/>
            </w:pPr>
            <w:r>
              <w:rPr>
                <w:rStyle w:val="StrongEmphasis"/>
                <w:b w:val="0"/>
                <w:bCs w:val="0"/>
                <w:color w:val="000000"/>
                <w:sz w:val="28"/>
                <w:szCs w:val="28"/>
              </w:rPr>
              <w:t>Близькість</w:t>
            </w:r>
            <w:r>
              <w:rPr>
                <w:color w:val="000000"/>
                <w:sz w:val="28"/>
                <w:szCs w:val="28"/>
              </w:rPr>
              <w:t xml:space="preserve"> — лікування поблизу лінії фронту, де чутно гармати.</w:t>
            </w:r>
          </w:p>
          <w:p w14:paraId="21D6DA13" w14:textId="77777777" w:rsidR="00B51242" w:rsidRDefault="008E4E86">
            <w:pPr>
              <w:spacing w:line="360" w:lineRule="auto"/>
              <w:jc w:val="both"/>
            </w:pPr>
            <w:r>
              <w:rPr>
                <w:rStyle w:val="StrongEmphasis"/>
                <w:b w:val="0"/>
                <w:bCs w:val="0"/>
                <w:color w:val="000000"/>
                <w:sz w:val="28"/>
                <w:szCs w:val="28"/>
              </w:rPr>
              <w:t>Очікуваність</w:t>
            </w:r>
            <w:r>
              <w:rPr>
                <w:color w:val="000000"/>
                <w:sz w:val="28"/>
                <w:szCs w:val="28"/>
              </w:rPr>
              <w:t xml:space="preserve"> — формування у пацієнта впевненості в швидкому одужанні.</w:t>
            </w:r>
          </w:p>
          <w:p w14:paraId="2E59342A" w14:textId="77777777" w:rsidR="00B51242" w:rsidRDefault="008E4E86">
            <w:pPr>
              <w:spacing w:line="360" w:lineRule="auto"/>
              <w:jc w:val="both"/>
            </w:pPr>
            <w:r>
              <w:rPr>
                <w:rStyle w:val="StrongEmphasis"/>
                <w:b w:val="0"/>
                <w:bCs w:val="0"/>
                <w:color w:val="000000"/>
                <w:sz w:val="28"/>
                <w:szCs w:val="28"/>
              </w:rPr>
              <w:t>Простота</w:t>
            </w:r>
            <w:r>
              <w:rPr>
                <w:color w:val="000000"/>
                <w:sz w:val="28"/>
                <w:szCs w:val="28"/>
              </w:rPr>
              <w:t xml:space="preserve"> — мінімалістичні методи: сон, відпочинок, підтримка, психотерапія.</w:t>
            </w:r>
          </w:p>
          <w:p w14:paraId="330AF472" w14:textId="77777777" w:rsidR="00B51242" w:rsidRDefault="008E4E86">
            <w:pPr>
              <w:spacing w:line="360" w:lineRule="auto"/>
              <w:jc w:val="both"/>
            </w:pPr>
            <w:r>
              <w:rPr>
                <w:rStyle w:val="StrongEmphasis"/>
                <w:b w:val="0"/>
                <w:bCs w:val="0"/>
                <w:color w:val="000000"/>
                <w:sz w:val="28"/>
                <w:szCs w:val="28"/>
              </w:rPr>
              <w:t>Центральність</w:t>
            </w:r>
            <w:r>
              <w:rPr>
                <w:color w:val="000000"/>
                <w:sz w:val="28"/>
                <w:szCs w:val="28"/>
              </w:rPr>
              <w:t xml:space="preserve"> — координація між підрозділами медичної допомоги. | </w:t>
            </w:r>
            <w:r>
              <w:rPr>
                <w:color w:val="000000"/>
                <w:sz w:val="28"/>
                <w:szCs w:val="28"/>
              </w:rPr>
              <w:br/>
            </w:r>
          </w:p>
          <w:p w14:paraId="7BC1BAF2" w14:textId="77777777" w:rsidR="00B51242" w:rsidRDefault="00B51242">
            <w:pPr>
              <w:spacing w:line="360" w:lineRule="auto"/>
              <w:jc w:val="both"/>
              <w:rPr>
                <w:color w:val="000000"/>
                <w:sz w:val="28"/>
                <w:szCs w:val="28"/>
              </w:rPr>
            </w:pPr>
          </w:p>
        </w:tc>
        <w:tc>
          <w:tcPr>
            <w:tcW w:w="2732" w:type="dxa"/>
            <w:tcBorders>
              <w:left w:val="single" w:sz="2" w:space="0" w:color="000000"/>
              <w:bottom w:val="single" w:sz="2" w:space="0" w:color="000000"/>
              <w:right w:val="single" w:sz="2" w:space="0" w:color="000000"/>
            </w:tcBorders>
            <w:shd w:val="clear" w:color="auto" w:fill="auto"/>
          </w:tcPr>
          <w:p w14:paraId="0CD9E0D7" w14:textId="77777777" w:rsidR="00B51242" w:rsidRDefault="008E4E86">
            <w:pPr>
              <w:spacing w:after="140" w:line="360" w:lineRule="auto"/>
              <w:jc w:val="both"/>
            </w:pPr>
            <w:r>
              <w:rPr>
                <w:rStyle w:val="StrongEmphasis"/>
                <w:b w:val="0"/>
                <w:bCs w:val="0"/>
                <w:color w:val="000000"/>
                <w:sz w:val="28"/>
                <w:szCs w:val="28"/>
              </w:rPr>
              <w:t>Модель Салмона</w:t>
            </w:r>
            <w:r>
              <w:rPr>
                <w:color w:val="000000"/>
                <w:sz w:val="28"/>
                <w:szCs w:val="28"/>
              </w:rPr>
              <w:t xml:space="preserve"> стала стандартом лікування на передовій. Усі воюючі сторони незалежно впровадили схожі підходи. Лікування орієнтувалось на короткочасну стабілізацію, реінтеграцію у військове середовище й уникнення стигматизації психічних розладів. Це значно зменшило кількість довготривалих психіатричних втрат.</w:t>
            </w:r>
          </w:p>
        </w:tc>
      </w:tr>
      <w:tr w:rsidR="00B51242" w14:paraId="0A3125A5" w14:textId="77777777">
        <w:tc>
          <w:tcPr>
            <w:tcW w:w="1068" w:type="dxa"/>
            <w:tcBorders>
              <w:left w:val="single" w:sz="2" w:space="0" w:color="000000"/>
              <w:bottom w:val="single" w:sz="2" w:space="0" w:color="000000"/>
            </w:tcBorders>
            <w:shd w:val="clear" w:color="auto" w:fill="auto"/>
          </w:tcPr>
          <w:p w14:paraId="4D4659E2" w14:textId="77777777" w:rsidR="00B51242" w:rsidRDefault="008E4E86">
            <w:pPr>
              <w:spacing w:line="360" w:lineRule="auto"/>
              <w:jc w:val="both"/>
            </w:pPr>
            <w:r>
              <w:rPr>
                <w:rStyle w:val="StrongEmphasis"/>
                <w:b w:val="0"/>
                <w:bCs w:val="0"/>
                <w:color w:val="000000"/>
                <w:sz w:val="28"/>
                <w:szCs w:val="28"/>
              </w:rPr>
              <w:t>1914–1918 (паралельно)</w:t>
            </w:r>
          </w:p>
        </w:tc>
        <w:tc>
          <w:tcPr>
            <w:tcW w:w="4991" w:type="dxa"/>
            <w:tcBorders>
              <w:left w:val="single" w:sz="2" w:space="0" w:color="000000"/>
              <w:bottom w:val="single" w:sz="2" w:space="0" w:color="000000"/>
            </w:tcBorders>
            <w:shd w:val="clear" w:color="auto" w:fill="auto"/>
          </w:tcPr>
          <w:p w14:paraId="449C876E" w14:textId="77777777" w:rsidR="00B51242" w:rsidRDefault="008E4E86">
            <w:pPr>
              <w:spacing w:line="360" w:lineRule="auto"/>
              <w:jc w:val="both"/>
            </w:pPr>
            <w:r>
              <w:rPr>
                <w:color w:val="000000"/>
                <w:sz w:val="28"/>
                <w:szCs w:val="28"/>
              </w:rPr>
              <w:t xml:space="preserve">Одним із широко застосовуваних методів під час війни було </w:t>
            </w:r>
            <w:r>
              <w:rPr>
                <w:rStyle w:val="StrongEmphasis"/>
                <w:b w:val="0"/>
                <w:bCs w:val="0"/>
                <w:color w:val="000000"/>
                <w:sz w:val="28"/>
                <w:szCs w:val="28"/>
              </w:rPr>
              <w:t>використання електричного струму</w:t>
            </w:r>
            <w:r>
              <w:rPr>
                <w:color w:val="000000"/>
                <w:sz w:val="28"/>
                <w:szCs w:val="28"/>
              </w:rPr>
              <w:t xml:space="preserve"> — фарадизація. Її застосовували при моторних симптомах: тремор, параліч, контрактури, ступор, невольові рухи.  Фарадизація вважалася способом «стимулювання» повернення функцій. Проте метод був болісним і часто використовувався примусово. Після війни зазнав широкої критики як негуманне втручання, особливо у випадках без явної ефективності.</w:t>
            </w:r>
            <w:r>
              <w:rPr>
                <w:color w:val="000000"/>
                <w:sz w:val="28"/>
                <w:szCs w:val="28"/>
              </w:rPr>
              <w:br/>
              <w:t>|</w:t>
            </w:r>
            <w:r>
              <w:rPr>
                <w:rStyle w:val="StrongEmphasis"/>
                <w:b w:val="0"/>
                <w:bCs w:val="0"/>
                <w:color w:val="000000"/>
                <w:sz w:val="28"/>
                <w:szCs w:val="28"/>
              </w:rPr>
              <w:t xml:space="preserve">1920-ті роки. </w:t>
            </w:r>
            <w:r>
              <w:rPr>
                <w:color w:val="000000"/>
                <w:sz w:val="28"/>
                <w:szCs w:val="28"/>
              </w:rPr>
              <w:t xml:space="preserve">Після війни зросла увага до етики психіатричного лікування. У центрі критики опинилися жорсткі методи. </w:t>
            </w:r>
            <w:bookmarkStart w:id="19" w:name="__DdeLink__902_3621610817"/>
            <w:r>
              <w:rPr>
                <w:color w:val="000000"/>
                <w:sz w:val="28"/>
                <w:szCs w:val="28"/>
              </w:rPr>
              <w:t>Вагнер-Яурегг,</w:t>
            </w:r>
            <w:bookmarkEnd w:id="19"/>
            <w:r>
              <w:rPr>
                <w:color w:val="000000"/>
                <w:sz w:val="28"/>
                <w:szCs w:val="28"/>
              </w:rPr>
              <w:t xml:space="preserve"> нобелівський лауреат 1928 року, поставав перед комісією за «надмірну жорстокість» під час фарадизації. Поступовий відхід від фарадизації на користь більш гуманістичних, психотерапевтичних та медикаментозних  підходів. Початок формування </w:t>
            </w:r>
            <w:r>
              <w:rPr>
                <w:rStyle w:val="StrongEmphasis"/>
                <w:b w:val="0"/>
                <w:bCs w:val="0"/>
                <w:color w:val="000000"/>
                <w:sz w:val="28"/>
                <w:szCs w:val="28"/>
              </w:rPr>
              <w:t>етичних норм</w:t>
            </w:r>
            <w:r>
              <w:rPr>
                <w:color w:val="000000"/>
                <w:sz w:val="28"/>
                <w:szCs w:val="28"/>
              </w:rPr>
              <w:t xml:space="preserve"> військової психіатрії, з орієнтацією на довіру та добровільність лікування.</w:t>
            </w:r>
            <w:r w:rsidRPr="00D3629B">
              <w:rPr>
                <w:rStyle w:val="InternetLink"/>
                <w:rFonts w:eastAsia="Calibri"/>
                <w:color w:val="000000"/>
                <w:sz w:val="28"/>
                <w:szCs w:val="28"/>
                <w:u w:val="none"/>
              </w:rPr>
              <w:t>[31]</w:t>
            </w:r>
          </w:p>
        </w:tc>
        <w:tc>
          <w:tcPr>
            <w:tcW w:w="2732" w:type="dxa"/>
            <w:tcBorders>
              <w:left w:val="single" w:sz="2" w:space="0" w:color="000000"/>
              <w:bottom w:val="single" w:sz="2" w:space="0" w:color="000000"/>
              <w:right w:val="single" w:sz="2" w:space="0" w:color="000000"/>
            </w:tcBorders>
            <w:shd w:val="clear" w:color="auto" w:fill="auto"/>
          </w:tcPr>
          <w:p w14:paraId="6F4D4C33" w14:textId="77777777" w:rsidR="00B51242" w:rsidRDefault="008E4E86">
            <w:pPr>
              <w:spacing w:line="360" w:lineRule="auto"/>
              <w:jc w:val="both"/>
            </w:pPr>
            <w:r>
              <w:rPr>
                <w:rStyle w:val="StrongEmphasis"/>
                <w:b w:val="0"/>
                <w:bCs w:val="0"/>
                <w:color w:val="000000"/>
                <w:sz w:val="28"/>
                <w:szCs w:val="28"/>
              </w:rPr>
              <w:t>Використання електричного струму</w:t>
            </w:r>
            <w:r>
              <w:rPr>
                <w:color w:val="000000"/>
                <w:sz w:val="28"/>
                <w:szCs w:val="28"/>
              </w:rPr>
              <w:t xml:space="preserve"> — фарадизація.</w:t>
            </w:r>
          </w:p>
        </w:tc>
      </w:tr>
      <w:tr w:rsidR="00B51242" w14:paraId="46ED9DA0" w14:textId="77777777">
        <w:tc>
          <w:tcPr>
            <w:tcW w:w="1068" w:type="dxa"/>
            <w:tcBorders>
              <w:left w:val="single" w:sz="2" w:space="0" w:color="000000"/>
              <w:bottom w:val="single" w:sz="2" w:space="0" w:color="000000"/>
            </w:tcBorders>
            <w:shd w:val="clear" w:color="auto" w:fill="auto"/>
          </w:tcPr>
          <w:p w14:paraId="55C24EE1" w14:textId="77777777" w:rsidR="00B51242" w:rsidRDefault="008E4E86">
            <w:pPr>
              <w:spacing w:line="360" w:lineRule="auto"/>
              <w:jc w:val="both"/>
              <w:rPr>
                <w:sz w:val="28"/>
                <w:szCs w:val="28"/>
              </w:rPr>
            </w:pPr>
            <w:r>
              <w:rPr>
                <w:color w:val="000000"/>
                <w:sz w:val="28"/>
                <w:szCs w:val="28"/>
              </w:rPr>
              <w:t>1920</w:t>
            </w:r>
          </w:p>
        </w:tc>
        <w:tc>
          <w:tcPr>
            <w:tcW w:w="4991" w:type="dxa"/>
            <w:tcBorders>
              <w:left w:val="single" w:sz="2" w:space="0" w:color="000000"/>
              <w:bottom w:val="single" w:sz="2" w:space="0" w:color="000000"/>
            </w:tcBorders>
            <w:shd w:val="clear" w:color="auto" w:fill="auto"/>
          </w:tcPr>
          <w:p w14:paraId="7522BD5E" w14:textId="77777777" w:rsidR="00B51242" w:rsidRDefault="008E4E86">
            <w:pPr>
              <w:spacing w:line="360" w:lineRule="auto"/>
              <w:jc w:val="both"/>
              <w:rPr>
                <w:sz w:val="28"/>
                <w:szCs w:val="28"/>
              </w:rPr>
            </w:pPr>
            <w:r>
              <w:rPr>
                <w:color w:val="000000"/>
                <w:sz w:val="28"/>
                <w:szCs w:val="28"/>
              </w:rPr>
              <w:t>Післявоєнна рефлексія.</w:t>
            </w:r>
          </w:p>
          <w:p w14:paraId="419A6888" w14:textId="77777777" w:rsidR="00B51242" w:rsidRDefault="008E4E86">
            <w:pPr>
              <w:spacing w:line="360" w:lineRule="auto"/>
              <w:jc w:val="both"/>
              <w:rPr>
                <w:sz w:val="28"/>
                <w:szCs w:val="28"/>
              </w:rPr>
            </w:pPr>
            <w:r>
              <w:rPr>
                <w:color w:val="000000"/>
                <w:sz w:val="28"/>
                <w:szCs w:val="28"/>
              </w:rPr>
              <w:t xml:space="preserve">У. Кеннон вводить поняття гострої стресової реакції (ГСР) — відповідь на загрозливу ситуацію. Симптоми: прискорене серцебиття, тремтіння, пітливість, паніка, шок, дезорієнтація, відчуття безпорадності </w:t>
            </w:r>
            <w:r w:rsidRPr="00D3629B">
              <w:rPr>
                <w:color w:val="000000"/>
                <w:sz w:val="28"/>
                <w:szCs w:val="28"/>
              </w:rPr>
              <w:t>[4].</w:t>
            </w:r>
          </w:p>
        </w:tc>
        <w:tc>
          <w:tcPr>
            <w:tcW w:w="2732" w:type="dxa"/>
            <w:tcBorders>
              <w:left w:val="single" w:sz="2" w:space="0" w:color="000000"/>
              <w:bottom w:val="single" w:sz="2" w:space="0" w:color="000000"/>
              <w:right w:val="single" w:sz="2" w:space="0" w:color="000000"/>
            </w:tcBorders>
            <w:shd w:val="clear" w:color="auto" w:fill="auto"/>
          </w:tcPr>
          <w:p w14:paraId="3E2B04D4" w14:textId="77777777" w:rsidR="00B51242" w:rsidRDefault="008E4E86">
            <w:pPr>
              <w:spacing w:line="360" w:lineRule="auto"/>
              <w:jc w:val="both"/>
              <w:rPr>
                <w:sz w:val="28"/>
                <w:szCs w:val="28"/>
              </w:rPr>
            </w:pPr>
            <w:r>
              <w:rPr>
                <w:color w:val="000000"/>
                <w:sz w:val="28"/>
                <w:szCs w:val="28"/>
              </w:rPr>
              <w:t xml:space="preserve">Перші спроби опису реакції організму на стрес. Наголос на фізіологічному поясненні. Відкриває шлях до подальших досліджень ПТСР. </w:t>
            </w:r>
          </w:p>
        </w:tc>
      </w:tr>
      <w:tr w:rsidR="00B51242" w14:paraId="0B3283C8" w14:textId="77777777">
        <w:tc>
          <w:tcPr>
            <w:tcW w:w="1068" w:type="dxa"/>
            <w:tcBorders>
              <w:left w:val="single" w:sz="2" w:space="0" w:color="000000"/>
              <w:bottom w:val="single" w:sz="2" w:space="0" w:color="000000"/>
            </w:tcBorders>
            <w:shd w:val="clear" w:color="auto" w:fill="auto"/>
          </w:tcPr>
          <w:p w14:paraId="4C29BA46" w14:textId="77777777" w:rsidR="00B51242" w:rsidRDefault="008E4E86">
            <w:pPr>
              <w:spacing w:line="360" w:lineRule="auto"/>
              <w:jc w:val="both"/>
              <w:rPr>
                <w:sz w:val="28"/>
                <w:szCs w:val="28"/>
              </w:rPr>
            </w:pPr>
            <w:r>
              <w:rPr>
                <w:color w:val="000000"/>
                <w:sz w:val="28"/>
                <w:szCs w:val="28"/>
              </w:rPr>
              <w:t>1920</w:t>
            </w:r>
          </w:p>
        </w:tc>
        <w:tc>
          <w:tcPr>
            <w:tcW w:w="4991" w:type="dxa"/>
            <w:tcBorders>
              <w:left w:val="single" w:sz="2" w:space="0" w:color="000000"/>
              <w:bottom w:val="single" w:sz="2" w:space="0" w:color="000000"/>
            </w:tcBorders>
            <w:shd w:val="clear" w:color="auto" w:fill="auto"/>
          </w:tcPr>
          <w:p w14:paraId="1C4D8D54" w14:textId="77777777" w:rsidR="00B51242" w:rsidRDefault="008E4E86">
            <w:pPr>
              <w:spacing w:line="360" w:lineRule="auto"/>
              <w:jc w:val="both"/>
              <w:rPr>
                <w:sz w:val="28"/>
                <w:szCs w:val="28"/>
              </w:rPr>
            </w:pPr>
            <w:r>
              <w:rPr>
                <w:color w:val="000000"/>
                <w:sz w:val="28"/>
                <w:szCs w:val="28"/>
              </w:rPr>
              <w:t xml:space="preserve">Фрейд на основі спостережень за солдатами з воєнними неврозами зазначає, що симптоми не вкладаються в існуючу теорію сновидінь як «виконання бажань». У пацієнтів виявляються повторювані кошмари, пов’язані з травматичними подіями; флешбеки; гіпервозбудження; емоційна відстороненість. </w:t>
            </w:r>
          </w:p>
          <w:p w14:paraId="2261330D" w14:textId="77777777" w:rsidR="00B51242" w:rsidRDefault="008E4E86">
            <w:pPr>
              <w:spacing w:line="360" w:lineRule="auto"/>
              <w:jc w:val="both"/>
            </w:pPr>
            <w:r>
              <w:rPr>
                <w:color w:val="000000"/>
                <w:sz w:val="28"/>
                <w:szCs w:val="28"/>
              </w:rPr>
              <w:t xml:space="preserve">На Міжнародному конгресі психоаналітиків Фрейд визнає, що існує окрема категорія — </w:t>
            </w:r>
            <w:r>
              <w:rPr>
                <w:rStyle w:val="StrongEmphasis"/>
                <w:b w:val="0"/>
                <w:bCs w:val="0"/>
                <w:color w:val="000000"/>
                <w:sz w:val="28"/>
                <w:szCs w:val="28"/>
              </w:rPr>
              <w:t>травматичні сни</w:t>
            </w:r>
            <w:r>
              <w:rPr>
                <w:color w:val="000000"/>
                <w:sz w:val="28"/>
                <w:szCs w:val="28"/>
              </w:rPr>
              <w:t xml:space="preserve">, які не приносять задоволення, а викликають повторне переживання болісних подій. Він переглядає концепцію сну як виключно задоволення бажань, вводячи нову концепцію психічної </w:t>
            </w:r>
            <w:r>
              <w:rPr>
                <w:rStyle w:val="StrongEmphasis"/>
                <w:b w:val="0"/>
                <w:bCs w:val="0"/>
                <w:color w:val="000000"/>
                <w:sz w:val="28"/>
                <w:szCs w:val="28"/>
              </w:rPr>
              <w:t>"повторювальної нав’язливості"</w:t>
            </w:r>
            <w:r>
              <w:rPr>
                <w:color w:val="000000"/>
                <w:sz w:val="28"/>
                <w:szCs w:val="28"/>
              </w:rPr>
              <w:t xml:space="preserve">. </w:t>
            </w:r>
          </w:p>
          <w:p w14:paraId="583DBEBD" w14:textId="77777777" w:rsidR="00B51242" w:rsidRDefault="008E4E86">
            <w:pPr>
              <w:spacing w:line="360" w:lineRule="auto"/>
              <w:jc w:val="both"/>
            </w:pPr>
            <w:r>
              <w:rPr>
                <w:color w:val="000000"/>
                <w:sz w:val="28"/>
                <w:szCs w:val="28"/>
              </w:rPr>
              <w:t xml:space="preserve">Фрейд формулює нову теоретичну модель у творі </w:t>
            </w:r>
            <w:r>
              <w:rPr>
                <w:rStyle w:val="StrongEmphasis"/>
                <w:b w:val="0"/>
                <w:bCs w:val="0"/>
                <w:color w:val="000000"/>
                <w:sz w:val="28"/>
                <w:szCs w:val="28"/>
              </w:rPr>
              <w:t>«По той бік принципу задоволення»</w:t>
            </w:r>
            <w:r>
              <w:rPr>
                <w:color w:val="000000"/>
                <w:sz w:val="28"/>
                <w:szCs w:val="28"/>
              </w:rPr>
              <w:t xml:space="preserve"> (</w:t>
            </w:r>
            <w:r>
              <w:rPr>
                <w:rStyle w:val="a3"/>
                <w:color w:val="000000"/>
                <w:sz w:val="28"/>
                <w:szCs w:val="28"/>
              </w:rPr>
              <w:t>Jenseits des Lustprinzips</w:t>
            </w:r>
            <w:r>
              <w:rPr>
                <w:color w:val="000000"/>
                <w:sz w:val="28"/>
                <w:szCs w:val="28"/>
              </w:rPr>
              <w:t xml:space="preserve">), де вводить поняття </w:t>
            </w:r>
            <w:r>
              <w:rPr>
                <w:rStyle w:val="StrongEmphasis"/>
                <w:b w:val="0"/>
                <w:bCs w:val="0"/>
                <w:color w:val="000000"/>
                <w:sz w:val="28"/>
                <w:szCs w:val="28"/>
              </w:rPr>
              <w:t>"потягу до смерті" (Танатос)</w:t>
            </w:r>
            <w:r>
              <w:rPr>
                <w:color w:val="000000"/>
                <w:sz w:val="28"/>
                <w:szCs w:val="28"/>
              </w:rPr>
              <w:t xml:space="preserve"> — несвідомого прагнення до саморуйнування. Повторення травматичного досвіду він пояснює як несвідому спробу психіки </w:t>
            </w:r>
            <w:r>
              <w:rPr>
                <w:rStyle w:val="StrongEmphasis"/>
                <w:b w:val="0"/>
                <w:bCs w:val="0"/>
                <w:color w:val="000000"/>
                <w:sz w:val="28"/>
                <w:szCs w:val="28"/>
              </w:rPr>
              <w:t>опрацювати</w:t>
            </w:r>
            <w:r>
              <w:rPr>
                <w:color w:val="000000"/>
                <w:sz w:val="28"/>
                <w:szCs w:val="28"/>
              </w:rPr>
              <w:t xml:space="preserve"> травму шляхом її «переживання». </w:t>
            </w:r>
            <w:r>
              <w:rPr>
                <w:rStyle w:val="InternetLink"/>
                <w:rFonts w:eastAsia="Calibri"/>
                <w:color w:val="000000"/>
                <w:sz w:val="28"/>
                <w:szCs w:val="28"/>
                <w:u w:val="none"/>
                <w:lang w:val="en-US"/>
              </w:rPr>
              <w:t>[31]</w:t>
            </w:r>
          </w:p>
        </w:tc>
        <w:tc>
          <w:tcPr>
            <w:tcW w:w="2732" w:type="dxa"/>
            <w:tcBorders>
              <w:left w:val="single" w:sz="2" w:space="0" w:color="000000"/>
              <w:bottom w:val="single" w:sz="2" w:space="0" w:color="000000"/>
              <w:right w:val="single" w:sz="2" w:space="0" w:color="000000"/>
            </w:tcBorders>
            <w:shd w:val="clear" w:color="auto" w:fill="auto"/>
          </w:tcPr>
          <w:p w14:paraId="3DE13E1F" w14:textId="77777777" w:rsidR="00B51242" w:rsidRDefault="008E4E86">
            <w:pPr>
              <w:spacing w:line="360" w:lineRule="auto"/>
              <w:jc w:val="both"/>
            </w:pPr>
            <w:r>
              <w:rPr>
                <w:color w:val="000000"/>
                <w:sz w:val="28"/>
                <w:szCs w:val="28"/>
              </w:rPr>
              <w:t xml:space="preserve">Запропоноване лікування: </w:t>
            </w:r>
            <w:r>
              <w:rPr>
                <w:rStyle w:val="StrongEmphasis"/>
                <w:b w:val="0"/>
                <w:bCs w:val="0"/>
                <w:color w:val="000000"/>
                <w:sz w:val="28"/>
                <w:szCs w:val="28"/>
              </w:rPr>
              <w:t>психоаналітична терапія</w:t>
            </w:r>
            <w:r>
              <w:rPr>
                <w:color w:val="000000"/>
                <w:sz w:val="28"/>
                <w:szCs w:val="28"/>
              </w:rPr>
              <w:t xml:space="preserve"> як процес </w:t>
            </w:r>
            <w:r>
              <w:rPr>
                <w:rStyle w:val="StrongEmphasis"/>
                <w:b w:val="0"/>
                <w:bCs w:val="0"/>
                <w:color w:val="000000"/>
                <w:sz w:val="28"/>
                <w:szCs w:val="28"/>
              </w:rPr>
              <w:t>повторного усвідомлення й вербалізації травматичного досвіду</w:t>
            </w:r>
            <w:r>
              <w:rPr>
                <w:color w:val="000000"/>
                <w:sz w:val="28"/>
                <w:szCs w:val="28"/>
              </w:rPr>
              <w:t xml:space="preserve"> з метою інтеграції його в свідомість. Необхідність тривалого діалогу, аналізу сновидінь, інтерпретації симптомів і зв’язків із несвідомими конфліктами. </w:t>
            </w:r>
          </w:p>
        </w:tc>
      </w:tr>
      <w:tr w:rsidR="00B51242" w14:paraId="12933C8D" w14:textId="77777777">
        <w:tc>
          <w:tcPr>
            <w:tcW w:w="1068" w:type="dxa"/>
            <w:tcBorders>
              <w:left w:val="single" w:sz="2" w:space="0" w:color="000000"/>
              <w:bottom w:val="single" w:sz="2" w:space="0" w:color="000000"/>
            </w:tcBorders>
            <w:shd w:val="clear" w:color="auto" w:fill="auto"/>
          </w:tcPr>
          <w:p w14:paraId="01DE3DB2" w14:textId="77777777" w:rsidR="00B51242" w:rsidRDefault="008E4E86">
            <w:pPr>
              <w:spacing w:line="360" w:lineRule="auto"/>
              <w:jc w:val="both"/>
              <w:rPr>
                <w:sz w:val="28"/>
                <w:szCs w:val="28"/>
              </w:rPr>
            </w:pPr>
            <w:r>
              <w:rPr>
                <w:color w:val="000000"/>
                <w:sz w:val="28"/>
                <w:szCs w:val="28"/>
              </w:rPr>
              <w:t>1932</w:t>
            </w:r>
          </w:p>
        </w:tc>
        <w:tc>
          <w:tcPr>
            <w:tcW w:w="4991" w:type="dxa"/>
            <w:tcBorders>
              <w:left w:val="single" w:sz="2" w:space="0" w:color="000000"/>
              <w:bottom w:val="single" w:sz="2" w:space="0" w:color="000000"/>
            </w:tcBorders>
            <w:shd w:val="clear" w:color="auto" w:fill="auto"/>
          </w:tcPr>
          <w:p w14:paraId="7CEB49B9" w14:textId="77777777" w:rsidR="00B51242" w:rsidRDefault="008E4E86">
            <w:pPr>
              <w:spacing w:line="360" w:lineRule="auto"/>
              <w:jc w:val="both"/>
            </w:pPr>
            <w:r>
              <w:rPr>
                <w:color w:val="000000"/>
                <w:sz w:val="28"/>
                <w:szCs w:val="28"/>
              </w:rPr>
              <w:t xml:space="preserve">Американський фізіолог </w:t>
            </w:r>
            <w:r>
              <w:rPr>
                <w:rStyle w:val="StrongEmphasis"/>
                <w:b w:val="0"/>
                <w:bCs w:val="0"/>
                <w:color w:val="000000"/>
                <w:sz w:val="28"/>
                <w:szCs w:val="28"/>
              </w:rPr>
              <w:t>Волтер Бредфорд Кеннон</w:t>
            </w:r>
            <w:r>
              <w:rPr>
                <w:color w:val="000000"/>
                <w:sz w:val="28"/>
                <w:szCs w:val="28"/>
              </w:rPr>
              <w:t xml:space="preserve"> вводить у науковий обіг поняття </w:t>
            </w:r>
            <w:r>
              <w:rPr>
                <w:rStyle w:val="StrongEmphasis"/>
                <w:b w:val="0"/>
                <w:bCs w:val="0"/>
                <w:color w:val="000000"/>
                <w:sz w:val="28"/>
                <w:szCs w:val="28"/>
              </w:rPr>
              <w:t>"fight-or-flight response"</w:t>
            </w:r>
            <w:r>
              <w:rPr>
                <w:color w:val="000000"/>
                <w:sz w:val="28"/>
                <w:szCs w:val="28"/>
              </w:rPr>
              <w:t xml:space="preserve"> — </w:t>
            </w:r>
            <w:r>
              <w:rPr>
                <w:rStyle w:val="StrongEmphasis"/>
                <w:b w:val="0"/>
                <w:bCs w:val="0"/>
                <w:color w:val="000000"/>
                <w:sz w:val="28"/>
                <w:szCs w:val="28"/>
              </w:rPr>
              <w:t>реакція "борися або втікай"</w:t>
            </w:r>
            <w:r>
              <w:rPr>
                <w:color w:val="000000"/>
                <w:sz w:val="28"/>
                <w:szCs w:val="28"/>
              </w:rPr>
              <w:t xml:space="preserve">. Вперше описується </w:t>
            </w:r>
            <w:r>
              <w:rPr>
                <w:rStyle w:val="StrongEmphasis"/>
                <w:b w:val="0"/>
                <w:bCs w:val="0"/>
                <w:color w:val="000000"/>
                <w:sz w:val="28"/>
                <w:szCs w:val="28"/>
              </w:rPr>
              <w:t>фізіологічна основа бойового стресу</w:t>
            </w:r>
            <w:r>
              <w:rPr>
                <w:color w:val="000000"/>
                <w:sz w:val="28"/>
                <w:szCs w:val="28"/>
              </w:rPr>
              <w:t xml:space="preserve"> як універсальна адаптивна відповідь на загрозу. В умовах війни цей механізм активується гіперсильно, що може призвести до </w:t>
            </w:r>
            <w:r>
              <w:rPr>
                <w:rStyle w:val="StrongEmphasis"/>
                <w:b w:val="0"/>
                <w:bCs w:val="0"/>
                <w:color w:val="000000"/>
                <w:sz w:val="28"/>
                <w:szCs w:val="28"/>
              </w:rPr>
              <w:t>фізичних та психічних порушень</w:t>
            </w:r>
            <w:r>
              <w:rPr>
                <w:color w:val="000000"/>
                <w:sz w:val="28"/>
                <w:szCs w:val="28"/>
              </w:rPr>
              <w:t xml:space="preserve">. Кеннон демонструє, що стрес має </w:t>
            </w:r>
            <w:r>
              <w:rPr>
                <w:rStyle w:val="StrongEmphasis"/>
                <w:b w:val="0"/>
                <w:bCs w:val="0"/>
                <w:color w:val="000000"/>
                <w:sz w:val="28"/>
                <w:szCs w:val="28"/>
              </w:rPr>
              <w:t>нейрофізіологічну основу</w:t>
            </w:r>
            <w:r>
              <w:rPr>
                <w:color w:val="000000"/>
                <w:sz w:val="28"/>
                <w:szCs w:val="28"/>
              </w:rPr>
              <w:t xml:space="preserve">: активація симпатичної нервової системи, викид адреналіну та кортизолу, пришвидшення пульсу, звуження судин, напруга м’язів. Це відкриття стало основою для подальших досліджень </w:t>
            </w:r>
            <w:r>
              <w:rPr>
                <w:rStyle w:val="StrongEmphasis"/>
                <w:b w:val="0"/>
                <w:bCs w:val="0"/>
                <w:color w:val="000000"/>
                <w:sz w:val="28"/>
                <w:szCs w:val="28"/>
              </w:rPr>
              <w:t>психофізіологічних механізмів травми</w:t>
            </w:r>
            <w:r>
              <w:rPr>
                <w:color w:val="000000"/>
                <w:sz w:val="28"/>
                <w:szCs w:val="28"/>
              </w:rPr>
              <w:t xml:space="preserve">, на яких базується сучасна </w:t>
            </w:r>
            <w:r>
              <w:rPr>
                <w:rStyle w:val="StrongEmphasis"/>
                <w:b w:val="0"/>
                <w:bCs w:val="0"/>
                <w:color w:val="000000"/>
                <w:sz w:val="28"/>
                <w:szCs w:val="28"/>
              </w:rPr>
              <w:t>психосоматична та тілесно-орієнтована терапія ПТСР</w:t>
            </w:r>
            <w:r>
              <w:rPr>
                <w:color w:val="000000"/>
                <w:sz w:val="28"/>
                <w:szCs w:val="28"/>
              </w:rPr>
              <w:t xml:space="preserve">. У військовому контексті бойовий стрес проявляється: </w:t>
            </w:r>
            <w:r>
              <w:rPr>
                <w:rStyle w:val="StrongEmphasis"/>
                <w:b w:val="0"/>
                <w:bCs w:val="0"/>
                <w:color w:val="000000"/>
                <w:sz w:val="28"/>
                <w:szCs w:val="28"/>
              </w:rPr>
              <w:t>різким підвищенням тривоги, панічними реакціями, моторною збудженістю або заціпенінням, порушенням мислення, дезорієнтацією</w:t>
            </w:r>
            <w:r>
              <w:rPr>
                <w:color w:val="000000"/>
                <w:sz w:val="28"/>
                <w:szCs w:val="28"/>
              </w:rPr>
              <w:t xml:space="preserve">. Це описується як </w:t>
            </w:r>
            <w:r>
              <w:rPr>
                <w:rStyle w:val="StrongEmphasis"/>
                <w:b w:val="0"/>
                <w:bCs w:val="0"/>
                <w:color w:val="000000"/>
                <w:sz w:val="28"/>
                <w:szCs w:val="28"/>
              </w:rPr>
              <w:t>короткочасна адаптаційна реакція</w:t>
            </w:r>
            <w:r>
              <w:rPr>
                <w:color w:val="000000"/>
                <w:sz w:val="28"/>
                <w:szCs w:val="28"/>
              </w:rPr>
              <w:t xml:space="preserve">, яка може перейти в </w:t>
            </w:r>
            <w:r>
              <w:rPr>
                <w:rStyle w:val="StrongEmphasis"/>
                <w:b w:val="0"/>
                <w:bCs w:val="0"/>
                <w:color w:val="000000"/>
                <w:sz w:val="28"/>
                <w:szCs w:val="28"/>
              </w:rPr>
              <w:t>патологічний стан при тривалому або повторному впливі</w:t>
            </w:r>
            <w:r>
              <w:rPr>
                <w:color w:val="000000"/>
                <w:sz w:val="28"/>
                <w:szCs w:val="28"/>
              </w:rPr>
              <w:t xml:space="preserve">. </w:t>
            </w:r>
          </w:p>
        </w:tc>
        <w:tc>
          <w:tcPr>
            <w:tcW w:w="2732" w:type="dxa"/>
            <w:tcBorders>
              <w:left w:val="single" w:sz="2" w:space="0" w:color="000000"/>
              <w:bottom w:val="single" w:sz="2" w:space="0" w:color="000000"/>
              <w:right w:val="single" w:sz="2" w:space="0" w:color="000000"/>
            </w:tcBorders>
            <w:shd w:val="clear" w:color="auto" w:fill="auto"/>
          </w:tcPr>
          <w:p w14:paraId="7410095C" w14:textId="77777777" w:rsidR="00B51242" w:rsidRDefault="008E4E86">
            <w:pPr>
              <w:spacing w:line="360" w:lineRule="auto"/>
              <w:jc w:val="both"/>
            </w:pPr>
            <w:r>
              <w:rPr>
                <w:color w:val="000000"/>
                <w:sz w:val="28"/>
                <w:szCs w:val="28"/>
              </w:rPr>
              <w:t xml:space="preserve">Важливий вклад у </w:t>
            </w:r>
            <w:r>
              <w:rPr>
                <w:rStyle w:val="StrongEmphasis"/>
                <w:b w:val="0"/>
                <w:bCs w:val="0"/>
                <w:color w:val="000000"/>
                <w:sz w:val="28"/>
                <w:szCs w:val="28"/>
              </w:rPr>
              <w:t>відокремлення бойового стресу від психічних захворювань</w:t>
            </w:r>
            <w:r>
              <w:rPr>
                <w:color w:val="000000"/>
                <w:sz w:val="28"/>
                <w:szCs w:val="28"/>
              </w:rPr>
              <w:t xml:space="preserve">. Кеннон підкреслює, що </w:t>
            </w:r>
            <w:r>
              <w:rPr>
                <w:rStyle w:val="StrongEmphasis"/>
                <w:b w:val="0"/>
                <w:bCs w:val="0"/>
                <w:color w:val="000000"/>
                <w:sz w:val="28"/>
                <w:szCs w:val="28"/>
              </w:rPr>
              <w:t>стрес — це нормальна реакція організму</w:t>
            </w:r>
            <w:r>
              <w:rPr>
                <w:color w:val="000000"/>
                <w:sz w:val="28"/>
                <w:szCs w:val="28"/>
              </w:rPr>
              <w:t xml:space="preserve">, яка за певних умов може стати основою хронічного розладу. Це лягло в основу </w:t>
            </w:r>
            <w:r>
              <w:rPr>
                <w:rStyle w:val="StrongEmphasis"/>
                <w:b w:val="0"/>
                <w:bCs w:val="0"/>
                <w:color w:val="000000"/>
                <w:sz w:val="28"/>
                <w:szCs w:val="28"/>
              </w:rPr>
              <w:t>ранньої діагностики бойового стресу</w:t>
            </w:r>
            <w:r>
              <w:rPr>
                <w:color w:val="000000"/>
                <w:sz w:val="28"/>
                <w:szCs w:val="28"/>
              </w:rPr>
              <w:t xml:space="preserve">, </w:t>
            </w:r>
            <w:r>
              <w:rPr>
                <w:rStyle w:val="StrongEmphasis"/>
                <w:b w:val="0"/>
                <w:bCs w:val="0"/>
                <w:color w:val="000000"/>
                <w:sz w:val="28"/>
                <w:szCs w:val="28"/>
              </w:rPr>
              <w:t>короткострокового відновлення</w:t>
            </w:r>
            <w:r>
              <w:rPr>
                <w:color w:val="000000"/>
                <w:sz w:val="28"/>
                <w:szCs w:val="28"/>
              </w:rPr>
              <w:t xml:space="preserve">, а в перспективі — </w:t>
            </w:r>
            <w:r>
              <w:rPr>
                <w:rStyle w:val="StrongEmphasis"/>
                <w:b w:val="0"/>
                <w:bCs w:val="0"/>
                <w:color w:val="000000"/>
                <w:sz w:val="28"/>
                <w:szCs w:val="28"/>
              </w:rPr>
              <w:t>профілактики ПТСР</w:t>
            </w:r>
            <w:r>
              <w:rPr>
                <w:color w:val="000000"/>
                <w:sz w:val="28"/>
                <w:szCs w:val="28"/>
              </w:rPr>
              <w:t xml:space="preserve">. </w:t>
            </w:r>
          </w:p>
        </w:tc>
      </w:tr>
      <w:tr w:rsidR="00B51242" w14:paraId="2D9D8765" w14:textId="77777777">
        <w:tc>
          <w:tcPr>
            <w:tcW w:w="1068" w:type="dxa"/>
            <w:tcBorders>
              <w:left w:val="single" w:sz="2" w:space="0" w:color="000000"/>
              <w:bottom w:val="single" w:sz="2" w:space="0" w:color="000000"/>
            </w:tcBorders>
            <w:shd w:val="clear" w:color="auto" w:fill="auto"/>
          </w:tcPr>
          <w:p w14:paraId="45980CD8" w14:textId="77777777" w:rsidR="00B51242" w:rsidRDefault="008E4E86">
            <w:pPr>
              <w:spacing w:line="360" w:lineRule="auto"/>
              <w:jc w:val="both"/>
              <w:rPr>
                <w:sz w:val="28"/>
                <w:szCs w:val="28"/>
              </w:rPr>
            </w:pPr>
            <w:r>
              <w:rPr>
                <w:color w:val="000000"/>
                <w:sz w:val="28"/>
                <w:szCs w:val="28"/>
              </w:rPr>
              <w:t>1941</w:t>
            </w:r>
          </w:p>
        </w:tc>
        <w:tc>
          <w:tcPr>
            <w:tcW w:w="4991" w:type="dxa"/>
            <w:tcBorders>
              <w:left w:val="single" w:sz="2" w:space="0" w:color="000000"/>
              <w:bottom w:val="single" w:sz="2" w:space="0" w:color="000000"/>
            </w:tcBorders>
            <w:shd w:val="clear" w:color="auto" w:fill="auto"/>
          </w:tcPr>
          <w:p w14:paraId="37E8E44E" w14:textId="77777777" w:rsidR="00B51242" w:rsidRDefault="008E4E86">
            <w:pPr>
              <w:spacing w:line="360" w:lineRule="auto"/>
              <w:jc w:val="both"/>
            </w:pPr>
            <w:r>
              <w:rPr>
                <w:color w:val="000000"/>
                <w:sz w:val="28"/>
                <w:szCs w:val="28"/>
              </w:rPr>
              <w:t xml:space="preserve">Абрам Кардінер – американський психіатр, психотерапевт психоаналітичного напрямку, науковець та дослідник у галузі психіатрії та психології. Видає працю </w:t>
            </w:r>
            <w:r>
              <w:rPr>
                <w:rStyle w:val="StrongEmphasis"/>
                <w:b w:val="0"/>
                <w:bCs w:val="0"/>
                <w:color w:val="000000"/>
                <w:sz w:val="28"/>
                <w:szCs w:val="28"/>
              </w:rPr>
              <w:t>«Травматичні неврози війни»</w:t>
            </w:r>
            <w:r>
              <w:rPr>
                <w:color w:val="000000"/>
                <w:sz w:val="28"/>
                <w:szCs w:val="28"/>
              </w:rPr>
              <w:t>, яка систематизує спостереження за солдатами, що пережили бойову психотравму. Детально описує симптоматику, яку нині вважають класичною для ПТСР: зниження адаптивних функцій, повторне проживання подій, дратівливість, емоційна оніміння [27].</w:t>
            </w:r>
          </w:p>
          <w:p w14:paraId="20D8C1E8" w14:textId="77777777" w:rsidR="00B51242" w:rsidRDefault="008E4E86">
            <w:pPr>
              <w:spacing w:line="360" w:lineRule="auto"/>
              <w:jc w:val="both"/>
            </w:pPr>
            <w:r>
              <w:rPr>
                <w:color w:val="000000"/>
                <w:sz w:val="28"/>
                <w:szCs w:val="28"/>
              </w:rPr>
              <w:t xml:space="preserve">( в 1980 році симптоми, описані Кардінером, були офіційно визнані як критерії для діагностики </w:t>
            </w:r>
            <w:r>
              <w:rPr>
                <w:rStyle w:val="StrongEmphasis"/>
                <w:b w:val="0"/>
                <w:bCs w:val="0"/>
                <w:color w:val="000000"/>
                <w:sz w:val="28"/>
                <w:szCs w:val="28"/>
              </w:rPr>
              <w:t>ПТСР у DSM-III</w:t>
            </w:r>
            <w:r>
              <w:rPr>
                <w:color w:val="000000"/>
                <w:sz w:val="28"/>
                <w:szCs w:val="28"/>
              </w:rPr>
              <w:t xml:space="preserve"> Американської психіатричної асоціації. Його робота стала </w:t>
            </w:r>
            <w:r>
              <w:rPr>
                <w:rStyle w:val="StrongEmphasis"/>
                <w:b w:val="0"/>
                <w:bCs w:val="0"/>
                <w:color w:val="000000"/>
                <w:sz w:val="28"/>
                <w:szCs w:val="28"/>
              </w:rPr>
              <w:t xml:space="preserve">основою сучасного розуміння ПТСР </w:t>
            </w:r>
            <w:r>
              <w:rPr>
                <w:color w:val="000000"/>
                <w:sz w:val="28"/>
                <w:szCs w:val="28"/>
                <w:lang w:val="en-US"/>
              </w:rPr>
              <w:t>[4]</w:t>
            </w:r>
            <w:r>
              <w:rPr>
                <w:color w:val="000000"/>
                <w:sz w:val="28"/>
                <w:szCs w:val="28"/>
              </w:rPr>
              <w:t>).</w:t>
            </w:r>
          </w:p>
          <w:p w14:paraId="61C988F9" w14:textId="77777777" w:rsidR="00B51242" w:rsidRDefault="00B51242">
            <w:pPr>
              <w:spacing w:line="360" w:lineRule="auto"/>
              <w:jc w:val="both"/>
              <w:rPr>
                <w:color w:val="000000"/>
                <w:sz w:val="28"/>
                <w:szCs w:val="28"/>
              </w:rPr>
            </w:pPr>
          </w:p>
        </w:tc>
        <w:tc>
          <w:tcPr>
            <w:tcW w:w="2732" w:type="dxa"/>
            <w:tcBorders>
              <w:left w:val="single" w:sz="2" w:space="0" w:color="000000"/>
              <w:bottom w:val="single" w:sz="2" w:space="0" w:color="000000"/>
              <w:right w:val="single" w:sz="2" w:space="0" w:color="000000"/>
            </w:tcBorders>
            <w:shd w:val="clear" w:color="auto" w:fill="auto"/>
          </w:tcPr>
          <w:p w14:paraId="3DDBF18A" w14:textId="77777777" w:rsidR="00B51242" w:rsidRDefault="008E4E86">
            <w:pPr>
              <w:spacing w:line="360" w:lineRule="auto"/>
              <w:jc w:val="both"/>
            </w:pPr>
            <w:r>
              <w:rPr>
                <w:color w:val="000000"/>
                <w:sz w:val="28"/>
                <w:szCs w:val="28"/>
              </w:rPr>
              <w:t xml:space="preserve">Вводить концепцію </w:t>
            </w:r>
            <w:r>
              <w:rPr>
                <w:rStyle w:val="StrongEmphasis"/>
                <w:b w:val="0"/>
                <w:bCs w:val="0"/>
                <w:color w:val="000000"/>
                <w:sz w:val="28"/>
                <w:szCs w:val="28"/>
              </w:rPr>
              <w:t>«ефективного его»</w:t>
            </w:r>
            <w:r>
              <w:rPr>
                <w:color w:val="000000"/>
                <w:sz w:val="28"/>
                <w:szCs w:val="28"/>
              </w:rPr>
              <w:t xml:space="preserve">, закладаючи основу для розуміння ПТСР як порушення адаптивної здатності. Підхід орієнтований на </w:t>
            </w:r>
            <w:r>
              <w:rPr>
                <w:rStyle w:val="StrongEmphasis"/>
                <w:b w:val="0"/>
                <w:bCs w:val="0"/>
                <w:color w:val="000000"/>
                <w:sz w:val="28"/>
                <w:szCs w:val="28"/>
              </w:rPr>
              <w:t>відновлення его-функцій</w:t>
            </w:r>
            <w:r>
              <w:rPr>
                <w:color w:val="000000"/>
                <w:sz w:val="28"/>
                <w:szCs w:val="28"/>
              </w:rPr>
              <w:t xml:space="preserve">, а також врахування тілесних симптомів. </w:t>
            </w:r>
          </w:p>
          <w:p w14:paraId="463F6EB1" w14:textId="77777777" w:rsidR="00B51242" w:rsidRDefault="008E4E86">
            <w:pPr>
              <w:spacing w:line="360" w:lineRule="auto"/>
              <w:jc w:val="both"/>
            </w:pPr>
            <w:r>
              <w:rPr>
                <w:color w:val="000000"/>
                <w:sz w:val="28"/>
                <w:szCs w:val="28"/>
              </w:rPr>
              <w:t xml:space="preserve">Пропонує </w:t>
            </w:r>
            <w:r>
              <w:rPr>
                <w:rStyle w:val="StrongEmphasis"/>
                <w:b w:val="0"/>
                <w:bCs w:val="0"/>
                <w:color w:val="000000"/>
                <w:sz w:val="28"/>
                <w:szCs w:val="28"/>
              </w:rPr>
              <w:t>комплексну психотерапію</w:t>
            </w:r>
            <w:r>
              <w:rPr>
                <w:color w:val="000000"/>
                <w:sz w:val="28"/>
                <w:szCs w:val="28"/>
              </w:rPr>
              <w:t xml:space="preserve">, що включає глибоку реконструкцію травматичного досвіду та його інтеграцію у свідоме «Я». Він наполягав на продовженні лікування після війни. Його підходи стали попередниками сучасної психодинамічної та травма-орієнтованої терапії. </w:t>
            </w:r>
          </w:p>
        </w:tc>
      </w:tr>
      <w:tr w:rsidR="00B51242" w14:paraId="71B92A2B" w14:textId="77777777">
        <w:tc>
          <w:tcPr>
            <w:tcW w:w="1068" w:type="dxa"/>
            <w:tcBorders>
              <w:left w:val="single" w:sz="2" w:space="0" w:color="000000"/>
              <w:bottom w:val="single" w:sz="2" w:space="0" w:color="000000"/>
            </w:tcBorders>
            <w:shd w:val="clear" w:color="auto" w:fill="auto"/>
          </w:tcPr>
          <w:p w14:paraId="79DCF398" w14:textId="77777777" w:rsidR="00B51242" w:rsidRDefault="008E4E86">
            <w:pPr>
              <w:spacing w:line="360" w:lineRule="auto"/>
              <w:jc w:val="both"/>
              <w:rPr>
                <w:sz w:val="28"/>
                <w:szCs w:val="28"/>
              </w:rPr>
            </w:pPr>
            <w:r>
              <w:rPr>
                <w:color w:val="000000"/>
                <w:sz w:val="28"/>
                <w:szCs w:val="28"/>
              </w:rPr>
              <w:t>1943</w:t>
            </w:r>
          </w:p>
        </w:tc>
        <w:tc>
          <w:tcPr>
            <w:tcW w:w="4991" w:type="dxa"/>
            <w:tcBorders>
              <w:left w:val="single" w:sz="2" w:space="0" w:color="000000"/>
              <w:bottom w:val="single" w:sz="2" w:space="0" w:color="000000"/>
            </w:tcBorders>
            <w:shd w:val="clear" w:color="auto" w:fill="auto"/>
          </w:tcPr>
          <w:p w14:paraId="432878E8" w14:textId="77777777" w:rsidR="00B51242" w:rsidRDefault="008E4E86">
            <w:pPr>
              <w:spacing w:line="360" w:lineRule="auto"/>
              <w:jc w:val="both"/>
            </w:pPr>
            <w:r>
              <w:rPr>
                <w:color w:val="000000"/>
                <w:sz w:val="28"/>
                <w:szCs w:val="28"/>
              </w:rPr>
              <w:t xml:space="preserve">Спершу американські військові ігнорують досвід Першої світової: </w:t>
            </w:r>
            <w:r>
              <w:rPr>
                <w:rStyle w:val="StrongEmphasis"/>
                <w:b w:val="0"/>
                <w:bCs w:val="0"/>
                <w:color w:val="000000"/>
                <w:sz w:val="28"/>
                <w:szCs w:val="28"/>
              </w:rPr>
              <w:t>відсутність психіатрів у бойових частинах</w:t>
            </w:r>
            <w:r>
              <w:rPr>
                <w:color w:val="000000"/>
                <w:sz w:val="28"/>
                <w:szCs w:val="28"/>
              </w:rPr>
              <w:t xml:space="preserve">, поранених із психіатричними симптомами евакуюють на тилові госпіталі — </w:t>
            </w:r>
            <w:r>
              <w:rPr>
                <w:rStyle w:val="StrongEmphasis"/>
                <w:b w:val="0"/>
                <w:bCs w:val="0"/>
                <w:color w:val="000000"/>
                <w:sz w:val="28"/>
                <w:szCs w:val="28"/>
              </w:rPr>
              <w:t>лише 5% повертаються до служби</w:t>
            </w:r>
            <w:r>
              <w:rPr>
                <w:color w:val="000000"/>
                <w:sz w:val="28"/>
                <w:szCs w:val="28"/>
              </w:rPr>
              <w:t xml:space="preserve">. </w:t>
            </w:r>
          </w:p>
          <w:p w14:paraId="7750F5AF" w14:textId="77777777" w:rsidR="00B51242" w:rsidRDefault="008E4E86">
            <w:pPr>
              <w:spacing w:line="360" w:lineRule="auto"/>
              <w:jc w:val="both"/>
            </w:pPr>
            <w:r>
              <w:rPr>
                <w:color w:val="000000"/>
                <w:sz w:val="28"/>
                <w:szCs w:val="28"/>
              </w:rPr>
              <w:t xml:space="preserve">До </w:t>
            </w:r>
            <w:r>
              <w:rPr>
                <w:rStyle w:val="StrongEmphasis"/>
                <w:b w:val="0"/>
                <w:bCs w:val="0"/>
                <w:color w:val="000000"/>
                <w:sz w:val="28"/>
                <w:szCs w:val="28"/>
              </w:rPr>
              <w:t>штату кожної дивізії армії США</w:t>
            </w:r>
            <w:r>
              <w:rPr>
                <w:color w:val="000000"/>
                <w:sz w:val="28"/>
                <w:szCs w:val="28"/>
              </w:rPr>
              <w:t xml:space="preserve"> було введено </w:t>
            </w:r>
            <w:r>
              <w:rPr>
                <w:rStyle w:val="StrongEmphasis"/>
                <w:b w:val="0"/>
                <w:bCs w:val="0"/>
                <w:color w:val="000000"/>
                <w:sz w:val="28"/>
                <w:szCs w:val="28"/>
              </w:rPr>
              <w:t>посаду військового психіатра</w:t>
            </w:r>
            <w:r>
              <w:rPr>
                <w:color w:val="000000"/>
                <w:sz w:val="28"/>
                <w:szCs w:val="28"/>
              </w:rPr>
              <w:t xml:space="preserve">. Визнання психічних розладів як чинників, що впливають на ефективність війська. Поступова зміна ставлення: від стигматизації — до розробки </w:t>
            </w:r>
            <w:r>
              <w:rPr>
                <w:rStyle w:val="StrongEmphasis"/>
                <w:b w:val="0"/>
                <w:bCs w:val="0"/>
                <w:color w:val="000000"/>
                <w:sz w:val="28"/>
                <w:szCs w:val="28"/>
              </w:rPr>
              <w:t>організаційної підтримки</w:t>
            </w:r>
            <w:r>
              <w:rPr>
                <w:color w:val="000000"/>
                <w:sz w:val="28"/>
                <w:szCs w:val="28"/>
              </w:rPr>
              <w:t>.</w:t>
            </w:r>
          </w:p>
          <w:p w14:paraId="05FC32A8" w14:textId="77777777" w:rsidR="00B51242" w:rsidRDefault="008E4E86">
            <w:pPr>
              <w:spacing w:line="360" w:lineRule="auto"/>
              <w:jc w:val="both"/>
            </w:pPr>
            <w:r>
              <w:rPr>
                <w:color w:val="000000"/>
                <w:sz w:val="28"/>
                <w:szCs w:val="28"/>
              </w:rPr>
              <w:t xml:space="preserve">Починається </w:t>
            </w:r>
            <w:r>
              <w:rPr>
                <w:rStyle w:val="StrongEmphasis"/>
                <w:b w:val="0"/>
                <w:bCs w:val="0"/>
                <w:color w:val="000000"/>
                <w:sz w:val="28"/>
                <w:szCs w:val="28"/>
              </w:rPr>
              <w:t>активне повернення солдатів до строю після стабілізації стану</w:t>
            </w:r>
            <w:r>
              <w:rPr>
                <w:color w:val="000000"/>
                <w:sz w:val="28"/>
                <w:szCs w:val="28"/>
              </w:rPr>
              <w:t xml:space="preserve">. У результаті до </w:t>
            </w:r>
            <w:r>
              <w:rPr>
                <w:rStyle w:val="StrongEmphasis"/>
                <w:b w:val="0"/>
                <w:bCs w:val="0"/>
                <w:color w:val="000000"/>
                <w:sz w:val="28"/>
                <w:szCs w:val="28"/>
              </w:rPr>
              <w:t>50–70%</w:t>
            </w:r>
            <w:r>
              <w:rPr>
                <w:color w:val="000000"/>
                <w:sz w:val="28"/>
                <w:szCs w:val="28"/>
              </w:rPr>
              <w:t xml:space="preserve"> таких бійців повертаються до служби [</w:t>
            </w:r>
            <w:r w:rsidRPr="00D3629B">
              <w:rPr>
                <w:color w:val="000000"/>
                <w:sz w:val="28"/>
                <w:szCs w:val="28"/>
              </w:rPr>
              <w:t>27].</w:t>
            </w:r>
            <w:r>
              <w:rPr>
                <w:color w:val="000000"/>
                <w:sz w:val="28"/>
                <w:szCs w:val="28"/>
              </w:rPr>
              <w:t xml:space="preserve"> </w:t>
            </w:r>
          </w:p>
          <w:p w14:paraId="3B22BB7D" w14:textId="77777777" w:rsidR="00B51242" w:rsidRPr="00D3629B" w:rsidRDefault="00B51242">
            <w:pPr>
              <w:spacing w:line="360" w:lineRule="auto"/>
              <w:jc w:val="both"/>
              <w:rPr>
                <w:color w:val="000000"/>
                <w:sz w:val="28"/>
                <w:szCs w:val="28"/>
              </w:rPr>
            </w:pPr>
          </w:p>
          <w:p w14:paraId="73250536" w14:textId="77777777" w:rsidR="00B51242" w:rsidRDefault="008E4E86">
            <w:pPr>
              <w:spacing w:line="360" w:lineRule="auto"/>
              <w:jc w:val="both"/>
              <w:rPr>
                <w:sz w:val="28"/>
                <w:szCs w:val="28"/>
              </w:rPr>
            </w:pPr>
            <w:r>
              <w:rPr>
                <w:color w:val="000000"/>
                <w:sz w:val="28"/>
                <w:szCs w:val="28"/>
              </w:rPr>
              <w:t>Кардінер писав, що «справжній урок Першої світової війни та хронічних випадків полягав у тому, що цей синдром необхідно лікувати негайно, щоб запобігти консолідації неврозу в його хронічні та часто важковиліковні форми».</w:t>
            </w:r>
          </w:p>
          <w:p w14:paraId="17B246DD" w14:textId="77777777" w:rsidR="00B51242" w:rsidRDefault="00B51242">
            <w:pPr>
              <w:spacing w:line="360" w:lineRule="auto"/>
              <w:jc w:val="both"/>
              <w:rPr>
                <w:rStyle w:val="InternetLink"/>
                <w:sz w:val="28"/>
                <w:szCs w:val="28"/>
              </w:rPr>
            </w:pPr>
          </w:p>
          <w:p w14:paraId="6BF89DA3" w14:textId="77777777" w:rsidR="00B51242" w:rsidRDefault="00B51242">
            <w:pPr>
              <w:spacing w:line="360" w:lineRule="auto"/>
              <w:jc w:val="both"/>
              <w:rPr>
                <w:color w:val="000000"/>
                <w:sz w:val="28"/>
                <w:szCs w:val="28"/>
              </w:rPr>
            </w:pPr>
          </w:p>
          <w:p w14:paraId="27B8F768" w14:textId="77777777" w:rsidR="00B51242" w:rsidRDefault="008E4E86">
            <w:pPr>
              <w:spacing w:line="360" w:lineRule="auto"/>
              <w:jc w:val="both"/>
              <w:rPr>
                <w:sz w:val="28"/>
                <w:szCs w:val="28"/>
              </w:rPr>
            </w:pPr>
            <w:r>
              <w:rPr>
                <w:color w:val="000000"/>
                <w:sz w:val="28"/>
                <w:szCs w:val="28"/>
              </w:rPr>
              <w:t xml:space="preserve">  </w:t>
            </w:r>
          </w:p>
          <w:p w14:paraId="5C3E0E74" w14:textId="77777777" w:rsidR="00B51242" w:rsidRPr="00D3629B" w:rsidRDefault="00B51242">
            <w:pPr>
              <w:spacing w:line="360" w:lineRule="auto"/>
              <w:jc w:val="both"/>
              <w:rPr>
                <w:color w:val="000000"/>
                <w:sz w:val="28"/>
                <w:szCs w:val="28"/>
              </w:rPr>
            </w:pPr>
          </w:p>
        </w:tc>
        <w:tc>
          <w:tcPr>
            <w:tcW w:w="2732" w:type="dxa"/>
            <w:tcBorders>
              <w:left w:val="single" w:sz="2" w:space="0" w:color="000000"/>
              <w:bottom w:val="single" w:sz="2" w:space="0" w:color="000000"/>
              <w:right w:val="single" w:sz="2" w:space="0" w:color="000000"/>
            </w:tcBorders>
            <w:shd w:val="clear" w:color="auto" w:fill="auto"/>
          </w:tcPr>
          <w:p w14:paraId="64A81AFB" w14:textId="77777777" w:rsidR="00B51242" w:rsidRDefault="008E4E86">
            <w:pPr>
              <w:spacing w:line="360" w:lineRule="auto"/>
              <w:jc w:val="both"/>
            </w:pPr>
            <w:r>
              <w:rPr>
                <w:color w:val="000000"/>
                <w:sz w:val="28"/>
                <w:szCs w:val="28"/>
              </w:rPr>
              <w:t xml:space="preserve">Вперше реалізовано </w:t>
            </w:r>
            <w:r>
              <w:rPr>
                <w:rStyle w:val="StrongEmphasis"/>
                <w:b w:val="0"/>
                <w:bCs w:val="0"/>
                <w:color w:val="000000"/>
                <w:sz w:val="28"/>
                <w:szCs w:val="28"/>
              </w:rPr>
              <w:t>інституційну підтримку психіатричної допомоги</w:t>
            </w:r>
            <w:r>
              <w:rPr>
                <w:color w:val="000000"/>
                <w:sz w:val="28"/>
                <w:szCs w:val="28"/>
              </w:rPr>
              <w:t xml:space="preserve"> безпосередньо у військових підрозділах. Застосовується принцип «профілактики на місці»: </w:t>
            </w:r>
            <w:r>
              <w:rPr>
                <w:rStyle w:val="StrongEmphasis"/>
                <w:b w:val="0"/>
                <w:bCs w:val="0"/>
                <w:color w:val="000000"/>
                <w:sz w:val="28"/>
                <w:szCs w:val="28"/>
              </w:rPr>
              <w:t>швидка допомога на передовій</w:t>
            </w:r>
            <w:r>
              <w:rPr>
                <w:color w:val="000000"/>
                <w:sz w:val="28"/>
                <w:szCs w:val="28"/>
              </w:rPr>
              <w:t xml:space="preserve">, недопущення тривалого відриву від підрозділу. Основні цілі: зниження втрат боєздатності та швидке повернення солдатів до служби. </w:t>
            </w:r>
          </w:p>
        </w:tc>
      </w:tr>
      <w:tr w:rsidR="00B51242" w14:paraId="2ECF7092" w14:textId="77777777">
        <w:tc>
          <w:tcPr>
            <w:tcW w:w="1068" w:type="dxa"/>
            <w:tcBorders>
              <w:left w:val="single" w:sz="2" w:space="0" w:color="000000"/>
              <w:bottom w:val="single" w:sz="2" w:space="0" w:color="000000"/>
            </w:tcBorders>
            <w:shd w:val="clear" w:color="auto" w:fill="auto"/>
          </w:tcPr>
          <w:p w14:paraId="3B44B407" w14:textId="77777777" w:rsidR="00B51242" w:rsidRDefault="008E4E86">
            <w:pPr>
              <w:spacing w:line="360" w:lineRule="auto"/>
              <w:jc w:val="both"/>
              <w:rPr>
                <w:sz w:val="28"/>
                <w:szCs w:val="28"/>
              </w:rPr>
            </w:pPr>
            <w:r>
              <w:rPr>
                <w:color w:val="000000"/>
                <w:sz w:val="28"/>
                <w:szCs w:val="28"/>
              </w:rPr>
              <w:t>1945</w:t>
            </w:r>
          </w:p>
        </w:tc>
        <w:tc>
          <w:tcPr>
            <w:tcW w:w="4991" w:type="dxa"/>
            <w:tcBorders>
              <w:left w:val="single" w:sz="2" w:space="0" w:color="000000"/>
              <w:bottom w:val="single" w:sz="2" w:space="0" w:color="000000"/>
            </w:tcBorders>
            <w:shd w:val="clear" w:color="auto" w:fill="auto"/>
          </w:tcPr>
          <w:p w14:paraId="468BD91D" w14:textId="77777777" w:rsidR="00B51242" w:rsidRDefault="008E4E86">
            <w:pPr>
              <w:spacing w:line="360" w:lineRule="auto"/>
              <w:jc w:val="both"/>
            </w:pPr>
            <w:r>
              <w:rPr>
                <w:color w:val="000000"/>
                <w:sz w:val="28"/>
                <w:szCs w:val="28"/>
              </w:rPr>
              <w:t xml:space="preserve">Психіатри </w:t>
            </w:r>
            <w:r>
              <w:rPr>
                <w:rStyle w:val="StrongEmphasis"/>
                <w:b w:val="0"/>
                <w:bCs w:val="0"/>
                <w:color w:val="000000"/>
                <w:sz w:val="28"/>
                <w:szCs w:val="28"/>
              </w:rPr>
              <w:t>Грінкер і Шпігель</w:t>
            </w:r>
            <w:r>
              <w:rPr>
                <w:color w:val="000000"/>
                <w:sz w:val="28"/>
                <w:szCs w:val="28"/>
              </w:rPr>
              <w:t xml:space="preserve"> повідомляють про </w:t>
            </w:r>
            <w:r>
              <w:rPr>
                <w:rStyle w:val="StrongEmphasis"/>
                <w:b w:val="0"/>
                <w:bCs w:val="0"/>
                <w:color w:val="000000"/>
                <w:sz w:val="28"/>
                <w:szCs w:val="28"/>
              </w:rPr>
              <w:t>посттравматичні симптоми у військових США</w:t>
            </w:r>
            <w:r>
              <w:rPr>
                <w:color w:val="000000"/>
                <w:sz w:val="28"/>
                <w:szCs w:val="28"/>
              </w:rPr>
              <w:t xml:space="preserve"> після Другої світової війни. Вони розрізняють </w:t>
            </w:r>
            <w:r>
              <w:rPr>
                <w:rStyle w:val="StrongEmphasis"/>
                <w:b w:val="0"/>
                <w:bCs w:val="0"/>
                <w:color w:val="000000"/>
                <w:sz w:val="28"/>
                <w:szCs w:val="28"/>
              </w:rPr>
              <w:t>гостру реакцію на бій</w:t>
            </w:r>
            <w:r>
              <w:rPr>
                <w:color w:val="000000"/>
                <w:sz w:val="28"/>
                <w:szCs w:val="28"/>
              </w:rPr>
              <w:t xml:space="preserve"> і </w:t>
            </w:r>
            <w:r>
              <w:rPr>
                <w:rStyle w:val="StrongEmphasis"/>
                <w:b w:val="0"/>
                <w:bCs w:val="0"/>
                <w:color w:val="000000"/>
                <w:sz w:val="28"/>
                <w:szCs w:val="28"/>
              </w:rPr>
              <w:t>відстрочену реакцію після бою</w:t>
            </w:r>
            <w:r>
              <w:rPr>
                <w:color w:val="000000"/>
                <w:sz w:val="28"/>
                <w:szCs w:val="28"/>
              </w:rPr>
              <w:t xml:space="preserve">. Симптоми включали: «воєнні неврози» (пізніше названі синдромом ПТСР) </w:t>
            </w:r>
            <w:r>
              <w:rPr>
                <w:color w:val="000000"/>
                <w:sz w:val="28"/>
                <w:szCs w:val="28"/>
              </w:rPr>
              <w:br/>
              <w:t>•</w:t>
            </w:r>
            <w:r>
              <w:rPr>
                <w:rStyle w:val="StrongEmphasis"/>
                <w:b w:val="0"/>
                <w:bCs w:val="0"/>
                <w:color w:val="000000"/>
                <w:sz w:val="28"/>
                <w:szCs w:val="28"/>
              </w:rPr>
              <w:t>пасивно-залежні стани</w:t>
            </w:r>
            <w:r>
              <w:rPr>
                <w:color w:val="000000"/>
                <w:sz w:val="28"/>
                <w:szCs w:val="28"/>
              </w:rPr>
              <w:t xml:space="preserve"> </w:t>
            </w:r>
            <w:r>
              <w:rPr>
                <w:color w:val="000000"/>
                <w:sz w:val="28"/>
                <w:szCs w:val="28"/>
              </w:rPr>
              <w:br/>
              <w:t>•</w:t>
            </w:r>
            <w:r>
              <w:rPr>
                <w:rStyle w:val="StrongEmphasis"/>
                <w:b w:val="0"/>
                <w:bCs w:val="0"/>
                <w:color w:val="000000"/>
                <w:sz w:val="28"/>
                <w:szCs w:val="28"/>
              </w:rPr>
              <w:t>психосоматичні симптоми</w:t>
            </w:r>
            <w:r>
              <w:rPr>
                <w:color w:val="000000"/>
                <w:sz w:val="28"/>
                <w:szCs w:val="28"/>
              </w:rPr>
              <w:t xml:space="preserve"> </w:t>
            </w:r>
            <w:r>
              <w:rPr>
                <w:color w:val="000000"/>
                <w:sz w:val="28"/>
                <w:szCs w:val="28"/>
              </w:rPr>
              <w:br/>
              <w:t>•</w:t>
            </w:r>
            <w:r>
              <w:rPr>
                <w:rStyle w:val="StrongEmphasis"/>
                <w:b w:val="0"/>
                <w:bCs w:val="0"/>
                <w:color w:val="000000"/>
                <w:sz w:val="28"/>
                <w:szCs w:val="28"/>
              </w:rPr>
              <w:t>почуття провини, депресія</w:t>
            </w:r>
            <w:r>
              <w:rPr>
                <w:color w:val="000000"/>
                <w:sz w:val="28"/>
                <w:szCs w:val="28"/>
              </w:rPr>
              <w:t xml:space="preserve"> </w:t>
            </w:r>
            <w:r>
              <w:rPr>
                <w:color w:val="000000"/>
                <w:sz w:val="28"/>
                <w:szCs w:val="28"/>
              </w:rPr>
              <w:br/>
              <w:t>•</w:t>
            </w:r>
            <w:r>
              <w:rPr>
                <w:rStyle w:val="StrongEmphasis"/>
                <w:b w:val="0"/>
                <w:bCs w:val="0"/>
                <w:color w:val="000000"/>
                <w:sz w:val="28"/>
                <w:szCs w:val="28"/>
              </w:rPr>
              <w:t>агресивність, ворожість, психозоподібні стани</w:t>
            </w:r>
            <w:r>
              <w:rPr>
                <w:color w:val="000000"/>
                <w:sz w:val="28"/>
                <w:szCs w:val="28"/>
              </w:rPr>
              <w:t xml:space="preserve"> </w:t>
            </w:r>
          </w:p>
        </w:tc>
        <w:tc>
          <w:tcPr>
            <w:tcW w:w="2732" w:type="dxa"/>
            <w:tcBorders>
              <w:left w:val="single" w:sz="2" w:space="0" w:color="000000"/>
              <w:bottom w:val="single" w:sz="2" w:space="0" w:color="000000"/>
              <w:right w:val="single" w:sz="2" w:space="0" w:color="000000"/>
            </w:tcBorders>
            <w:shd w:val="clear" w:color="auto" w:fill="auto"/>
          </w:tcPr>
          <w:p w14:paraId="5852908C" w14:textId="77777777" w:rsidR="00B51242" w:rsidRDefault="008E4E86">
            <w:pPr>
              <w:spacing w:line="360" w:lineRule="auto"/>
              <w:jc w:val="both"/>
            </w:pPr>
            <w:r>
              <w:rPr>
                <w:rStyle w:val="InternetLink"/>
                <w:color w:val="000000"/>
                <w:sz w:val="28"/>
                <w:szCs w:val="28"/>
                <w:u w:val="none"/>
              </w:rPr>
              <w:t xml:space="preserve">Запропоновано поділ реакцій: </w:t>
            </w:r>
            <w:r>
              <w:rPr>
                <w:rStyle w:val="InternetLink"/>
                <w:color w:val="000000"/>
                <w:sz w:val="28"/>
                <w:szCs w:val="28"/>
                <w:u w:val="none"/>
              </w:rPr>
              <w:br/>
              <w:t xml:space="preserve">– </w:t>
            </w:r>
            <w:r>
              <w:rPr>
                <w:rStyle w:val="StrongEmphasis"/>
                <w:b w:val="0"/>
                <w:bCs w:val="0"/>
                <w:color w:val="000000"/>
                <w:sz w:val="28"/>
                <w:szCs w:val="28"/>
              </w:rPr>
              <w:t>гостра реакція на бій</w:t>
            </w:r>
            <w:r>
              <w:rPr>
                <w:rStyle w:val="InternetLink"/>
                <w:color w:val="000000"/>
                <w:sz w:val="28"/>
                <w:szCs w:val="28"/>
                <w:u w:val="none"/>
              </w:rPr>
              <w:t xml:space="preserve"> (негайна, короткочасна) </w:t>
            </w:r>
            <w:r>
              <w:rPr>
                <w:rStyle w:val="InternetLink"/>
                <w:color w:val="000000"/>
                <w:sz w:val="28"/>
                <w:szCs w:val="28"/>
                <w:u w:val="none"/>
              </w:rPr>
              <w:br/>
              <w:t xml:space="preserve">– </w:t>
            </w:r>
            <w:r>
              <w:rPr>
                <w:rStyle w:val="StrongEmphasis"/>
                <w:b w:val="0"/>
                <w:bCs w:val="0"/>
                <w:color w:val="000000"/>
                <w:sz w:val="28"/>
                <w:szCs w:val="28"/>
              </w:rPr>
              <w:t>реакція після бою</w:t>
            </w:r>
            <w:r>
              <w:rPr>
                <w:rStyle w:val="InternetLink"/>
                <w:color w:val="000000"/>
                <w:sz w:val="28"/>
                <w:szCs w:val="28"/>
                <w:u w:val="none"/>
              </w:rPr>
              <w:t xml:space="preserve"> (відстрочена, хронічна). </w:t>
            </w:r>
            <w:r>
              <w:rPr>
                <w:rStyle w:val="InternetLink"/>
                <w:color w:val="000000"/>
                <w:sz w:val="28"/>
                <w:szCs w:val="28"/>
                <w:u w:val="none"/>
              </w:rPr>
              <w:br/>
              <w:t xml:space="preserve">Використовувався метод </w:t>
            </w:r>
            <w:r>
              <w:rPr>
                <w:rStyle w:val="StrongEmphasis"/>
                <w:b w:val="0"/>
                <w:bCs w:val="0"/>
                <w:color w:val="000000"/>
                <w:sz w:val="28"/>
                <w:szCs w:val="28"/>
              </w:rPr>
              <w:t>"наркосинтезу"</w:t>
            </w:r>
            <w:r>
              <w:rPr>
                <w:rStyle w:val="InternetLink"/>
                <w:color w:val="000000"/>
                <w:sz w:val="28"/>
                <w:szCs w:val="28"/>
                <w:u w:val="none"/>
              </w:rPr>
              <w:t xml:space="preserve"> – </w:t>
            </w:r>
            <w:r>
              <w:rPr>
                <w:rStyle w:val="StrongEmphasis"/>
                <w:b w:val="0"/>
                <w:bCs w:val="0"/>
                <w:color w:val="000000"/>
                <w:sz w:val="28"/>
                <w:szCs w:val="28"/>
              </w:rPr>
              <w:t>виклик катарсису</w:t>
            </w:r>
            <w:r>
              <w:rPr>
                <w:rStyle w:val="InternetLink"/>
                <w:color w:val="000000"/>
                <w:sz w:val="28"/>
                <w:szCs w:val="28"/>
                <w:u w:val="none"/>
              </w:rPr>
              <w:t xml:space="preserve"> за допомогою </w:t>
            </w:r>
            <w:r>
              <w:rPr>
                <w:rStyle w:val="StrongEmphasis"/>
                <w:b w:val="0"/>
                <w:bCs w:val="0"/>
                <w:color w:val="000000"/>
                <w:sz w:val="28"/>
                <w:szCs w:val="28"/>
              </w:rPr>
              <w:t>барбітуратів</w:t>
            </w:r>
            <w:r>
              <w:rPr>
                <w:rStyle w:val="InternetLink"/>
                <w:color w:val="000000"/>
                <w:sz w:val="28"/>
                <w:szCs w:val="28"/>
                <w:u w:val="none"/>
              </w:rPr>
              <w:t xml:space="preserve"> (снодійні засоби), що дозволяло вивести пригнічений досвід</w:t>
            </w:r>
            <w:r>
              <w:rPr>
                <w:rStyle w:val="InternetLink"/>
                <w:color w:val="000000"/>
                <w:sz w:val="28"/>
                <w:szCs w:val="28"/>
              </w:rPr>
              <w:t xml:space="preserve"> </w:t>
            </w:r>
            <w:r>
              <w:rPr>
                <w:rStyle w:val="InternetLink"/>
                <w:color w:val="000000"/>
                <w:sz w:val="28"/>
                <w:szCs w:val="28"/>
                <w:u w:val="none"/>
              </w:rPr>
              <w:t xml:space="preserve">та емоції. </w:t>
            </w:r>
            <w:r>
              <w:rPr>
                <w:rStyle w:val="InternetLink"/>
                <w:color w:val="000000"/>
                <w:sz w:val="28"/>
                <w:szCs w:val="28"/>
                <w:u w:val="none"/>
              </w:rPr>
              <w:br/>
              <w:t xml:space="preserve">Застосовувалась </w:t>
            </w:r>
            <w:r>
              <w:rPr>
                <w:rStyle w:val="StrongEmphasis"/>
                <w:b w:val="0"/>
                <w:bCs w:val="0"/>
                <w:color w:val="000000"/>
                <w:sz w:val="28"/>
                <w:szCs w:val="28"/>
              </w:rPr>
              <w:t>психоаналітична інтерпретація</w:t>
            </w:r>
            <w:r>
              <w:rPr>
                <w:rStyle w:val="InternetLink"/>
                <w:color w:val="000000"/>
                <w:sz w:val="28"/>
                <w:szCs w:val="28"/>
                <w:u w:val="none"/>
              </w:rPr>
              <w:t xml:space="preserve"> симптомів (его-конфлікти, внутрішнє напруження) </w:t>
            </w:r>
            <w:r>
              <w:rPr>
                <w:rStyle w:val="InternetLink"/>
                <w:rFonts w:eastAsia="Calibri"/>
                <w:color w:val="000000"/>
                <w:sz w:val="28"/>
                <w:szCs w:val="28"/>
                <w:u w:val="none"/>
                <w:lang w:val="en-US"/>
              </w:rPr>
              <w:t>[31].</w:t>
            </w:r>
          </w:p>
        </w:tc>
      </w:tr>
      <w:tr w:rsidR="00B51242" w14:paraId="58F685DB" w14:textId="77777777">
        <w:tc>
          <w:tcPr>
            <w:tcW w:w="1068" w:type="dxa"/>
            <w:tcBorders>
              <w:left w:val="single" w:sz="2" w:space="0" w:color="000000"/>
              <w:bottom w:val="single" w:sz="2" w:space="0" w:color="000000"/>
            </w:tcBorders>
            <w:shd w:val="clear" w:color="auto" w:fill="auto"/>
          </w:tcPr>
          <w:p w14:paraId="7EF9D073" w14:textId="77777777" w:rsidR="00B51242" w:rsidRDefault="008E4E86">
            <w:pPr>
              <w:spacing w:line="360" w:lineRule="auto"/>
              <w:jc w:val="both"/>
              <w:rPr>
                <w:sz w:val="28"/>
                <w:szCs w:val="28"/>
              </w:rPr>
            </w:pPr>
            <w:r>
              <w:rPr>
                <w:color w:val="000000"/>
                <w:sz w:val="28"/>
                <w:szCs w:val="28"/>
              </w:rPr>
              <w:t>1952</w:t>
            </w:r>
          </w:p>
        </w:tc>
        <w:tc>
          <w:tcPr>
            <w:tcW w:w="4991" w:type="dxa"/>
            <w:tcBorders>
              <w:left w:val="single" w:sz="2" w:space="0" w:color="000000"/>
              <w:bottom w:val="single" w:sz="2" w:space="0" w:color="000000"/>
            </w:tcBorders>
            <w:shd w:val="clear" w:color="auto" w:fill="auto"/>
          </w:tcPr>
          <w:p w14:paraId="6CFE2B0E" w14:textId="77777777" w:rsidR="00B51242" w:rsidRDefault="008E4E86">
            <w:pPr>
              <w:spacing w:line="360" w:lineRule="auto"/>
              <w:jc w:val="both"/>
            </w:pPr>
            <w:r>
              <w:rPr>
                <w:color w:val="000000"/>
                <w:sz w:val="28"/>
                <w:szCs w:val="28"/>
              </w:rPr>
              <w:t xml:space="preserve">У </w:t>
            </w:r>
            <w:r>
              <w:rPr>
                <w:rStyle w:val="StrongEmphasis"/>
                <w:b w:val="0"/>
                <w:bCs w:val="0"/>
                <w:color w:val="000000"/>
                <w:sz w:val="28"/>
                <w:szCs w:val="28"/>
              </w:rPr>
              <w:t>першій редакції DSM (DSM-I)</w:t>
            </w:r>
            <w:r>
              <w:rPr>
                <w:color w:val="000000"/>
                <w:sz w:val="28"/>
                <w:szCs w:val="28"/>
              </w:rPr>
              <w:t xml:space="preserve"> Американського психіатричного товариства з’явився термін </w:t>
            </w:r>
            <w:r>
              <w:rPr>
                <w:rStyle w:val="StrongEmphasis"/>
                <w:b w:val="0"/>
                <w:bCs w:val="0"/>
                <w:color w:val="000000"/>
                <w:sz w:val="28"/>
                <w:szCs w:val="28"/>
              </w:rPr>
              <w:t>«Реакція на сильний емоційний і фізичний стрес»</w:t>
            </w:r>
            <w:r>
              <w:rPr>
                <w:color w:val="000000"/>
                <w:sz w:val="28"/>
                <w:szCs w:val="28"/>
              </w:rPr>
              <w:t>.</w:t>
            </w:r>
            <w:r>
              <w:rPr>
                <w:color w:val="000000"/>
                <w:sz w:val="28"/>
                <w:szCs w:val="28"/>
              </w:rPr>
              <w:br/>
              <w:t xml:space="preserve">– Це була </w:t>
            </w:r>
            <w:r>
              <w:rPr>
                <w:rStyle w:val="StrongEmphasis"/>
                <w:b w:val="0"/>
                <w:bCs w:val="0"/>
                <w:color w:val="000000"/>
                <w:sz w:val="28"/>
                <w:szCs w:val="28"/>
              </w:rPr>
              <w:t>рання форма визнання</w:t>
            </w:r>
            <w:r>
              <w:rPr>
                <w:color w:val="000000"/>
                <w:sz w:val="28"/>
                <w:szCs w:val="28"/>
              </w:rPr>
              <w:t xml:space="preserve"> посттравматичних симптомів після війни.</w:t>
            </w:r>
            <w:r>
              <w:rPr>
                <w:color w:val="000000"/>
                <w:sz w:val="28"/>
                <w:szCs w:val="28"/>
              </w:rPr>
              <w:br/>
              <w:t xml:space="preserve">– Симптоми не класифікувались як окрема хвороба, але визнавались як </w:t>
            </w:r>
            <w:r>
              <w:rPr>
                <w:rStyle w:val="StrongEmphasis"/>
                <w:b w:val="0"/>
                <w:bCs w:val="0"/>
                <w:color w:val="000000"/>
                <w:sz w:val="28"/>
                <w:szCs w:val="28"/>
              </w:rPr>
              <w:t>тимчасова реакція</w:t>
            </w:r>
            <w:r>
              <w:rPr>
                <w:color w:val="000000"/>
                <w:sz w:val="28"/>
                <w:szCs w:val="28"/>
              </w:rPr>
              <w:t xml:space="preserve"> на надзвичайний стрес [</w:t>
            </w:r>
            <w:r w:rsidRPr="00D3629B">
              <w:rPr>
                <w:color w:val="000000"/>
                <w:sz w:val="28"/>
                <w:szCs w:val="28"/>
              </w:rPr>
              <w:t>27].</w:t>
            </w:r>
          </w:p>
        </w:tc>
        <w:tc>
          <w:tcPr>
            <w:tcW w:w="2732" w:type="dxa"/>
            <w:tcBorders>
              <w:left w:val="single" w:sz="2" w:space="0" w:color="000000"/>
              <w:bottom w:val="single" w:sz="2" w:space="0" w:color="000000"/>
              <w:right w:val="single" w:sz="2" w:space="0" w:color="000000"/>
            </w:tcBorders>
            <w:shd w:val="clear" w:color="auto" w:fill="auto"/>
          </w:tcPr>
          <w:p w14:paraId="0467779C" w14:textId="77777777" w:rsidR="00B51242" w:rsidRDefault="008E4E86">
            <w:pPr>
              <w:spacing w:line="360" w:lineRule="auto"/>
              <w:jc w:val="both"/>
            </w:pPr>
            <w:r>
              <w:rPr>
                <w:color w:val="000000"/>
                <w:sz w:val="28"/>
                <w:szCs w:val="28"/>
              </w:rPr>
              <w:t xml:space="preserve">– Основний акцент робився на </w:t>
            </w:r>
            <w:r>
              <w:rPr>
                <w:rStyle w:val="StrongEmphasis"/>
                <w:b w:val="0"/>
                <w:bCs w:val="0"/>
                <w:color w:val="000000"/>
                <w:sz w:val="28"/>
                <w:szCs w:val="28"/>
              </w:rPr>
              <w:t>тимчасовості</w:t>
            </w:r>
            <w:r>
              <w:rPr>
                <w:color w:val="000000"/>
                <w:sz w:val="28"/>
                <w:szCs w:val="28"/>
              </w:rPr>
              <w:t xml:space="preserve"> реакції.</w:t>
            </w:r>
            <w:r>
              <w:rPr>
                <w:color w:val="000000"/>
                <w:sz w:val="28"/>
                <w:szCs w:val="28"/>
              </w:rPr>
              <w:br/>
              <w:t xml:space="preserve">– Рекомендації щодо лікування були </w:t>
            </w:r>
            <w:r>
              <w:rPr>
                <w:rStyle w:val="StrongEmphasis"/>
                <w:b w:val="0"/>
                <w:bCs w:val="0"/>
                <w:color w:val="000000"/>
                <w:sz w:val="28"/>
                <w:szCs w:val="28"/>
              </w:rPr>
              <w:t>загальними</w:t>
            </w:r>
            <w:r>
              <w:rPr>
                <w:color w:val="000000"/>
                <w:sz w:val="28"/>
                <w:szCs w:val="28"/>
              </w:rPr>
              <w:t>, без чітких меж між гострим і хронічним перебігом.</w:t>
            </w:r>
            <w:r>
              <w:rPr>
                <w:color w:val="000000"/>
                <w:sz w:val="28"/>
                <w:szCs w:val="28"/>
              </w:rPr>
              <w:br/>
              <w:t xml:space="preserve">– Відсутнє поняття </w:t>
            </w:r>
            <w:r>
              <w:rPr>
                <w:rStyle w:val="StrongEmphasis"/>
                <w:b w:val="0"/>
                <w:bCs w:val="0"/>
                <w:color w:val="000000"/>
                <w:sz w:val="28"/>
                <w:szCs w:val="28"/>
              </w:rPr>
              <w:t>довготривалого ПТСР</w:t>
            </w:r>
            <w:r>
              <w:rPr>
                <w:color w:val="000000"/>
                <w:sz w:val="28"/>
                <w:szCs w:val="28"/>
              </w:rPr>
              <w:t xml:space="preserve">, однак визнання реакції на стрес стало першим кроком до подальшого формального визначення ПТСР. </w:t>
            </w:r>
          </w:p>
        </w:tc>
      </w:tr>
      <w:tr w:rsidR="00B51242" w14:paraId="6D34BAAB" w14:textId="77777777">
        <w:tc>
          <w:tcPr>
            <w:tcW w:w="1068" w:type="dxa"/>
            <w:tcBorders>
              <w:left w:val="single" w:sz="2" w:space="0" w:color="000000"/>
              <w:bottom w:val="single" w:sz="2" w:space="0" w:color="000000"/>
            </w:tcBorders>
            <w:shd w:val="clear" w:color="auto" w:fill="auto"/>
          </w:tcPr>
          <w:p w14:paraId="30D2412E" w14:textId="77777777" w:rsidR="00B51242" w:rsidRDefault="008E4E86">
            <w:pPr>
              <w:spacing w:line="360" w:lineRule="auto"/>
              <w:jc w:val="both"/>
              <w:rPr>
                <w:sz w:val="28"/>
                <w:szCs w:val="28"/>
              </w:rPr>
            </w:pPr>
            <w:r>
              <w:rPr>
                <w:color w:val="000000"/>
                <w:sz w:val="28"/>
                <w:szCs w:val="28"/>
              </w:rPr>
              <w:t xml:space="preserve">1964–1973 (В'єтнамська війна) </w:t>
            </w:r>
            <w:r>
              <w:rPr>
                <w:color w:val="000000"/>
                <w:sz w:val="28"/>
                <w:szCs w:val="28"/>
              </w:rPr>
              <w:br/>
              <w:t xml:space="preserve">1970-ті рр. – післявоєнний період </w:t>
            </w:r>
          </w:p>
        </w:tc>
        <w:tc>
          <w:tcPr>
            <w:tcW w:w="4991" w:type="dxa"/>
            <w:tcBorders>
              <w:left w:val="single" w:sz="2" w:space="0" w:color="000000"/>
              <w:bottom w:val="single" w:sz="2" w:space="0" w:color="000000"/>
            </w:tcBorders>
            <w:shd w:val="clear" w:color="auto" w:fill="auto"/>
          </w:tcPr>
          <w:p w14:paraId="2F5A93E4" w14:textId="77777777" w:rsidR="00B51242" w:rsidRDefault="008E4E86">
            <w:pPr>
              <w:spacing w:after="140" w:line="360" w:lineRule="auto"/>
              <w:jc w:val="both"/>
            </w:pPr>
            <w:r>
              <w:rPr>
                <w:color w:val="000000"/>
                <w:sz w:val="28"/>
                <w:szCs w:val="28"/>
              </w:rPr>
              <w:t xml:space="preserve">– Під час війни: </w:t>
            </w:r>
            <w:r>
              <w:rPr>
                <w:rStyle w:val="StrongEmphasis"/>
                <w:b w:val="0"/>
                <w:bCs w:val="0"/>
                <w:color w:val="000000"/>
                <w:sz w:val="28"/>
                <w:szCs w:val="28"/>
              </w:rPr>
              <w:t>низький рівень гострих психіатричних втрат</w:t>
            </w:r>
            <w:r>
              <w:rPr>
                <w:color w:val="000000"/>
                <w:sz w:val="28"/>
                <w:szCs w:val="28"/>
              </w:rPr>
              <w:t xml:space="preserve"> — лише </w:t>
            </w:r>
            <w:r>
              <w:rPr>
                <w:rStyle w:val="StrongEmphasis"/>
                <w:b w:val="0"/>
                <w:bCs w:val="0"/>
                <w:color w:val="000000"/>
                <w:sz w:val="28"/>
                <w:szCs w:val="28"/>
              </w:rPr>
              <w:t>11,5 на 1000 осіб на рік</w:t>
            </w:r>
            <w:r>
              <w:rPr>
                <w:color w:val="000000"/>
                <w:sz w:val="28"/>
                <w:szCs w:val="28"/>
              </w:rPr>
              <w:t>, завдяки застосуванню принципів лікування на передовій.</w:t>
            </w:r>
            <w:r>
              <w:rPr>
                <w:color w:val="000000"/>
                <w:sz w:val="28"/>
                <w:szCs w:val="28"/>
              </w:rPr>
              <w:br/>
              <w:t xml:space="preserve">– Натомість зафіксовано </w:t>
            </w:r>
            <w:r>
              <w:rPr>
                <w:rStyle w:val="StrongEmphasis"/>
                <w:b w:val="0"/>
                <w:bCs w:val="0"/>
                <w:color w:val="000000"/>
                <w:sz w:val="28"/>
                <w:szCs w:val="28"/>
              </w:rPr>
              <w:t>високий рівень алкоголізму та наркоманії</w:t>
            </w:r>
            <w:r>
              <w:rPr>
                <w:color w:val="000000"/>
                <w:sz w:val="28"/>
                <w:szCs w:val="28"/>
              </w:rPr>
              <w:t>.</w:t>
            </w:r>
            <w:r>
              <w:rPr>
                <w:color w:val="000000"/>
                <w:sz w:val="28"/>
                <w:szCs w:val="28"/>
              </w:rPr>
              <w:br/>
              <w:t xml:space="preserve">– У післявоєнний період: </w:t>
            </w:r>
            <w:r>
              <w:rPr>
                <w:rStyle w:val="StrongEmphasis"/>
                <w:b w:val="0"/>
                <w:bCs w:val="0"/>
                <w:color w:val="000000"/>
                <w:sz w:val="28"/>
                <w:szCs w:val="28"/>
              </w:rPr>
              <w:t>близько 700 000 ветеранів</w:t>
            </w:r>
            <w:r>
              <w:rPr>
                <w:color w:val="000000"/>
                <w:sz w:val="28"/>
                <w:szCs w:val="28"/>
              </w:rPr>
              <w:t xml:space="preserve"> (≈25% з усіх, хто служив) потребували </w:t>
            </w:r>
            <w:r>
              <w:rPr>
                <w:rStyle w:val="StrongEmphasis"/>
                <w:b w:val="0"/>
                <w:bCs w:val="0"/>
                <w:color w:val="000000"/>
                <w:sz w:val="28"/>
                <w:szCs w:val="28"/>
              </w:rPr>
              <w:t>психологічної допомоги</w:t>
            </w:r>
            <w:r>
              <w:rPr>
                <w:color w:val="000000"/>
                <w:sz w:val="28"/>
                <w:szCs w:val="28"/>
              </w:rPr>
              <w:t>.</w:t>
            </w:r>
            <w:r>
              <w:rPr>
                <w:color w:val="000000"/>
                <w:sz w:val="28"/>
                <w:szCs w:val="28"/>
              </w:rPr>
              <w:br/>
              <w:t xml:space="preserve">– Симптоми </w:t>
            </w:r>
            <w:r>
              <w:rPr>
                <w:rStyle w:val="StrongEmphasis"/>
                <w:b w:val="0"/>
                <w:bCs w:val="0"/>
                <w:color w:val="000000"/>
                <w:sz w:val="28"/>
                <w:szCs w:val="28"/>
              </w:rPr>
              <w:t>відстроченого та хронічного ПТСР</w:t>
            </w:r>
            <w:r>
              <w:rPr>
                <w:color w:val="000000"/>
                <w:sz w:val="28"/>
                <w:szCs w:val="28"/>
              </w:rPr>
              <w:t>: тривога, депресія, ізоляція, деструктивна поведінка.</w:t>
            </w:r>
            <w:r>
              <w:rPr>
                <w:color w:val="000000"/>
                <w:sz w:val="28"/>
                <w:szCs w:val="28"/>
              </w:rPr>
              <w:br/>
              <w:t xml:space="preserve">– Аналогічні картини ПТСР виявлені у ветеранів </w:t>
            </w:r>
            <w:r>
              <w:rPr>
                <w:rStyle w:val="StrongEmphasis"/>
                <w:b w:val="0"/>
                <w:bCs w:val="0"/>
                <w:color w:val="000000"/>
                <w:sz w:val="28"/>
                <w:szCs w:val="28"/>
              </w:rPr>
              <w:t xml:space="preserve">Індокитайської та Алжирської воєн </w:t>
            </w:r>
            <w:r w:rsidRPr="00D3629B">
              <w:rPr>
                <w:rStyle w:val="InternetLink"/>
                <w:rFonts w:eastAsia="Calibri"/>
                <w:color w:val="000000"/>
                <w:sz w:val="28"/>
                <w:szCs w:val="28"/>
                <w:u w:val="none"/>
              </w:rPr>
              <w:t>[31].</w:t>
            </w:r>
          </w:p>
        </w:tc>
        <w:tc>
          <w:tcPr>
            <w:tcW w:w="2732" w:type="dxa"/>
            <w:tcBorders>
              <w:left w:val="single" w:sz="2" w:space="0" w:color="000000"/>
              <w:bottom w:val="single" w:sz="2" w:space="0" w:color="000000"/>
              <w:right w:val="single" w:sz="2" w:space="0" w:color="000000"/>
            </w:tcBorders>
            <w:shd w:val="clear" w:color="auto" w:fill="auto"/>
          </w:tcPr>
          <w:p w14:paraId="5F048A57" w14:textId="77777777" w:rsidR="00B51242" w:rsidRDefault="008E4E86">
            <w:pPr>
              <w:spacing w:line="360" w:lineRule="auto"/>
              <w:jc w:val="both"/>
            </w:pPr>
            <w:r>
              <w:rPr>
                <w:rStyle w:val="StrongEmphasis"/>
                <w:b w:val="0"/>
                <w:bCs w:val="0"/>
                <w:color w:val="000000"/>
                <w:sz w:val="28"/>
                <w:szCs w:val="28"/>
              </w:rPr>
              <w:t>– Принципи раннього втручання на передовій були ефективними під час війни, однак відстрочені реакції не були враховані в системі допомоги.</w:t>
            </w:r>
            <w:r>
              <w:rPr>
                <w:rStyle w:val="StrongEmphasis"/>
                <w:b w:val="0"/>
                <w:bCs w:val="0"/>
                <w:color w:val="000000"/>
                <w:sz w:val="28"/>
                <w:szCs w:val="28"/>
              </w:rPr>
              <w:br/>
              <w:t>– Невдовзі після війни почали з'являтися клінічні описи хронічного ПТСР, що спонукало до перегляду діагностичних підходів.</w:t>
            </w:r>
            <w:r>
              <w:rPr>
                <w:rStyle w:val="StrongEmphasis"/>
                <w:b w:val="0"/>
                <w:bCs w:val="0"/>
                <w:color w:val="000000"/>
                <w:sz w:val="28"/>
                <w:szCs w:val="28"/>
              </w:rPr>
              <w:br/>
              <w:t>– Ці спостереження стали підґрунтям для включення ПТСР до DSM-III у 1980 році.</w:t>
            </w:r>
            <w:r>
              <w:rPr>
                <w:rStyle w:val="StrongEmphasis"/>
                <w:b w:val="0"/>
                <w:bCs w:val="0"/>
                <w:color w:val="000000"/>
                <w:sz w:val="28"/>
                <w:szCs w:val="28"/>
              </w:rPr>
              <w:br/>
              <w:t xml:space="preserve">– З’явилися нові гіпотези: ПТСР може бути наслідком тривалих бойових дій низької інтенсивності (наприклад, партизанських конфліктів), а не тільки великих битв. </w:t>
            </w:r>
          </w:p>
        </w:tc>
      </w:tr>
      <w:tr w:rsidR="00B51242" w14:paraId="3A7E5952" w14:textId="77777777">
        <w:tc>
          <w:tcPr>
            <w:tcW w:w="1068" w:type="dxa"/>
            <w:tcBorders>
              <w:left w:val="single" w:sz="2" w:space="0" w:color="000000"/>
              <w:bottom w:val="single" w:sz="2" w:space="0" w:color="000000"/>
            </w:tcBorders>
            <w:shd w:val="clear" w:color="auto" w:fill="auto"/>
          </w:tcPr>
          <w:p w14:paraId="70C13E3D" w14:textId="77777777" w:rsidR="00B51242" w:rsidRDefault="008E4E86">
            <w:pPr>
              <w:spacing w:after="140" w:line="360" w:lineRule="auto"/>
              <w:jc w:val="both"/>
              <w:rPr>
                <w:sz w:val="28"/>
                <w:szCs w:val="28"/>
              </w:rPr>
            </w:pPr>
            <w:r>
              <w:rPr>
                <w:color w:val="000000"/>
                <w:sz w:val="28"/>
                <w:szCs w:val="28"/>
              </w:rPr>
              <w:t xml:space="preserve"> 19</w:t>
            </w:r>
            <w:r>
              <w:rPr>
                <w:color w:val="000000"/>
                <w:sz w:val="28"/>
                <w:szCs w:val="28"/>
                <w:lang w:val="en-US"/>
              </w:rPr>
              <w:t>80</w:t>
            </w:r>
            <w:r>
              <w:rPr>
                <w:color w:val="000000"/>
                <w:sz w:val="28"/>
                <w:szCs w:val="28"/>
              </w:rPr>
              <w:t xml:space="preserve"> </w:t>
            </w:r>
          </w:p>
        </w:tc>
        <w:tc>
          <w:tcPr>
            <w:tcW w:w="4991" w:type="dxa"/>
            <w:tcBorders>
              <w:left w:val="single" w:sz="2" w:space="0" w:color="000000"/>
              <w:bottom w:val="single" w:sz="2" w:space="0" w:color="000000"/>
            </w:tcBorders>
            <w:shd w:val="clear" w:color="auto" w:fill="auto"/>
          </w:tcPr>
          <w:p w14:paraId="5228F8A7" w14:textId="77777777" w:rsidR="00B51242" w:rsidRDefault="008E4E86">
            <w:pPr>
              <w:spacing w:after="140" w:line="360" w:lineRule="auto"/>
              <w:jc w:val="both"/>
              <w:rPr>
                <w:sz w:val="28"/>
                <w:szCs w:val="28"/>
              </w:rPr>
            </w:pPr>
            <w:r>
              <w:rPr>
                <w:color w:val="000000"/>
                <w:sz w:val="28"/>
                <w:szCs w:val="28"/>
              </w:rPr>
              <w:t xml:space="preserve">Вперше в </w:t>
            </w:r>
            <w:r>
              <w:rPr>
                <w:color w:val="000000"/>
                <w:sz w:val="28"/>
                <w:szCs w:val="28"/>
                <w:lang w:val="en-US"/>
              </w:rPr>
              <w:t>DSM</w:t>
            </w:r>
            <w:r w:rsidRPr="00D3629B">
              <w:rPr>
                <w:color w:val="000000"/>
                <w:sz w:val="28"/>
                <w:szCs w:val="28"/>
              </w:rPr>
              <w:t>-</w:t>
            </w:r>
            <w:r>
              <w:rPr>
                <w:color w:val="000000"/>
                <w:sz w:val="28"/>
                <w:szCs w:val="28"/>
                <w:lang w:val="en-US"/>
              </w:rPr>
              <w:t>III</w:t>
            </w:r>
            <w:r w:rsidRPr="00D3629B">
              <w:rPr>
                <w:color w:val="000000"/>
                <w:sz w:val="28"/>
                <w:szCs w:val="28"/>
              </w:rPr>
              <w:t xml:space="preserve"> </w:t>
            </w:r>
            <w:r>
              <w:rPr>
                <w:color w:val="000000"/>
                <w:sz w:val="28"/>
                <w:szCs w:val="28"/>
              </w:rPr>
              <w:t xml:space="preserve">(Diagnostic and Statistical Manual of Mental Disorders) офіційно визнано ПТСР як окремий психіатричний розлад. Симптоми: нав'язливі спогади, кошмари, уникнення, гіперзбудження. Поява терміну після війни у В'єтнамі. </w:t>
            </w:r>
          </w:p>
        </w:tc>
        <w:tc>
          <w:tcPr>
            <w:tcW w:w="2732" w:type="dxa"/>
            <w:tcBorders>
              <w:left w:val="single" w:sz="2" w:space="0" w:color="000000"/>
              <w:bottom w:val="single" w:sz="2" w:space="0" w:color="000000"/>
              <w:right w:val="single" w:sz="2" w:space="0" w:color="000000"/>
            </w:tcBorders>
            <w:shd w:val="clear" w:color="auto" w:fill="auto"/>
          </w:tcPr>
          <w:p w14:paraId="637940BB" w14:textId="77777777" w:rsidR="00B51242" w:rsidRDefault="008E4E86">
            <w:pPr>
              <w:spacing w:line="360" w:lineRule="auto"/>
              <w:jc w:val="both"/>
              <w:rPr>
                <w:sz w:val="28"/>
                <w:szCs w:val="28"/>
              </w:rPr>
            </w:pPr>
            <w:r>
              <w:rPr>
                <w:color w:val="000000"/>
                <w:sz w:val="28"/>
                <w:szCs w:val="28"/>
              </w:rPr>
              <w:t xml:space="preserve">Початок розвитку стандартів лікування. Застосування психотерапії (зокрема експозиційної), медикаментів. </w:t>
            </w:r>
          </w:p>
        </w:tc>
      </w:tr>
      <w:tr w:rsidR="00B51242" w14:paraId="0D94203A" w14:textId="77777777">
        <w:tc>
          <w:tcPr>
            <w:tcW w:w="1068" w:type="dxa"/>
            <w:tcBorders>
              <w:left w:val="single" w:sz="2" w:space="0" w:color="000000"/>
              <w:bottom w:val="single" w:sz="2" w:space="0" w:color="000000"/>
            </w:tcBorders>
            <w:shd w:val="clear" w:color="auto" w:fill="auto"/>
          </w:tcPr>
          <w:p w14:paraId="34B066E5" w14:textId="77777777" w:rsidR="00B51242" w:rsidRDefault="008E4E86">
            <w:pPr>
              <w:spacing w:after="140" w:line="360" w:lineRule="auto"/>
              <w:jc w:val="both"/>
              <w:rPr>
                <w:sz w:val="28"/>
                <w:szCs w:val="28"/>
              </w:rPr>
            </w:pPr>
            <w:r>
              <w:rPr>
                <w:color w:val="000000"/>
                <w:sz w:val="28"/>
                <w:szCs w:val="28"/>
                <w:lang w:val="en-US"/>
              </w:rPr>
              <w:t>1994</w:t>
            </w:r>
          </w:p>
        </w:tc>
        <w:tc>
          <w:tcPr>
            <w:tcW w:w="4991" w:type="dxa"/>
            <w:tcBorders>
              <w:left w:val="single" w:sz="2" w:space="0" w:color="000000"/>
              <w:bottom w:val="single" w:sz="2" w:space="0" w:color="000000"/>
            </w:tcBorders>
            <w:shd w:val="clear" w:color="auto" w:fill="auto"/>
          </w:tcPr>
          <w:p w14:paraId="184FB841" w14:textId="77777777" w:rsidR="00B51242" w:rsidRDefault="008E4E86">
            <w:pPr>
              <w:spacing w:after="140" w:line="360" w:lineRule="auto"/>
              <w:jc w:val="both"/>
            </w:pPr>
            <w:r>
              <w:rPr>
                <w:color w:val="000000"/>
                <w:sz w:val="28"/>
                <w:szCs w:val="28"/>
              </w:rPr>
              <w:t xml:space="preserve">В </w:t>
            </w:r>
            <w:r>
              <w:rPr>
                <w:color w:val="000000"/>
                <w:sz w:val="28"/>
                <w:szCs w:val="28"/>
                <w:lang w:val="en-US"/>
              </w:rPr>
              <w:t>DSM</w:t>
            </w:r>
            <w:r w:rsidRPr="00D3629B">
              <w:rPr>
                <w:color w:val="000000"/>
                <w:sz w:val="28"/>
                <w:szCs w:val="28"/>
                <w:lang w:val="ru-RU"/>
              </w:rPr>
              <w:t>-</w:t>
            </w:r>
            <w:r>
              <w:rPr>
                <w:color w:val="000000"/>
                <w:sz w:val="28"/>
                <w:szCs w:val="28"/>
                <w:lang w:val="en-US"/>
              </w:rPr>
              <w:t>IV</w:t>
            </w:r>
            <w:r w:rsidRPr="00D3629B">
              <w:rPr>
                <w:color w:val="000000"/>
                <w:sz w:val="28"/>
                <w:szCs w:val="28"/>
                <w:lang w:val="ru-RU"/>
              </w:rPr>
              <w:t xml:space="preserve"> </w:t>
            </w:r>
            <w:r>
              <w:rPr>
                <w:color w:val="000000"/>
                <w:sz w:val="28"/>
                <w:szCs w:val="28"/>
              </w:rPr>
              <w:t xml:space="preserve">розширено критерії діагностики. Зокрема — включено </w:t>
            </w:r>
            <w:r>
              <w:rPr>
                <w:rStyle w:val="StrongEmphasis"/>
                <w:b w:val="0"/>
                <w:bCs w:val="0"/>
                <w:color w:val="000000"/>
                <w:sz w:val="28"/>
                <w:szCs w:val="28"/>
              </w:rPr>
              <w:t>суб'єктивну реакцію на травму</w:t>
            </w:r>
            <w:r>
              <w:rPr>
                <w:color w:val="000000"/>
                <w:sz w:val="28"/>
                <w:szCs w:val="28"/>
              </w:rPr>
              <w:t xml:space="preserve"> (реакція жаху, безпорадності, страху). </w:t>
            </w:r>
          </w:p>
        </w:tc>
        <w:tc>
          <w:tcPr>
            <w:tcW w:w="2732" w:type="dxa"/>
            <w:tcBorders>
              <w:left w:val="single" w:sz="2" w:space="0" w:color="000000"/>
              <w:bottom w:val="single" w:sz="2" w:space="0" w:color="000000"/>
              <w:right w:val="single" w:sz="2" w:space="0" w:color="000000"/>
            </w:tcBorders>
            <w:shd w:val="clear" w:color="auto" w:fill="auto"/>
          </w:tcPr>
          <w:p w14:paraId="1B3C14AC" w14:textId="77777777" w:rsidR="00B51242" w:rsidRDefault="008E4E86">
            <w:pPr>
              <w:spacing w:line="360" w:lineRule="auto"/>
              <w:jc w:val="both"/>
              <w:rPr>
                <w:sz w:val="28"/>
                <w:szCs w:val="28"/>
              </w:rPr>
            </w:pPr>
            <w:r>
              <w:rPr>
                <w:color w:val="000000"/>
                <w:sz w:val="28"/>
                <w:szCs w:val="28"/>
              </w:rPr>
              <w:t xml:space="preserve">Розвиток когнітивно-поведінкової терапії (КПТ), початок досліджень EMDR (десенсибілізації та репроцесінгу рухами очей). </w:t>
            </w:r>
          </w:p>
        </w:tc>
      </w:tr>
      <w:tr w:rsidR="00B51242" w14:paraId="1A9B3E33" w14:textId="77777777">
        <w:tc>
          <w:tcPr>
            <w:tcW w:w="1068" w:type="dxa"/>
            <w:tcBorders>
              <w:left w:val="single" w:sz="2" w:space="0" w:color="000000"/>
              <w:bottom w:val="single" w:sz="2" w:space="0" w:color="000000"/>
            </w:tcBorders>
            <w:shd w:val="clear" w:color="auto" w:fill="auto"/>
          </w:tcPr>
          <w:p w14:paraId="4EB1DB3B" w14:textId="77777777" w:rsidR="00B51242" w:rsidRDefault="008E4E86">
            <w:pPr>
              <w:spacing w:after="140" w:line="360" w:lineRule="auto"/>
              <w:jc w:val="both"/>
              <w:rPr>
                <w:sz w:val="28"/>
                <w:szCs w:val="28"/>
              </w:rPr>
            </w:pPr>
            <w:r>
              <w:rPr>
                <w:color w:val="000000"/>
                <w:sz w:val="28"/>
                <w:szCs w:val="28"/>
              </w:rPr>
              <w:t>2013</w:t>
            </w:r>
          </w:p>
        </w:tc>
        <w:tc>
          <w:tcPr>
            <w:tcW w:w="4991" w:type="dxa"/>
            <w:tcBorders>
              <w:left w:val="single" w:sz="2" w:space="0" w:color="000000"/>
              <w:bottom w:val="single" w:sz="2" w:space="0" w:color="000000"/>
            </w:tcBorders>
            <w:shd w:val="clear" w:color="auto" w:fill="auto"/>
          </w:tcPr>
          <w:p w14:paraId="04C543CA" w14:textId="77777777" w:rsidR="00B51242" w:rsidRDefault="008E4E86">
            <w:pPr>
              <w:spacing w:after="140" w:line="360" w:lineRule="auto"/>
              <w:jc w:val="both"/>
            </w:pPr>
            <w:r>
              <w:rPr>
                <w:rStyle w:val="StrongEmphasis"/>
                <w:b w:val="0"/>
                <w:bCs w:val="0"/>
                <w:color w:val="000000"/>
                <w:sz w:val="28"/>
                <w:szCs w:val="28"/>
              </w:rPr>
              <w:t xml:space="preserve">В </w:t>
            </w:r>
            <w:r>
              <w:rPr>
                <w:rStyle w:val="StrongEmphasis"/>
                <w:b w:val="0"/>
                <w:bCs w:val="0"/>
                <w:color w:val="000000"/>
                <w:sz w:val="28"/>
                <w:szCs w:val="28"/>
                <w:lang w:val="en-US"/>
              </w:rPr>
              <w:t>DSM</w:t>
            </w:r>
            <w:r w:rsidRPr="00D3629B">
              <w:rPr>
                <w:rStyle w:val="StrongEmphasis"/>
                <w:b w:val="0"/>
                <w:bCs w:val="0"/>
                <w:color w:val="000000"/>
                <w:sz w:val="28"/>
                <w:szCs w:val="28"/>
                <w:lang w:val="ru-RU"/>
              </w:rPr>
              <w:t>-</w:t>
            </w:r>
            <w:r>
              <w:rPr>
                <w:rStyle w:val="StrongEmphasis"/>
                <w:b w:val="0"/>
                <w:bCs w:val="0"/>
                <w:color w:val="000000"/>
                <w:sz w:val="28"/>
                <w:szCs w:val="28"/>
                <w:lang w:val="en-US"/>
              </w:rPr>
              <w:t>V</w:t>
            </w:r>
            <w:r w:rsidRPr="00D3629B">
              <w:rPr>
                <w:rStyle w:val="StrongEmphasis"/>
                <w:b w:val="0"/>
                <w:bCs w:val="0"/>
                <w:color w:val="000000"/>
                <w:sz w:val="28"/>
                <w:szCs w:val="28"/>
                <w:lang w:val="ru-RU"/>
              </w:rPr>
              <w:t xml:space="preserve"> </w:t>
            </w:r>
            <w:r>
              <w:rPr>
                <w:rStyle w:val="StrongEmphasis"/>
                <w:b w:val="0"/>
                <w:bCs w:val="0"/>
                <w:color w:val="000000"/>
                <w:sz w:val="28"/>
                <w:szCs w:val="28"/>
              </w:rPr>
              <w:t>ПТСР виокремлено з розладів тривоги в окрему категорію — "Розлади, пов’язані з травмою та стресом".</w:t>
            </w:r>
            <w:r>
              <w:rPr>
                <w:color w:val="000000"/>
                <w:sz w:val="28"/>
                <w:szCs w:val="28"/>
              </w:rPr>
              <w:t xml:space="preserve"> Уточнено 4 кластери симптомів: 1) нав’язливі спогади, 2) уникнення, 3) зміни у настрої та мисленні, 4) гіперзбудження. Вперше додано діагностичні критерії для дітей до 6 років. </w:t>
            </w:r>
          </w:p>
        </w:tc>
        <w:tc>
          <w:tcPr>
            <w:tcW w:w="2732" w:type="dxa"/>
            <w:tcBorders>
              <w:left w:val="single" w:sz="2" w:space="0" w:color="000000"/>
              <w:bottom w:val="single" w:sz="2" w:space="0" w:color="000000"/>
              <w:right w:val="single" w:sz="2" w:space="0" w:color="000000"/>
            </w:tcBorders>
            <w:shd w:val="clear" w:color="auto" w:fill="auto"/>
          </w:tcPr>
          <w:p w14:paraId="616E1ABF" w14:textId="77777777" w:rsidR="00B51242" w:rsidRDefault="008E4E86">
            <w:pPr>
              <w:spacing w:after="140" w:line="360" w:lineRule="auto"/>
              <w:jc w:val="both"/>
              <w:rPr>
                <w:sz w:val="28"/>
                <w:szCs w:val="28"/>
              </w:rPr>
            </w:pPr>
            <w:r>
              <w:rPr>
                <w:color w:val="000000"/>
                <w:sz w:val="28"/>
                <w:szCs w:val="28"/>
              </w:rPr>
              <w:t xml:space="preserve">Систематизація підходів до лікування. Широке використання КПТ, EMDR, медикаментів (SSRIs). Визнання дисоціативного підтипу ПТСР. Початок інтенсивнішої роботи з ветеранами, жертвами насильства, біженцями. </w:t>
            </w:r>
          </w:p>
        </w:tc>
      </w:tr>
      <w:tr w:rsidR="00B51242" w14:paraId="519D470A" w14:textId="77777777">
        <w:tc>
          <w:tcPr>
            <w:tcW w:w="1068" w:type="dxa"/>
            <w:tcBorders>
              <w:left w:val="single" w:sz="2" w:space="0" w:color="000000"/>
              <w:bottom w:val="single" w:sz="2" w:space="0" w:color="000000"/>
            </w:tcBorders>
            <w:shd w:val="clear" w:color="auto" w:fill="auto"/>
          </w:tcPr>
          <w:p w14:paraId="1FBE425F" w14:textId="77777777" w:rsidR="00B51242" w:rsidRDefault="008E4E86">
            <w:pPr>
              <w:spacing w:after="140" w:line="360" w:lineRule="auto"/>
              <w:jc w:val="both"/>
              <w:rPr>
                <w:sz w:val="28"/>
                <w:szCs w:val="28"/>
              </w:rPr>
            </w:pPr>
            <w:r>
              <w:rPr>
                <w:color w:val="000000"/>
                <w:sz w:val="28"/>
                <w:szCs w:val="28"/>
                <w:lang w:val="en-US"/>
              </w:rPr>
              <w:t>202</w:t>
            </w:r>
            <w:r>
              <w:rPr>
                <w:color w:val="000000"/>
                <w:sz w:val="28"/>
                <w:szCs w:val="28"/>
              </w:rPr>
              <w:t>2</w:t>
            </w:r>
          </w:p>
        </w:tc>
        <w:tc>
          <w:tcPr>
            <w:tcW w:w="4991" w:type="dxa"/>
            <w:tcBorders>
              <w:left w:val="single" w:sz="2" w:space="0" w:color="000000"/>
              <w:bottom w:val="single" w:sz="2" w:space="0" w:color="000000"/>
            </w:tcBorders>
            <w:shd w:val="clear" w:color="auto" w:fill="auto"/>
          </w:tcPr>
          <w:p w14:paraId="4C4E1594" w14:textId="77777777" w:rsidR="00B51242" w:rsidRDefault="008E4E86">
            <w:pPr>
              <w:spacing w:after="140" w:line="360" w:lineRule="auto"/>
              <w:jc w:val="both"/>
            </w:pPr>
            <w:r>
              <w:rPr>
                <w:rStyle w:val="StrongEmphasis"/>
                <w:b w:val="0"/>
                <w:bCs w:val="0"/>
                <w:color w:val="000000"/>
                <w:sz w:val="28"/>
                <w:szCs w:val="28"/>
              </w:rPr>
              <w:t xml:space="preserve">В останньому варіанті </w:t>
            </w:r>
            <w:r>
              <w:rPr>
                <w:rStyle w:val="StrongEmphasis"/>
                <w:b w:val="0"/>
                <w:bCs w:val="0"/>
                <w:color w:val="000000"/>
                <w:sz w:val="28"/>
                <w:szCs w:val="28"/>
                <w:lang w:val="en-US"/>
              </w:rPr>
              <w:t>DSM</w:t>
            </w:r>
            <w:r w:rsidRPr="00D3629B">
              <w:rPr>
                <w:rStyle w:val="StrongEmphasis"/>
                <w:b w:val="0"/>
                <w:bCs w:val="0"/>
                <w:color w:val="000000"/>
                <w:sz w:val="28"/>
                <w:szCs w:val="28"/>
                <w:lang w:val="ru-RU"/>
              </w:rPr>
              <w:t>-5-</w:t>
            </w:r>
            <w:r>
              <w:rPr>
                <w:rStyle w:val="StrongEmphasis"/>
                <w:b w:val="0"/>
                <w:bCs w:val="0"/>
                <w:color w:val="000000"/>
                <w:sz w:val="28"/>
                <w:szCs w:val="28"/>
                <w:lang w:val="en-US"/>
              </w:rPr>
              <w:t>TR</w:t>
            </w:r>
            <w:r w:rsidRPr="00D3629B">
              <w:rPr>
                <w:rStyle w:val="StrongEmphasis"/>
                <w:b w:val="0"/>
                <w:bCs w:val="0"/>
                <w:color w:val="000000"/>
                <w:sz w:val="28"/>
                <w:szCs w:val="28"/>
                <w:lang w:val="ru-RU"/>
              </w:rPr>
              <w:t xml:space="preserve"> </w:t>
            </w:r>
            <w:r>
              <w:rPr>
                <w:color w:val="000000"/>
                <w:sz w:val="28"/>
                <w:szCs w:val="28"/>
              </w:rPr>
              <w:t xml:space="preserve">ПТСР більше </w:t>
            </w:r>
            <w:r>
              <w:rPr>
                <w:rStyle w:val="StrongEmphasis"/>
                <w:b w:val="0"/>
                <w:bCs w:val="0"/>
                <w:color w:val="000000"/>
                <w:sz w:val="28"/>
                <w:szCs w:val="28"/>
              </w:rPr>
              <w:t>не належить до тривожних розладів</w:t>
            </w:r>
            <w:r>
              <w:rPr>
                <w:color w:val="000000"/>
                <w:sz w:val="28"/>
                <w:szCs w:val="28"/>
              </w:rPr>
              <w:t xml:space="preserve">, а розглядається як </w:t>
            </w:r>
            <w:r>
              <w:rPr>
                <w:rStyle w:val="StrongEmphasis"/>
                <w:b w:val="0"/>
                <w:bCs w:val="0"/>
                <w:color w:val="000000"/>
                <w:sz w:val="28"/>
                <w:szCs w:val="28"/>
              </w:rPr>
              <w:t>реакція на стресогенну подію</w:t>
            </w:r>
            <w:r>
              <w:rPr>
                <w:color w:val="000000"/>
                <w:sz w:val="28"/>
                <w:szCs w:val="28"/>
              </w:rPr>
              <w:t xml:space="preserve">. Фіксується як масове явище серед військових, цивільних (зокрема в умовах війни в Україні, пандемії COVID-19, глобальних катастроф). Уперше в психіатричній класифікації запроваджено </w:t>
            </w:r>
            <w:r>
              <w:rPr>
                <w:rStyle w:val="StrongEmphasis"/>
                <w:b w:val="0"/>
                <w:bCs w:val="0"/>
                <w:color w:val="000000"/>
                <w:sz w:val="28"/>
                <w:szCs w:val="28"/>
              </w:rPr>
              <w:t>різні критерії для дітей молодшого віку</w:t>
            </w:r>
            <w:r>
              <w:rPr>
                <w:color w:val="000000"/>
                <w:sz w:val="28"/>
                <w:szCs w:val="28"/>
              </w:rPr>
              <w:t xml:space="preserve">. Сильна увага до </w:t>
            </w:r>
            <w:r>
              <w:rPr>
                <w:rStyle w:val="StrongEmphasis"/>
                <w:b w:val="0"/>
                <w:bCs w:val="0"/>
                <w:color w:val="000000"/>
                <w:sz w:val="28"/>
                <w:szCs w:val="28"/>
              </w:rPr>
              <w:t>когнітивних та афективних змін</w:t>
            </w:r>
            <w:r>
              <w:rPr>
                <w:color w:val="000000"/>
                <w:sz w:val="28"/>
                <w:szCs w:val="28"/>
              </w:rPr>
              <w:t xml:space="preserve">, які не обов’язково мають форму страху (наприклад, сором, вина).  DSM-5-TR уточнює </w:t>
            </w:r>
            <w:r>
              <w:rPr>
                <w:rStyle w:val="StrongEmphasis"/>
                <w:b w:val="0"/>
                <w:bCs w:val="0"/>
                <w:color w:val="000000"/>
                <w:sz w:val="28"/>
                <w:szCs w:val="28"/>
              </w:rPr>
              <w:t>гендерні та культурні відмінності</w:t>
            </w:r>
            <w:r>
              <w:rPr>
                <w:color w:val="000000"/>
                <w:sz w:val="28"/>
                <w:szCs w:val="28"/>
              </w:rPr>
              <w:t xml:space="preserve"> у переживанні ПТСР, не змінюючи структури діагнозу. </w:t>
            </w:r>
          </w:p>
        </w:tc>
        <w:tc>
          <w:tcPr>
            <w:tcW w:w="2732" w:type="dxa"/>
            <w:tcBorders>
              <w:left w:val="single" w:sz="2" w:space="0" w:color="000000"/>
              <w:bottom w:val="single" w:sz="2" w:space="0" w:color="000000"/>
              <w:right w:val="single" w:sz="2" w:space="0" w:color="000000"/>
            </w:tcBorders>
            <w:shd w:val="clear" w:color="auto" w:fill="auto"/>
          </w:tcPr>
          <w:p w14:paraId="603C2A78" w14:textId="77777777" w:rsidR="00B51242" w:rsidRDefault="008E4E86">
            <w:pPr>
              <w:spacing w:line="360" w:lineRule="auto"/>
              <w:jc w:val="both"/>
              <w:rPr>
                <w:sz w:val="28"/>
                <w:szCs w:val="28"/>
              </w:rPr>
            </w:pPr>
            <w:r>
              <w:rPr>
                <w:color w:val="000000"/>
                <w:sz w:val="28"/>
                <w:szCs w:val="28"/>
              </w:rPr>
              <w:t xml:space="preserve">Поява спеціалізованих центрів психічного здоров'я. Онлайн-психотерапія, мобільні застосунки, групові та сімейні втручання. Адаптація протоколів у міжнародних і локальних системах охорони здоров'я. </w:t>
            </w:r>
          </w:p>
        </w:tc>
      </w:tr>
    </w:tbl>
    <w:p w14:paraId="66A1FAB9" w14:textId="77777777" w:rsidR="00B51242" w:rsidRDefault="00B51242">
      <w:pPr>
        <w:spacing w:line="360" w:lineRule="auto"/>
        <w:jc w:val="both"/>
        <w:rPr>
          <w:color w:val="000000"/>
          <w:sz w:val="28"/>
          <w:szCs w:val="28"/>
        </w:rPr>
      </w:pPr>
    </w:p>
    <w:p w14:paraId="76BB753C" w14:textId="77777777" w:rsidR="00B51242" w:rsidRDefault="00B51242">
      <w:pPr>
        <w:spacing w:line="360" w:lineRule="auto"/>
        <w:jc w:val="both"/>
        <w:rPr>
          <w:color w:val="000000"/>
          <w:sz w:val="28"/>
          <w:szCs w:val="28"/>
          <w:lang w:val="ru-RU"/>
        </w:rPr>
      </w:pPr>
    </w:p>
    <w:p w14:paraId="513DA1E0" w14:textId="77777777" w:rsidR="00B51242" w:rsidRDefault="00B51242">
      <w:pPr>
        <w:spacing w:after="140" w:line="360" w:lineRule="auto"/>
        <w:jc w:val="right"/>
        <w:rPr>
          <w:sz w:val="28"/>
          <w:szCs w:val="28"/>
        </w:rPr>
      </w:pPr>
    </w:p>
    <w:p w14:paraId="75CAC6F5" w14:textId="77777777" w:rsidR="00B51242" w:rsidRDefault="00B51242">
      <w:pPr>
        <w:spacing w:after="140" w:line="360" w:lineRule="auto"/>
        <w:jc w:val="right"/>
        <w:rPr>
          <w:sz w:val="28"/>
          <w:szCs w:val="28"/>
        </w:rPr>
      </w:pPr>
    </w:p>
    <w:p w14:paraId="66060428" w14:textId="77777777" w:rsidR="00B51242" w:rsidRDefault="00B51242">
      <w:pPr>
        <w:spacing w:after="140" w:line="360" w:lineRule="auto"/>
        <w:jc w:val="right"/>
        <w:rPr>
          <w:sz w:val="28"/>
          <w:szCs w:val="28"/>
        </w:rPr>
      </w:pPr>
    </w:p>
    <w:p w14:paraId="1D0656FE" w14:textId="77777777" w:rsidR="00B51242" w:rsidRDefault="00B51242">
      <w:pPr>
        <w:spacing w:after="140" w:line="360" w:lineRule="auto"/>
        <w:jc w:val="right"/>
        <w:rPr>
          <w:sz w:val="28"/>
          <w:szCs w:val="28"/>
        </w:rPr>
      </w:pPr>
    </w:p>
    <w:p w14:paraId="7B37605A" w14:textId="77777777" w:rsidR="00B51242" w:rsidRDefault="00B51242">
      <w:pPr>
        <w:spacing w:after="140" w:line="360" w:lineRule="auto"/>
        <w:jc w:val="right"/>
        <w:rPr>
          <w:sz w:val="28"/>
          <w:szCs w:val="28"/>
        </w:rPr>
      </w:pPr>
    </w:p>
    <w:p w14:paraId="394798F2" w14:textId="77777777" w:rsidR="00B51242" w:rsidRDefault="00B51242">
      <w:pPr>
        <w:spacing w:after="140" w:line="360" w:lineRule="auto"/>
        <w:jc w:val="right"/>
        <w:rPr>
          <w:sz w:val="28"/>
          <w:szCs w:val="28"/>
        </w:rPr>
      </w:pPr>
    </w:p>
    <w:p w14:paraId="3889A505" w14:textId="77777777" w:rsidR="00B51242" w:rsidRDefault="00B51242">
      <w:pPr>
        <w:spacing w:after="140" w:line="360" w:lineRule="auto"/>
        <w:jc w:val="right"/>
        <w:rPr>
          <w:sz w:val="28"/>
          <w:szCs w:val="28"/>
        </w:rPr>
      </w:pPr>
    </w:p>
    <w:p w14:paraId="29079D35" w14:textId="77777777" w:rsidR="00B51242" w:rsidRDefault="00B51242">
      <w:pPr>
        <w:spacing w:after="140" w:line="360" w:lineRule="auto"/>
        <w:jc w:val="right"/>
        <w:rPr>
          <w:sz w:val="28"/>
          <w:szCs w:val="28"/>
        </w:rPr>
      </w:pPr>
    </w:p>
    <w:p w14:paraId="17686DC7" w14:textId="77777777" w:rsidR="00B51242" w:rsidRDefault="00B51242">
      <w:pPr>
        <w:spacing w:after="140" w:line="360" w:lineRule="auto"/>
        <w:jc w:val="right"/>
        <w:rPr>
          <w:sz w:val="28"/>
          <w:szCs w:val="28"/>
        </w:rPr>
      </w:pPr>
    </w:p>
    <w:p w14:paraId="53BD644D" w14:textId="77777777" w:rsidR="00B51242" w:rsidRDefault="00B51242">
      <w:pPr>
        <w:spacing w:after="140" w:line="360" w:lineRule="auto"/>
        <w:jc w:val="right"/>
        <w:rPr>
          <w:sz w:val="28"/>
          <w:szCs w:val="28"/>
        </w:rPr>
      </w:pPr>
    </w:p>
    <w:p w14:paraId="1A3FAC43" w14:textId="77777777" w:rsidR="00B51242" w:rsidRDefault="00B51242">
      <w:pPr>
        <w:spacing w:after="140" w:line="360" w:lineRule="auto"/>
        <w:jc w:val="right"/>
        <w:rPr>
          <w:sz w:val="28"/>
          <w:szCs w:val="28"/>
        </w:rPr>
      </w:pPr>
    </w:p>
    <w:p w14:paraId="2BBD94B2" w14:textId="77777777" w:rsidR="00B51242" w:rsidRDefault="00B51242">
      <w:pPr>
        <w:spacing w:after="140" w:line="360" w:lineRule="auto"/>
        <w:jc w:val="right"/>
        <w:rPr>
          <w:b/>
          <w:bCs/>
          <w:color w:val="000000"/>
        </w:rPr>
      </w:pPr>
    </w:p>
    <w:p w14:paraId="4A9204B9" w14:textId="77777777" w:rsidR="00B51242" w:rsidRDefault="008E4E86">
      <w:pPr>
        <w:spacing w:after="140" w:line="360" w:lineRule="auto"/>
        <w:jc w:val="right"/>
        <w:rPr>
          <w:sz w:val="28"/>
          <w:szCs w:val="28"/>
        </w:rPr>
      </w:pPr>
      <w:r>
        <w:rPr>
          <w:b/>
          <w:bCs/>
          <w:color w:val="000000"/>
          <w:sz w:val="28"/>
          <w:szCs w:val="28"/>
        </w:rPr>
        <w:t>Додаток Б</w:t>
      </w:r>
    </w:p>
    <w:p w14:paraId="732552EA" w14:textId="77777777" w:rsidR="00B51242" w:rsidRDefault="008E4E86">
      <w:pPr>
        <w:spacing w:line="360" w:lineRule="auto"/>
        <w:jc w:val="center"/>
        <w:rPr>
          <w:sz w:val="28"/>
          <w:szCs w:val="28"/>
        </w:rPr>
      </w:pPr>
      <w:r>
        <w:rPr>
          <w:b/>
          <w:bCs/>
          <w:color w:val="000000"/>
          <w:sz w:val="28"/>
          <w:szCs w:val="28"/>
          <w:lang w:val="ru-RU"/>
        </w:rPr>
        <w:t>Пор</w:t>
      </w:r>
      <w:r>
        <w:rPr>
          <w:b/>
          <w:bCs/>
          <w:color w:val="000000"/>
          <w:sz w:val="28"/>
          <w:szCs w:val="28"/>
        </w:rPr>
        <w:t xml:space="preserve">івняльня таблиця визначення ПТСП </w:t>
      </w:r>
    </w:p>
    <w:p w14:paraId="55C0C0AF" w14:textId="77777777" w:rsidR="00B51242" w:rsidRDefault="008E4E86">
      <w:pPr>
        <w:spacing w:line="360" w:lineRule="auto"/>
        <w:jc w:val="center"/>
        <w:rPr>
          <w:sz w:val="28"/>
          <w:szCs w:val="28"/>
        </w:rPr>
      </w:pPr>
      <w:r>
        <w:rPr>
          <w:b/>
          <w:bCs/>
          <w:color w:val="000000"/>
          <w:sz w:val="28"/>
          <w:szCs w:val="28"/>
        </w:rPr>
        <w:t>та кластерів за МКХ-11 та DSM-5-TR.</w:t>
      </w:r>
    </w:p>
    <w:tbl>
      <w:tblPr>
        <w:tblW w:w="9245" w:type="dxa"/>
        <w:tblCellMar>
          <w:top w:w="55" w:type="dxa"/>
          <w:left w:w="55" w:type="dxa"/>
          <w:bottom w:w="55" w:type="dxa"/>
          <w:right w:w="55" w:type="dxa"/>
        </w:tblCellMar>
        <w:tblLook w:val="04A0" w:firstRow="1" w:lastRow="0" w:firstColumn="1" w:lastColumn="0" w:noHBand="0" w:noVBand="1"/>
      </w:tblPr>
      <w:tblGrid>
        <w:gridCol w:w="4136"/>
        <w:gridCol w:w="5109"/>
      </w:tblGrid>
      <w:tr w:rsidR="00B51242" w14:paraId="6E40A02C" w14:textId="77777777">
        <w:tc>
          <w:tcPr>
            <w:tcW w:w="4136" w:type="dxa"/>
            <w:tcBorders>
              <w:top w:val="single" w:sz="4" w:space="0" w:color="000000"/>
              <w:left w:val="single" w:sz="4" w:space="0" w:color="000000"/>
              <w:bottom w:val="single" w:sz="4" w:space="0" w:color="000000"/>
            </w:tcBorders>
            <w:shd w:val="clear" w:color="auto" w:fill="auto"/>
          </w:tcPr>
          <w:p w14:paraId="4C1126FC" w14:textId="77777777" w:rsidR="00B51242" w:rsidRDefault="008E4E86">
            <w:pPr>
              <w:spacing w:line="360" w:lineRule="auto"/>
              <w:jc w:val="both"/>
            </w:pPr>
            <w:r>
              <w:rPr>
                <w:rStyle w:val="StrongEmphasis"/>
                <w:b w:val="0"/>
                <w:bCs w:val="0"/>
                <w:color w:val="000000"/>
                <w:sz w:val="28"/>
                <w:szCs w:val="28"/>
              </w:rPr>
              <w:t>Визначення за МКХ-11   (2022 )</w:t>
            </w:r>
          </w:p>
        </w:tc>
        <w:tc>
          <w:tcPr>
            <w:tcW w:w="5108" w:type="dxa"/>
            <w:tcBorders>
              <w:top w:val="single" w:sz="4" w:space="0" w:color="000000"/>
              <w:left w:val="single" w:sz="4" w:space="0" w:color="000000"/>
              <w:bottom w:val="single" w:sz="4" w:space="0" w:color="000000"/>
              <w:right w:val="single" w:sz="4" w:space="0" w:color="000000"/>
            </w:tcBorders>
            <w:shd w:val="clear" w:color="auto" w:fill="auto"/>
          </w:tcPr>
          <w:p w14:paraId="13AB90C8" w14:textId="77777777" w:rsidR="00B51242" w:rsidRDefault="008E4E86">
            <w:pPr>
              <w:spacing w:after="140" w:line="360" w:lineRule="auto"/>
              <w:jc w:val="both"/>
              <w:rPr>
                <w:sz w:val="28"/>
                <w:szCs w:val="28"/>
              </w:rPr>
            </w:pPr>
            <w:r>
              <w:rPr>
                <w:color w:val="000000"/>
                <w:sz w:val="28"/>
                <w:szCs w:val="28"/>
              </w:rPr>
              <w:t xml:space="preserve">Визначення за DSM-5-TR (2022) </w:t>
            </w:r>
          </w:p>
        </w:tc>
      </w:tr>
      <w:tr w:rsidR="00B51242" w14:paraId="0CEDF334" w14:textId="77777777">
        <w:tc>
          <w:tcPr>
            <w:tcW w:w="4136" w:type="dxa"/>
            <w:tcBorders>
              <w:left w:val="single" w:sz="4" w:space="0" w:color="000000"/>
              <w:bottom w:val="single" w:sz="4" w:space="0" w:color="000000"/>
            </w:tcBorders>
            <w:shd w:val="clear" w:color="auto" w:fill="auto"/>
          </w:tcPr>
          <w:p w14:paraId="561D1450" w14:textId="77777777" w:rsidR="00B51242" w:rsidRDefault="008E4E86">
            <w:pPr>
              <w:spacing w:line="360" w:lineRule="auto"/>
              <w:jc w:val="both"/>
            </w:pPr>
            <w:r>
              <w:rPr>
                <w:color w:val="000000"/>
                <w:sz w:val="28"/>
                <w:szCs w:val="28"/>
              </w:rPr>
              <w:t xml:space="preserve"> </w:t>
            </w:r>
            <w:r>
              <w:rPr>
                <w:rStyle w:val="StrongEmphasis"/>
                <w:color w:val="000000"/>
                <w:sz w:val="28"/>
                <w:szCs w:val="28"/>
              </w:rPr>
              <w:t>Посттравматичний стресовий розлад (PTSD)</w:t>
            </w:r>
            <w:r>
              <w:rPr>
                <w:color w:val="000000"/>
                <w:sz w:val="28"/>
                <w:szCs w:val="28"/>
              </w:rPr>
              <w:t xml:space="preserve"> — це розлад, який може розвинутися після впливу надзвичайно загрозливої або жахливої події чи серії подій. Він характеризується трьома основними групами симптомів:</w:t>
            </w:r>
            <w:r>
              <w:rPr>
                <w:color w:val="000000"/>
                <w:sz w:val="28"/>
                <w:szCs w:val="28"/>
              </w:rPr>
              <w:br/>
              <w:t>(1) повторне переживання травми у вигляді нав’язливих спогадів,</w:t>
            </w:r>
            <w:r>
              <w:rPr>
                <w:color w:val="000000"/>
                <w:sz w:val="28"/>
                <w:szCs w:val="28"/>
              </w:rPr>
              <w:br/>
              <w:t>(2) уникнення нагадувань про подію,</w:t>
            </w:r>
            <w:r>
              <w:rPr>
                <w:color w:val="000000"/>
                <w:sz w:val="28"/>
                <w:szCs w:val="28"/>
              </w:rPr>
              <w:br/>
              <w:t>(3) стійке відчуття поточної загрози, що супроводжується гіперактивацією.</w:t>
            </w:r>
            <w:r>
              <w:rPr>
                <w:color w:val="000000"/>
                <w:sz w:val="28"/>
                <w:szCs w:val="28"/>
              </w:rPr>
              <w:br/>
              <w:t xml:space="preserve">Симптоми тривають щонайменше кілька тижнів і спричиняють клінічно значущий дистрес або порушення функціонування. </w:t>
            </w:r>
          </w:p>
          <w:p w14:paraId="5854DE7F" w14:textId="77777777" w:rsidR="00B51242" w:rsidRDefault="00B51242">
            <w:pPr>
              <w:spacing w:line="360" w:lineRule="auto"/>
              <w:jc w:val="both"/>
              <w:rPr>
                <w:color w:val="000000"/>
                <w:sz w:val="28"/>
                <w:szCs w:val="28"/>
              </w:rPr>
            </w:pPr>
          </w:p>
          <w:p w14:paraId="22156BDD" w14:textId="77777777" w:rsidR="00B51242" w:rsidRDefault="008E4E86">
            <w:pPr>
              <w:spacing w:line="360" w:lineRule="auto"/>
              <w:jc w:val="both"/>
            </w:pPr>
            <w:r>
              <w:rPr>
                <w:color w:val="000000"/>
                <w:sz w:val="28"/>
                <w:szCs w:val="28"/>
              </w:rPr>
              <w:t xml:space="preserve"> </w:t>
            </w:r>
            <w:r>
              <w:rPr>
                <w:rStyle w:val="StrongEmphasis"/>
                <w:color w:val="000000"/>
                <w:sz w:val="28"/>
                <w:szCs w:val="28"/>
              </w:rPr>
              <w:t>1. Кластер 1 — Повторне переживання травми (Re-experiencing the traumatic event(s))</w:t>
            </w:r>
          </w:p>
          <w:p w14:paraId="6EEF00F1" w14:textId="77777777" w:rsidR="00B51242" w:rsidRDefault="008E4E86">
            <w:pPr>
              <w:spacing w:line="360" w:lineRule="auto"/>
              <w:jc w:val="both"/>
            </w:pPr>
            <w:r>
              <w:rPr>
                <w:rStyle w:val="StrongEmphasis"/>
                <w:color w:val="000000"/>
                <w:sz w:val="28"/>
                <w:szCs w:val="28"/>
              </w:rPr>
              <w:t>Ознаки:</w:t>
            </w:r>
          </w:p>
          <w:p w14:paraId="3790D595" w14:textId="77777777" w:rsidR="00B51242" w:rsidRDefault="008E4E86">
            <w:pPr>
              <w:tabs>
                <w:tab w:val="left" w:pos="707"/>
              </w:tabs>
              <w:spacing w:line="360" w:lineRule="auto"/>
              <w:ind w:left="707" w:hanging="283"/>
              <w:jc w:val="both"/>
              <w:rPr>
                <w:sz w:val="28"/>
                <w:szCs w:val="28"/>
              </w:rPr>
            </w:pPr>
            <w:r>
              <w:rPr>
                <w:color w:val="000000"/>
                <w:sz w:val="28"/>
                <w:szCs w:val="28"/>
              </w:rPr>
              <w:t>Яскраві, нав’язливі спогади або образи події.</w:t>
            </w:r>
          </w:p>
          <w:p w14:paraId="091A8B55" w14:textId="77777777" w:rsidR="00B51242" w:rsidRDefault="008E4E86">
            <w:pPr>
              <w:tabs>
                <w:tab w:val="left" w:pos="707"/>
              </w:tabs>
              <w:spacing w:line="360" w:lineRule="auto"/>
              <w:ind w:left="707" w:hanging="283"/>
              <w:jc w:val="both"/>
              <w:rPr>
                <w:sz w:val="28"/>
                <w:szCs w:val="28"/>
              </w:rPr>
            </w:pPr>
            <w:r>
              <w:rPr>
                <w:color w:val="000000"/>
                <w:sz w:val="28"/>
                <w:szCs w:val="28"/>
              </w:rPr>
              <w:t>Сни або флешбеки, при яких людина відчуває, ніби подія знову відбувається.</w:t>
            </w:r>
          </w:p>
          <w:p w14:paraId="26D723D2" w14:textId="77777777" w:rsidR="00B51242" w:rsidRDefault="008E4E86">
            <w:pPr>
              <w:tabs>
                <w:tab w:val="left" w:pos="707"/>
              </w:tabs>
              <w:spacing w:line="360" w:lineRule="auto"/>
              <w:ind w:left="707" w:hanging="283"/>
              <w:jc w:val="both"/>
              <w:rPr>
                <w:sz w:val="28"/>
                <w:szCs w:val="28"/>
              </w:rPr>
            </w:pPr>
            <w:r>
              <w:rPr>
                <w:color w:val="000000"/>
                <w:sz w:val="28"/>
                <w:szCs w:val="28"/>
              </w:rPr>
              <w:t>Інтенсивний емоційний або фізіологічний дистрес при нагадуванні.</w:t>
            </w:r>
          </w:p>
          <w:p w14:paraId="1E05E878" w14:textId="77777777" w:rsidR="00B51242" w:rsidRDefault="008E4E86">
            <w:pPr>
              <w:spacing w:line="360" w:lineRule="auto"/>
              <w:jc w:val="both"/>
            </w:pPr>
            <w:r>
              <w:rPr>
                <w:color w:val="000000"/>
                <w:sz w:val="28"/>
                <w:szCs w:val="28"/>
              </w:rPr>
              <w:t xml:space="preserve">  Головна ознака — </w:t>
            </w:r>
            <w:r>
              <w:rPr>
                <w:rStyle w:val="StrongEmphasis"/>
                <w:color w:val="000000"/>
                <w:sz w:val="28"/>
                <w:szCs w:val="28"/>
              </w:rPr>
              <w:t>реальне відчуття “повторного проживання”</w:t>
            </w:r>
            <w:r>
              <w:rPr>
                <w:color w:val="000000"/>
                <w:sz w:val="28"/>
                <w:szCs w:val="28"/>
              </w:rPr>
              <w:t xml:space="preserve"> події “тут і зараз”, а не лише спогад про неї. </w:t>
            </w:r>
          </w:p>
          <w:p w14:paraId="2CA7ADD4" w14:textId="77777777" w:rsidR="00B51242" w:rsidRDefault="00B51242">
            <w:pPr>
              <w:spacing w:line="360" w:lineRule="auto"/>
              <w:jc w:val="both"/>
              <w:rPr>
                <w:color w:val="000000"/>
                <w:sz w:val="28"/>
                <w:szCs w:val="28"/>
              </w:rPr>
            </w:pPr>
          </w:p>
          <w:p w14:paraId="549D737D" w14:textId="77777777" w:rsidR="00B51242" w:rsidRDefault="008E4E86">
            <w:pPr>
              <w:pStyle w:val="4"/>
              <w:numPr>
                <w:ilvl w:val="3"/>
                <w:numId w:val="6"/>
              </w:numPr>
              <w:spacing w:line="360" w:lineRule="auto"/>
              <w:jc w:val="both"/>
            </w:pPr>
            <w:r>
              <w:rPr>
                <w:rStyle w:val="StrongEmphasis"/>
                <w:color w:val="000000"/>
                <w:sz w:val="28"/>
                <w:szCs w:val="28"/>
              </w:rPr>
              <w:t>2. Кластер 2 — Уникнення (Avoidance of reminders)</w:t>
            </w:r>
          </w:p>
          <w:p w14:paraId="29D12309" w14:textId="77777777" w:rsidR="00B51242" w:rsidRDefault="008E4E86">
            <w:pPr>
              <w:spacing w:line="360" w:lineRule="auto"/>
              <w:jc w:val="both"/>
            </w:pPr>
            <w:r>
              <w:rPr>
                <w:rStyle w:val="StrongEmphasis"/>
                <w:color w:val="000000"/>
                <w:sz w:val="28"/>
                <w:szCs w:val="28"/>
              </w:rPr>
              <w:t>Ознаки:</w:t>
            </w:r>
          </w:p>
          <w:p w14:paraId="4F08B86D" w14:textId="77777777" w:rsidR="00B51242" w:rsidRDefault="008E4E86">
            <w:pPr>
              <w:tabs>
                <w:tab w:val="left" w:pos="707"/>
              </w:tabs>
              <w:spacing w:line="360" w:lineRule="auto"/>
              <w:ind w:left="707" w:hanging="283"/>
              <w:jc w:val="both"/>
              <w:rPr>
                <w:sz w:val="28"/>
                <w:szCs w:val="28"/>
              </w:rPr>
            </w:pPr>
            <w:r>
              <w:rPr>
                <w:color w:val="000000"/>
                <w:sz w:val="28"/>
                <w:szCs w:val="28"/>
              </w:rPr>
              <w:t>Спроби уникати думок, почуттів, людей, місць або діяльності, що нагадують про подію.</w:t>
            </w:r>
          </w:p>
          <w:p w14:paraId="035586C2" w14:textId="77777777" w:rsidR="00B51242" w:rsidRDefault="008E4E86">
            <w:pPr>
              <w:tabs>
                <w:tab w:val="left" w:pos="707"/>
              </w:tabs>
              <w:spacing w:line="360" w:lineRule="auto"/>
              <w:ind w:left="707" w:hanging="283"/>
              <w:jc w:val="both"/>
              <w:rPr>
                <w:sz w:val="28"/>
                <w:szCs w:val="28"/>
              </w:rPr>
            </w:pPr>
            <w:r>
              <w:rPr>
                <w:color w:val="000000"/>
                <w:sz w:val="28"/>
                <w:szCs w:val="28"/>
              </w:rPr>
              <w:t>Емоційне “закриття”, дистанціювання від усього, що може викликати спогади.</w:t>
            </w:r>
          </w:p>
          <w:p w14:paraId="507E4683" w14:textId="77777777" w:rsidR="00B51242" w:rsidRDefault="008E4E86">
            <w:pPr>
              <w:spacing w:line="360" w:lineRule="auto"/>
              <w:jc w:val="both"/>
            </w:pPr>
            <w:r>
              <w:rPr>
                <w:color w:val="000000"/>
                <w:sz w:val="28"/>
                <w:szCs w:val="28"/>
              </w:rPr>
              <w:t xml:space="preserve"> </w:t>
            </w:r>
            <w:r>
              <w:rPr>
                <w:rStyle w:val="StrongEmphasis"/>
                <w:color w:val="000000"/>
                <w:sz w:val="28"/>
                <w:szCs w:val="28"/>
              </w:rPr>
              <w:t>3. Кластер 3 — Стійке відчуття поточної загрози (Persistent sense of current threat)</w:t>
            </w:r>
          </w:p>
          <w:p w14:paraId="079AD14F" w14:textId="77777777" w:rsidR="00B51242" w:rsidRDefault="008E4E86">
            <w:pPr>
              <w:spacing w:line="360" w:lineRule="auto"/>
              <w:jc w:val="both"/>
            </w:pPr>
            <w:r>
              <w:rPr>
                <w:rStyle w:val="StrongEmphasis"/>
                <w:color w:val="000000"/>
                <w:sz w:val="28"/>
                <w:szCs w:val="28"/>
              </w:rPr>
              <w:t>Ознаки:</w:t>
            </w:r>
          </w:p>
          <w:p w14:paraId="6194E273" w14:textId="77777777" w:rsidR="00B51242" w:rsidRDefault="008E4E86">
            <w:pPr>
              <w:tabs>
                <w:tab w:val="left" w:pos="707"/>
              </w:tabs>
              <w:spacing w:line="360" w:lineRule="auto"/>
              <w:ind w:left="707" w:hanging="283"/>
              <w:jc w:val="both"/>
              <w:rPr>
                <w:sz w:val="28"/>
                <w:szCs w:val="28"/>
              </w:rPr>
            </w:pPr>
            <w:r>
              <w:rPr>
                <w:color w:val="000000"/>
                <w:sz w:val="28"/>
                <w:szCs w:val="28"/>
              </w:rPr>
              <w:t>Гіперпильність (hypervigilance).</w:t>
            </w:r>
          </w:p>
          <w:p w14:paraId="3F57F459" w14:textId="77777777" w:rsidR="00B51242" w:rsidRDefault="008E4E86">
            <w:pPr>
              <w:tabs>
                <w:tab w:val="left" w:pos="707"/>
              </w:tabs>
              <w:spacing w:line="360" w:lineRule="auto"/>
              <w:ind w:left="707" w:hanging="283"/>
              <w:jc w:val="both"/>
              <w:rPr>
                <w:sz w:val="28"/>
                <w:szCs w:val="28"/>
              </w:rPr>
            </w:pPr>
            <w:r>
              <w:rPr>
                <w:color w:val="000000"/>
                <w:sz w:val="28"/>
                <w:szCs w:val="28"/>
              </w:rPr>
              <w:t>Перебільшена реакція переляку (startle response).</w:t>
            </w:r>
          </w:p>
          <w:p w14:paraId="7C556E95" w14:textId="77777777" w:rsidR="00B51242" w:rsidRDefault="008E4E86">
            <w:pPr>
              <w:tabs>
                <w:tab w:val="left" w:pos="707"/>
              </w:tabs>
              <w:spacing w:line="360" w:lineRule="auto"/>
              <w:ind w:left="707" w:hanging="283"/>
              <w:jc w:val="both"/>
              <w:rPr>
                <w:sz w:val="28"/>
                <w:szCs w:val="28"/>
              </w:rPr>
            </w:pPr>
            <w:r>
              <w:rPr>
                <w:color w:val="000000"/>
                <w:sz w:val="28"/>
                <w:szCs w:val="28"/>
              </w:rPr>
              <w:t>Відчуття, ніби небезпека все ще поруч, навіть у безпечному середовищі.</w:t>
            </w:r>
          </w:p>
          <w:p w14:paraId="54F9AE05" w14:textId="77777777" w:rsidR="00B51242" w:rsidRDefault="008E4E86">
            <w:pPr>
              <w:spacing w:line="360" w:lineRule="auto"/>
              <w:jc w:val="both"/>
              <w:rPr>
                <w:sz w:val="28"/>
                <w:szCs w:val="28"/>
              </w:rPr>
            </w:pPr>
            <w:r>
              <w:rPr>
                <w:color w:val="000000"/>
                <w:sz w:val="28"/>
                <w:szCs w:val="28"/>
              </w:rPr>
              <w:t xml:space="preserve">   </w:t>
            </w:r>
          </w:p>
          <w:p w14:paraId="6342E238" w14:textId="77777777" w:rsidR="00B51242" w:rsidRDefault="008E4E86">
            <w:pPr>
              <w:spacing w:line="360" w:lineRule="auto"/>
              <w:jc w:val="both"/>
            </w:pPr>
            <w:r>
              <w:rPr>
                <w:color w:val="000000"/>
                <w:sz w:val="28"/>
                <w:szCs w:val="28"/>
              </w:rPr>
              <w:t xml:space="preserve"> МКХ-11 виділяє </w:t>
            </w:r>
            <w:r>
              <w:rPr>
                <w:rStyle w:val="StrongEmphasis"/>
                <w:color w:val="000000"/>
                <w:sz w:val="28"/>
                <w:szCs w:val="28"/>
              </w:rPr>
              <w:t>окрему категорію — комплексний ПТСР (КПТСР)</w:t>
            </w:r>
            <w:r>
              <w:rPr>
                <w:color w:val="000000"/>
                <w:sz w:val="28"/>
                <w:szCs w:val="28"/>
              </w:rPr>
              <w:t xml:space="preserve">, що виникає після </w:t>
            </w:r>
            <w:r>
              <w:rPr>
                <w:rStyle w:val="StrongEmphasis"/>
                <w:color w:val="000000"/>
                <w:sz w:val="28"/>
                <w:szCs w:val="28"/>
              </w:rPr>
              <w:t>тривалих або повторних травм</w:t>
            </w:r>
            <w:r>
              <w:rPr>
                <w:color w:val="000000"/>
                <w:sz w:val="28"/>
                <w:szCs w:val="28"/>
              </w:rPr>
              <w:t>.</w:t>
            </w:r>
          </w:p>
          <w:p w14:paraId="1F11E9EB" w14:textId="77777777" w:rsidR="00B51242" w:rsidRDefault="008E4E86">
            <w:pPr>
              <w:spacing w:line="360" w:lineRule="auto"/>
              <w:jc w:val="both"/>
              <w:rPr>
                <w:sz w:val="28"/>
                <w:szCs w:val="28"/>
              </w:rPr>
            </w:pPr>
            <w:r>
              <w:rPr>
                <w:color w:val="000000"/>
                <w:sz w:val="28"/>
                <w:szCs w:val="28"/>
                <w:lang w:val="en-US"/>
              </w:rPr>
              <w:t>[13]</w:t>
            </w:r>
          </w:p>
        </w:tc>
        <w:tc>
          <w:tcPr>
            <w:tcW w:w="5108" w:type="dxa"/>
            <w:tcBorders>
              <w:left w:val="single" w:sz="4" w:space="0" w:color="000000"/>
              <w:bottom w:val="single" w:sz="4" w:space="0" w:color="000000"/>
              <w:right w:val="single" w:sz="4" w:space="0" w:color="000000"/>
            </w:tcBorders>
            <w:shd w:val="clear" w:color="auto" w:fill="auto"/>
          </w:tcPr>
          <w:p w14:paraId="1573383A" w14:textId="77777777" w:rsidR="00B51242" w:rsidRDefault="008E4E86">
            <w:pPr>
              <w:spacing w:line="360" w:lineRule="auto"/>
              <w:jc w:val="both"/>
            </w:pPr>
            <w:r>
              <w:rPr>
                <w:rStyle w:val="StrongEmphasis"/>
                <w:color w:val="000000"/>
                <w:sz w:val="28"/>
                <w:szCs w:val="28"/>
              </w:rPr>
              <w:t>Посттравматичний стресовий розлад (Posttraumatic Stress Disorder, PTSD)</w:t>
            </w:r>
            <w:r>
              <w:rPr>
                <w:color w:val="000000"/>
                <w:sz w:val="28"/>
                <w:szCs w:val="28"/>
              </w:rPr>
              <w:t xml:space="preserve"> — це сукупність симптомів, які виникають після впливу одного або кількох травматичних стресорів, що включають фактичну або загрозливу смерть, серйозне поранення чи сексуальне насильство. Розлад характеризується нав’язливим повторним переживанням травми, уникненням стимулів, пов’язаних із нею, негативними змінами у когніціях та емоціях, а також гіперактивацією. </w:t>
            </w:r>
          </w:p>
          <w:p w14:paraId="6D670658" w14:textId="77777777" w:rsidR="00B51242" w:rsidRDefault="008E4E86">
            <w:pPr>
              <w:spacing w:line="360" w:lineRule="auto"/>
              <w:jc w:val="both"/>
            </w:pPr>
            <w:r>
              <w:rPr>
                <w:color w:val="000000"/>
                <w:sz w:val="28"/>
                <w:szCs w:val="28"/>
              </w:rPr>
              <w:t xml:space="preserve">DSM-5-TR уточнює критерії діагностики, акцентуючи увагу на відмінностях у проявах у </w:t>
            </w:r>
            <w:r>
              <w:rPr>
                <w:rStyle w:val="StrongEmphasis"/>
                <w:color w:val="000000"/>
                <w:sz w:val="28"/>
                <w:szCs w:val="28"/>
              </w:rPr>
              <w:t>дітей, підлітків і дорослих</w:t>
            </w:r>
            <w:r>
              <w:rPr>
                <w:color w:val="000000"/>
                <w:sz w:val="28"/>
                <w:szCs w:val="28"/>
              </w:rPr>
              <w:t xml:space="preserve">, а також на </w:t>
            </w:r>
            <w:r>
              <w:rPr>
                <w:rStyle w:val="StrongEmphasis"/>
                <w:color w:val="000000"/>
                <w:sz w:val="28"/>
                <w:szCs w:val="28"/>
              </w:rPr>
              <w:t>культурному контексті</w:t>
            </w:r>
            <w:r>
              <w:rPr>
                <w:color w:val="000000"/>
                <w:sz w:val="28"/>
                <w:szCs w:val="28"/>
              </w:rPr>
              <w:t xml:space="preserve"> травматичного досвіду. </w:t>
            </w:r>
          </w:p>
          <w:p w14:paraId="3DAD4A35" w14:textId="77777777" w:rsidR="00B51242" w:rsidRDefault="008E4E86">
            <w:pPr>
              <w:pStyle w:val="4"/>
              <w:numPr>
                <w:ilvl w:val="3"/>
                <w:numId w:val="6"/>
              </w:numPr>
              <w:spacing w:line="360" w:lineRule="auto"/>
              <w:jc w:val="both"/>
            </w:pPr>
            <w:r>
              <w:rPr>
                <w:rStyle w:val="StrongEmphasis"/>
                <w:color w:val="000000"/>
                <w:sz w:val="28"/>
                <w:szCs w:val="28"/>
              </w:rPr>
              <w:t>1. Кластер B — Симптоми повторного переживання (Intrusion symptoms)</w:t>
            </w:r>
          </w:p>
          <w:p w14:paraId="5F058770" w14:textId="77777777" w:rsidR="00B51242" w:rsidRDefault="008E4E86">
            <w:pPr>
              <w:spacing w:line="360" w:lineRule="auto"/>
              <w:jc w:val="both"/>
            </w:pPr>
            <w:r>
              <w:rPr>
                <w:rStyle w:val="StrongEmphasis"/>
                <w:color w:val="000000"/>
                <w:sz w:val="28"/>
                <w:szCs w:val="28"/>
              </w:rPr>
              <w:t>Ознаки:</w:t>
            </w:r>
          </w:p>
          <w:p w14:paraId="5633CABD" w14:textId="77777777" w:rsidR="00B51242" w:rsidRDefault="008E4E86">
            <w:pPr>
              <w:tabs>
                <w:tab w:val="left" w:pos="707"/>
              </w:tabs>
              <w:spacing w:line="360" w:lineRule="auto"/>
              <w:ind w:left="707" w:hanging="283"/>
              <w:jc w:val="both"/>
              <w:rPr>
                <w:sz w:val="28"/>
                <w:szCs w:val="28"/>
              </w:rPr>
            </w:pPr>
            <w:r>
              <w:rPr>
                <w:color w:val="000000"/>
                <w:sz w:val="28"/>
                <w:szCs w:val="28"/>
              </w:rPr>
              <w:t>Повторювані, мимовільні, нав’язливі спогади про подію.</w:t>
            </w:r>
          </w:p>
          <w:p w14:paraId="7C706BB3" w14:textId="77777777" w:rsidR="00B51242" w:rsidRDefault="008E4E86">
            <w:pPr>
              <w:tabs>
                <w:tab w:val="left" w:pos="707"/>
              </w:tabs>
              <w:spacing w:line="360" w:lineRule="auto"/>
              <w:ind w:left="707" w:hanging="283"/>
              <w:jc w:val="both"/>
              <w:rPr>
                <w:sz w:val="28"/>
                <w:szCs w:val="28"/>
              </w:rPr>
            </w:pPr>
            <w:r>
              <w:rPr>
                <w:color w:val="000000"/>
                <w:sz w:val="28"/>
                <w:szCs w:val="28"/>
              </w:rPr>
              <w:t>Емоційно насичені сновидіння, пов’язані з травмою.</w:t>
            </w:r>
          </w:p>
          <w:p w14:paraId="79CCE4B7" w14:textId="77777777" w:rsidR="00B51242" w:rsidRDefault="008E4E86">
            <w:pPr>
              <w:tabs>
                <w:tab w:val="left" w:pos="707"/>
              </w:tabs>
              <w:spacing w:line="360" w:lineRule="auto"/>
              <w:ind w:left="707" w:hanging="283"/>
              <w:jc w:val="both"/>
              <w:rPr>
                <w:sz w:val="28"/>
                <w:szCs w:val="28"/>
              </w:rPr>
            </w:pPr>
            <w:r>
              <w:rPr>
                <w:color w:val="000000"/>
                <w:sz w:val="28"/>
                <w:szCs w:val="28"/>
              </w:rPr>
              <w:t>Дисоціативні реакції (флешбеки), при яких людина відчуває, що подія знову відбувається.</w:t>
            </w:r>
          </w:p>
          <w:p w14:paraId="09241639" w14:textId="77777777" w:rsidR="00B51242" w:rsidRDefault="008E4E86">
            <w:pPr>
              <w:tabs>
                <w:tab w:val="left" w:pos="707"/>
              </w:tabs>
              <w:spacing w:line="360" w:lineRule="auto"/>
              <w:ind w:left="707" w:hanging="283"/>
              <w:jc w:val="both"/>
              <w:rPr>
                <w:sz w:val="28"/>
                <w:szCs w:val="28"/>
              </w:rPr>
            </w:pPr>
            <w:r>
              <w:rPr>
                <w:color w:val="000000"/>
                <w:sz w:val="28"/>
                <w:szCs w:val="28"/>
              </w:rPr>
              <w:t>Інтенсивний психологічний дистрес при нагадуванні про травму.</w:t>
            </w:r>
          </w:p>
          <w:p w14:paraId="2B6CAFAD" w14:textId="77777777" w:rsidR="00B51242" w:rsidRDefault="008E4E86">
            <w:pPr>
              <w:tabs>
                <w:tab w:val="left" w:pos="707"/>
              </w:tabs>
              <w:spacing w:line="360" w:lineRule="auto"/>
              <w:ind w:left="707" w:hanging="283"/>
              <w:jc w:val="both"/>
              <w:rPr>
                <w:sz w:val="28"/>
                <w:szCs w:val="28"/>
              </w:rPr>
            </w:pPr>
            <w:r>
              <w:rPr>
                <w:color w:val="000000"/>
                <w:sz w:val="28"/>
                <w:szCs w:val="28"/>
              </w:rPr>
              <w:t>Фізіологічні реакції (піт, тремтіння, тахікардія) при контакті з тригерами.</w:t>
            </w:r>
          </w:p>
          <w:p w14:paraId="5D375907" w14:textId="77777777" w:rsidR="00B51242" w:rsidRDefault="008E4E86">
            <w:pPr>
              <w:spacing w:line="360" w:lineRule="auto"/>
              <w:jc w:val="both"/>
            </w:pPr>
            <w:r>
              <w:rPr>
                <w:color w:val="000000"/>
                <w:sz w:val="28"/>
                <w:szCs w:val="28"/>
              </w:rPr>
              <w:t xml:space="preserve"> </w:t>
            </w:r>
            <w:r>
              <w:rPr>
                <w:rStyle w:val="StrongEmphasis"/>
                <w:color w:val="000000"/>
                <w:sz w:val="28"/>
                <w:szCs w:val="28"/>
              </w:rPr>
              <w:t>2. Кластер C — Симптоми уникнення (Avoidance symptoms)</w:t>
            </w:r>
          </w:p>
          <w:p w14:paraId="1CCECD87" w14:textId="77777777" w:rsidR="00B51242" w:rsidRDefault="008E4E86">
            <w:pPr>
              <w:spacing w:line="360" w:lineRule="auto"/>
              <w:jc w:val="both"/>
            </w:pPr>
            <w:r>
              <w:rPr>
                <w:rStyle w:val="StrongEmphasis"/>
                <w:color w:val="000000"/>
                <w:sz w:val="28"/>
                <w:szCs w:val="28"/>
              </w:rPr>
              <w:t>Ознаки:</w:t>
            </w:r>
          </w:p>
          <w:p w14:paraId="4DC8CF42" w14:textId="77777777" w:rsidR="00B51242" w:rsidRDefault="008E4E86">
            <w:pPr>
              <w:tabs>
                <w:tab w:val="left" w:pos="707"/>
              </w:tabs>
              <w:spacing w:line="360" w:lineRule="auto"/>
              <w:ind w:left="707" w:hanging="283"/>
              <w:jc w:val="both"/>
              <w:rPr>
                <w:sz w:val="28"/>
                <w:szCs w:val="28"/>
              </w:rPr>
            </w:pPr>
            <w:r>
              <w:rPr>
                <w:color w:val="000000"/>
                <w:sz w:val="28"/>
                <w:szCs w:val="28"/>
              </w:rPr>
              <w:t>Уникнення думок, почуттів або розмов про травматичну подію.</w:t>
            </w:r>
          </w:p>
          <w:p w14:paraId="2F1B7BED" w14:textId="77777777" w:rsidR="00B51242" w:rsidRDefault="008E4E86">
            <w:pPr>
              <w:tabs>
                <w:tab w:val="left" w:pos="707"/>
              </w:tabs>
              <w:spacing w:line="360" w:lineRule="auto"/>
              <w:ind w:left="707" w:hanging="283"/>
              <w:jc w:val="both"/>
              <w:rPr>
                <w:sz w:val="28"/>
                <w:szCs w:val="28"/>
              </w:rPr>
            </w:pPr>
            <w:r>
              <w:rPr>
                <w:color w:val="000000"/>
                <w:sz w:val="28"/>
                <w:szCs w:val="28"/>
              </w:rPr>
              <w:t>Уникнення людей, місць, діяльності чи ситуацій, які нагадують про подію.</w:t>
            </w:r>
          </w:p>
          <w:p w14:paraId="6F6801FB" w14:textId="77777777" w:rsidR="00B51242" w:rsidRDefault="008E4E86">
            <w:pPr>
              <w:pStyle w:val="4"/>
              <w:numPr>
                <w:ilvl w:val="3"/>
                <w:numId w:val="6"/>
              </w:numPr>
              <w:spacing w:line="360" w:lineRule="auto"/>
              <w:jc w:val="both"/>
            </w:pPr>
            <w:r>
              <w:rPr>
                <w:rStyle w:val="StrongEmphasis"/>
                <w:color w:val="000000"/>
                <w:sz w:val="28"/>
                <w:szCs w:val="28"/>
              </w:rPr>
              <w:t>3. Кластер D — Негативні зміни в когніціях та емоціях (Negative alterations in cognition and mood)</w:t>
            </w:r>
          </w:p>
          <w:p w14:paraId="47C7D93C" w14:textId="77777777" w:rsidR="00B51242" w:rsidRDefault="008E4E86">
            <w:pPr>
              <w:spacing w:line="360" w:lineRule="auto"/>
              <w:jc w:val="both"/>
            </w:pPr>
            <w:r>
              <w:rPr>
                <w:rStyle w:val="StrongEmphasis"/>
                <w:color w:val="000000"/>
                <w:sz w:val="28"/>
                <w:szCs w:val="28"/>
              </w:rPr>
              <w:t>Ознаки:</w:t>
            </w:r>
          </w:p>
          <w:p w14:paraId="377BCAA3" w14:textId="77777777" w:rsidR="00B51242" w:rsidRDefault="008E4E86">
            <w:pPr>
              <w:tabs>
                <w:tab w:val="left" w:pos="707"/>
              </w:tabs>
              <w:spacing w:line="360" w:lineRule="auto"/>
              <w:ind w:left="707" w:hanging="283"/>
              <w:jc w:val="both"/>
              <w:rPr>
                <w:sz w:val="28"/>
                <w:szCs w:val="28"/>
              </w:rPr>
            </w:pPr>
            <w:r>
              <w:rPr>
                <w:color w:val="000000"/>
                <w:sz w:val="28"/>
                <w:szCs w:val="28"/>
              </w:rPr>
              <w:t>Неможливість пригадати важливі аспекти події (дисоціативна амнезія).</w:t>
            </w:r>
          </w:p>
          <w:p w14:paraId="531BBFCF" w14:textId="77777777" w:rsidR="00B51242" w:rsidRDefault="008E4E86">
            <w:pPr>
              <w:tabs>
                <w:tab w:val="left" w:pos="707"/>
              </w:tabs>
              <w:spacing w:line="360" w:lineRule="auto"/>
              <w:ind w:left="707" w:hanging="283"/>
              <w:jc w:val="both"/>
              <w:rPr>
                <w:sz w:val="28"/>
                <w:szCs w:val="28"/>
              </w:rPr>
            </w:pPr>
            <w:r>
              <w:rPr>
                <w:color w:val="000000"/>
                <w:sz w:val="28"/>
                <w:szCs w:val="28"/>
              </w:rPr>
              <w:t>Постійні негативні переконання про себе, інших або світ (“Я ні на що не здатний”, “Світ — небезпечний”).</w:t>
            </w:r>
          </w:p>
          <w:p w14:paraId="5E842D90" w14:textId="77777777" w:rsidR="00B51242" w:rsidRDefault="008E4E86">
            <w:pPr>
              <w:tabs>
                <w:tab w:val="left" w:pos="707"/>
              </w:tabs>
              <w:spacing w:line="360" w:lineRule="auto"/>
              <w:ind w:left="707" w:hanging="283"/>
              <w:jc w:val="both"/>
              <w:rPr>
                <w:sz w:val="28"/>
                <w:szCs w:val="28"/>
              </w:rPr>
            </w:pPr>
            <w:r>
              <w:rPr>
                <w:color w:val="000000"/>
                <w:sz w:val="28"/>
                <w:szCs w:val="28"/>
              </w:rPr>
              <w:t>Перекручені звинувачення себе чи інших у події.</w:t>
            </w:r>
          </w:p>
          <w:p w14:paraId="250CB1B5" w14:textId="77777777" w:rsidR="00B51242" w:rsidRDefault="008E4E86">
            <w:pPr>
              <w:tabs>
                <w:tab w:val="left" w:pos="707"/>
              </w:tabs>
              <w:spacing w:line="360" w:lineRule="auto"/>
              <w:ind w:left="707" w:hanging="283"/>
              <w:jc w:val="both"/>
              <w:rPr>
                <w:sz w:val="28"/>
                <w:szCs w:val="28"/>
              </w:rPr>
            </w:pPr>
            <w:r>
              <w:rPr>
                <w:color w:val="000000"/>
                <w:sz w:val="28"/>
                <w:szCs w:val="28"/>
              </w:rPr>
              <w:t>Стійкий негативний емоційний стан (страх, гнів, сором, провина).</w:t>
            </w:r>
          </w:p>
          <w:p w14:paraId="6B8088FC" w14:textId="77777777" w:rsidR="00B51242" w:rsidRDefault="008E4E86">
            <w:pPr>
              <w:tabs>
                <w:tab w:val="left" w:pos="707"/>
              </w:tabs>
              <w:spacing w:line="360" w:lineRule="auto"/>
              <w:ind w:left="707" w:hanging="283"/>
              <w:jc w:val="both"/>
              <w:rPr>
                <w:sz w:val="28"/>
                <w:szCs w:val="28"/>
              </w:rPr>
            </w:pPr>
            <w:r>
              <w:rPr>
                <w:color w:val="000000"/>
                <w:sz w:val="28"/>
                <w:szCs w:val="28"/>
              </w:rPr>
              <w:t>Зниження інтересу до значущої діяльності.</w:t>
            </w:r>
          </w:p>
          <w:p w14:paraId="354426D8" w14:textId="77777777" w:rsidR="00B51242" w:rsidRDefault="008E4E86">
            <w:pPr>
              <w:tabs>
                <w:tab w:val="left" w:pos="707"/>
              </w:tabs>
              <w:spacing w:line="360" w:lineRule="auto"/>
              <w:ind w:left="707" w:hanging="283"/>
              <w:jc w:val="both"/>
              <w:rPr>
                <w:sz w:val="28"/>
                <w:szCs w:val="28"/>
              </w:rPr>
            </w:pPr>
            <w:r>
              <w:rPr>
                <w:color w:val="000000"/>
                <w:sz w:val="28"/>
                <w:szCs w:val="28"/>
              </w:rPr>
              <w:t>Почуття відчуження або віддаленості від інших.</w:t>
            </w:r>
          </w:p>
          <w:p w14:paraId="36A43DC6" w14:textId="77777777" w:rsidR="00B51242" w:rsidRDefault="008E4E86">
            <w:pPr>
              <w:tabs>
                <w:tab w:val="left" w:pos="707"/>
              </w:tabs>
              <w:spacing w:line="360" w:lineRule="auto"/>
              <w:ind w:left="707" w:hanging="283"/>
              <w:jc w:val="both"/>
              <w:rPr>
                <w:sz w:val="28"/>
                <w:szCs w:val="28"/>
              </w:rPr>
            </w:pPr>
            <w:r>
              <w:rPr>
                <w:color w:val="000000"/>
                <w:sz w:val="28"/>
                <w:szCs w:val="28"/>
              </w:rPr>
              <w:t>Неможливість переживати позитивні емоції (радість, любов, задоволення).</w:t>
            </w:r>
          </w:p>
          <w:p w14:paraId="0D02A7F7" w14:textId="77777777" w:rsidR="00B51242" w:rsidRDefault="008E4E86">
            <w:pPr>
              <w:pStyle w:val="4"/>
              <w:numPr>
                <w:ilvl w:val="3"/>
                <w:numId w:val="6"/>
              </w:numPr>
              <w:spacing w:line="360" w:lineRule="auto"/>
              <w:jc w:val="both"/>
            </w:pPr>
            <w:r>
              <w:rPr>
                <w:rStyle w:val="StrongEmphasis"/>
                <w:color w:val="000000"/>
                <w:sz w:val="28"/>
                <w:szCs w:val="28"/>
              </w:rPr>
              <w:t>4. Кластер E — Симптоми гіперактивації (Alterations in arousal and reactivity)</w:t>
            </w:r>
          </w:p>
          <w:p w14:paraId="62EBABA3" w14:textId="77777777" w:rsidR="00B51242" w:rsidRDefault="008E4E86">
            <w:pPr>
              <w:spacing w:line="360" w:lineRule="auto"/>
              <w:jc w:val="both"/>
            </w:pPr>
            <w:r>
              <w:rPr>
                <w:rStyle w:val="StrongEmphasis"/>
                <w:color w:val="000000"/>
                <w:sz w:val="28"/>
                <w:szCs w:val="28"/>
              </w:rPr>
              <w:t>Ознаки:</w:t>
            </w:r>
          </w:p>
          <w:p w14:paraId="68D84C6B" w14:textId="77777777" w:rsidR="00B51242" w:rsidRDefault="008E4E86">
            <w:pPr>
              <w:tabs>
                <w:tab w:val="left" w:pos="707"/>
              </w:tabs>
              <w:spacing w:line="360" w:lineRule="auto"/>
              <w:ind w:left="707" w:hanging="283"/>
              <w:jc w:val="both"/>
              <w:rPr>
                <w:sz w:val="28"/>
                <w:szCs w:val="28"/>
              </w:rPr>
            </w:pPr>
            <w:r>
              <w:rPr>
                <w:color w:val="000000"/>
                <w:sz w:val="28"/>
                <w:szCs w:val="28"/>
              </w:rPr>
              <w:t>Дратівливість або спалахи гніву.</w:t>
            </w:r>
          </w:p>
          <w:p w14:paraId="10E16C10" w14:textId="77777777" w:rsidR="00B51242" w:rsidRDefault="008E4E86">
            <w:pPr>
              <w:tabs>
                <w:tab w:val="left" w:pos="707"/>
              </w:tabs>
              <w:spacing w:line="360" w:lineRule="auto"/>
              <w:ind w:left="707" w:hanging="283"/>
              <w:jc w:val="both"/>
              <w:rPr>
                <w:sz w:val="28"/>
                <w:szCs w:val="28"/>
              </w:rPr>
            </w:pPr>
            <w:r>
              <w:rPr>
                <w:color w:val="000000"/>
                <w:sz w:val="28"/>
                <w:szCs w:val="28"/>
              </w:rPr>
              <w:t>Ризикована або саморуйнівна поведінка.</w:t>
            </w:r>
          </w:p>
          <w:p w14:paraId="68AC6944" w14:textId="77777777" w:rsidR="00B51242" w:rsidRDefault="008E4E86">
            <w:pPr>
              <w:tabs>
                <w:tab w:val="left" w:pos="707"/>
              </w:tabs>
              <w:spacing w:line="360" w:lineRule="auto"/>
              <w:ind w:left="707" w:hanging="283"/>
              <w:jc w:val="both"/>
              <w:rPr>
                <w:sz w:val="28"/>
                <w:szCs w:val="28"/>
              </w:rPr>
            </w:pPr>
            <w:r>
              <w:rPr>
                <w:color w:val="000000"/>
                <w:sz w:val="28"/>
                <w:szCs w:val="28"/>
              </w:rPr>
              <w:t>Гіперпильність (hypervigilance).</w:t>
            </w:r>
          </w:p>
          <w:p w14:paraId="0366A966" w14:textId="77777777" w:rsidR="00B51242" w:rsidRDefault="008E4E86">
            <w:pPr>
              <w:tabs>
                <w:tab w:val="left" w:pos="707"/>
              </w:tabs>
              <w:spacing w:line="360" w:lineRule="auto"/>
              <w:ind w:left="707" w:hanging="283"/>
              <w:jc w:val="both"/>
              <w:rPr>
                <w:sz w:val="28"/>
                <w:szCs w:val="28"/>
              </w:rPr>
            </w:pPr>
            <w:r>
              <w:rPr>
                <w:color w:val="000000"/>
                <w:sz w:val="28"/>
                <w:szCs w:val="28"/>
              </w:rPr>
              <w:t>Перебільшена реакція переляку.</w:t>
            </w:r>
          </w:p>
          <w:p w14:paraId="489FC103" w14:textId="77777777" w:rsidR="00B51242" w:rsidRDefault="008E4E86">
            <w:pPr>
              <w:tabs>
                <w:tab w:val="left" w:pos="707"/>
              </w:tabs>
              <w:spacing w:line="360" w:lineRule="auto"/>
              <w:ind w:left="707" w:hanging="283"/>
              <w:jc w:val="both"/>
              <w:rPr>
                <w:sz w:val="28"/>
                <w:szCs w:val="28"/>
              </w:rPr>
            </w:pPr>
            <w:r>
              <w:rPr>
                <w:color w:val="000000"/>
                <w:sz w:val="28"/>
                <w:szCs w:val="28"/>
              </w:rPr>
              <w:t>Концентраційні труднощі.</w:t>
            </w:r>
          </w:p>
          <w:p w14:paraId="288057E6" w14:textId="77777777" w:rsidR="00B51242" w:rsidRDefault="008E4E86">
            <w:pPr>
              <w:tabs>
                <w:tab w:val="left" w:pos="707"/>
              </w:tabs>
              <w:spacing w:line="360" w:lineRule="auto"/>
              <w:ind w:left="707" w:hanging="283"/>
              <w:jc w:val="both"/>
              <w:rPr>
                <w:sz w:val="28"/>
                <w:szCs w:val="28"/>
              </w:rPr>
            </w:pPr>
            <w:r>
              <w:rPr>
                <w:color w:val="000000"/>
                <w:sz w:val="28"/>
                <w:szCs w:val="28"/>
              </w:rPr>
              <w:t>Проблеми зі сном (засинання, часті пробудження, кошмари).</w:t>
            </w:r>
          </w:p>
          <w:p w14:paraId="314EE24A" w14:textId="77777777" w:rsidR="00B51242" w:rsidRDefault="00B51242">
            <w:pPr>
              <w:spacing w:line="360" w:lineRule="auto"/>
              <w:jc w:val="both"/>
              <w:rPr>
                <w:color w:val="000000"/>
                <w:sz w:val="28"/>
                <w:szCs w:val="28"/>
              </w:rPr>
            </w:pPr>
          </w:p>
          <w:p w14:paraId="38B3AD24" w14:textId="77777777" w:rsidR="00B51242" w:rsidRDefault="008E4E86">
            <w:pPr>
              <w:spacing w:line="360" w:lineRule="auto"/>
              <w:jc w:val="both"/>
              <w:rPr>
                <w:sz w:val="28"/>
                <w:szCs w:val="28"/>
              </w:rPr>
            </w:pPr>
            <w:r>
              <w:rPr>
                <w:color w:val="000000"/>
                <w:sz w:val="28"/>
                <w:szCs w:val="28"/>
              </w:rPr>
              <w:t xml:space="preserve">                   </w:t>
            </w:r>
          </w:p>
        </w:tc>
      </w:tr>
    </w:tbl>
    <w:p w14:paraId="76614669" w14:textId="77777777" w:rsidR="00B51242" w:rsidRDefault="00B51242">
      <w:pPr>
        <w:spacing w:after="140" w:line="360" w:lineRule="auto"/>
        <w:jc w:val="both"/>
        <w:rPr>
          <w:color w:val="000000"/>
          <w:sz w:val="28"/>
          <w:szCs w:val="28"/>
        </w:rPr>
      </w:pPr>
    </w:p>
    <w:p w14:paraId="207CCF61" w14:textId="77777777" w:rsidR="00B51242" w:rsidRDefault="008E4E86">
      <w:pPr>
        <w:spacing w:after="140" w:line="360" w:lineRule="auto"/>
        <w:jc w:val="both"/>
        <w:rPr>
          <w:sz w:val="28"/>
          <w:szCs w:val="28"/>
        </w:rPr>
      </w:pPr>
      <w:r>
        <w:rPr>
          <w:color w:val="000000"/>
          <w:sz w:val="28"/>
          <w:szCs w:val="28"/>
          <w:lang w:val="ru-RU"/>
        </w:rPr>
        <w:t xml:space="preserve">     </w:t>
      </w:r>
    </w:p>
    <w:p w14:paraId="57590049" w14:textId="77777777" w:rsidR="00B51242" w:rsidRDefault="00B51242">
      <w:pPr>
        <w:spacing w:after="140" w:line="360" w:lineRule="auto"/>
        <w:jc w:val="both"/>
        <w:rPr>
          <w:rStyle w:val="InternetLink"/>
          <w:sz w:val="28"/>
          <w:szCs w:val="28"/>
        </w:rPr>
      </w:pPr>
    </w:p>
    <w:p w14:paraId="0C5B615A" w14:textId="77777777" w:rsidR="00B51242" w:rsidRDefault="00B51242">
      <w:pPr>
        <w:spacing w:after="140" w:line="360" w:lineRule="auto"/>
        <w:jc w:val="both"/>
        <w:rPr>
          <w:rStyle w:val="InternetLink"/>
          <w:sz w:val="28"/>
          <w:szCs w:val="28"/>
        </w:rPr>
      </w:pPr>
    </w:p>
    <w:p w14:paraId="792F1AA2" w14:textId="77777777" w:rsidR="00B51242" w:rsidRDefault="00B51242">
      <w:pPr>
        <w:spacing w:after="140" w:line="360" w:lineRule="auto"/>
        <w:jc w:val="both"/>
        <w:rPr>
          <w:rStyle w:val="InternetLink"/>
          <w:sz w:val="28"/>
          <w:szCs w:val="28"/>
        </w:rPr>
      </w:pPr>
    </w:p>
    <w:p w14:paraId="1A499DFC" w14:textId="77777777" w:rsidR="00B51242" w:rsidRDefault="00B51242">
      <w:pPr>
        <w:spacing w:after="140" w:line="360" w:lineRule="auto"/>
        <w:jc w:val="both"/>
        <w:rPr>
          <w:rStyle w:val="InternetLink"/>
          <w:sz w:val="28"/>
          <w:szCs w:val="28"/>
        </w:rPr>
      </w:pPr>
    </w:p>
    <w:p w14:paraId="3543E202" w14:textId="77777777" w:rsidR="00B51242" w:rsidRDefault="008E4E86">
      <w:pPr>
        <w:spacing w:line="360" w:lineRule="auto"/>
        <w:jc w:val="right"/>
      </w:pPr>
      <w:r>
        <w:rPr>
          <w:rStyle w:val="InternetLink"/>
          <w:rFonts w:eastAsia="Calibri"/>
          <w:b/>
          <w:bCs/>
          <w:color w:val="000000"/>
          <w:sz w:val="28"/>
          <w:szCs w:val="28"/>
          <w:u w:val="none"/>
        </w:rPr>
        <w:t>Додаток В</w:t>
      </w:r>
    </w:p>
    <w:p w14:paraId="100C5B58" w14:textId="77777777" w:rsidR="00B51242" w:rsidRDefault="008E4E86">
      <w:pPr>
        <w:spacing w:line="360" w:lineRule="auto"/>
        <w:jc w:val="right"/>
      </w:pPr>
      <w:r>
        <w:rPr>
          <w:rStyle w:val="InternetLink"/>
          <w:rFonts w:eastAsia="Calibri"/>
          <w:b/>
          <w:bCs/>
          <w:color w:val="000000"/>
          <w:sz w:val="28"/>
          <w:szCs w:val="28"/>
          <w:u w:val="none"/>
        </w:rPr>
        <w:t xml:space="preserve"> </w:t>
      </w:r>
    </w:p>
    <w:p w14:paraId="4DEDD074" w14:textId="77777777" w:rsidR="00B51242" w:rsidRDefault="008E4E86">
      <w:pPr>
        <w:pStyle w:val="3"/>
        <w:tabs>
          <w:tab w:val="center" w:leader="dot" w:pos="10348"/>
        </w:tabs>
        <w:snapToGrid w:val="0"/>
        <w:spacing w:before="0" w:after="0" w:line="360" w:lineRule="auto"/>
        <w:ind w:left="720"/>
        <w:jc w:val="center"/>
      </w:pPr>
      <w:r>
        <w:rPr>
          <w:rStyle w:val="InternetLink"/>
          <w:rFonts w:eastAsia="Calibri"/>
          <w:color w:val="000000"/>
          <w:u w:val="none"/>
        </w:rPr>
        <w:t xml:space="preserve">Розвиток КПТ: від філософського трактування </w:t>
      </w:r>
    </w:p>
    <w:p w14:paraId="4D75ADF2" w14:textId="77777777" w:rsidR="00B51242" w:rsidRDefault="008E4E86">
      <w:pPr>
        <w:pStyle w:val="3"/>
        <w:tabs>
          <w:tab w:val="center" w:leader="dot" w:pos="10348"/>
        </w:tabs>
        <w:snapToGrid w:val="0"/>
        <w:spacing w:before="0" w:after="0" w:line="360" w:lineRule="auto"/>
        <w:ind w:left="720"/>
        <w:jc w:val="center"/>
      </w:pPr>
      <w:r>
        <w:rPr>
          <w:rStyle w:val="InternetLink"/>
          <w:rFonts w:eastAsia="Calibri"/>
          <w:color w:val="000000"/>
          <w:u w:val="none"/>
        </w:rPr>
        <w:t>до терапевтичного методу.</w:t>
      </w:r>
    </w:p>
    <w:tbl>
      <w:tblPr>
        <w:tblW w:w="9238" w:type="dxa"/>
        <w:tblCellMar>
          <w:top w:w="55" w:type="dxa"/>
          <w:left w:w="55" w:type="dxa"/>
          <w:bottom w:w="55" w:type="dxa"/>
          <w:right w:w="55" w:type="dxa"/>
        </w:tblCellMar>
        <w:tblLook w:val="04A0" w:firstRow="1" w:lastRow="0" w:firstColumn="1" w:lastColumn="0" w:noHBand="0" w:noVBand="1"/>
      </w:tblPr>
      <w:tblGrid>
        <w:gridCol w:w="1666"/>
        <w:gridCol w:w="3120"/>
        <w:gridCol w:w="4452"/>
      </w:tblGrid>
      <w:tr w:rsidR="00B51242" w14:paraId="7E267DE0" w14:textId="77777777">
        <w:tc>
          <w:tcPr>
            <w:tcW w:w="1573" w:type="dxa"/>
            <w:tcBorders>
              <w:top w:val="single" w:sz="2" w:space="0" w:color="000000"/>
              <w:left w:val="single" w:sz="2" w:space="0" w:color="000000"/>
              <w:bottom w:val="single" w:sz="2" w:space="0" w:color="000000"/>
            </w:tcBorders>
            <w:shd w:val="clear" w:color="auto" w:fill="auto"/>
          </w:tcPr>
          <w:p w14:paraId="3FD7822E" w14:textId="77777777" w:rsidR="00B51242" w:rsidRDefault="008E4E86">
            <w:pPr>
              <w:spacing w:line="360" w:lineRule="auto"/>
              <w:jc w:val="both"/>
              <w:rPr>
                <w:sz w:val="28"/>
                <w:szCs w:val="28"/>
              </w:rPr>
            </w:pPr>
            <w:r>
              <w:rPr>
                <w:color w:val="000000"/>
                <w:sz w:val="28"/>
                <w:szCs w:val="28"/>
              </w:rPr>
              <w:t xml:space="preserve">Рік </w:t>
            </w:r>
          </w:p>
        </w:tc>
        <w:tc>
          <w:tcPr>
            <w:tcW w:w="3136" w:type="dxa"/>
            <w:tcBorders>
              <w:top w:val="single" w:sz="2" w:space="0" w:color="000000"/>
              <w:left w:val="single" w:sz="2" w:space="0" w:color="000000"/>
              <w:bottom w:val="single" w:sz="2" w:space="0" w:color="000000"/>
            </w:tcBorders>
            <w:shd w:val="clear" w:color="auto" w:fill="auto"/>
          </w:tcPr>
          <w:p w14:paraId="2A525AA6" w14:textId="77777777" w:rsidR="00B51242" w:rsidRDefault="008E4E86">
            <w:pPr>
              <w:spacing w:line="360" w:lineRule="auto"/>
              <w:jc w:val="both"/>
              <w:rPr>
                <w:sz w:val="28"/>
                <w:szCs w:val="28"/>
              </w:rPr>
            </w:pPr>
            <w:r>
              <w:rPr>
                <w:color w:val="000000"/>
                <w:sz w:val="28"/>
                <w:szCs w:val="28"/>
              </w:rPr>
              <w:t>Ключові історичні етапи формування та еволюції  КПТ.</w:t>
            </w:r>
          </w:p>
        </w:tc>
        <w:tc>
          <w:tcPr>
            <w:tcW w:w="4529" w:type="dxa"/>
            <w:tcBorders>
              <w:top w:val="single" w:sz="2" w:space="0" w:color="000000"/>
              <w:left w:val="single" w:sz="2" w:space="0" w:color="000000"/>
              <w:bottom w:val="single" w:sz="2" w:space="0" w:color="000000"/>
              <w:right w:val="single" w:sz="2" w:space="0" w:color="000000"/>
            </w:tcBorders>
            <w:shd w:val="clear" w:color="auto" w:fill="auto"/>
          </w:tcPr>
          <w:p w14:paraId="768CE70E" w14:textId="77777777" w:rsidR="00B51242" w:rsidRDefault="008E4E86">
            <w:pPr>
              <w:spacing w:line="360" w:lineRule="auto"/>
              <w:jc w:val="both"/>
              <w:rPr>
                <w:sz w:val="28"/>
                <w:szCs w:val="28"/>
              </w:rPr>
            </w:pPr>
            <w:r>
              <w:rPr>
                <w:color w:val="000000"/>
                <w:sz w:val="28"/>
                <w:szCs w:val="28"/>
              </w:rPr>
              <w:t>Базові концепції, теоретичні підходи та терапевтичні методи КПТ</w:t>
            </w:r>
          </w:p>
          <w:p w14:paraId="2894B68E" w14:textId="77777777" w:rsidR="00B51242" w:rsidRDefault="008E4E86">
            <w:pPr>
              <w:spacing w:line="360" w:lineRule="auto"/>
              <w:jc w:val="both"/>
              <w:rPr>
                <w:sz w:val="28"/>
                <w:szCs w:val="28"/>
              </w:rPr>
            </w:pPr>
            <w:r>
              <w:rPr>
                <w:color w:val="000000"/>
                <w:sz w:val="28"/>
                <w:szCs w:val="28"/>
              </w:rPr>
              <w:t xml:space="preserve">   </w:t>
            </w:r>
          </w:p>
        </w:tc>
      </w:tr>
      <w:tr w:rsidR="00B51242" w14:paraId="6BB6829B" w14:textId="77777777">
        <w:tc>
          <w:tcPr>
            <w:tcW w:w="1573" w:type="dxa"/>
            <w:tcBorders>
              <w:left w:val="single" w:sz="2" w:space="0" w:color="000000"/>
              <w:bottom w:val="single" w:sz="2" w:space="0" w:color="000000"/>
            </w:tcBorders>
            <w:shd w:val="clear" w:color="auto" w:fill="auto"/>
          </w:tcPr>
          <w:p w14:paraId="4FC8BE09" w14:textId="77777777" w:rsidR="00B51242" w:rsidRDefault="008E4E86">
            <w:pPr>
              <w:spacing w:line="360" w:lineRule="auto"/>
              <w:jc w:val="both"/>
              <w:rPr>
                <w:sz w:val="28"/>
                <w:szCs w:val="28"/>
              </w:rPr>
            </w:pPr>
            <w:r>
              <w:rPr>
                <w:color w:val="000000"/>
                <w:sz w:val="28"/>
                <w:szCs w:val="28"/>
              </w:rPr>
              <w:t>бл. 334–262 до н.е.</w:t>
            </w:r>
          </w:p>
        </w:tc>
        <w:tc>
          <w:tcPr>
            <w:tcW w:w="3136" w:type="dxa"/>
            <w:tcBorders>
              <w:left w:val="single" w:sz="2" w:space="0" w:color="000000"/>
              <w:bottom w:val="single" w:sz="2" w:space="0" w:color="000000"/>
            </w:tcBorders>
            <w:shd w:val="clear" w:color="auto" w:fill="auto"/>
          </w:tcPr>
          <w:p w14:paraId="7F7C9CE5" w14:textId="77777777" w:rsidR="00B51242" w:rsidRDefault="008E4E86">
            <w:pPr>
              <w:spacing w:line="360" w:lineRule="auto"/>
              <w:jc w:val="both"/>
            </w:pPr>
            <w:r>
              <w:rPr>
                <w:rStyle w:val="StrongEmphasis"/>
                <w:color w:val="000000"/>
                <w:sz w:val="28"/>
                <w:szCs w:val="28"/>
              </w:rPr>
              <w:t>Зенон Кітійський</w:t>
            </w:r>
            <w:r>
              <w:rPr>
                <w:color w:val="000000"/>
                <w:sz w:val="28"/>
                <w:szCs w:val="28"/>
              </w:rPr>
              <w:t xml:space="preserve"> — засновник стоїцизму.</w:t>
            </w:r>
          </w:p>
          <w:p w14:paraId="7448BB68" w14:textId="77777777" w:rsidR="00B51242" w:rsidRDefault="008E4E86">
            <w:pPr>
              <w:spacing w:line="360" w:lineRule="auto"/>
              <w:jc w:val="both"/>
              <w:rPr>
                <w:sz w:val="28"/>
                <w:szCs w:val="28"/>
              </w:rPr>
            </w:pPr>
            <w:r>
              <w:rPr>
                <w:color w:val="000000"/>
                <w:sz w:val="28"/>
                <w:szCs w:val="28"/>
              </w:rPr>
              <w:t>- Вчить бути вільним через розуміння природи речей.</w:t>
            </w:r>
          </w:p>
          <w:p w14:paraId="5E7E3C41" w14:textId="77777777" w:rsidR="00B51242" w:rsidRDefault="00B51242">
            <w:pPr>
              <w:spacing w:line="360" w:lineRule="auto"/>
              <w:jc w:val="both"/>
              <w:rPr>
                <w:color w:val="000000"/>
                <w:sz w:val="28"/>
                <w:szCs w:val="28"/>
              </w:rPr>
            </w:pPr>
          </w:p>
          <w:p w14:paraId="79AC8443" w14:textId="77777777" w:rsidR="00B51242" w:rsidRDefault="008E4E86">
            <w:pPr>
              <w:spacing w:line="360" w:lineRule="auto"/>
              <w:jc w:val="both"/>
              <w:rPr>
                <w:sz w:val="28"/>
                <w:szCs w:val="28"/>
              </w:rPr>
            </w:pPr>
            <w:r>
              <w:rPr>
                <w:color w:val="000000"/>
                <w:sz w:val="28"/>
                <w:szCs w:val="28"/>
              </w:rPr>
              <w:t>- «Справжня свобода — це панування над собою»</w:t>
            </w:r>
          </w:p>
          <w:p w14:paraId="03F828E4" w14:textId="77777777" w:rsidR="00B51242" w:rsidRDefault="00B51242">
            <w:pPr>
              <w:spacing w:line="360" w:lineRule="auto"/>
              <w:jc w:val="both"/>
              <w:rPr>
                <w:color w:val="000000"/>
                <w:sz w:val="28"/>
                <w:szCs w:val="28"/>
              </w:rPr>
            </w:pPr>
          </w:p>
          <w:p w14:paraId="648A31CC" w14:textId="77777777" w:rsidR="00B51242" w:rsidRDefault="008E4E86">
            <w:pPr>
              <w:spacing w:line="360" w:lineRule="auto"/>
              <w:jc w:val="both"/>
              <w:rPr>
                <w:sz w:val="28"/>
                <w:szCs w:val="28"/>
              </w:rPr>
            </w:pPr>
            <w:r>
              <w:rPr>
                <w:color w:val="000000"/>
                <w:sz w:val="28"/>
                <w:szCs w:val="28"/>
              </w:rPr>
              <w:t>- «Навчися зносити те, що не можеш змінити»</w:t>
            </w:r>
          </w:p>
          <w:p w14:paraId="2AC57CB0" w14:textId="77777777" w:rsidR="00B51242" w:rsidRDefault="00B51242">
            <w:pPr>
              <w:spacing w:line="360" w:lineRule="auto"/>
              <w:jc w:val="both"/>
              <w:rPr>
                <w:color w:val="000000"/>
                <w:sz w:val="28"/>
                <w:szCs w:val="28"/>
              </w:rPr>
            </w:pPr>
          </w:p>
          <w:p w14:paraId="5186B13D" w14:textId="77777777" w:rsidR="00B51242" w:rsidRDefault="00B51242">
            <w:pPr>
              <w:spacing w:line="360" w:lineRule="auto"/>
              <w:jc w:val="both"/>
              <w:rPr>
                <w:color w:val="000000"/>
                <w:sz w:val="28"/>
                <w:szCs w:val="28"/>
              </w:rPr>
            </w:pPr>
          </w:p>
          <w:p w14:paraId="6E996266" w14:textId="77777777" w:rsidR="00B51242" w:rsidRDefault="008E4E86">
            <w:pPr>
              <w:spacing w:line="360" w:lineRule="auto"/>
              <w:jc w:val="both"/>
              <w:rPr>
                <w:sz w:val="28"/>
                <w:szCs w:val="28"/>
              </w:rPr>
            </w:pPr>
            <w:r>
              <w:rPr>
                <w:color w:val="000000"/>
                <w:sz w:val="28"/>
                <w:szCs w:val="28"/>
              </w:rPr>
              <w:t xml:space="preserve">-  «Щастя залежить не від того, що ти маєш, а від того, як ти це сприймаєш» </w:t>
            </w:r>
          </w:p>
          <w:p w14:paraId="31F6AF72" w14:textId="77777777" w:rsidR="00B51242" w:rsidRDefault="008E4E86">
            <w:pPr>
              <w:tabs>
                <w:tab w:val="left" w:pos="113"/>
              </w:tabs>
              <w:spacing w:after="120" w:line="360" w:lineRule="auto"/>
              <w:jc w:val="both"/>
              <w:rPr>
                <w:sz w:val="28"/>
                <w:szCs w:val="28"/>
              </w:rPr>
            </w:pPr>
            <w:r>
              <w:rPr>
                <w:rFonts w:cs="Times New Roman"/>
                <w:color w:val="000000"/>
                <w:sz w:val="28"/>
                <w:szCs w:val="28"/>
                <w:lang w:val="en-US"/>
              </w:rPr>
              <w:t>[68]</w:t>
            </w:r>
          </w:p>
        </w:tc>
        <w:tc>
          <w:tcPr>
            <w:tcW w:w="4529" w:type="dxa"/>
            <w:tcBorders>
              <w:left w:val="single" w:sz="2" w:space="0" w:color="000000"/>
              <w:bottom w:val="single" w:sz="2" w:space="0" w:color="000000"/>
              <w:right w:val="single" w:sz="2" w:space="0" w:color="000000"/>
            </w:tcBorders>
            <w:shd w:val="clear" w:color="auto" w:fill="auto"/>
          </w:tcPr>
          <w:p w14:paraId="6C57C439" w14:textId="77777777" w:rsidR="00B51242" w:rsidRDefault="00B51242">
            <w:pPr>
              <w:spacing w:line="360" w:lineRule="auto"/>
              <w:jc w:val="both"/>
              <w:rPr>
                <w:b/>
                <w:bCs/>
                <w:color w:val="000000"/>
                <w:sz w:val="28"/>
                <w:szCs w:val="28"/>
              </w:rPr>
            </w:pPr>
          </w:p>
          <w:p w14:paraId="3D404BC9" w14:textId="77777777" w:rsidR="00B51242" w:rsidRDefault="00B51242">
            <w:pPr>
              <w:spacing w:line="360" w:lineRule="auto"/>
              <w:jc w:val="both"/>
              <w:rPr>
                <w:b/>
                <w:bCs/>
                <w:color w:val="000000"/>
                <w:sz w:val="28"/>
                <w:szCs w:val="28"/>
              </w:rPr>
            </w:pPr>
          </w:p>
          <w:p w14:paraId="53DAEA02" w14:textId="77777777" w:rsidR="00B51242" w:rsidRDefault="008E4E86">
            <w:pPr>
              <w:spacing w:line="360" w:lineRule="auto"/>
              <w:jc w:val="both"/>
            </w:pPr>
            <w:r>
              <w:rPr>
                <w:b/>
                <w:bCs/>
                <w:color w:val="000000"/>
                <w:sz w:val="28"/>
                <w:szCs w:val="28"/>
              </w:rPr>
              <w:t xml:space="preserve"> </w:t>
            </w:r>
            <w:r>
              <w:rPr>
                <w:color w:val="000000"/>
                <w:sz w:val="28"/>
                <w:szCs w:val="28"/>
              </w:rPr>
              <w:t xml:space="preserve">- </w:t>
            </w:r>
            <w:r>
              <w:rPr>
                <w:rStyle w:val="StrongEmphasis"/>
                <w:b w:val="0"/>
                <w:bCs w:val="0"/>
                <w:color w:val="000000"/>
                <w:sz w:val="28"/>
                <w:szCs w:val="28"/>
              </w:rPr>
              <w:t>КПТ вчить, що емоційне здоров’я досягається через раціональне осмислення думок</w:t>
            </w:r>
            <w:r>
              <w:rPr>
                <w:color w:val="000000"/>
                <w:sz w:val="28"/>
                <w:szCs w:val="28"/>
              </w:rPr>
              <w:t xml:space="preserve">. </w:t>
            </w:r>
          </w:p>
          <w:p w14:paraId="61D61499" w14:textId="77777777" w:rsidR="00B51242" w:rsidRDefault="008E4E86">
            <w:pPr>
              <w:spacing w:line="360" w:lineRule="auto"/>
              <w:jc w:val="both"/>
              <w:rPr>
                <w:sz w:val="28"/>
                <w:szCs w:val="28"/>
              </w:rPr>
            </w:pPr>
            <w:r>
              <w:rPr>
                <w:color w:val="000000"/>
                <w:sz w:val="28"/>
                <w:szCs w:val="28"/>
              </w:rPr>
              <w:t xml:space="preserve"> - КПТ фокусується на саморегуляції: через зміну мислення — контроль над емоціями й поведінкою. </w:t>
            </w:r>
          </w:p>
          <w:p w14:paraId="7B557B82" w14:textId="77777777" w:rsidR="00B51242" w:rsidRDefault="008E4E86">
            <w:pPr>
              <w:spacing w:line="360" w:lineRule="auto"/>
              <w:jc w:val="both"/>
              <w:rPr>
                <w:sz w:val="28"/>
                <w:szCs w:val="28"/>
              </w:rPr>
            </w:pPr>
            <w:r>
              <w:rPr>
                <w:color w:val="000000"/>
                <w:sz w:val="28"/>
                <w:szCs w:val="28"/>
              </w:rPr>
              <w:t xml:space="preserve"> - У КПТ — техніки прийняття (особливо в ACT — Acceptance and Commitment Therapy), робота з гнучкістю мислення. </w:t>
            </w:r>
          </w:p>
          <w:p w14:paraId="1DD08D94" w14:textId="77777777" w:rsidR="00B51242" w:rsidRDefault="008E4E86">
            <w:pPr>
              <w:spacing w:line="360" w:lineRule="auto"/>
              <w:jc w:val="both"/>
            </w:pPr>
            <w:r>
              <w:rPr>
                <w:color w:val="000000"/>
                <w:sz w:val="28"/>
                <w:szCs w:val="28"/>
              </w:rPr>
              <w:t xml:space="preserve">- КПТ не змінює реальність, а змінює спосіб її сприйняття: </w:t>
            </w:r>
            <w:r>
              <w:rPr>
                <w:rStyle w:val="StrongEmphasis"/>
                <w:color w:val="000000"/>
                <w:sz w:val="28"/>
                <w:szCs w:val="28"/>
              </w:rPr>
              <w:t>рефреймінг</w:t>
            </w:r>
            <w:r>
              <w:rPr>
                <w:color w:val="000000"/>
                <w:sz w:val="28"/>
                <w:szCs w:val="28"/>
              </w:rPr>
              <w:t xml:space="preserve">, </w:t>
            </w:r>
            <w:r>
              <w:rPr>
                <w:rStyle w:val="StrongEmphasis"/>
                <w:color w:val="000000"/>
                <w:sz w:val="28"/>
                <w:szCs w:val="28"/>
              </w:rPr>
              <w:t>раціональне опрацювання думок</w:t>
            </w:r>
            <w:r>
              <w:rPr>
                <w:color w:val="000000"/>
                <w:sz w:val="28"/>
                <w:szCs w:val="28"/>
              </w:rPr>
              <w:t xml:space="preserve">. </w:t>
            </w:r>
          </w:p>
          <w:p w14:paraId="61319B8A" w14:textId="77777777" w:rsidR="00B51242" w:rsidRDefault="00B51242">
            <w:pPr>
              <w:spacing w:line="360" w:lineRule="auto"/>
              <w:jc w:val="both"/>
              <w:rPr>
                <w:color w:val="000000"/>
                <w:sz w:val="28"/>
                <w:szCs w:val="28"/>
              </w:rPr>
            </w:pPr>
          </w:p>
          <w:p w14:paraId="31A560F4" w14:textId="77777777" w:rsidR="00B51242" w:rsidRDefault="00B51242">
            <w:pPr>
              <w:spacing w:line="360" w:lineRule="auto"/>
              <w:jc w:val="both"/>
              <w:rPr>
                <w:color w:val="000000"/>
                <w:sz w:val="28"/>
                <w:szCs w:val="28"/>
              </w:rPr>
            </w:pPr>
          </w:p>
          <w:p w14:paraId="70DF735C" w14:textId="77777777" w:rsidR="00B51242" w:rsidRDefault="00B51242">
            <w:pPr>
              <w:spacing w:line="360" w:lineRule="auto"/>
              <w:jc w:val="both"/>
              <w:rPr>
                <w:color w:val="000000"/>
                <w:sz w:val="28"/>
                <w:szCs w:val="28"/>
              </w:rPr>
            </w:pPr>
          </w:p>
          <w:p w14:paraId="05819909" w14:textId="77777777" w:rsidR="00B51242" w:rsidRDefault="008E4E86">
            <w:pPr>
              <w:spacing w:line="360" w:lineRule="auto"/>
              <w:jc w:val="both"/>
              <w:rPr>
                <w:sz w:val="28"/>
                <w:szCs w:val="28"/>
              </w:rPr>
            </w:pPr>
            <w:r>
              <w:rPr>
                <w:color w:val="000000"/>
                <w:sz w:val="28"/>
                <w:szCs w:val="28"/>
              </w:rPr>
              <w:t xml:space="preserve">                                                           </w:t>
            </w:r>
          </w:p>
        </w:tc>
      </w:tr>
      <w:tr w:rsidR="00B51242" w14:paraId="6656B973" w14:textId="77777777">
        <w:tc>
          <w:tcPr>
            <w:tcW w:w="1573" w:type="dxa"/>
            <w:tcBorders>
              <w:left w:val="single" w:sz="2" w:space="0" w:color="000000"/>
              <w:bottom w:val="single" w:sz="2" w:space="0" w:color="000000"/>
            </w:tcBorders>
            <w:shd w:val="clear" w:color="auto" w:fill="auto"/>
          </w:tcPr>
          <w:p w14:paraId="2E3CACAB" w14:textId="77777777" w:rsidR="00B51242" w:rsidRDefault="008E4E86">
            <w:pPr>
              <w:spacing w:line="360" w:lineRule="auto"/>
              <w:jc w:val="both"/>
              <w:rPr>
                <w:sz w:val="28"/>
                <w:szCs w:val="28"/>
              </w:rPr>
            </w:pPr>
            <w:r>
              <w:rPr>
                <w:color w:val="000000"/>
                <w:sz w:val="28"/>
                <w:szCs w:val="28"/>
              </w:rPr>
              <w:t>бл. 4 до н.е. – 65 н.е.</w:t>
            </w:r>
          </w:p>
        </w:tc>
        <w:tc>
          <w:tcPr>
            <w:tcW w:w="3136" w:type="dxa"/>
            <w:tcBorders>
              <w:left w:val="single" w:sz="2" w:space="0" w:color="000000"/>
              <w:bottom w:val="single" w:sz="2" w:space="0" w:color="000000"/>
            </w:tcBorders>
            <w:shd w:val="clear" w:color="auto" w:fill="auto"/>
          </w:tcPr>
          <w:p w14:paraId="07A9779E" w14:textId="77777777" w:rsidR="00B51242" w:rsidRDefault="008E4E86">
            <w:pPr>
              <w:spacing w:line="360" w:lineRule="auto"/>
              <w:jc w:val="both"/>
            </w:pPr>
            <w:r>
              <w:rPr>
                <w:rStyle w:val="StrongEmphasis"/>
                <w:color w:val="000000"/>
                <w:sz w:val="28"/>
                <w:szCs w:val="28"/>
              </w:rPr>
              <w:t>Сенека</w:t>
            </w:r>
            <w:r>
              <w:rPr>
                <w:color w:val="000000"/>
                <w:sz w:val="28"/>
                <w:szCs w:val="28"/>
              </w:rPr>
              <w:t>— радник імператора Нерона, філософ моралі.</w:t>
            </w:r>
          </w:p>
          <w:p w14:paraId="5DA6189E" w14:textId="77777777" w:rsidR="00B51242" w:rsidRDefault="008E4E86">
            <w:pPr>
              <w:spacing w:line="360" w:lineRule="auto"/>
              <w:jc w:val="both"/>
              <w:rPr>
                <w:sz w:val="28"/>
                <w:szCs w:val="28"/>
              </w:rPr>
            </w:pPr>
            <w:r>
              <w:rPr>
                <w:color w:val="000000"/>
                <w:sz w:val="28"/>
                <w:szCs w:val="28"/>
              </w:rPr>
              <w:t xml:space="preserve">- “Ми більше страждаємо у своїй уяві, ніж у реальності. </w:t>
            </w:r>
          </w:p>
          <w:p w14:paraId="05C2A4D3" w14:textId="77777777" w:rsidR="00B51242" w:rsidRDefault="008E4E86">
            <w:pPr>
              <w:spacing w:line="360" w:lineRule="auto"/>
              <w:jc w:val="both"/>
              <w:rPr>
                <w:sz w:val="28"/>
                <w:szCs w:val="28"/>
              </w:rPr>
            </w:pPr>
            <w:r>
              <w:rPr>
                <w:color w:val="000000"/>
                <w:sz w:val="28"/>
                <w:szCs w:val="28"/>
              </w:rPr>
              <w:t xml:space="preserve">     </w:t>
            </w:r>
          </w:p>
          <w:p w14:paraId="0802066A" w14:textId="77777777" w:rsidR="00B51242" w:rsidRDefault="008E4E86">
            <w:pPr>
              <w:spacing w:line="360" w:lineRule="auto"/>
              <w:jc w:val="both"/>
              <w:rPr>
                <w:sz w:val="28"/>
                <w:szCs w:val="28"/>
              </w:rPr>
            </w:pPr>
            <w:r>
              <w:rPr>
                <w:rFonts w:cs="Times New Roman"/>
                <w:color w:val="000000"/>
                <w:sz w:val="28"/>
                <w:szCs w:val="28"/>
                <w:lang w:val="en-US"/>
              </w:rPr>
              <w:t>[43]</w:t>
            </w:r>
          </w:p>
        </w:tc>
        <w:tc>
          <w:tcPr>
            <w:tcW w:w="4529" w:type="dxa"/>
            <w:tcBorders>
              <w:left w:val="single" w:sz="2" w:space="0" w:color="000000"/>
              <w:bottom w:val="single" w:sz="2" w:space="0" w:color="000000"/>
              <w:right w:val="single" w:sz="2" w:space="0" w:color="000000"/>
            </w:tcBorders>
            <w:shd w:val="clear" w:color="auto" w:fill="auto"/>
          </w:tcPr>
          <w:p w14:paraId="3A413BF6" w14:textId="77777777" w:rsidR="00B51242" w:rsidRDefault="00B51242">
            <w:pPr>
              <w:spacing w:line="360" w:lineRule="auto"/>
              <w:jc w:val="both"/>
              <w:rPr>
                <w:color w:val="000000"/>
                <w:sz w:val="28"/>
                <w:szCs w:val="28"/>
              </w:rPr>
            </w:pPr>
          </w:p>
          <w:p w14:paraId="33D28B4B" w14:textId="77777777" w:rsidR="00B51242" w:rsidRDefault="00B51242">
            <w:pPr>
              <w:spacing w:line="360" w:lineRule="auto"/>
              <w:jc w:val="both"/>
              <w:rPr>
                <w:color w:val="000000"/>
                <w:sz w:val="28"/>
                <w:szCs w:val="28"/>
              </w:rPr>
            </w:pPr>
          </w:p>
          <w:p w14:paraId="7C561A60" w14:textId="77777777" w:rsidR="00B51242" w:rsidRDefault="008E4E86">
            <w:pPr>
              <w:spacing w:line="360" w:lineRule="auto"/>
              <w:jc w:val="both"/>
              <w:rPr>
                <w:sz w:val="28"/>
                <w:szCs w:val="28"/>
              </w:rPr>
            </w:pPr>
            <w:r>
              <w:rPr>
                <w:color w:val="000000"/>
                <w:sz w:val="28"/>
                <w:szCs w:val="28"/>
              </w:rPr>
              <w:t xml:space="preserve"> - Ідентифікація катастрофічного мислення, робота з когнітивними спотвореннями.</w:t>
            </w:r>
          </w:p>
        </w:tc>
      </w:tr>
      <w:tr w:rsidR="00B51242" w14:paraId="3BFEB297" w14:textId="77777777">
        <w:tc>
          <w:tcPr>
            <w:tcW w:w="1573" w:type="dxa"/>
            <w:tcBorders>
              <w:left w:val="single" w:sz="2" w:space="0" w:color="000000"/>
              <w:bottom w:val="single" w:sz="2" w:space="0" w:color="000000"/>
            </w:tcBorders>
            <w:shd w:val="clear" w:color="auto" w:fill="auto"/>
          </w:tcPr>
          <w:p w14:paraId="6DA65AA7" w14:textId="77777777" w:rsidR="00B51242" w:rsidRDefault="008E4E86">
            <w:pPr>
              <w:tabs>
                <w:tab w:val="left" w:pos="0"/>
              </w:tabs>
              <w:spacing w:line="360" w:lineRule="auto"/>
              <w:jc w:val="both"/>
              <w:rPr>
                <w:sz w:val="28"/>
                <w:szCs w:val="28"/>
              </w:rPr>
            </w:pPr>
            <w:r>
              <w:rPr>
                <w:color w:val="000000"/>
                <w:sz w:val="28"/>
                <w:szCs w:val="28"/>
              </w:rPr>
              <w:t>бл. 50–135 н.е.</w:t>
            </w:r>
          </w:p>
        </w:tc>
        <w:tc>
          <w:tcPr>
            <w:tcW w:w="3136" w:type="dxa"/>
            <w:tcBorders>
              <w:left w:val="single" w:sz="2" w:space="0" w:color="000000"/>
              <w:bottom w:val="single" w:sz="2" w:space="0" w:color="000000"/>
            </w:tcBorders>
            <w:shd w:val="clear" w:color="auto" w:fill="auto"/>
          </w:tcPr>
          <w:p w14:paraId="46F81249" w14:textId="77777777" w:rsidR="00B51242" w:rsidRDefault="008E4E86">
            <w:pPr>
              <w:tabs>
                <w:tab w:val="left" w:pos="0"/>
              </w:tabs>
              <w:spacing w:line="360" w:lineRule="auto"/>
              <w:jc w:val="both"/>
            </w:pPr>
            <w:r>
              <w:rPr>
                <w:rStyle w:val="StrongEmphasis"/>
                <w:color w:val="000000"/>
                <w:sz w:val="28"/>
                <w:szCs w:val="28"/>
              </w:rPr>
              <w:t>Епіктет</w:t>
            </w:r>
            <w:r>
              <w:rPr>
                <w:color w:val="000000"/>
                <w:sz w:val="28"/>
                <w:szCs w:val="28"/>
              </w:rPr>
              <w:t xml:space="preserve">  — колишній раб, вчив внутрішній свободі.</w:t>
            </w:r>
          </w:p>
          <w:p w14:paraId="5CFEB411" w14:textId="77777777" w:rsidR="00B51242" w:rsidRDefault="008E4E86">
            <w:pPr>
              <w:tabs>
                <w:tab w:val="left" w:pos="0"/>
              </w:tabs>
              <w:spacing w:line="360" w:lineRule="auto"/>
              <w:jc w:val="both"/>
              <w:rPr>
                <w:sz w:val="28"/>
                <w:szCs w:val="28"/>
              </w:rPr>
            </w:pPr>
            <w:r>
              <w:rPr>
                <w:color w:val="000000"/>
                <w:sz w:val="28"/>
                <w:szCs w:val="28"/>
              </w:rPr>
              <w:t>- “Ми можемо контролювати лише власні думки, почуття й вчинки”</w:t>
            </w:r>
          </w:p>
          <w:p w14:paraId="64779CF5" w14:textId="77777777" w:rsidR="00B51242" w:rsidRDefault="008E4E86">
            <w:pPr>
              <w:tabs>
                <w:tab w:val="left" w:pos="0"/>
              </w:tabs>
              <w:spacing w:line="360" w:lineRule="auto"/>
              <w:jc w:val="both"/>
              <w:rPr>
                <w:sz w:val="28"/>
                <w:szCs w:val="28"/>
              </w:rPr>
            </w:pPr>
            <w:r>
              <w:rPr>
                <w:rFonts w:cs="Times New Roman"/>
                <w:color w:val="000000"/>
                <w:sz w:val="28"/>
                <w:szCs w:val="28"/>
                <w:lang w:val="en-US"/>
              </w:rPr>
              <w:t>[43]</w:t>
            </w:r>
          </w:p>
        </w:tc>
        <w:tc>
          <w:tcPr>
            <w:tcW w:w="4529" w:type="dxa"/>
            <w:tcBorders>
              <w:left w:val="single" w:sz="2" w:space="0" w:color="000000"/>
              <w:bottom w:val="single" w:sz="2" w:space="0" w:color="000000"/>
              <w:right w:val="single" w:sz="2" w:space="0" w:color="000000"/>
            </w:tcBorders>
            <w:shd w:val="clear" w:color="auto" w:fill="auto"/>
          </w:tcPr>
          <w:p w14:paraId="37EFA3E3" w14:textId="77777777" w:rsidR="00B51242" w:rsidRDefault="00B51242">
            <w:pPr>
              <w:spacing w:line="360" w:lineRule="auto"/>
              <w:jc w:val="both"/>
              <w:rPr>
                <w:color w:val="000000"/>
                <w:sz w:val="28"/>
                <w:szCs w:val="28"/>
              </w:rPr>
            </w:pPr>
          </w:p>
          <w:p w14:paraId="41C6AC2A" w14:textId="77777777" w:rsidR="00B51242" w:rsidRDefault="00B51242">
            <w:pPr>
              <w:spacing w:line="360" w:lineRule="auto"/>
              <w:jc w:val="both"/>
              <w:rPr>
                <w:color w:val="000000"/>
                <w:sz w:val="28"/>
                <w:szCs w:val="28"/>
              </w:rPr>
            </w:pPr>
          </w:p>
          <w:p w14:paraId="07D4F1D9" w14:textId="77777777" w:rsidR="00B51242" w:rsidRDefault="008E4E86">
            <w:pPr>
              <w:spacing w:line="360" w:lineRule="auto"/>
              <w:jc w:val="both"/>
              <w:rPr>
                <w:sz w:val="28"/>
                <w:szCs w:val="28"/>
              </w:rPr>
            </w:pPr>
            <w:r>
              <w:rPr>
                <w:color w:val="000000"/>
                <w:sz w:val="28"/>
                <w:szCs w:val="28"/>
              </w:rPr>
              <w:t xml:space="preserve"> - Розрізнення між контрольованими й неконтрольованими аспектами ситуації. Навчання відповідального мислення й дій.</w:t>
            </w:r>
          </w:p>
        </w:tc>
      </w:tr>
      <w:tr w:rsidR="00B51242" w14:paraId="1AB9E8DD" w14:textId="77777777">
        <w:tc>
          <w:tcPr>
            <w:tcW w:w="1573" w:type="dxa"/>
            <w:tcBorders>
              <w:left w:val="single" w:sz="2" w:space="0" w:color="000000"/>
              <w:bottom w:val="single" w:sz="2" w:space="0" w:color="000000"/>
            </w:tcBorders>
            <w:shd w:val="clear" w:color="auto" w:fill="auto"/>
          </w:tcPr>
          <w:p w14:paraId="0A130A76" w14:textId="77777777" w:rsidR="00B51242" w:rsidRDefault="008E4E86">
            <w:pPr>
              <w:tabs>
                <w:tab w:val="left" w:pos="0"/>
              </w:tabs>
              <w:spacing w:line="360" w:lineRule="auto"/>
              <w:jc w:val="both"/>
              <w:rPr>
                <w:sz w:val="28"/>
                <w:szCs w:val="28"/>
              </w:rPr>
            </w:pPr>
            <w:r>
              <w:rPr>
                <w:color w:val="000000"/>
                <w:sz w:val="28"/>
                <w:szCs w:val="28"/>
              </w:rPr>
              <w:t>121–180 н.е.</w:t>
            </w:r>
          </w:p>
        </w:tc>
        <w:tc>
          <w:tcPr>
            <w:tcW w:w="3136" w:type="dxa"/>
            <w:tcBorders>
              <w:left w:val="single" w:sz="2" w:space="0" w:color="000000"/>
              <w:bottom w:val="single" w:sz="2" w:space="0" w:color="000000"/>
            </w:tcBorders>
            <w:shd w:val="clear" w:color="auto" w:fill="auto"/>
          </w:tcPr>
          <w:p w14:paraId="66485E67" w14:textId="77777777" w:rsidR="00B51242" w:rsidRDefault="008E4E86">
            <w:pPr>
              <w:tabs>
                <w:tab w:val="left" w:pos="0"/>
              </w:tabs>
              <w:spacing w:line="360" w:lineRule="auto"/>
              <w:jc w:val="both"/>
            </w:pPr>
            <w:r>
              <w:rPr>
                <w:rStyle w:val="StrongEmphasis"/>
                <w:color w:val="000000"/>
                <w:sz w:val="28"/>
                <w:szCs w:val="28"/>
              </w:rPr>
              <w:t>Марк Аврелій</w:t>
            </w:r>
            <w:r>
              <w:rPr>
                <w:color w:val="000000"/>
                <w:sz w:val="28"/>
                <w:szCs w:val="28"/>
              </w:rPr>
              <w:t xml:space="preserve"> — римський імператор</w:t>
            </w:r>
          </w:p>
          <w:p w14:paraId="4C83B1EB" w14:textId="77777777" w:rsidR="00B51242" w:rsidRDefault="008E4E86">
            <w:pPr>
              <w:tabs>
                <w:tab w:val="left" w:pos="0"/>
              </w:tabs>
              <w:spacing w:line="360" w:lineRule="auto"/>
              <w:jc w:val="both"/>
              <w:rPr>
                <w:sz w:val="28"/>
                <w:szCs w:val="28"/>
              </w:rPr>
            </w:pPr>
            <w:r>
              <w:rPr>
                <w:color w:val="000000"/>
                <w:sz w:val="28"/>
                <w:szCs w:val="28"/>
              </w:rPr>
              <w:t>- “Якщо тебе тривожить щось зовнішнє, то біль спричинений не самою річчю, а твоєю оцінкою її; і цю оцінку ти можеш змінити в будь-який момент.”</w:t>
            </w:r>
          </w:p>
          <w:p w14:paraId="4FB9F7EF" w14:textId="77777777" w:rsidR="00B51242" w:rsidRDefault="008E4E86">
            <w:pPr>
              <w:tabs>
                <w:tab w:val="left" w:pos="0"/>
              </w:tabs>
              <w:spacing w:line="360" w:lineRule="auto"/>
              <w:jc w:val="both"/>
              <w:rPr>
                <w:sz w:val="28"/>
                <w:szCs w:val="28"/>
              </w:rPr>
            </w:pPr>
            <w:r>
              <w:rPr>
                <w:rFonts w:cs="Times New Roman"/>
                <w:color w:val="000000"/>
                <w:sz w:val="28"/>
                <w:szCs w:val="28"/>
                <w:lang w:val="en-US"/>
              </w:rPr>
              <w:t>[43]</w:t>
            </w:r>
          </w:p>
        </w:tc>
        <w:tc>
          <w:tcPr>
            <w:tcW w:w="4529" w:type="dxa"/>
            <w:tcBorders>
              <w:left w:val="single" w:sz="2" w:space="0" w:color="000000"/>
              <w:bottom w:val="single" w:sz="2" w:space="0" w:color="000000"/>
              <w:right w:val="single" w:sz="2" w:space="0" w:color="000000"/>
            </w:tcBorders>
            <w:shd w:val="clear" w:color="auto" w:fill="auto"/>
          </w:tcPr>
          <w:p w14:paraId="2DC44586" w14:textId="77777777" w:rsidR="00B51242" w:rsidRDefault="00B51242">
            <w:pPr>
              <w:spacing w:line="360" w:lineRule="auto"/>
              <w:jc w:val="both"/>
              <w:rPr>
                <w:color w:val="000000"/>
                <w:sz w:val="28"/>
                <w:szCs w:val="28"/>
              </w:rPr>
            </w:pPr>
          </w:p>
          <w:p w14:paraId="4FFCBC07" w14:textId="77777777" w:rsidR="00B51242" w:rsidRDefault="00B51242">
            <w:pPr>
              <w:spacing w:line="360" w:lineRule="auto"/>
              <w:jc w:val="both"/>
              <w:rPr>
                <w:color w:val="000000"/>
                <w:sz w:val="28"/>
                <w:szCs w:val="28"/>
              </w:rPr>
            </w:pPr>
          </w:p>
          <w:p w14:paraId="02E1AB0F" w14:textId="77777777" w:rsidR="00B51242" w:rsidRDefault="008E4E86">
            <w:pPr>
              <w:spacing w:line="360" w:lineRule="auto"/>
              <w:jc w:val="both"/>
              <w:rPr>
                <w:sz w:val="28"/>
                <w:szCs w:val="28"/>
              </w:rPr>
            </w:pPr>
            <w:r>
              <w:rPr>
                <w:color w:val="000000"/>
                <w:sz w:val="28"/>
                <w:szCs w:val="28"/>
              </w:rPr>
              <w:t xml:space="preserve"> - Когнітивна реструктуризація: зміна інтерпретації події змінює емоційну реакцію.</w:t>
            </w:r>
          </w:p>
          <w:p w14:paraId="78ED280F" w14:textId="77777777" w:rsidR="00B51242" w:rsidRDefault="008E4E86">
            <w:pPr>
              <w:spacing w:line="360" w:lineRule="auto"/>
              <w:jc w:val="both"/>
              <w:rPr>
                <w:sz w:val="28"/>
                <w:szCs w:val="28"/>
              </w:rPr>
            </w:pPr>
            <w:r>
              <w:rPr>
                <w:color w:val="000000"/>
                <w:sz w:val="28"/>
                <w:szCs w:val="28"/>
              </w:rPr>
              <w:t xml:space="preserve">                           </w:t>
            </w:r>
          </w:p>
          <w:p w14:paraId="1728B4D0" w14:textId="77777777" w:rsidR="00B51242" w:rsidRDefault="00B51242">
            <w:pPr>
              <w:spacing w:line="360" w:lineRule="auto"/>
              <w:jc w:val="both"/>
              <w:rPr>
                <w:color w:val="000000"/>
                <w:sz w:val="28"/>
                <w:szCs w:val="28"/>
              </w:rPr>
            </w:pPr>
          </w:p>
          <w:p w14:paraId="3CC66197" w14:textId="77777777" w:rsidR="00B51242" w:rsidRDefault="008E4E86">
            <w:pPr>
              <w:spacing w:line="360" w:lineRule="auto"/>
              <w:jc w:val="both"/>
              <w:rPr>
                <w:sz w:val="28"/>
                <w:szCs w:val="28"/>
              </w:rPr>
            </w:pPr>
            <w:r>
              <w:rPr>
                <w:color w:val="000000"/>
                <w:sz w:val="28"/>
                <w:szCs w:val="28"/>
              </w:rPr>
              <w:t xml:space="preserve">                               </w:t>
            </w:r>
          </w:p>
        </w:tc>
      </w:tr>
      <w:tr w:rsidR="00B51242" w14:paraId="64A4DD67" w14:textId="77777777">
        <w:tc>
          <w:tcPr>
            <w:tcW w:w="1573" w:type="dxa"/>
            <w:tcBorders>
              <w:left w:val="single" w:sz="2" w:space="0" w:color="000000"/>
              <w:bottom w:val="single" w:sz="2" w:space="0" w:color="000000"/>
            </w:tcBorders>
            <w:shd w:val="clear" w:color="auto" w:fill="auto"/>
          </w:tcPr>
          <w:p w14:paraId="12B04A7E" w14:textId="77777777" w:rsidR="00B51242" w:rsidRDefault="008E4E86">
            <w:pPr>
              <w:spacing w:line="360" w:lineRule="auto"/>
              <w:jc w:val="both"/>
            </w:pPr>
            <w:r>
              <w:rPr>
                <w:rStyle w:val="StrongEmphasis"/>
                <w:color w:val="000000"/>
                <w:sz w:val="28"/>
                <w:szCs w:val="28"/>
              </w:rPr>
              <w:t>1637</w:t>
            </w:r>
          </w:p>
        </w:tc>
        <w:tc>
          <w:tcPr>
            <w:tcW w:w="3136" w:type="dxa"/>
            <w:tcBorders>
              <w:left w:val="single" w:sz="2" w:space="0" w:color="000000"/>
              <w:bottom w:val="single" w:sz="2" w:space="0" w:color="000000"/>
            </w:tcBorders>
            <w:shd w:val="clear" w:color="auto" w:fill="auto"/>
          </w:tcPr>
          <w:p w14:paraId="6CECCD61" w14:textId="77777777" w:rsidR="00B51242" w:rsidRDefault="008E4E86">
            <w:pPr>
              <w:spacing w:line="360" w:lineRule="auto"/>
              <w:jc w:val="both"/>
            </w:pPr>
            <w:r>
              <w:rPr>
                <w:color w:val="000000"/>
                <w:sz w:val="28"/>
                <w:szCs w:val="28"/>
              </w:rPr>
              <w:t xml:space="preserve"> </w:t>
            </w:r>
            <w:bookmarkStart w:id="20" w:name="__DdeLink__2181_1073706587"/>
            <w:r>
              <w:rPr>
                <w:color w:val="000000"/>
                <w:sz w:val="28"/>
                <w:szCs w:val="28"/>
              </w:rPr>
              <w:t xml:space="preserve">Р. Декарт публікує </w:t>
            </w:r>
            <w:r>
              <w:rPr>
                <w:rStyle w:val="StrongEmphasis"/>
                <w:color w:val="000000"/>
                <w:sz w:val="28"/>
                <w:szCs w:val="28"/>
              </w:rPr>
              <w:t>«Міркування про метод»</w:t>
            </w:r>
            <w:bookmarkEnd w:id="20"/>
          </w:p>
          <w:p w14:paraId="34959D4B" w14:textId="77777777" w:rsidR="00B51242" w:rsidRDefault="00B51242">
            <w:pPr>
              <w:spacing w:line="360" w:lineRule="auto"/>
              <w:jc w:val="both"/>
              <w:rPr>
                <w:color w:val="000000"/>
                <w:sz w:val="28"/>
                <w:szCs w:val="28"/>
              </w:rPr>
            </w:pPr>
          </w:p>
          <w:p w14:paraId="7BD58BA2" w14:textId="77777777" w:rsidR="00B51242" w:rsidRDefault="00B51242">
            <w:pPr>
              <w:spacing w:line="360" w:lineRule="auto"/>
              <w:jc w:val="both"/>
              <w:rPr>
                <w:color w:val="000000"/>
                <w:sz w:val="28"/>
                <w:szCs w:val="28"/>
              </w:rPr>
            </w:pPr>
          </w:p>
          <w:p w14:paraId="4357A966" w14:textId="77777777" w:rsidR="00B51242" w:rsidRDefault="00B51242">
            <w:pPr>
              <w:spacing w:line="360" w:lineRule="auto"/>
              <w:jc w:val="both"/>
              <w:rPr>
                <w:color w:val="000000"/>
                <w:sz w:val="28"/>
                <w:szCs w:val="28"/>
              </w:rPr>
            </w:pPr>
          </w:p>
          <w:p w14:paraId="0476DE45" w14:textId="77777777" w:rsidR="00B51242" w:rsidRDefault="008E4E86">
            <w:pPr>
              <w:spacing w:line="360" w:lineRule="auto"/>
              <w:jc w:val="both"/>
              <w:rPr>
                <w:sz w:val="28"/>
                <w:szCs w:val="28"/>
              </w:rPr>
            </w:pPr>
            <w:r>
              <w:rPr>
                <w:color w:val="000000"/>
                <w:sz w:val="28"/>
                <w:szCs w:val="28"/>
              </w:rPr>
              <w:t xml:space="preserve">      </w:t>
            </w:r>
          </w:p>
          <w:p w14:paraId="12F40E89" w14:textId="77777777" w:rsidR="00B51242" w:rsidRDefault="008E4E86">
            <w:pPr>
              <w:spacing w:line="360" w:lineRule="auto"/>
              <w:jc w:val="both"/>
              <w:rPr>
                <w:sz w:val="28"/>
                <w:szCs w:val="28"/>
              </w:rPr>
            </w:pPr>
            <w:r>
              <w:rPr>
                <w:color w:val="000000"/>
                <w:sz w:val="28"/>
                <w:szCs w:val="28"/>
              </w:rPr>
              <w:t xml:space="preserve"> </w:t>
            </w:r>
          </w:p>
        </w:tc>
        <w:tc>
          <w:tcPr>
            <w:tcW w:w="4529" w:type="dxa"/>
            <w:tcBorders>
              <w:left w:val="single" w:sz="2" w:space="0" w:color="000000"/>
              <w:bottom w:val="single" w:sz="2" w:space="0" w:color="000000"/>
              <w:right w:val="single" w:sz="2" w:space="0" w:color="000000"/>
            </w:tcBorders>
            <w:shd w:val="clear" w:color="auto" w:fill="auto"/>
          </w:tcPr>
          <w:p w14:paraId="0C1AA9C3" w14:textId="77777777" w:rsidR="00B51242" w:rsidRDefault="008E4E86">
            <w:pPr>
              <w:spacing w:line="360" w:lineRule="auto"/>
              <w:jc w:val="both"/>
            </w:pPr>
            <w:r>
              <w:rPr>
                <w:color w:val="000000"/>
                <w:sz w:val="28"/>
                <w:szCs w:val="28"/>
              </w:rPr>
              <w:t xml:space="preserve">Раціоналізм: </w:t>
            </w:r>
            <w:r>
              <w:rPr>
                <w:rStyle w:val="StrongEmphasis"/>
                <w:color w:val="000000"/>
                <w:sz w:val="28"/>
                <w:szCs w:val="28"/>
              </w:rPr>
              <w:t>«Я мислю — отже, я існую»</w:t>
            </w:r>
            <w:r>
              <w:rPr>
                <w:color w:val="000000"/>
                <w:sz w:val="28"/>
                <w:szCs w:val="28"/>
              </w:rPr>
              <w:t xml:space="preserve">. Започаткування ідеї свідомого мислення як основи для пізнання. Зародження ідеї </w:t>
            </w:r>
            <w:r>
              <w:rPr>
                <w:rStyle w:val="StrongEmphasis"/>
                <w:color w:val="000000"/>
                <w:sz w:val="28"/>
                <w:szCs w:val="28"/>
              </w:rPr>
              <w:t>дуального бачення людини: розум (res cogitans) і тіло (res extensa)</w:t>
            </w:r>
            <w:r>
              <w:rPr>
                <w:color w:val="000000"/>
                <w:sz w:val="28"/>
                <w:szCs w:val="28"/>
              </w:rPr>
              <w:t xml:space="preserve">. Вплив на розвиток ідеї, що мислення формує досвід.   </w:t>
            </w:r>
          </w:p>
        </w:tc>
      </w:tr>
      <w:tr w:rsidR="00B51242" w14:paraId="40555DDD" w14:textId="77777777">
        <w:tc>
          <w:tcPr>
            <w:tcW w:w="1573" w:type="dxa"/>
            <w:tcBorders>
              <w:left w:val="single" w:sz="2" w:space="0" w:color="000000"/>
              <w:bottom w:val="single" w:sz="2" w:space="0" w:color="000000"/>
            </w:tcBorders>
            <w:shd w:val="clear" w:color="auto" w:fill="auto"/>
          </w:tcPr>
          <w:p w14:paraId="29074134" w14:textId="77777777" w:rsidR="00B51242" w:rsidRDefault="008E4E86">
            <w:pPr>
              <w:spacing w:line="360" w:lineRule="auto"/>
              <w:jc w:val="both"/>
            </w:pPr>
            <w:r>
              <w:rPr>
                <w:rStyle w:val="StrongEmphasis"/>
                <w:color w:val="000000"/>
                <w:sz w:val="28"/>
                <w:szCs w:val="28"/>
              </w:rPr>
              <w:t>1690</w:t>
            </w:r>
          </w:p>
        </w:tc>
        <w:tc>
          <w:tcPr>
            <w:tcW w:w="3136" w:type="dxa"/>
            <w:tcBorders>
              <w:left w:val="single" w:sz="2" w:space="0" w:color="000000"/>
              <w:bottom w:val="single" w:sz="2" w:space="0" w:color="000000"/>
            </w:tcBorders>
            <w:shd w:val="clear" w:color="auto" w:fill="auto"/>
          </w:tcPr>
          <w:p w14:paraId="063A633F" w14:textId="77777777" w:rsidR="00B51242" w:rsidRDefault="008E4E86">
            <w:pPr>
              <w:spacing w:line="360" w:lineRule="auto"/>
              <w:jc w:val="both"/>
            </w:pPr>
            <w:r>
              <w:rPr>
                <w:color w:val="000000"/>
                <w:sz w:val="28"/>
                <w:szCs w:val="28"/>
              </w:rPr>
              <w:t xml:space="preserve">  Дж. Локк видає </w:t>
            </w:r>
            <w:r>
              <w:rPr>
                <w:rStyle w:val="StrongEmphasis"/>
                <w:color w:val="000000"/>
                <w:sz w:val="28"/>
                <w:szCs w:val="28"/>
              </w:rPr>
              <w:t>«Дослід про людський розум»</w:t>
            </w:r>
          </w:p>
          <w:p w14:paraId="44690661" w14:textId="77777777" w:rsidR="00B51242" w:rsidRDefault="00B51242">
            <w:pPr>
              <w:spacing w:line="360" w:lineRule="auto"/>
              <w:jc w:val="both"/>
              <w:rPr>
                <w:color w:val="000000"/>
                <w:sz w:val="28"/>
                <w:szCs w:val="28"/>
              </w:rPr>
            </w:pPr>
          </w:p>
          <w:p w14:paraId="74539910" w14:textId="77777777" w:rsidR="00B51242" w:rsidRDefault="00B51242">
            <w:pPr>
              <w:spacing w:line="360" w:lineRule="auto"/>
              <w:jc w:val="both"/>
              <w:rPr>
                <w:color w:val="000000"/>
                <w:sz w:val="28"/>
                <w:szCs w:val="28"/>
              </w:rPr>
            </w:pPr>
          </w:p>
          <w:p w14:paraId="5A7E0CF2" w14:textId="77777777" w:rsidR="00B51242" w:rsidRDefault="00B51242">
            <w:pPr>
              <w:spacing w:line="360" w:lineRule="auto"/>
              <w:jc w:val="both"/>
              <w:rPr>
                <w:color w:val="000000"/>
                <w:sz w:val="28"/>
                <w:szCs w:val="28"/>
              </w:rPr>
            </w:pPr>
          </w:p>
          <w:p w14:paraId="60FA6563" w14:textId="77777777" w:rsidR="00B51242" w:rsidRDefault="00B51242">
            <w:pPr>
              <w:spacing w:line="360" w:lineRule="auto"/>
              <w:jc w:val="both"/>
              <w:rPr>
                <w:color w:val="000000"/>
                <w:sz w:val="28"/>
                <w:szCs w:val="28"/>
              </w:rPr>
            </w:pPr>
          </w:p>
          <w:p w14:paraId="4671ABCD" w14:textId="77777777" w:rsidR="00B51242" w:rsidRDefault="008E4E86">
            <w:pPr>
              <w:spacing w:line="360" w:lineRule="auto"/>
              <w:jc w:val="both"/>
              <w:rPr>
                <w:sz w:val="28"/>
                <w:szCs w:val="28"/>
              </w:rPr>
            </w:pPr>
            <w:r>
              <w:rPr>
                <w:color w:val="000000"/>
                <w:sz w:val="28"/>
                <w:szCs w:val="28"/>
              </w:rPr>
              <w:t xml:space="preserve">   </w:t>
            </w:r>
          </w:p>
        </w:tc>
        <w:tc>
          <w:tcPr>
            <w:tcW w:w="4529" w:type="dxa"/>
            <w:tcBorders>
              <w:left w:val="single" w:sz="2" w:space="0" w:color="000000"/>
              <w:bottom w:val="single" w:sz="2" w:space="0" w:color="000000"/>
              <w:right w:val="single" w:sz="2" w:space="0" w:color="000000"/>
            </w:tcBorders>
            <w:shd w:val="clear" w:color="auto" w:fill="auto"/>
          </w:tcPr>
          <w:p w14:paraId="069B9D03" w14:textId="77777777" w:rsidR="00B51242" w:rsidRDefault="008E4E86">
            <w:pPr>
              <w:spacing w:line="360" w:lineRule="auto"/>
              <w:jc w:val="both"/>
            </w:pPr>
            <w:r>
              <w:rPr>
                <w:color w:val="000000"/>
                <w:sz w:val="28"/>
                <w:szCs w:val="28"/>
              </w:rPr>
              <w:t xml:space="preserve">Емпіризм: психіка — </w:t>
            </w:r>
            <w:r>
              <w:rPr>
                <w:rStyle w:val="StrongEmphasis"/>
                <w:color w:val="000000"/>
                <w:sz w:val="28"/>
                <w:szCs w:val="28"/>
              </w:rPr>
              <w:t>tabula rasa</w:t>
            </w:r>
            <w:r>
              <w:rPr>
                <w:color w:val="000000"/>
                <w:sz w:val="28"/>
                <w:szCs w:val="28"/>
              </w:rPr>
              <w:t xml:space="preserve"> (чиста дошка). Ідеї формуються через досвід. Акцент на </w:t>
            </w:r>
            <w:r>
              <w:rPr>
                <w:rStyle w:val="StrongEmphasis"/>
                <w:color w:val="000000"/>
                <w:sz w:val="28"/>
                <w:szCs w:val="28"/>
              </w:rPr>
              <w:t>асоціативність мислення</w:t>
            </w:r>
            <w:r>
              <w:rPr>
                <w:color w:val="000000"/>
                <w:sz w:val="28"/>
                <w:szCs w:val="28"/>
              </w:rPr>
              <w:t xml:space="preserve">, сприймання, вплив навколишнього середовища на свідомість. Це вплинуло на формування поведінкових моделей і рефлексотерапії. </w:t>
            </w:r>
          </w:p>
        </w:tc>
      </w:tr>
      <w:tr w:rsidR="00B51242" w14:paraId="0A2BBF7C" w14:textId="77777777">
        <w:tc>
          <w:tcPr>
            <w:tcW w:w="1573" w:type="dxa"/>
            <w:tcBorders>
              <w:left w:val="single" w:sz="2" w:space="0" w:color="000000"/>
              <w:bottom w:val="single" w:sz="2" w:space="0" w:color="000000"/>
            </w:tcBorders>
            <w:shd w:val="clear" w:color="auto" w:fill="auto"/>
          </w:tcPr>
          <w:p w14:paraId="3B20ACE9" w14:textId="77777777" w:rsidR="00B51242" w:rsidRDefault="008E4E86">
            <w:pPr>
              <w:spacing w:line="360" w:lineRule="auto"/>
              <w:jc w:val="both"/>
            </w:pPr>
            <w:r>
              <w:rPr>
                <w:rStyle w:val="StrongEmphasis"/>
                <w:color w:val="000000"/>
                <w:sz w:val="28"/>
                <w:szCs w:val="28"/>
              </w:rPr>
              <w:t>1739–1748</w:t>
            </w:r>
          </w:p>
        </w:tc>
        <w:tc>
          <w:tcPr>
            <w:tcW w:w="3136" w:type="dxa"/>
            <w:tcBorders>
              <w:left w:val="single" w:sz="2" w:space="0" w:color="000000"/>
              <w:bottom w:val="single" w:sz="2" w:space="0" w:color="000000"/>
            </w:tcBorders>
            <w:shd w:val="clear" w:color="auto" w:fill="auto"/>
          </w:tcPr>
          <w:p w14:paraId="6653C183" w14:textId="77777777" w:rsidR="00B51242" w:rsidRDefault="008E4E86">
            <w:pPr>
              <w:spacing w:line="360" w:lineRule="auto"/>
              <w:jc w:val="both"/>
            </w:pPr>
            <w:r>
              <w:rPr>
                <w:color w:val="000000"/>
                <w:sz w:val="28"/>
                <w:szCs w:val="28"/>
              </w:rPr>
              <w:t xml:space="preserve">Девід Юм публікує </w:t>
            </w:r>
            <w:r>
              <w:rPr>
                <w:rStyle w:val="StrongEmphasis"/>
                <w:color w:val="000000"/>
                <w:sz w:val="28"/>
                <w:szCs w:val="28"/>
              </w:rPr>
              <w:t>«Дослід про людське пізнання»</w:t>
            </w:r>
          </w:p>
          <w:p w14:paraId="1AC5CDBE" w14:textId="77777777" w:rsidR="00B51242" w:rsidRDefault="00B51242">
            <w:pPr>
              <w:spacing w:line="360" w:lineRule="auto"/>
              <w:jc w:val="both"/>
              <w:rPr>
                <w:color w:val="000000"/>
                <w:sz w:val="28"/>
                <w:szCs w:val="28"/>
              </w:rPr>
            </w:pPr>
          </w:p>
          <w:p w14:paraId="342D4C27" w14:textId="77777777" w:rsidR="00B51242" w:rsidRDefault="00B51242">
            <w:pPr>
              <w:spacing w:line="360" w:lineRule="auto"/>
              <w:jc w:val="both"/>
              <w:rPr>
                <w:color w:val="000000"/>
                <w:sz w:val="28"/>
                <w:szCs w:val="28"/>
              </w:rPr>
            </w:pPr>
          </w:p>
          <w:p w14:paraId="3572E399" w14:textId="77777777" w:rsidR="00B51242" w:rsidRDefault="00B51242">
            <w:pPr>
              <w:spacing w:line="360" w:lineRule="auto"/>
              <w:jc w:val="both"/>
              <w:rPr>
                <w:color w:val="000000"/>
                <w:sz w:val="28"/>
                <w:szCs w:val="28"/>
              </w:rPr>
            </w:pPr>
          </w:p>
        </w:tc>
        <w:tc>
          <w:tcPr>
            <w:tcW w:w="4529" w:type="dxa"/>
            <w:tcBorders>
              <w:left w:val="single" w:sz="2" w:space="0" w:color="000000"/>
              <w:bottom w:val="single" w:sz="2" w:space="0" w:color="000000"/>
              <w:right w:val="single" w:sz="2" w:space="0" w:color="000000"/>
            </w:tcBorders>
            <w:shd w:val="clear" w:color="auto" w:fill="auto"/>
          </w:tcPr>
          <w:p w14:paraId="21A9066C" w14:textId="77777777" w:rsidR="00B51242" w:rsidRDefault="008E4E86">
            <w:pPr>
              <w:spacing w:line="360" w:lineRule="auto"/>
              <w:jc w:val="both"/>
            </w:pPr>
            <w:r>
              <w:rPr>
                <w:color w:val="000000"/>
                <w:sz w:val="28"/>
                <w:szCs w:val="28"/>
              </w:rPr>
              <w:t xml:space="preserve">Розвинення емпіризму та скептицизму. Мислення — результат </w:t>
            </w:r>
            <w:r>
              <w:rPr>
                <w:rStyle w:val="StrongEmphasis"/>
                <w:color w:val="000000"/>
                <w:sz w:val="28"/>
                <w:szCs w:val="28"/>
              </w:rPr>
              <w:t>вражень і асоціацій</w:t>
            </w:r>
            <w:r>
              <w:rPr>
                <w:color w:val="000000"/>
                <w:sz w:val="28"/>
                <w:szCs w:val="28"/>
              </w:rPr>
              <w:t xml:space="preserve">, немає вроджених ідей. Підкреслював </w:t>
            </w:r>
            <w:r>
              <w:rPr>
                <w:rStyle w:val="StrongEmphasis"/>
                <w:color w:val="000000"/>
                <w:sz w:val="28"/>
                <w:szCs w:val="28"/>
              </w:rPr>
              <w:t>зв’язок між думками, емоціями та поведінкою</w:t>
            </w:r>
            <w:r>
              <w:rPr>
                <w:color w:val="000000"/>
                <w:sz w:val="28"/>
                <w:szCs w:val="28"/>
              </w:rPr>
              <w:t xml:space="preserve">. Ідеї Юма вплинули на майбутнє когнітивної психології: мислення — не абсолютне, а контекстуальне й похідне від досвіду. </w:t>
            </w:r>
          </w:p>
        </w:tc>
      </w:tr>
      <w:tr w:rsidR="00B51242" w14:paraId="581BDDE2" w14:textId="77777777">
        <w:tc>
          <w:tcPr>
            <w:tcW w:w="1573" w:type="dxa"/>
            <w:tcBorders>
              <w:left w:val="single" w:sz="2" w:space="0" w:color="000000"/>
              <w:bottom w:val="single" w:sz="2" w:space="0" w:color="000000"/>
            </w:tcBorders>
            <w:shd w:val="clear" w:color="auto" w:fill="auto"/>
          </w:tcPr>
          <w:p w14:paraId="54DED989" w14:textId="77777777" w:rsidR="00B51242" w:rsidRDefault="008E4E86">
            <w:pPr>
              <w:spacing w:line="360" w:lineRule="auto"/>
              <w:jc w:val="both"/>
              <w:rPr>
                <w:sz w:val="28"/>
                <w:szCs w:val="28"/>
              </w:rPr>
            </w:pPr>
            <w:r>
              <w:rPr>
                <w:color w:val="000000"/>
                <w:sz w:val="28"/>
                <w:szCs w:val="28"/>
              </w:rPr>
              <w:t>1920–1930-ті</w:t>
            </w:r>
          </w:p>
        </w:tc>
        <w:tc>
          <w:tcPr>
            <w:tcW w:w="3136" w:type="dxa"/>
            <w:tcBorders>
              <w:left w:val="single" w:sz="2" w:space="0" w:color="000000"/>
              <w:bottom w:val="single" w:sz="2" w:space="0" w:color="000000"/>
            </w:tcBorders>
            <w:shd w:val="clear" w:color="auto" w:fill="auto"/>
          </w:tcPr>
          <w:p w14:paraId="2754B9A1" w14:textId="77777777" w:rsidR="00B51242" w:rsidRDefault="008E4E86">
            <w:pPr>
              <w:spacing w:line="360" w:lineRule="auto"/>
              <w:jc w:val="both"/>
            </w:pPr>
            <w:r>
              <w:rPr>
                <w:rStyle w:val="StrongEmphasis"/>
                <w:color w:val="000000"/>
                <w:sz w:val="28"/>
                <w:szCs w:val="28"/>
              </w:rPr>
              <w:t>Перша хвиля КПТ.</w:t>
            </w:r>
          </w:p>
          <w:p w14:paraId="7F2D1EDA" w14:textId="77777777" w:rsidR="00B51242" w:rsidRDefault="008E4E86">
            <w:pPr>
              <w:spacing w:line="360" w:lineRule="auto"/>
              <w:jc w:val="both"/>
            </w:pPr>
            <w:r>
              <w:rPr>
                <w:rStyle w:val="StrongEmphasis"/>
                <w:b w:val="0"/>
                <w:bCs w:val="0"/>
                <w:color w:val="000000"/>
                <w:sz w:val="28"/>
                <w:szCs w:val="28"/>
              </w:rPr>
              <w:t xml:space="preserve">Виникнення когнітивнох та поведінкової (біхевіоральної) школи психотерапії. </w:t>
            </w:r>
          </w:p>
          <w:p w14:paraId="6CEB15CE" w14:textId="77777777" w:rsidR="00B51242" w:rsidRDefault="00B51242">
            <w:pPr>
              <w:spacing w:line="360" w:lineRule="auto"/>
              <w:jc w:val="both"/>
              <w:rPr>
                <w:color w:val="000000"/>
                <w:sz w:val="28"/>
                <w:szCs w:val="28"/>
              </w:rPr>
            </w:pPr>
          </w:p>
          <w:p w14:paraId="39E90426" w14:textId="77777777" w:rsidR="00B51242" w:rsidRDefault="008E4E86">
            <w:pPr>
              <w:spacing w:line="360" w:lineRule="auto"/>
              <w:jc w:val="both"/>
              <w:rPr>
                <w:sz w:val="28"/>
                <w:szCs w:val="28"/>
              </w:rPr>
            </w:pPr>
            <w:r>
              <w:rPr>
                <w:color w:val="000000"/>
                <w:sz w:val="28"/>
                <w:szCs w:val="28"/>
              </w:rPr>
              <w:t xml:space="preserve">Представники: А. Тюрінг, А. Ньюел, К. Г. Гемпель </w:t>
            </w:r>
          </w:p>
          <w:p w14:paraId="66518E39" w14:textId="77777777" w:rsidR="00B51242" w:rsidRDefault="00B51242">
            <w:pPr>
              <w:spacing w:line="360" w:lineRule="auto"/>
              <w:jc w:val="both"/>
              <w:rPr>
                <w:color w:val="000000"/>
                <w:sz w:val="28"/>
                <w:szCs w:val="28"/>
              </w:rPr>
            </w:pPr>
          </w:p>
          <w:p w14:paraId="2E22268D" w14:textId="77777777" w:rsidR="00B51242" w:rsidRDefault="008E4E86">
            <w:pPr>
              <w:spacing w:line="360" w:lineRule="auto"/>
              <w:jc w:val="both"/>
            </w:pPr>
            <w:r>
              <w:rPr>
                <w:color w:val="000000"/>
                <w:sz w:val="28"/>
                <w:szCs w:val="28"/>
              </w:rPr>
              <w:t xml:space="preserve">У центрі уваги – аналіз поведінки або свідомості відповідно до підходу </w:t>
            </w:r>
            <w:r w:rsidRPr="00D3629B">
              <w:rPr>
                <w:rStyle w:val="InternetLink"/>
                <w:color w:val="000000"/>
                <w:sz w:val="28"/>
                <w:szCs w:val="28"/>
                <w:u w:val="none"/>
                <w:lang w:val="ru-RU"/>
              </w:rPr>
              <w:t>[10].</w:t>
            </w:r>
          </w:p>
        </w:tc>
        <w:tc>
          <w:tcPr>
            <w:tcW w:w="4529" w:type="dxa"/>
            <w:tcBorders>
              <w:left w:val="single" w:sz="2" w:space="0" w:color="000000"/>
              <w:bottom w:val="single" w:sz="2" w:space="0" w:color="000000"/>
              <w:right w:val="single" w:sz="2" w:space="0" w:color="000000"/>
            </w:tcBorders>
            <w:shd w:val="clear" w:color="auto" w:fill="auto"/>
          </w:tcPr>
          <w:p w14:paraId="0E3BCA37" w14:textId="77777777" w:rsidR="00B51242" w:rsidRDefault="008E4E86">
            <w:pPr>
              <w:spacing w:line="360" w:lineRule="auto"/>
              <w:jc w:val="both"/>
              <w:rPr>
                <w:sz w:val="28"/>
                <w:szCs w:val="28"/>
              </w:rPr>
            </w:pPr>
            <w:r>
              <w:rPr>
                <w:color w:val="000000"/>
                <w:sz w:val="28"/>
                <w:szCs w:val="28"/>
              </w:rPr>
              <w:t xml:space="preserve">Поведінкова терапія базується на природничо-науковому підході, зокрема на еволюційних ідеях Ч. Дарвіна та логічному біхевіоризмі. Когнітивна терапія виникає під впливом розвитку комп’ютерних технологій і когнітивістики. </w:t>
            </w:r>
          </w:p>
        </w:tc>
      </w:tr>
      <w:tr w:rsidR="00B51242" w14:paraId="1952D1A8" w14:textId="77777777">
        <w:tc>
          <w:tcPr>
            <w:tcW w:w="1573" w:type="dxa"/>
            <w:tcBorders>
              <w:left w:val="single" w:sz="2" w:space="0" w:color="000000"/>
              <w:bottom w:val="single" w:sz="2" w:space="0" w:color="000000"/>
            </w:tcBorders>
            <w:shd w:val="clear" w:color="auto" w:fill="auto"/>
          </w:tcPr>
          <w:p w14:paraId="45FCB460" w14:textId="77777777" w:rsidR="00B51242" w:rsidRDefault="008E4E86">
            <w:pPr>
              <w:spacing w:line="360" w:lineRule="auto"/>
              <w:jc w:val="both"/>
              <w:rPr>
                <w:sz w:val="28"/>
                <w:szCs w:val="28"/>
              </w:rPr>
            </w:pPr>
            <w:r>
              <w:rPr>
                <w:color w:val="000000"/>
                <w:sz w:val="28"/>
                <w:szCs w:val="28"/>
              </w:rPr>
              <w:t xml:space="preserve">1950-1960-ті </w:t>
            </w:r>
          </w:p>
        </w:tc>
        <w:tc>
          <w:tcPr>
            <w:tcW w:w="3136" w:type="dxa"/>
            <w:tcBorders>
              <w:left w:val="single" w:sz="2" w:space="0" w:color="000000"/>
              <w:bottom w:val="single" w:sz="2" w:space="0" w:color="000000"/>
            </w:tcBorders>
            <w:shd w:val="clear" w:color="auto" w:fill="auto"/>
          </w:tcPr>
          <w:p w14:paraId="3EC65FD5" w14:textId="77777777" w:rsidR="00B51242" w:rsidRDefault="008E4E86">
            <w:pPr>
              <w:spacing w:line="360" w:lineRule="auto"/>
              <w:jc w:val="both"/>
            </w:pPr>
            <w:r>
              <w:rPr>
                <w:color w:val="000000"/>
                <w:sz w:val="28"/>
                <w:szCs w:val="28"/>
              </w:rPr>
              <w:t xml:space="preserve">Початок біхевіористичного напряму в психотерапії. Джон Б. Уотсон і Б. Ф. Скінер, Павлов розробляють фундаментальні принципи поведінкового підходу </w:t>
            </w:r>
            <w:r w:rsidRPr="00D3629B">
              <w:rPr>
                <w:rStyle w:val="InternetLink"/>
                <w:color w:val="000000"/>
                <w:sz w:val="28"/>
                <w:szCs w:val="28"/>
                <w:u w:val="none"/>
                <w:lang w:val="ru-RU"/>
              </w:rPr>
              <w:t>[10].</w:t>
            </w:r>
          </w:p>
        </w:tc>
        <w:tc>
          <w:tcPr>
            <w:tcW w:w="4529" w:type="dxa"/>
            <w:tcBorders>
              <w:left w:val="single" w:sz="2" w:space="0" w:color="000000"/>
              <w:bottom w:val="single" w:sz="2" w:space="0" w:color="000000"/>
              <w:right w:val="single" w:sz="2" w:space="0" w:color="000000"/>
            </w:tcBorders>
            <w:shd w:val="clear" w:color="auto" w:fill="auto"/>
          </w:tcPr>
          <w:p w14:paraId="3CCB69F2" w14:textId="77777777" w:rsidR="00B51242" w:rsidRDefault="008E4E86">
            <w:pPr>
              <w:spacing w:line="360" w:lineRule="auto"/>
              <w:jc w:val="both"/>
              <w:rPr>
                <w:sz w:val="28"/>
                <w:szCs w:val="28"/>
              </w:rPr>
            </w:pPr>
            <w:r>
              <w:rPr>
                <w:color w:val="000000"/>
                <w:sz w:val="28"/>
                <w:szCs w:val="28"/>
              </w:rPr>
              <w:t xml:space="preserve">Дж. Б. Уотсон вважав, що психологія повинна займатися лише спостережуваною поведінкою. Скінер, під впливом Ф. Бекона, формулює концепцію оперантного навчання. Логічний біхевіоризм ставить під сумнів існування ментального, вважаючи його надуманим. Завдання психотерапії — модифікація поведінки через контроль стимулів і підкріплення. </w:t>
            </w:r>
          </w:p>
        </w:tc>
      </w:tr>
      <w:tr w:rsidR="00B51242" w14:paraId="21959E3C" w14:textId="77777777">
        <w:tc>
          <w:tcPr>
            <w:tcW w:w="1573" w:type="dxa"/>
            <w:tcBorders>
              <w:left w:val="single" w:sz="2" w:space="0" w:color="000000"/>
              <w:bottom w:val="single" w:sz="2" w:space="0" w:color="000000"/>
            </w:tcBorders>
            <w:shd w:val="clear" w:color="auto" w:fill="auto"/>
          </w:tcPr>
          <w:p w14:paraId="725117C6" w14:textId="77777777" w:rsidR="00B51242" w:rsidRDefault="008E4E86">
            <w:pPr>
              <w:spacing w:line="360" w:lineRule="auto"/>
              <w:jc w:val="both"/>
              <w:rPr>
                <w:sz w:val="28"/>
                <w:szCs w:val="28"/>
              </w:rPr>
            </w:pPr>
            <w:r>
              <w:rPr>
                <w:color w:val="000000"/>
                <w:sz w:val="28"/>
                <w:szCs w:val="28"/>
              </w:rPr>
              <w:t xml:space="preserve">      1955-60</w:t>
            </w:r>
          </w:p>
        </w:tc>
        <w:tc>
          <w:tcPr>
            <w:tcW w:w="3136" w:type="dxa"/>
            <w:tcBorders>
              <w:left w:val="single" w:sz="2" w:space="0" w:color="000000"/>
              <w:bottom w:val="single" w:sz="2" w:space="0" w:color="000000"/>
            </w:tcBorders>
            <w:shd w:val="clear" w:color="auto" w:fill="auto"/>
          </w:tcPr>
          <w:p w14:paraId="71C09E50" w14:textId="77777777" w:rsidR="00B51242" w:rsidRDefault="008E4E86">
            <w:pPr>
              <w:spacing w:line="360" w:lineRule="auto"/>
              <w:jc w:val="both"/>
              <w:rPr>
                <w:sz w:val="28"/>
                <w:szCs w:val="28"/>
              </w:rPr>
            </w:pPr>
            <w:r>
              <w:rPr>
                <w:color w:val="000000"/>
                <w:sz w:val="28"/>
                <w:szCs w:val="28"/>
              </w:rPr>
              <w:t xml:space="preserve">      Когнітивна революція</w:t>
            </w:r>
          </w:p>
        </w:tc>
        <w:tc>
          <w:tcPr>
            <w:tcW w:w="4529" w:type="dxa"/>
            <w:tcBorders>
              <w:left w:val="single" w:sz="2" w:space="0" w:color="000000"/>
              <w:bottom w:val="single" w:sz="2" w:space="0" w:color="000000"/>
              <w:right w:val="single" w:sz="2" w:space="0" w:color="000000"/>
            </w:tcBorders>
            <w:shd w:val="clear" w:color="auto" w:fill="auto"/>
          </w:tcPr>
          <w:p w14:paraId="74D323FD" w14:textId="77777777" w:rsidR="00B51242" w:rsidRDefault="008E4E86">
            <w:pPr>
              <w:spacing w:line="360" w:lineRule="auto"/>
              <w:jc w:val="both"/>
              <w:rPr>
                <w:sz w:val="28"/>
                <w:szCs w:val="28"/>
              </w:rPr>
            </w:pPr>
            <w:r>
              <w:rPr>
                <w:color w:val="000000"/>
                <w:sz w:val="28"/>
                <w:szCs w:val="28"/>
              </w:rPr>
              <w:t xml:space="preserve">    Зародження ідеї когнітивного медіатора між стимулом і реакцією; модель TOTE (Міллер, 1960); мислення як регуляція (метакогніція), а не як структура; відмова від моделі «S–R». </w:t>
            </w:r>
          </w:p>
          <w:p w14:paraId="76D89D8B" w14:textId="77777777" w:rsidR="00B51242" w:rsidRDefault="008E4E86">
            <w:pPr>
              <w:tabs>
                <w:tab w:val="center" w:leader="dot" w:pos="9344"/>
              </w:tabs>
              <w:snapToGrid w:val="0"/>
              <w:spacing w:after="100" w:line="360" w:lineRule="auto"/>
              <w:jc w:val="both"/>
            </w:pPr>
            <w:r>
              <w:rPr>
                <w:rStyle w:val="InternetLink"/>
                <w:color w:val="000000"/>
                <w:sz w:val="28"/>
                <w:szCs w:val="28"/>
                <w:u w:val="none"/>
                <w:lang w:val="en-US"/>
              </w:rPr>
              <w:t>[45]</w:t>
            </w:r>
          </w:p>
        </w:tc>
      </w:tr>
      <w:tr w:rsidR="00B51242" w14:paraId="5A0F14BA" w14:textId="77777777">
        <w:tc>
          <w:tcPr>
            <w:tcW w:w="1573" w:type="dxa"/>
            <w:tcBorders>
              <w:left w:val="single" w:sz="2" w:space="0" w:color="000000"/>
              <w:bottom w:val="single" w:sz="2" w:space="0" w:color="000000"/>
            </w:tcBorders>
            <w:shd w:val="clear" w:color="auto" w:fill="auto"/>
          </w:tcPr>
          <w:p w14:paraId="6E070A7D" w14:textId="77777777" w:rsidR="00B51242" w:rsidRDefault="008E4E86">
            <w:pPr>
              <w:spacing w:line="360" w:lineRule="auto"/>
              <w:jc w:val="both"/>
              <w:rPr>
                <w:sz w:val="28"/>
                <w:szCs w:val="28"/>
              </w:rPr>
            </w:pPr>
            <w:r>
              <w:rPr>
                <w:color w:val="000000"/>
                <w:sz w:val="28"/>
                <w:szCs w:val="28"/>
              </w:rPr>
              <w:t>1960-ті</w:t>
            </w:r>
          </w:p>
        </w:tc>
        <w:tc>
          <w:tcPr>
            <w:tcW w:w="3136" w:type="dxa"/>
            <w:tcBorders>
              <w:left w:val="single" w:sz="2" w:space="0" w:color="000000"/>
              <w:bottom w:val="single" w:sz="2" w:space="0" w:color="000000"/>
            </w:tcBorders>
            <w:shd w:val="clear" w:color="auto" w:fill="auto"/>
          </w:tcPr>
          <w:p w14:paraId="62CF8548" w14:textId="77777777" w:rsidR="00B51242" w:rsidRDefault="008E4E86">
            <w:pPr>
              <w:spacing w:line="360" w:lineRule="auto"/>
              <w:jc w:val="both"/>
            </w:pPr>
            <w:r>
              <w:rPr>
                <w:rStyle w:val="StrongEmphasis"/>
                <w:color w:val="000000"/>
                <w:sz w:val="28"/>
                <w:szCs w:val="28"/>
              </w:rPr>
              <w:t>Друга хвиля КПТ</w:t>
            </w:r>
            <w:r>
              <w:rPr>
                <w:color w:val="000000"/>
                <w:sz w:val="28"/>
                <w:szCs w:val="28"/>
              </w:rPr>
              <w:t xml:space="preserve">: </w:t>
            </w:r>
          </w:p>
          <w:p w14:paraId="33BBD4E0" w14:textId="77777777" w:rsidR="00B51242" w:rsidRDefault="008E4E86">
            <w:pPr>
              <w:spacing w:line="360" w:lineRule="auto"/>
              <w:jc w:val="both"/>
              <w:rPr>
                <w:sz w:val="28"/>
                <w:szCs w:val="28"/>
              </w:rPr>
            </w:pPr>
            <w:r>
              <w:rPr>
                <w:color w:val="000000"/>
                <w:sz w:val="28"/>
                <w:szCs w:val="28"/>
              </w:rPr>
              <w:t xml:space="preserve">Когнітивний поворот: </w:t>
            </w:r>
          </w:p>
          <w:p w14:paraId="3508F274" w14:textId="77777777" w:rsidR="00B51242" w:rsidRDefault="008E4E86">
            <w:pPr>
              <w:spacing w:line="360" w:lineRule="auto"/>
              <w:jc w:val="both"/>
              <w:rPr>
                <w:sz w:val="28"/>
                <w:szCs w:val="28"/>
              </w:rPr>
            </w:pPr>
            <w:r>
              <w:rPr>
                <w:color w:val="000000"/>
                <w:sz w:val="28"/>
                <w:szCs w:val="28"/>
              </w:rPr>
              <w:t xml:space="preserve">Аарон Бек і Альберт Елліс започатковують когнітивну терапію. </w:t>
            </w:r>
          </w:p>
          <w:p w14:paraId="5D173C0A" w14:textId="77777777" w:rsidR="00B51242" w:rsidRDefault="008E4E86">
            <w:pPr>
              <w:spacing w:line="360" w:lineRule="auto"/>
              <w:jc w:val="both"/>
              <w:rPr>
                <w:sz w:val="28"/>
                <w:szCs w:val="28"/>
              </w:rPr>
            </w:pPr>
            <w:r w:rsidRPr="00D3629B">
              <w:rPr>
                <w:color w:val="000000"/>
                <w:sz w:val="28"/>
                <w:szCs w:val="28"/>
              </w:rPr>
              <w:t>[10]</w:t>
            </w:r>
            <w:r>
              <w:rPr>
                <w:color w:val="000000"/>
                <w:sz w:val="28"/>
                <w:szCs w:val="28"/>
              </w:rPr>
              <w:t xml:space="preserve">                          </w:t>
            </w:r>
          </w:p>
          <w:p w14:paraId="47656ECB" w14:textId="77777777" w:rsidR="00B51242" w:rsidRDefault="008E4E86">
            <w:pPr>
              <w:spacing w:line="360" w:lineRule="auto"/>
              <w:jc w:val="both"/>
            </w:pPr>
            <w:r>
              <w:rPr>
                <w:color w:val="000000"/>
                <w:sz w:val="28"/>
                <w:szCs w:val="28"/>
              </w:rPr>
              <w:t xml:space="preserve">  Елліс (REBT) і Бек (КТ) формулюють перші клінічні аналоги когнітивної революції; когнітивна тріада Бека (самість, світ, майбутнє); роль негативних переконань; перші згадки про самосхеми та самопізнання </w:t>
            </w:r>
            <w:r w:rsidRPr="00D3629B">
              <w:rPr>
                <w:rStyle w:val="InternetLink"/>
                <w:color w:val="000000"/>
                <w:sz w:val="28"/>
                <w:szCs w:val="28"/>
                <w:u w:val="none"/>
              </w:rPr>
              <w:t>[45].</w:t>
            </w:r>
          </w:p>
          <w:p w14:paraId="7E75FCD0" w14:textId="77777777" w:rsidR="00B51242" w:rsidRDefault="00B51242">
            <w:pPr>
              <w:spacing w:line="360" w:lineRule="auto"/>
              <w:jc w:val="both"/>
              <w:rPr>
                <w:color w:val="000000"/>
                <w:sz w:val="28"/>
                <w:szCs w:val="28"/>
              </w:rPr>
            </w:pPr>
          </w:p>
          <w:p w14:paraId="10FDAA0E" w14:textId="77777777" w:rsidR="00B51242" w:rsidRDefault="00B51242">
            <w:pPr>
              <w:spacing w:line="360" w:lineRule="auto"/>
              <w:jc w:val="both"/>
              <w:rPr>
                <w:color w:val="000000"/>
                <w:sz w:val="28"/>
                <w:szCs w:val="28"/>
              </w:rPr>
            </w:pPr>
          </w:p>
          <w:p w14:paraId="774AF2BF" w14:textId="77777777" w:rsidR="00B51242" w:rsidRDefault="00B51242">
            <w:pPr>
              <w:spacing w:line="360" w:lineRule="auto"/>
              <w:jc w:val="both"/>
              <w:rPr>
                <w:color w:val="000000"/>
                <w:sz w:val="28"/>
                <w:szCs w:val="28"/>
              </w:rPr>
            </w:pPr>
          </w:p>
          <w:p w14:paraId="7A292896" w14:textId="77777777" w:rsidR="00B51242" w:rsidRDefault="00B51242">
            <w:pPr>
              <w:spacing w:line="360" w:lineRule="auto"/>
              <w:jc w:val="both"/>
              <w:rPr>
                <w:color w:val="000000"/>
                <w:sz w:val="28"/>
                <w:szCs w:val="28"/>
              </w:rPr>
            </w:pPr>
          </w:p>
          <w:p w14:paraId="2191599E" w14:textId="77777777" w:rsidR="00B51242" w:rsidRDefault="00B51242">
            <w:pPr>
              <w:spacing w:line="360" w:lineRule="auto"/>
              <w:jc w:val="both"/>
              <w:rPr>
                <w:color w:val="000000"/>
                <w:sz w:val="28"/>
                <w:szCs w:val="28"/>
              </w:rPr>
            </w:pPr>
          </w:p>
          <w:p w14:paraId="7673E5AE" w14:textId="77777777" w:rsidR="00B51242" w:rsidRDefault="00B51242">
            <w:pPr>
              <w:spacing w:line="360" w:lineRule="auto"/>
              <w:jc w:val="both"/>
              <w:rPr>
                <w:color w:val="000000"/>
                <w:sz w:val="28"/>
                <w:szCs w:val="28"/>
              </w:rPr>
            </w:pPr>
          </w:p>
          <w:p w14:paraId="16C4A925" w14:textId="77777777" w:rsidR="00B51242" w:rsidRDefault="008E4E86">
            <w:pPr>
              <w:spacing w:line="360" w:lineRule="auto"/>
              <w:jc w:val="both"/>
              <w:rPr>
                <w:sz w:val="28"/>
                <w:szCs w:val="28"/>
              </w:rPr>
            </w:pPr>
            <w:r>
              <w:rPr>
                <w:color w:val="000000"/>
                <w:sz w:val="28"/>
                <w:szCs w:val="28"/>
              </w:rPr>
              <w:t xml:space="preserve">      </w:t>
            </w:r>
          </w:p>
        </w:tc>
        <w:tc>
          <w:tcPr>
            <w:tcW w:w="4529" w:type="dxa"/>
            <w:tcBorders>
              <w:left w:val="single" w:sz="2" w:space="0" w:color="000000"/>
              <w:bottom w:val="single" w:sz="2" w:space="0" w:color="000000"/>
              <w:right w:val="single" w:sz="2" w:space="0" w:color="000000"/>
            </w:tcBorders>
            <w:shd w:val="clear" w:color="auto" w:fill="auto"/>
          </w:tcPr>
          <w:p w14:paraId="6587790A" w14:textId="77777777" w:rsidR="00B51242" w:rsidRDefault="008E4E86">
            <w:pPr>
              <w:spacing w:line="360" w:lineRule="auto"/>
              <w:jc w:val="both"/>
              <w:rPr>
                <w:sz w:val="28"/>
                <w:szCs w:val="28"/>
              </w:rPr>
            </w:pPr>
            <w:r>
              <w:rPr>
                <w:color w:val="000000"/>
                <w:sz w:val="28"/>
                <w:szCs w:val="28"/>
              </w:rPr>
              <w:t xml:space="preserve">А. Бек виявляє негативні автоматичні думки у пацієнтів у процесі психоаналітичної практики. Це суперечило фрейдизму й дало початок новій терапії. Люди можуть розпізнавати та змінювати ірраціональні переконання, що формують їхній емоційний стан. Основні принципи: переконання, думки і поведінка взаємопов’язані; через свідоме переосмислення можна змінити деструктивні емоції й поведінку. </w:t>
            </w:r>
          </w:p>
          <w:p w14:paraId="66B8DA31" w14:textId="77777777" w:rsidR="00B51242" w:rsidRDefault="008E4E86">
            <w:pPr>
              <w:spacing w:line="360" w:lineRule="auto"/>
              <w:jc w:val="both"/>
              <w:rPr>
                <w:sz w:val="28"/>
                <w:szCs w:val="28"/>
              </w:rPr>
            </w:pPr>
            <w:r>
              <w:rPr>
                <w:color w:val="000000"/>
                <w:sz w:val="28"/>
                <w:szCs w:val="28"/>
              </w:rPr>
              <w:t xml:space="preserve">Основи — роль автоматичних думок і когнітивних схем; методи — когнітивна реструктуризація, виявлення і зміна дезадаптивних переконань. </w:t>
            </w:r>
          </w:p>
          <w:p w14:paraId="29CFD6B4" w14:textId="77777777" w:rsidR="00B51242" w:rsidRDefault="008E4E86">
            <w:pPr>
              <w:spacing w:line="360" w:lineRule="auto"/>
              <w:jc w:val="both"/>
              <w:rPr>
                <w:sz w:val="28"/>
                <w:szCs w:val="28"/>
              </w:rPr>
            </w:pPr>
            <w:r>
              <w:rPr>
                <w:color w:val="000000"/>
                <w:sz w:val="28"/>
                <w:szCs w:val="28"/>
              </w:rPr>
              <w:t xml:space="preserve">Сократівське опитування </w:t>
            </w:r>
            <w:r>
              <w:rPr>
                <w:color w:val="000000"/>
                <w:sz w:val="28"/>
                <w:szCs w:val="28"/>
                <w:lang w:val="en-US"/>
              </w:rPr>
              <w:t>[10].</w:t>
            </w:r>
          </w:p>
          <w:p w14:paraId="18FB4B73" w14:textId="77777777" w:rsidR="00B51242" w:rsidRDefault="008E4E86">
            <w:pPr>
              <w:tabs>
                <w:tab w:val="center" w:leader="dot" w:pos="9584"/>
              </w:tabs>
              <w:snapToGrid w:val="0"/>
              <w:spacing w:after="100" w:line="360" w:lineRule="auto"/>
              <w:ind w:left="240"/>
              <w:jc w:val="both"/>
            </w:pPr>
            <w:r>
              <w:rPr>
                <w:rStyle w:val="InternetLink"/>
                <w:color w:val="000000"/>
                <w:sz w:val="28"/>
                <w:szCs w:val="28"/>
                <w:u w:val="none"/>
              </w:rPr>
              <w:t xml:space="preserve">     </w:t>
            </w:r>
          </w:p>
        </w:tc>
      </w:tr>
      <w:tr w:rsidR="00B51242" w14:paraId="46175D10" w14:textId="77777777">
        <w:tc>
          <w:tcPr>
            <w:tcW w:w="1573" w:type="dxa"/>
            <w:tcBorders>
              <w:left w:val="single" w:sz="2" w:space="0" w:color="000000"/>
              <w:bottom w:val="single" w:sz="2" w:space="0" w:color="000000"/>
            </w:tcBorders>
            <w:shd w:val="clear" w:color="auto" w:fill="auto"/>
          </w:tcPr>
          <w:p w14:paraId="6539147D" w14:textId="77777777" w:rsidR="00B51242" w:rsidRDefault="008E4E86">
            <w:pPr>
              <w:spacing w:line="360" w:lineRule="auto"/>
              <w:jc w:val="both"/>
              <w:rPr>
                <w:sz w:val="28"/>
                <w:szCs w:val="28"/>
              </w:rPr>
            </w:pPr>
            <w:r>
              <w:rPr>
                <w:color w:val="000000"/>
                <w:sz w:val="28"/>
                <w:szCs w:val="28"/>
              </w:rPr>
              <w:t>1970–1980-ті</w:t>
            </w:r>
          </w:p>
        </w:tc>
        <w:tc>
          <w:tcPr>
            <w:tcW w:w="3136" w:type="dxa"/>
            <w:tcBorders>
              <w:left w:val="single" w:sz="2" w:space="0" w:color="000000"/>
              <w:bottom w:val="single" w:sz="2" w:space="0" w:color="000000"/>
            </w:tcBorders>
            <w:shd w:val="clear" w:color="auto" w:fill="auto"/>
          </w:tcPr>
          <w:p w14:paraId="6AC94AFF" w14:textId="77777777" w:rsidR="00B51242" w:rsidRDefault="008E4E86">
            <w:pPr>
              <w:spacing w:line="360" w:lineRule="auto"/>
              <w:jc w:val="both"/>
              <w:rPr>
                <w:sz w:val="28"/>
                <w:szCs w:val="28"/>
              </w:rPr>
            </w:pPr>
            <w:r>
              <w:rPr>
                <w:color w:val="000000"/>
                <w:sz w:val="28"/>
                <w:szCs w:val="28"/>
              </w:rPr>
              <w:t xml:space="preserve">Інтеграція когнітивних і поведінкових технік у когнітивно-поведінкову терапію </w:t>
            </w:r>
          </w:p>
          <w:p w14:paraId="041D98D7" w14:textId="77777777" w:rsidR="00B51242" w:rsidRDefault="00B51242">
            <w:pPr>
              <w:spacing w:line="360" w:lineRule="auto"/>
              <w:jc w:val="both"/>
              <w:rPr>
                <w:color w:val="000000"/>
                <w:sz w:val="28"/>
                <w:szCs w:val="28"/>
              </w:rPr>
            </w:pPr>
          </w:p>
          <w:p w14:paraId="75F80603" w14:textId="77777777" w:rsidR="00B51242" w:rsidRDefault="008E4E86">
            <w:pPr>
              <w:spacing w:line="360" w:lineRule="auto"/>
              <w:jc w:val="both"/>
              <w:rPr>
                <w:sz w:val="28"/>
                <w:szCs w:val="28"/>
              </w:rPr>
            </w:pPr>
            <w:r>
              <w:rPr>
                <w:color w:val="000000"/>
                <w:sz w:val="28"/>
                <w:szCs w:val="28"/>
              </w:rPr>
              <w:t xml:space="preserve">  </w:t>
            </w:r>
          </w:p>
        </w:tc>
        <w:tc>
          <w:tcPr>
            <w:tcW w:w="4529" w:type="dxa"/>
            <w:tcBorders>
              <w:left w:val="single" w:sz="2" w:space="0" w:color="000000"/>
              <w:bottom w:val="single" w:sz="2" w:space="0" w:color="000000"/>
              <w:right w:val="single" w:sz="2" w:space="0" w:color="000000"/>
            </w:tcBorders>
            <w:shd w:val="clear" w:color="auto" w:fill="auto"/>
          </w:tcPr>
          <w:p w14:paraId="04272DB6" w14:textId="77777777" w:rsidR="00B51242" w:rsidRDefault="008E4E86">
            <w:pPr>
              <w:spacing w:line="360" w:lineRule="auto"/>
              <w:jc w:val="both"/>
              <w:rPr>
                <w:sz w:val="28"/>
                <w:szCs w:val="28"/>
              </w:rPr>
            </w:pPr>
            <w:r>
              <w:rPr>
                <w:color w:val="000000"/>
                <w:sz w:val="28"/>
                <w:szCs w:val="28"/>
              </w:rPr>
              <w:t xml:space="preserve">Поєднання когнітивного аналізу внутрішніх переконань із поведінковими методами. Розробка структурованих протоколів. Введення концепції «когнітивних схем». Мета — навчити пацієнта усвідомлювати автоматичні думки, перевіряти їх на достовірність, формувати нові моделі мислення і відповідної поведінки. Терапія короткотривала, фокусована, орієнтована на результат. </w:t>
            </w:r>
          </w:p>
          <w:p w14:paraId="27F071BD" w14:textId="77777777" w:rsidR="00B51242" w:rsidRDefault="008E4E86">
            <w:pPr>
              <w:spacing w:line="360" w:lineRule="auto"/>
              <w:jc w:val="both"/>
              <w:rPr>
                <w:sz w:val="28"/>
                <w:szCs w:val="28"/>
              </w:rPr>
            </w:pPr>
            <w:r>
              <w:rPr>
                <w:color w:val="000000"/>
                <w:sz w:val="28"/>
                <w:szCs w:val="28"/>
              </w:rPr>
              <w:t>Поєднання технік КПТ. Застосування у лікуванні депресії, фобій, тривожності.</w:t>
            </w:r>
          </w:p>
          <w:p w14:paraId="1DA1EE8E" w14:textId="77777777" w:rsidR="00B51242" w:rsidRDefault="008E4E86">
            <w:pPr>
              <w:spacing w:line="360" w:lineRule="auto"/>
              <w:jc w:val="both"/>
              <w:rPr>
                <w:sz w:val="28"/>
                <w:szCs w:val="28"/>
              </w:rPr>
            </w:pPr>
            <w:r>
              <w:rPr>
                <w:color w:val="000000"/>
                <w:sz w:val="28"/>
                <w:szCs w:val="28"/>
              </w:rPr>
              <w:t>Створення структурованих протоколів лікування тривожності, депресії, фобій. Акцент на емпіричну перевірку ефективності.</w:t>
            </w:r>
            <w:r w:rsidRPr="00D3629B">
              <w:rPr>
                <w:color w:val="000000"/>
                <w:sz w:val="28"/>
                <w:szCs w:val="28"/>
                <w:lang w:val="ru-RU"/>
              </w:rPr>
              <w:t xml:space="preserve"> [10]                                         </w:t>
            </w:r>
          </w:p>
          <w:p w14:paraId="5AB7C0C5" w14:textId="77777777" w:rsidR="00B51242" w:rsidRDefault="00B51242">
            <w:pPr>
              <w:spacing w:line="360" w:lineRule="auto"/>
              <w:jc w:val="both"/>
              <w:rPr>
                <w:color w:val="000000"/>
                <w:sz w:val="28"/>
                <w:szCs w:val="28"/>
              </w:rPr>
            </w:pPr>
          </w:p>
          <w:p w14:paraId="5FC067A6" w14:textId="77777777" w:rsidR="00B51242" w:rsidRDefault="008E4E86">
            <w:pPr>
              <w:spacing w:line="360" w:lineRule="auto"/>
              <w:jc w:val="both"/>
            </w:pPr>
            <w:r>
              <w:rPr>
                <w:color w:val="000000"/>
                <w:sz w:val="28"/>
                <w:szCs w:val="28"/>
              </w:rPr>
              <w:t xml:space="preserve">Розвиток КПТ-підходів поруч із КТ і REBT. Мейхенбаум (когнітивна модифікація), Лазарус (мультимодальна терапія), Голдфрід (раціональна реструктуризація); акцент на свідомі переконання та емоції; початки конструктивізму як альтернативи раціоналізму </w:t>
            </w:r>
            <w:r w:rsidRPr="00D3629B">
              <w:rPr>
                <w:rStyle w:val="InternetLink"/>
                <w:color w:val="000000"/>
                <w:sz w:val="28"/>
                <w:szCs w:val="28"/>
                <w:u w:val="none"/>
              </w:rPr>
              <w:t>[45].</w:t>
            </w:r>
          </w:p>
          <w:p w14:paraId="750461BB" w14:textId="77777777" w:rsidR="00B51242" w:rsidRDefault="008E4E86">
            <w:pPr>
              <w:spacing w:line="360" w:lineRule="auto"/>
              <w:jc w:val="both"/>
              <w:rPr>
                <w:sz w:val="28"/>
                <w:szCs w:val="28"/>
              </w:rPr>
            </w:pPr>
            <w:r>
              <w:rPr>
                <w:color w:val="000000"/>
                <w:sz w:val="28"/>
                <w:szCs w:val="28"/>
              </w:rPr>
              <w:t xml:space="preserve">                                       </w:t>
            </w:r>
          </w:p>
          <w:p w14:paraId="55B33694" w14:textId="77777777" w:rsidR="00B51242" w:rsidRDefault="00B51242">
            <w:pPr>
              <w:spacing w:line="360" w:lineRule="auto"/>
              <w:jc w:val="both"/>
              <w:rPr>
                <w:color w:val="000000"/>
                <w:sz w:val="28"/>
                <w:szCs w:val="28"/>
              </w:rPr>
            </w:pPr>
          </w:p>
          <w:p w14:paraId="2C44C6AA" w14:textId="77777777" w:rsidR="00B51242" w:rsidRDefault="008E4E86">
            <w:pPr>
              <w:tabs>
                <w:tab w:val="center" w:leader="dot" w:pos="9584"/>
              </w:tabs>
              <w:snapToGrid w:val="0"/>
              <w:spacing w:after="100" w:line="360" w:lineRule="auto"/>
              <w:ind w:left="240"/>
              <w:jc w:val="both"/>
            </w:pPr>
            <w:r>
              <w:rPr>
                <w:rStyle w:val="InternetLink"/>
                <w:color w:val="000000"/>
                <w:sz w:val="28"/>
                <w:szCs w:val="28"/>
                <w:u w:val="none"/>
              </w:rPr>
              <w:t>У 1977 році були опубліковані результати першого великого клінічного</w:t>
            </w:r>
          </w:p>
          <w:p w14:paraId="4CF65E79" w14:textId="77777777" w:rsidR="00B51242" w:rsidRDefault="008E4E86">
            <w:pPr>
              <w:tabs>
                <w:tab w:val="center" w:leader="dot" w:pos="9584"/>
              </w:tabs>
              <w:snapToGrid w:val="0"/>
              <w:spacing w:after="100" w:line="360" w:lineRule="auto"/>
              <w:ind w:left="240"/>
              <w:jc w:val="both"/>
            </w:pPr>
            <w:r>
              <w:rPr>
                <w:rStyle w:val="InternetLink"/>
                <w:color w:val="000000"/>
                <w:sz w:val="28"/>
                <w:szCs w:val="28"/>
                <w:u w:val="none"/>
              </w:rPr>
              <w:t xml:space="preserve">випробування, яке порівнювало когнітивну терапію з антидепресантами. Когнітивна терапія стала першою розмовною терапією, яка виявилася ефективнішою за медикаменти для лікування депресії. Коли друге дослідження, проведене у Великій Британії та опубліковане в 1981 році,  повторило результати, інтерес до цього підходу зріс на національному та міжнародному рівнях </w:t>
            </w:r>
            <w:r w:rsidRPr="00D3629B">
              <w:rPr>
                <w:rStyle w:val="InternetLink"/>
                <w:color w:val="000000"/>
                <w:sz w:val="28"/>
                <w:szCs w:val="28"/>
                <w:u w:val="none"/>
                <w:lang w:val="ru-RU"/>
              </w:rPr>
              <w:t>[51].</w:t>
            </w:r>
          </w:p>
        </w:tc>
      </w:tr>
      <w:tr w:rsidR="00B51242" w14:paraId="38B88370" w14:textId="77777777">
        <w:tc>
          <w:tcPr>
            <w:tcW w:w="1573" w:type="dxa"/>
            <w:tcBorders>
              <w:left w:val="single" w:sz="2" w:space="0" w:color="000000"/>
              <w:bottom w:val="single" w:sz="2" w:space="0" w:color="000000"/>
            </w:tcBorders>
            <w:shd w:val="clear" w:color="auto" w:fill="auto"/>
          </w:tcPr>
          <w:p w14:paraId="1C94454B" w14:textId="77777777" w:rsidR="00B51242" w:rsidRDefault="008E4E86">
            <w:pPr>
              <w:spacing w:line="360" w:lineRule="auto"/>
              <w:jc w:val="both"/>
              <w:rPr>
                <w:sz w:val="28"/>
                <w:szCs w:val="28"/>
              </w:rPr>
            </w:pPr>
            <w:r>
              <w:rPr>
                <w:color w:val="000000"/>
                <w:sz w:val="28"/>
                <w:szCs w:val="28"/>
              </w:rPr>
              <w:t>1990–2000-ні</w:t>
            </w:r>
          </w:p>
        </w:tc>
        <w:tc>
          <w:tcPr>
            <w:tcW w:w="3136" w:type="dxa"/>
            <w:tcBorders>
              <w:left w:val="single" w:sz="2" w:space="0" w:color="000000"/>
              <w:bottom w:val="single" w:sz="2" w:space="0" w:color="000000"/>
            </w:tcBorders>
            <w:shd w:val="clear" w:color="auto" w:fill="auto"/>
          </w:tcPr>
          <w:p w14:paraId="20014898" w14:textId="77777777" w:rsidR="00B51242" w:rsidRDefault="008E4E86">
            <w:pPr>
              <w:spacing w:line="360" w:lineRule="auto"/>
              <w:jc w:val="both"/>
            </w:pPr>
            <w:r>
              <w:rPr>
                <w:rStyle w:val="StrongEmphasis"/>
                <w:color w:val="000000"/>
                <w:sz w:val="28"/>
                <w:szCs w:val="28"/>
              </w:rPr>
              <w:t>Третя хвиля КПТ.</w:t>
            </w:r>
          </w:p>
          <w:p w14:paraId="58A0D003" w14:textId="77777777" w:rsidR="00B51242" w:rsidRDefault="008E4E86">
            <w:pPr>
              <w:spacing w:line="360" w:lineRule="auto"/>
              <w:jc w:val="both"/>
            </w:pPr>
            <w:r>
              <w:rPr>
                <w:rStyle w:val="StrongEmphasis"/>
                <w:b w:val="0"/>
                <w:bCs w:val="0"/>
                <w:color w:val="000000"/>
                <w:sz w:val="28"/>
                <w:szCs w:val="28"/>
              </w:rPr>
              <w:t xml:space="preserve">Емпіричне підтвердження ефективності КПТ. Застосування в роботі з фобіями, ПТСР, тривожністю, депресією. </w:t>
            </w:r>
          </w:p>
          <w:p w14:paraId="4E2B666A" w14:textId="77777777" w:rsidR="00B51242" w:rsidRDefault="008E4E86">
            <w:pPr>
              <w:spacing w:line="360" w:lineRule="auto"/>
              <w:jc w:val="both"/>
              <w:rPr>
                <w:sz w:val="28"/>
                <w:szCs w:val="28"/>
              </w:rPr>
            </w:pPr>
            <w:r>
              <w:rPr>
                <w:color w:val="000000"/>
                <w:sz w:val="28"/>
                <w:szCs w:val="28"/>
              </w:rPr>
              <w:t>Виникнення нових підхо</w:t>
            </w:r>
          </w:p>
          <w:p w14:paraId="6C7E9F73" w14:textId="77777777" w:rsidR="00B51242" w:rsidRDefault="008E4E86">
            <w:pPr>
              <w:spacing w:line="360" w:lineRule="auto"/>
              <w:jc w:val="both"/>
              <w:rPr>
                <w:sz w:val="28"/>
                <w:szCs w:val="28"/>
              </w:rPr>
            </w:pPr>
            <w:r>
              <w:rPr>
                <w:color w:val="000000"/>
                <w:sz w:val="28"/>
                <w:szCs w:val="28"/>
              </w:rPr>
              <w:t xml:space="preserve">дів, що фокусуються на процесах прийняття, усвідомлення і цінностях </w:t>
            </w:r>
            <w:r w:rsidRPr="00D3629B">
              <w:rPr>
                <w:color w:val="000000"/>
                <w:sz w:val="28"/>
                <w:szCs w:val="28"/>
                <w:lang w:val="ru-RU"/>
              </w:rPr>
              <w:t>[10].</w:t>
            </w:r>
          </w:p>
        </w:tc>
        <w:tc>
          <w:tcPr>
            <w:tcW w:w="4529" w:type="dxa"/>
            <w:tcBorders>
              <w:left w:val="single" w:sz="2" w:space="0" w:color="000000"/>
              <w:bottom w:val="single" w:sz="2" w:space="0" w:color="000000"/>
              <w:right w:val="single" w:sz="2" w:space="0" w:color="000000"/>
            </w:tcBorders>
            <w:shd w:val="clear" w:color="auto" w:fill="auto"/>
          </w:tcPr>
          <w:p w14:paraId="1F358A5E" w14:textId="77777777" w:rsidR="00B51242" w:rsidRDefault="008E4E86">
            <w:pPr>
              <w:spacing w:line="360" w:lineRule="auto"/>
              <w:jc w:val="both"/>
              <w:rPr>
                <w:sz w:val="28"/>
                <w:szCs w:val="28"/>
              </w:rPr>
            </w:pPr>
            <w:r>
              <w:rPr>
                <w:color w:val="000000"/>
                <w:sz w:val="28"/>
                <w:szCs w:val="28"/>
              </w:rPr>
              <w:t xml:space="preserve"> КПТ визнається доказовою терапією. Терапевтична робота включає: ідентифікацію негативних автоматичних думок, розвиток адаптивної поведінки, оцінку ефективності, планування підтримки результату. Встановлюється зв’язок між тригерами, мисленням, емоціями та поведінкою. Підкреслюється здатність людини до рефлексії та інтроспекції. Зростає значення «поведінкової активізації». </w:t>
            </w:r>
          </w:p>
          <w:p w14:paraId="149E8696" w14:textId="77777777" w:rsidR="00B51242" w:rsidRDefault="008E4E86">
            <w:pPr>
              <w:spacing w:line="360" w:lineRule="auto"/>
              <w:jc w:val="both"/>
              <w:rPr>
                <w:sz w:val="28"/>
                <w:szCs w:val="28"/>
              </w:rPr>
            </w:pPr>
            <w:r>
              <w:rPr>
                <w:color w:val="000000"/>
                <w:sz w:val="28"/>
                <w:szCs w:val="28"/>
              </w:rPr>
              <w:t xml:space="preserve">Метапідходи, орієнтовані на контекст.  Напрями: Терапія прийняття і відповідальності (ACT), Діалектична поведінкова терапія (DBT), Метакогнітивна терапія, Схема-терапія. </w:t>
            </w:r>
          </w:p>
          <w:p w14:paraId="7DA4EEE1" w14:textId="77777777" w:rsidR="00B51242" w:rsidRDefault="008E4E86">
            <w:pPr>
              <w:spacing w:line="360" w:lineRule="auto"/>
              <w:jc w:val="both"/>
              <w:rPr>
                <w:sz w:val="28"/>
                <w:szCs w:val="28"/>
              </w:rPr>
            </w:pPr>
            <w:r>
              <w:rPr>
                <w:color w:val="000000"/>
                <w:sz w:val="28"/>
                <w:szCs w:val="28"/>
              </w:rPr>
              <w:t>Орієнтація на цінності, усвідомленість.</w:t>
            </w:r>
          </w:p>
          <w:p w14:paraId="6BE32859" w14:textId="77777777" w:rsidR="00B51242" w:rsidRDefault="008E4E86">
            <w:pPr>
              <w:spacing w:line="360" w:lineRule="auto"/>
              <w:jc w:val="both"/>
              <w:rPr>
                <w:sz w:val="28"/>
                <w:szCs w:val="28"/>
              </w:rPr>
            </w:pPr>
            <w:r w:rsidRPr="00D3629B">
              <w:rPr>
                <w:color w:val="000000"/>
                <w:sz w:val="28"/>
                <w:szCs w:val="28"/>
              </w:rPr>
              <w:t>[10]</w:t>
            </w:r>
          </w:p>
          <w:p w14:paraId="2860F85A" w14:textId="77777777" w:rsidR="00B51242" w:rsidRDefault="008E4E86">
            <w:pPr>
              <w:spacing w:line="360" w:lineRule="auto"/>
              <w:jc w:val="both"/>
            </w:pPr>
            <w:r>
              <w:rPr>
                <w:color w:val="000000"/>
                <w:sz w:val="28"/>
                <w:szCs w:val="28"/>
              </w:rPr>
              <w:t xml:space="preserve">Мета — не зміна змісту переконань, а зміна ставлення до них; інтеграція когнітивних і поведінкових процесів; відмова від структуралізму; зростання ролі тілесної усвідомленості, емоційної гнучкості </w:t>
            </w:r>
            <w:r w:rsidRPr="00D3629B">
              <w:rPr>
                <w:rStyle w:val="InternetLink"/>
                <w:color w:val="000000"/>
                <w:sz w:val="28"/>
                <w:szCs w:val="28"/>
                <w:u w:val="none"/>
              </w:rPr>
              <w:t>[45].</w:t>
            </w:r>
          </w:p>
        </w:tc>
      </w:tr>
      <w:tr w:rsidR="00B51242" w14:paraId="0005B8C2" w14:textId="77777777">
        <w:tc>
          <w:tcPr>
            <w:tcW w:w="1573" w:type="dxa"/>
            <w:tcBorders>
              <w:left w:val="single" w:sz="2" w:space="0" w:color="000000"/>
              <w:bottom w:val="single" w:sz="2" w:space="0" w:color="000000"/>
            </w:tcBorders>
            <w:shd w:val="clear" w:color="auto" w:fill="auto"/>
          </w:tcPr>
          <w:p w14:paraId="720B42DD" w14:textId="77777777" w:rsidR="00B51242" w:rsidRDefault="008E4E86">
            <w:pPr>
              <w:spacing w:line="360" w:lineRule="auto"/>
              <w:jc w:val="both"/>
              <w:rPr>
                <w:sz w:val="28"/>
                <w:szCs w:val="28"/>
              </w:rPr>
            </w:pPr>
            <w:r>
              <w:rPr>
                <w:color w:val="000000"/>
                <w:sz w:val="28"/>
                <w:szCs w:val="28"/>
              </w:rPr>
              <w:t xml:space="preserve"> 1993-2004</w:t>
            </w:r>
          </w:p>
        </w:tc>
        <w:tc>
          <w:tcPr>
            <w:tcW w:w="3136" w:type="dxa"/>
            <w:tcBorders>
              <w:left w:val="single" w:sz="2" w:space="0" w:color="000000"/>
              <w:bottom w:val="single" w:sz="2" w:space="0" w:color="000000"/>
            </w:tcBorders>
            <w:shd w:val="clear" w:color="auto" w:fill="auto"/>
          </w:tcPr>
          <w:p w14:paraId="227D311A" w14:textId="77777777" w:rsidR="00B51242" w:rsidRDefault="008E4E86">
            <w:pPr>
              <w:spacing w:line="360" w:lineRule="auto"/>
              <w:jc w:val="both"/>
              <w:rPr>
                <w:sz w:val="28"/>
                <w:szCs w:val="28"/>
              </w:rPr>
            </w:pPr>
            <w:r>
              <w:rPr>
                <w:color w:val="000000"/>
                <w:sz w:val="28"/>
                <w:szCs w:val="28"/>
              </w:rPr>
              <w:t xml:space="preserve">Формування терапій «третьої хвилі» в межах КПТ </w:t>
            </w:r>
          </w:p>
          <w:p w14:paraId="4455F193" w14:textId="77777777" w:rsidR="00B51242" w:rsidRDefault="00B51242">
            <w:pPr>
              <w:spacing w:line="360" w:lineRule="auto"/>
              <w:jc w:val="both"/>
              <w:rPr>
                <w:color w:val="000000"/>
                <w:sz w:val="28"/>
                <w:szCs w:val="28"/>
              </w:rPr>
            </w:pPr>
          </w:p>
          <w:p w14:paraId="19B43E4E" w14:textId="77777777" w:rsidR="00B51242" w:rsidRDefault="008E4E86">
            <w:pPr>
              <w:spacing w:line="360" w:lineRule="auto"/>
              <w:jc w:val="both"/>
              <w:rPr>
                <w:sz w:val="28"/>
                <w:szCs w:val="28"/>
              </w:rPr>
            </w:pPr>
            <w:r>
              <w:rPr>
                <w:color w:val="000000"/>
                <w:sz w:val="28"/>
                <w:szCs w:val="28"/>
              </w:rPr>
              <w:t xml:space="preserve">                                   </w:t>
            </w:r>
          </w:p>
        </w:tc>
        <w:tc>
          <w:tcPr>
            <w:tcW w:w="4529" w:type="dxa"/>
            <w:tcBorders>
              <w:left w:val="single" w:sz="2" w:space="0" w:color="000000"/>
              <w:bottom w:val="single" w:sz="2" w:space="0" w:color="000000"/>
              <w:right w:val="single" w:sz="2" w:space="0" w:color="000000"/>
            </w:tcBorders>
            <w:shd w:val="clear" w:color="auto" w:fill="auto"/>
          </w:tcPr>
          <w:p w14:paraId="32CA9438" w14:textId="77777777" w:rsidR="00B51242" w:rsidRDefault="008E4E86">
            <w:pPr>
              <w:spacing w:line="360" w:lineRule="auto"/>
              <w:jc w:val="both"/>
              <w:rPr>
                <w:sz w:val="28"/>
                <w:szCs w:val="28"/>
              </w:rPr>
            </w:pPr>
            <w:r>
              <w:rPr>
                <w:color w:val="000000"/>
                <w:sz w:val="28"/>
                <w:szCs w:val="28"/>
              </w:rPr>
              <w:t>Виникають моделі: ACT (Терапія прийняття та відданості), DBT (Діалектична поведінкова терапія), FAP (Функціонально-аналітична психотерапія), BA (Поведінкова активація), IBCT (Інтегративна поведінкова терапія для пар), CBASP.</w:t>
            </w:r>
          </w:p>
          <w:p w14:paraId="7668B175" w14:textId="77777777" w:rsidR="00B51242" w:rsidRDefault="008E4E86">
            <w:pPr>
              <w:spacing w:line="360" w:lineRule="auto"/>
              <w:jc w:val="both"/>
            </w:pPr>
            <w:r>
              <w:rPr>
                <w:color w:val="000000"/>
                <w:sz w:val="28"/>
                <w:szCs w:val="28"/>
              </w:rPr>
              <w:t xml:space="preserve">Повернення до функціоналізму, контекстуалізму, зростає акцент на прийняття, психічну гнучкість, баланс між прийняттям та змінами </w:t>
            </w:r>
            <w:r w:rsidRPr="00D3629B">
              <w:rPr>
                <w:rStyle w:val="InternetLink"/>
                <w:color w:val="000000"/>
                <w:sz w:val="28"/>
                <w:szCs w:val="28"/>
                <w:u w:val="none"/>
              </w:rPr>
              <w:t>[45].</w:t>
            </w:r>
          </w:p>
        </w:tc>
      </w:tr>
      <w:tr w:rsidR="00B51242" w14:paraId="52D34A4E" w14:textId="77777777">
        <w:tc>
          <w:tcPr>
            <w:tcW w:w="1573" w:type="dxa"/>
            <w:tcBorders>
              <w:left w:val="single" w:sz="2" w:space="0" w:color="000000"/>
              <w:bottom w:val="single" w:sz="2" w:space="0" w:color="000000"/>
            </w:tcBorders>
            <w:shd w:val="clear" w:color="auto" w:fill="auto"/>
          </w:tcPr>
          <w:p w14:paraId="4B851858" w14:textId="77777777" w:rsidR="00B51242" w:rsidRDefault="008E4E86">
            <w:pPr>
              <w:spacing w:line="360" w:lineRule="auto"/>
              <w:jc w:val="both"/>
              <w:rPr>
                <w:sz w:val="28"/>
                <w:szCs w:val="28"/>
              </w:rPr>
            </w:pPr>
            <w:r>
              <w:rPr>
                <w:color w:val="000000"/>
                <w:sz w:val="28"/>
                <w:szCs w:val="28"/>
              </w:rPr>
              <w:t xml:space="preserve"> 2003–2015</w:t>
            </w:r>
          </w:p>
        </w:tc>
        <w:tc>
          <w:tcPr>
            <w:tcW w:w="3136" w:type="dxa"/>
            <w:tcBorders>
              <w:left w:val="single" w:sz="2" w:space="0" w:color="000000"/>
              <w:bottom w:val="single" w:sz="2" w:space="0" w:color="000000"/>
            </w:tcBorders>
            <w:shd w:val="clear" w:color="auto" w:fill="auto"/>
          </w:tcPr>
          <w:p w14:paraId="771815EC" w14:textId="77777777" w:rsidR="00B51242" w:rsidRDefault="008E4E86">
            <w:pPr>
              <w:spacing w:line="360" w:lineRule="auto"/>
              <w:jc w:val="both"/>
              <w:rPr>
                <w:sz w:val="28"/>
                <w:szCs w:val="28"/>
              </w:rPr>
            </w:pPr>
            <w:r>
              <w:rPr>
                <w:color w:val="000000"/>
                <w:sz w:val="28"/>
                <w:szCs w:val="28"/>
              </w:rPr>
              <w:t>Розвиток метакогнітивних моделей (переважно «зверху вниз»)</w:t>
            </w:r>
          </w:p>
        </w:tc>
        <w:tc>
          <w:tcPr>
            <w:tcW w:w="4529" w:type="dxa"/>
            <w:tcBorders>
              <w:left w:val="single" w:sz="2" w:space="0" w:color="000000"/>
              <w:bottom w:val="single" w:sz="2" w:space="0" w:color="000000"/>
              <w:right w:val="single" w:sz="2" w:space="0" w:color="000000"/>
            </w:tcBorders>
            <w:shd w:val="clear" w:color="auto" w:fill="auto"/>
          </w:tcPr>
          <w:p w14:paraId="462E162D" w14:textId="77777777" w:rsidR="00B51242" w:rsidRDefault="008E4E86">
            <w:pPr>
              <w:spacing w:line="360" w:lineRule="auto"/>
              <w:jc w:val="both"/>
            </w:pPr>
            <w:r>
              <w:rPr>
                <w:color w:val="000000"/>
                <w:sz w:val="28"/>
                <w:szCs w:val="28"/>
              </w:rPr>
              <w:t xml:space="preserve">  Формується метакогнітивна терапія (MCT, Wells), MBCT (когнітивна терапія на основі усвідомленості), емоційна схемотерапія Ліхі (EST). Основні механізми — метакогнітивні переконання, вторинні проблеми (метаемоції), контроль уваги. Мета — дистанціювання від емоційного дискомфорту, зменшення повторюваного негативного мислення </w:t>
            </w:r>
            <w:r w:rsidRPr="00D3629B">
              <w:rPr>
                <w:rStyle w:val="InternetLink"/>
                <w:color w:val="000000"/>
                <w:sz w:val="28"/>
                <w:szCs w:val="28"/>
                <w:u w:val="none"/>
                <w:lang w:val="ru-RU"/>
              </w:rPr>
              <w:t>[45].</w:t>
            </w:r>
          </w:p>
        </w:tc>
      </w:tr>
      <w:tr w:rsidR="00B51242" w14:paraId="58B28543" w14:textId="77777777">
        <w:tc>
          <w:tcPr>
            <w:tcW w:w="1573" w:type="dxa"/>
            <w:tcBorders>
              <w:left w:val="single" w:sz="2" w:space="0" w:color="000000"/>
              <w:bottom w:val="single" w:sz="2" w:space="0" w:color="000000"/>
            </w:tcBorders>
            <w:shd w:val="clear" w:color="auto" w:fill="auto"/>
          </w:tcPr>
          <w:p w14:paraId="77C8803A" w14:textId="77777777" w:rsidR="00B51242" w:rsidRDefault="008E4E86">
            <w:pPr>
              <w:spacing w:line="360" w:lineRule="auto"/>
              <w:jc w:val="both"/>
              <w:rPr>
                <w:sz w:val="28"/>
                <w:szCs w:val="28"/>
              </w:rPr>
            </w:pPr>
            <w:r>
              <w:rPr>
                <w:color w:val="000000"/>
                <w:sz w:val="28"/>
                <w:szCs w:val="28"/>
              </w:rPr>
              <w:t>2003–2020</w:t>
            </w:r>
          </w:p>
        </w:tc>
        <w:tc>
          <w:tcPr>
            <w:tcW w:w="3136" w:type="dxa"/>
            <w:tcBorders>
              <w:left w:val="single" w:sz="2" w:space="0" w:color="000000"/>
              <w:bottom w:val="single" w:sz="2" w:space="0" w:color="000000"/>
            </w:tcBorders>
            <w:shd w:val="clear" w:color="auto" w:fill="auto"/>
          </w:tcPr>
          <w:p w14:paraId="7FE498A6" w14:textId="77777777" w:rsidR="00B51242" w:rsidRDefault="008E4E86">
            <w:pPr>
              <w:spacing w:line="360" w:lineRule="auto"/>
              <w:jc w:val="both"/>
              <w:rPr>
                <w:sz w:val="28"/>
                <w:szCs w:val="28"/>
              </w:rPr>
            </w:pPr>
            <w:r>
              <w:rPr>
                <w:color w:val="000000"/>
                <w:sz w:val="28"/>
                <w:szCs w:val="28"/>
              </w:rPr>
              <w:t xml:space="preserve"> Поява і розвиток моделей «знизу вгору» з фокусом на емоційний досвід</w:t>
            </w:r>
          </w:p>
        </w:tc>
        <w:tc>
          <w:tcPr>
            <w:tcW w:w="4529" w:type="dxa"/>
            <w:tcBorders>
              <w:left w:val="single" w:sz="2" w:space="0" w:color="000000"/>
              <w:bottom w:val="single" w:sz="2" w:space="0" w:color="000000"/>
              <w:right w:val="single" w:sz="2" w:space="0" w:color="000000"/>
            </w:tcBorders>
            <w:shd w:val="clear" w:color="auto" w:fill="auto"/>
          </w:tcPr>
          <w:p w14:paraId="5B63E8DE" w14:textId="77777777" w:rsidR="00B51242" w:rsidRDefault="008E4E86">
            <w:pPr>
              <w:spacing w:line="360" w:lineRule="auto"/>
              <w:jc w:val="both"/>
            </w:pPr>
            <w:r>
              <w:rPr>
                <w:color w:val="000000"/>
                <w:sz w:val="28"/>
                <w:szCs w:val="28"/>
              </w:rPr>
              <w:t xml:space="preserve">Схема-терапія (ST), метакогнітивна та міжособистісна терапія (MIT). Наголос на залишковому самопізнанні, емоційних і міжособистісних модах, інтеграція тіла, досвіду та емпіричних втручань. ST — інтенсивна емоційна корекція, MIT — розвиток метакогнітивних функцій через досвід </w:t>
            </w:r>
            <w:r w:rsidRPr="00D3629B">
              <w:rPr>
                <w:rStyle w:val="InternetLink"/>
                <w:color w:val="000000"/>
                <w:sz w:val="28"/>
                <w:szCs w:val="28"/>
                <w:u w:val="none"/>
              </w:rPr>
              <w:t>[45].</w:t>
            </w:r>
          </w:p>
        </w:tc>
      </w:tr>
      <w:tr w:rsidR="00B51242" w14:paraId="51BB6A4F" w14:textId="77777777">
        <w:tc>
          <w:tcPr>
            <w:tcW w:w="1573" w:type="dxa"/>
            <w:tcBorders>
              <w:left w:val="single" w:sz="2" w:space="0" w:color="000000"/>
              <w:bottom w:val="single" w:sz="2" w:space="0" w:color="000000"/>
            </w:tcBorders>
            <w:shd w:val="clear" w:color="auto" w:fill="auto"/>
          </w:tcPr>
          <w:p w14:paraId="04F6DFBE" w14:textId="77777777" w:rsidR="00B51242" w:rsidRDefault="008E4E86">
            <w:pPr>
              <w:spacing w:line="360" w:lineRule="auto"/>
              <w:jc w:val="both"/>
              <w:rPr>
                <w:sz w:val="28"/>
                <w:szCs w:val="28"/>
              </w:rPr>
            </w:pPr>
            <w:r>
              <w:rPr>
                <w:color w:val="000000"/>
                <w:sz w:val="28"/>
                <w:szCs w:val="28"/>
              </w:rPr>
              <w:t>2008–2020</w:t>
            </w:r>
          </w:p>
        </w:tc>
        <w:tc>
          <w:tcPr>
            <w:tcW w:w="3136" w:type="dxa"/>
            <w:tcBorders>
              <w:left w:val="single" w:sz="2" w:space="0" w:color="000000"/>
              <w:bottom w:val="single" w:sz="2" w:space="0" w:color="000000"/>
            </w:tcBorders>
            <w:shd w:val="clear" w:color="auto" w:fill="auto"/>
          </w:tcPr>
          <w:p w14:paraId="2C182569" w14:textId="77777777" w:rsidR="00B51242" w:rsidRDefault="008E4E86">
            <w:pPr>
              <w:spacing w:line="360" w:lineRule="auto"/>
              <w:jc w:val="both"/>
              <w:rPr>
                <w:sz w:val="28"/>
                <w:szCs w:val="28"/>
              </w:rPr>
            </w:pPr>
            <w:r>
              <w:rPr>
                <w:color w:val="000000"/>
                <w:sz w:val="28"/>
                <w:szCs w:val="28"/>
              </w:rPr>
              <w:t xml:space="preserve"> Теоретичне оформлення процесно-орієнтованих моделей </w:t>
            </w:r>
          </w:p>
        </w:tc>
        <w:tc>
          <w:tcPr>
            <w:tcW w:w="4529" w:type="dxa"/>
            <w:tcBorders>
              <w:left w:val="single" w:sz="2" w:space="0" w:color="000000"/>
              <w:bottom w:val="single" w:sz="2" w:space="0" w:color="000000"/>
              <w:right w:val="single" w:sz="2" w:space="0" w:color="000000"/>
            </w:tcBorders>
            <w:shd w:val="clear" w:color="auto" w:fill="auto"/>
          </w:tcPr>
          <w:p w14:paraId="5F76D096" w14:textId="77777777" w:rsidR="00B51242" w:rsidRDefault="008E4E86">
            <w:pPr>
              <w:spacing w:line="360" w:lineRule="auto"/>
              <w:jc w:val="both"/>
            </w:pPr>
            <w:r>
              <w:rPr>
                <w:color w:val="000000"/>
                <w:sz w:val="28"/>
                <w:szCs w:val="28"/>
              </w:rPr>
              <w:t xml:space="preserve">Поворот від структуралізму (самосхеми) до функціоналізму (когнітивні функції, виконавчий контроль, уважність). Увага як операціоналізована мета втручання. Відродження принципів першої хвилі (підкріплення, згасання) з новим метакогнітивним осмисленням. Визначення точок «знизу вгору» і «зверху вниз» як альтернативних, але взаємодоповнюючих стратегій </w:t>
            </w:r>
            <w:r w:rsidRPr="00D3629B">
              <w:rPr>
                <w:rStyle w:val="InternetLink"/>
                <w:color w:val="000000"/>
                <w:sz w:val="28"/>
                <w:szCs w:val="28"/>
                <w:u w:val="none"/>
                <w:lang w:val="ru-RU"/>
              </w:rPr>
              <w:t>[45].</w:t>
            </w:r>
            <w:r>
              <w:rPr>
                <w:rStyle w:val="InternetLink"/>
                <w:color w:val="000000"/>
                <w:sz w:val="28"/>
                <w:szCs w:val="28"/>
                <w:u w:val="none"/>
              </w:rPr>
              <w:t xml:space="preserve"> </w:t>
            </w:r>
          </w:p>
        </w:tc>
      </w:tr>
      <w:tr w:rsidR="00B51242" w14:paraId="0BC261A9" w14:textId="77777777">
        <w:tc>
          <w:tcPr>
            <w:tcW w:w="1573" w:type="dxa"/>
            <w:tcBorders>
              <w:left w:val="single" w:sz="2" w:space="0" w:color="000000"/>
              <w:bottom w:val="single" w:sz="2" w:space="0" w:color="000000"/>
            </w:tcBorders>
            <w:shd w:val="clear" w:color="auto" w:fill="auto"/>
          </w:tcPr>
          <w:p w14:paraId="0FA6B55F" w14:textId="77777777" w:rsidR="00B51242" w:rsidRDefault="008E4E86">
            <w:pPr>
              <w:spacing w:line="360" w:lineRule="auto"/>
              <w:jc w:val="both"/>
              <w:rPr>
                <w:sz w:val="28"/>
                <w:szCs w:val="28"/>
              </w:rPr>
            </w:pPr>
            <w:r>
              <w:rPr>
                <w:color w:val="000000"/>
                <w:sz w:val="28"/>
                <w:szCs w:val="28"/>
              </w:rPr>
              <w:t>2014–2020</w:t>
            </w:r>
          </w:p>
        </w:tc>
        <w:tc>
          <w:tcPr>
            <w:tcW w:w="3136" w:type="dxa"/>
            <w:tcBorders>
              <w:left w:val="single" w:sz="2" w:space="0" w:color="000000"/>
              <w:bottom w:val="single" w:sz="2" w:space="0" w:color="000000"/>
            </w:tcBorders>
            <w:shd w:val="clear" w:color="auto" w:fill="auto"/>
          </w:tcPr>
          <w:p w14:paraId="0E523830" w14:textId="77777777" w:rsidR="00B51242" w:rsidRDefault="008E4E86">
            <w:pPr>
              <w:spacing w:line="360" w:lineRule="auto"/>
              <w:jc w:val="both"/>
              <w:rPr>
                <w:sz w:val="28"/>
                <w:szCs w:val="28"/>
              </w:rPr>
            </w:pPr>
            <w:r>
              <w:rPr>
                <w:color w:val="000000"/>
                <w:sz w:val="28"/>
                <w:szCs w:val="28"/>
              </w:rPr>
              <w:t>Емпірична оцінка ефективності моделей «третьої хвилі»</w:t>
            </w:r>
          </w:p>
        </w:tc>
        <w:tc>
          <w:tcPr>
            <w:tcW w:w="4529" w:type="dxa"/>
            <w:tcBorders>
              <w:left w:val="single" w:sz="2" w:space="0" w:color="000000"/>
              <w:bottom w:val="single" w:sz="2" w:space="0" w:color="000000"/>
              <w:right w:val="single" w:sz="2" w:space="0" w:color="000000"/>
            </w:tcBorders>
            <w:shd w:val="clear" w:color="auto" w:fill="auto"/>
          </w:tcPr>
          <w:p w14:paraId="743CC863" w14:textId="77777777" w:rsidR="00B51242" w:rsidRDefault="008E4E86">
            <w:pPr>
              <w:spacing w:line="360" w:lineRule="auto"/>
              <w:jc w:val="both"/>
            </w:pPr>
            <w:r>
              <w:rPr>
                <w:color w:val="000000"/>
                <w:sz w:val="28"/>
                <w:szCs w:val="28"/>
              </w:rPr>
              <w:t xml:space="preserve">МКТ (метакогнітивна терапія) показує кращі результати за КПТ у деяких сферах (Normann et al., 2014). DBT — ефективна при розладах особистості. EMDR — рівноцінна КПТ при ПТСР. ACT, MBCT, ST, MIT — підтверджені ефективні терапії. Підтвердження гнучких, процесно-орієнтованих моделей, але КПТ Бека залишається «золотим стандартом» (Nathan and Gorman, 2015) </w:t>
            </w:r>
            <w:r w:rsidRPr="00D3629B">
              <w:rPr>
                <w:rStyle w:val="InternetLink"/>
                <w:color w:val="000000"/>
                <w:sz w:val="28"/>
                <w:szCs w:val="28"/>
                <w:u w:val="none"/>
              </w:rPr>
              <w:t>[45].</w:t>
            </w:r>
          </w:p>
        </w:tc>
      </w:tr>
      <w:tr w:rsidR="00B51242" w14:paraId="36378CCB" w14:textId="77777777">
        <w:tc>
          <w:tcPr>
            <w:tcW w:w="1573" w:type="dxa"/>
            <w:tcBorders>
              <w:left w:val="single" w:sz="2" w:space="0" w:color="000000"/>
              <w:bottom w:val="single" w:sz="2" w:space="0" w:color="000000"/>
            </w:tcBorders>
            <w:shd w:val="clear" w:color="auto" w:fill="auto"/>
          </w:tcPr>
          <w:p w14:paraId="36F8FEEF" w14:textId="77777777" w:rsidR="00B51242" w:rsidRDefault="008E4E86">
            <w:pPr>
              <w:spacing w:line="360" w:lineRule="auto"/>
              <w:jc w:val="both"/>
              <w:rPr>
                <w:sz w:val="28"/>
                <w:szCs w:val="28"/>
              </w:rPr>
            </w:pPr>
            <w:r>
              <w:rPr>
                <w:color w:val="000000"/>
                <w:sz w:val="28"/>
                <w:szCs w:val="28"/>
              </w:rPr>
              <w:t xml:space="preserve"> 2020–дотепер</w:t>
            </w:r>
          </w:p>
        </w:tc>
        <w:tc>
          <w:tcPr>
            <w:tcW w:w="3136" w:type="dxa"/>
            <w:tcBorders>
              <w:left w:val="single" w:sz="2" w:space="0" w:color="000000"/>
              <w:bottom w:val="single" w:sz="2" w:space="0" w:color="000000"/>
            </w:tcBorders>
            <w:shd w:val="clear" w:color="auto" w:fill="auto"/>
          </w:tcPr>
          <w:p w14:paraId="673599F7" w14:textId="77777777" w:rsidR="00B51242" w:rsidRDefault="008E4E86">
            <w:pPr>
              <w:spacing w:line="360" w:lineRule="auto"/>
              <w:jc w:val="both"/>
              <w:rPr>
                <w:sz w:val="28"/>
                <w:szCs w:val="28"/>
              </w:rPr>
            </w:pPr>
            <w:r>
              <w:rPr>
                <w:color w:val="000000"/>
                <w:sz w:val="28"/>
                <w:szCs w:val="28"/>
              </w:rPr>
              <w:t xml:space="preserve"> Поглиблення концепції «знизу вгору» та інтеграція з «зверху вниз»</w:t>
            </w:r>
          </w:p>
        </w:tc>
        <w:tc>
          <w:tcPr>
            <w:tcW w:w="4529" w:type="dxa"/>
            <w:tcBorders>
              <w:left w:val="single" w:sz="2" w:space="0" w:color="000000"/>
              <w:bottom w:val="single" w:sz="2" w:space="0" w:color="000000"/>
              <w:right w:val="single" w:sz="2" w:space="0" w:color="000000"/>
            </w:tcBorders>
            <w:shd w:val="clear" w:color="auto" w:fill="auto"/>
          </w:tcPr>
          <w:p w14:paraId="305E102D" w14:textId="77777777" w:rsidR="00B51242" w:rsidRDefault="008E4E86">
            <w:pPr>
              <w:spacing w:line="360" w:lineRule="auto"/>
              <w:jc w:val="both"/>
            </w:pPr>
            <w:r>
              <w:rPr>
                <w:color w:val="000000"/>
                <w:sz w:val="28"/>
                <w:szCs w:val="28"/>
              </w:rPr>
              <w:t xml:space="preserve"> Розширення втручань, які поєднують емпіричні (переживання, тілесність) та когнітивні (контроль, свідоме обґрунтування) компоненти. Розвиток терапій, що працюють з кризами у стосунках (Safran &amp; Muran). Нове осмислення наративу, терапевтичного альянсу, уваги як основної терапевтичної функції </w:t>
            </w:r>
            <w:r w:rsidRPr="00D3629B">
              <w:rPr>
                <w:rStyle w:val="InternetLink"/>
                <w:color w:val="000000"/>
                <w:sz w:val="28"/>
                <w:szCs w:val="28"/>
                <w:u w:val="none"/>
                <w:lang w:val="ru-RU"/>
              </w:rPr>
              <w:t>[45].</w:t>
            </w:r>
          </w:p>
          <w:p w14:paraId="1C2776EB" w14:textId="77777777" w:rsidR="00B51242" w:rsidRDefault="00B51242">
            <w:pPr>
              <w:spacing w:line="360" w:lineRule="auto"/>
              <w:jc w:val="both"/>
              <w:rPr>
                <w:color w:val="000000"/>
                <w:sz w:val="28"/>
                <w:szCs w:val="28"/>
              </w:rPr>
            </w:pPr>
          </w:p>
        </w:tc>
      </w:tr>
      <w:tr w:rsidR="00B51242" w14:paraId="3F0110A3" w14:textId="77777777">
        <w:tc>
          <w:tcPr>
            <w:tcW w:w="1573" w:type="dxa"/>
            <w:tcBorders>
              <w:left w:val="single" w:sz="2" w:space="0" w:color="000000"/>
              <w:bottom w:val="single" w:sz="2" w:space="0" w:color="000000"/>
            </w:tcBorders>
            <w:shd w:val="clear" w:color="auto" w:fill="auto"/>
          </w:tcPr>
          <w:p w14:paraId="30A8E581" w14:textId="77777777" w:rsidR="00B51242" w:rsidRDefault="008E4E86">
            <w:pPr>
              <w:spacing w:line="360" w:lineRule="auto"/>
              <w:jc w:val="both"/>
              <w:rPr>
                <w:sz w:val="28"/>
                <w:szCs w:val="28"/>
              </w:rPr>
            </w:pPr>
            <w:r>
              <w:rPr>
                <w:color w:val="000000"/>
                <w:sz w:val="28"/>
                <w:szCs w:val="28"/>
              </w:rPr>
              <w:t>2010–2020-ті</w:t>
            </w:r>
          </w:p>
          <w:p w14:paraId="15342E60" w14:textId="77777777" w:rsidR="00B51242" w:rsidRDefault="00B51242">
            <w:pPr>
              <w:spacing w:line="360" w:lineRule="auto"/>
              <w:jc w:val="both"/>
              <w:rPr>
                <w:color w:val="000000"/>
                <w:sz w:val="28"/>
                <w:szCs w:val="28"/>
              </w:rPr>
            </w:pPr>
          </w:p>
          <w:p w14:paraId="6625BBBA" w14:textId="77777777" w:rsidR="00B51242" w:rsidRDefault="008E4E86">
            <w:pPr>
              <w:spacing w:line="360" w:lineRule="auto"/>
              <w:jc w:val="both"/>
              <w:rPr>
                <w:sz w:val="28"/>
                <w:szCs w:val="28"/>
              </w:rPr>
            </w:pPr>
            <w:r>
              <w:rPr>
                <w:color w:val="000000"/>
                <w:sz w:val="28"/>
                <w:szCs w:val="28"/>
              </w:rPr>
              <w:t>ВИСНОВОК</w:t>
            </w:r>
          </w:p>
        </w:tc>
        <w:tc>
          <w:tcPr>
            <w:tcW w:w="3136" w:type="dxa"/>
            <w:tcBorders>
              <w:left w:val="single" w:sz="2" w:space="0" w:color="000000"/>
              <w:bottom w:val="single" w:sz="2" w:space="0" w:color="000000"/>
            </w:tcBorders>
            <w:shd w:val="clear" w:color="auto" w:fill="auto"/>
          </w:tcPr>
          <w:p w14:paraId="575061D7" w14:textId="77777777" w:rsidR="00B51242" w:rsidRDefault="008E4E86">
            <w:pPr>
              <w:spacing w:line="360" w:lineRule="auto"/>
              <w:jc w:val="both"/>
              <w:rPr>
                <w:sz w:val="28"/>
                <w:szCs w:val="28"/>
              </w:rPr>
            </w:pPr>
            <w:r>
              <w:rPr>
                <w:color w:val="000000"/>
                <w:sz w:val="28"/>
                <w:szCs w:val="28"/>
              </w:rPr>
              <w:t xml:space="preserve">Інтеграція стоїчної філософії у філософське підґрунтя КПТ. </w:t>
            </w:r>
          </w:p>
          <w:p w14:paraId="5A8E0E9B" w14:textId="77777777" w:rsidR="00B51242" w:rsidRDefault="008E4E86">
            <w:pPr>
              <w:spacing w:line="360" w:lineRule="auto"/>
              <w:jc w:val="both"/>
              <w:rPr>
                <w:sz w:val="28"/>
                <w:szCs w:val="28"/>
              </w:rPr>
            </w:pPr>
            <w:r>
              <w:rPr>
                <w:color w:val="000000"/>
                <w:sz w:val="28"/>
                <w:szCs w:val="28"/>
              </w:rPr>
              <w:t xml:space="preserve">Практики: рефлексія, прийняття думок без осуду, афірмації, візуалізація. Представники: Дональд Робертсон, Раян Голідей, Максимо Пильюччі, Стівен Генсільман. </w:t>
            </w:r>
          </w:p>
          <w:p w14:paraId="04009B15" w14:textId="77777777" w:rsidR="00B51242" w:rsidRDefault="008E4E86">
            <w:pPr>
              <w:spacing w:line="360" w:lineRule="auto"/>
              <w:jc w:val="both"/>
            </w:pPr>
            <w:r>
              <w:rPr>
                <w:color w:val="000000"/>
                <w:sz w:val="28"/>
                <w:szCs w:val="28"/>
              </w:rPr>
              <w:t xml:space="preserve">Розширення сфер застосування КПТ, цифровізація, індивідуалізація підходів, інтеграція з нейронауками </w:t>
            </w:r>
            <w:r w:rsidRPr="00D3629B">
              <w:rPr>
                <w:rStyle w:val="InternetLink"/>
                <w:color w:val="000000"/>
                <w:sz w:val="28"/>
                <w:szCs w:val="28"/>
                <w:u w:val="none"/>
              </w:rPr>
              <w:t>[10].</w:t>
            </w:r>
          </w:p>
        </w:tc>
        <w:tc>
          <w:tcPr>
            <w:tcW w:w="4529" w:type="dxa"/>
            <w:tcBorders>
              <w:left w:val="single" w:sz="2" w:space="0" w:color="000000"/>
              <w:bottom w:val="single" w:sz="2" w:space="0" w:color="000000"/>
              <w:right w:val="single" w:sz="2" w:space="0" w:color="000000"/>
            </w:tcBorders>
            <w:shd w:val="clear" w:color="auto" w:fill="auto"/>
          </w:tcPr>
          <w:p w14:paraId="6E2D9AB4" w14:textId="77777777" w:rsidR="00B51242" w:rsidRDefault="008E4E86">
            <w:pPr>
              <w:spacing w:line="360" w:lineRule="auto"/>
              <w:jc w:val="both"/>
              <w:rPr>
                <w:sz w:val="28"/>
                <w:szCs w:val="28"/>
              </w:rPr>
            </w:pPr>
            <w:r>
              <w:rPr>
                <w:color w:val="000000"/>
                <w:sz w:val="28"/>
                <w:szCs w:val="28"/>
              </w:rPr>
              <w:t xml:space="preserve">КПТ споріднена з ідеями стоїцизму: дихотомія контролю, негативна візуалізація, самообмеження, раціоналізація травматичного досвіду. Стоїчна чеснота – здатність розрізняти контрольоване й неконтрольоване – знаходить своє місце в терапії. </w:t>
            </w:r>
          </w:p>
          <w:p w14:paraId="5EB89DE8" w14:textId="77777777" w:rsidR="00B51242" w:rsidRDefault="00B51242">
            <w:pPr>
              <w:spacing w:line="360" w:lineRule="auto"/>
              <w:jc w:val="both"/>
              <w:rPr>
                <w:color w:val="000000"/>
                <w:sz w:val="28"/>
                <w:szCs w:val="28"/>
              </w:rPr>
            </w:pPr>
          </w:p>
          <w:p w14:paraId="7D62D461" w14:textId="77777777" w:rsidR="00B51242" w:rsidRDefault="00B51242">
            <w:pPr>
              <w:spacing w:line="360" w:lineRule="auto"/>
              <w:jc w:val="both"/>
              <w:rPr>
                <w:color w:val="000000"/>
                <w:sz w:val="28"/>
                <w:szCs w:val="28"/>
              </w:rPr>
            </w:pPr>
          </w:p>
          <w:p w14:paraId="078B034E" w14:textId="77777777" w:rsidR="00B51242" w:rsidRDefault="00B51242">
            <w:pPr>
              <w:spacing w:line="360" w:lineRule="auto"/>
              <w:jc w:val="both"/>
              <w:rPr>
                <w:color w:val="000000"/>
                <w:sz w:val="28"/>
                <w:szCs w:val="28"/>
              </w:rPr>
            </w:pPr>
          </w:p>
          <w:p w14:paraId="068B3A9C" w14:textId="77777777" w:rsidR="00B51242" w:rsidRDefault="008E4E86">
            <w:pPr>
              <w:spacing w:line="360" w:lineRule="auto"/>
              <w:jc w:val="both"/>
              <w:rPr>
                <w:sz w:val="28"/>
                <w:szCs w:val="28"/>
              </w:rPr>
            </w:pPr>
            <w:r>
              <w:rPr>
                <w:color w:val="000000"/>
                <w:sz w:val="28"/>
                <w:szCs w:val="28"/>
              </w:rPr>
              <w:t xml:space="preserve">Інтеграція нейропсихології, гнучке застосування моделей трьох хвиль, розвиток інтернет- та мобільної КПТ, нейровізуалізація, персоналізована терапія КПТ: для окремих популяцій (діти, підлітки, травма тощо). </w:t>
            </w:r>
          </w:p>
        </w:tc>
      </w:tr>
      <w:tr w:rsidR="00B51242" w14:paraId="002BABB2" w14:textId="77777777">
        <w:tc>
          <w:tcPr>
            <w:tcW w:w="1573" w:type="dxa"/>
            <w:tcBorders>
              <w:left w:val="single" w:sz="2" w:space="0" w:color="000000"/>
              <w:bottom w:val="single" w:sz="2" w:space="0" w:color="000000"/>
            </w:tcBorders>
            <w:shd w:val="clear" w:color="auto" w:fill="auto"/>
          </w:tcPr>
          <w:p w14:paraId="4045FEAC" w14:textId="77777777" w:rsidR="00B51242" w:rsidRDefault="008E4E86">
            <w:pPr>
              <w:spacing w:line="360" w:lineRule="auto"/>
              <w:jc w:val="both"/>
              <w:rPr>
                <w:sz w:val="28"/>
                <w:szCs w:val="28"/>
              </w:rPr>
            </w:pPr>
            <w:r>
              <w:rPr>
                <w:color w:val="000000"/>
                <w:sz w:val="28"/>
                <w:szCs w:val="28"/>
              </w:rPr>
              <w:t>2020-ті – дотепер</w:t>
            </w:r>
          </w:p>
          <w:p w14:paraId="492506DD" w14:textId="77777777" w:rsidR="00B51242" w:rsidRDefault="00B51242">
            <w:pPr>
              <w:spacing w:line="360" w:lineRule="auto"/>
              <w:jc w:val="both"/>
              <w:rPr>
                <w:color w:val="000000"/>
                <w:sz w:val="28"/>
                <w:szCs w:val="28"/>
              </w:rPr>
            </w:pPr>
          </w:p>
          <w:p w14:paraId="11BC9125" w14:textId="77777777" w:rsidR="00B51242" w:rsidRDefault="008E4E86">
            <w:pPr>
              <w:spacing w:line="360" w:lineRule="auto"/>
              <w:jc w:val="both"/>
              <w:rPr>
                <w:sz w:val="28"/>
                <w:szCs w:val="28"/>
              </w:rPr>
            </w:pPr>
            <w:r>
              <w:rPr>
                <w:color w:val="000000"/>
                <w:sz w:val="28"/>
                <w:szCs w:val="28"/>
              </w:rPr>
              <w:t>ВИСНОВОК</w:t>
            </w:r>
          </w:p>
        </w:tc>
        <w:tc>
          <w:tcPr>
            <w:tcW w:w="3136" w:type="dxa"/>
            <w:tcBorders>
              <w:left w:val="single" w:sz="2" w:space="0" w:color="000000"/>
              <w:bottom w:val="single" w:sz="2" w:space="0" w:color="000000"/>
            </w:tcBorders>
            <w:shd w:val="clear" w:color="auto" w:fill="auto"/>
          </w:tcPr>
          <w:p w14:paraId="1B7D5B66" w14:textId="77777777" w:rsidR="00B51242" w:rsidRDefault="008E4E86">
            <w:pPr>
              <w:spacing w:line="360" w:lineRule="auto"/>
              <w:jc w:val="both"/>
              <w:rPr>
                <w:sz w:val="28"/>
                <w:szCs w:val="28"/>
              </w:rPr>
            </w:pPr>
            <w:r>
              <w:rPr>
                <w:b/>
                <w:bCs/>
                <w:color w:val="000000"/>
                <w:sz w:val="28"/>
                <w:szCs w:val="28"/>
              </w:rPr>
              <w:t>Четверта хвиля КПТ (у формуванні).</w:t>
            </w:r>
          </w:p>
          <w:p w14:paraId="5D12827E" w14:textId="77777777" w:rsidR="00B51242" w:rsidRDefault="008E4E86">
            <w:pPr>
              <w:spacing w:line="360" w:lineRule="auto"/>
              <w:jc w:val="both"/>
            </w:pPr>
            <w:r>
              <w:rPr>
                <w:color w:val="000000"/>
                <w:sz w:val="28"/>
                <w:szCs w:val="28"/>
              </w:rPr>
              <w:t xml:space="preserve">Мультидисциплінарне розширення КПТ, культурна адаптація </w:t>
            </w:r>
            <w:r w:rsidRPr="00D3629B">
              <w:rPr>
                <w:rStyle w:val="InternetLink"/>
                <w:color w:val="000000"/>
                <w:sz w:val="28"/>
                <w:szCs w:val="28"/>
                <w:u w:val="none"/>
                <w:lang w:val="ru-RU"/>
              </w:rPr>
              <w:t>[10].</w:t>
            </w:r>
          </w:p>
        </w:tc>
        <w:tc>
          <w:tcPr>
            <w:tcW w:w="4529" w:type="dxa"/>
            <w:tcBorders>
              <w:left w:val="single" w:sz="2" w:space="0" w:color="000000"/>
              <w:bottom w:val="single" w:sz="2" w:space="0" w:color="000000"/>
              <w:right w:val="single" w:sz="2" w:space="0" w:color="000000"/>
            </w:tcBorders>
            <w:shd w:val="clear" w:color="auto" w:fill="auto"/>
          </w:tcPr>
          <w:p w14:paraId="14E54376" w14:textId="77777777" w:rsidR="00B51242" w:rsidRDefault="008E4E86">
            <w:pPr>
              <w:spacing w:line="360" w:lineRule="auto"/>
              <w:jc w:val="both"/>
              <w:rPr>
                <w:sz w:val="28"/>
                <w:szCs w:val="28"/>
              </w:rPr>
            </w:pPr>
            <w:r>
              <w:rPr>
                <w:color w:val="000000"/>
                <w:sz w:val="28"/>
                <w:szCs w:val="28"/>
              </w:rPr>
              <w:t>Процес-орієнтована терапія, культурно-чутливий підхід.</w:t>
            </w:r>
          </w:p>
          <w:p w14:paraId="5DBBCCD6" w14:textId="77777777" w:rsidR="00B51242" w:rsidRDefault="008E4E86">
            <w:pPr>
              <w:spacing w:line="360" w:lineRule="auto"/>
              <w:jc w:val="both"/>
              <w:rPr>
                <w:sz w:val="28"/>
                <w:szCs w:val="28"/>
              </w:rPr>
            </w:pPr>
            <w:r>
              <w:rPr>
                <w:color w:val="000000"/>
                <w:sz w:val="28"/>
                <w:szCs w:val="28"/>
              </w:rPr>
              <w:t xml:space="preserve">КПТ базується на синтезі раціоналізму (когнітивний напрям) і емпіризму (поведінковий напрям), з урахуванням логічного біхевіоризму й філософії свідомості. Вона не є універсальною, </w:t>
            </w:r>
          </w:p>
          <w:p w14:paraId="4D29A52B" w14:textId="77777777" w:rsidR="00B51242" w:rsidRDefault="008E4E86">
            <w:pPr>
              <w:spacing w:line="360" w:lineRule="auto"/>
              <w:jc w:val="both"/>
              <w:rPr>
                <w:sz w:val="28"/>
                <w:szCs w:val="28"/>
              </w:rPr>
            </w:pPr>
            <w:r>
              <w:rPr>
                <w:color w:val="000000"/>
                <w:sz w:val="28"/>
                <w:szCs w:val="28"/>
              </w:rPr>
              <w:t xml:space="preserve">але системною. Ефективна для лікування фобій, ПТСР, панічних атак, менш ефективна при глибоких дитячих травмах. В Україні розвивається спільнота “Українська Стоя”, яка популяризує філософію стоїцизму та її терапевтичний потенціал. </w:t>
            </w:r>
          </w:p>
          <w:p w14:paraId="394A9390" w14:textId="77777777" w:rsidR="00B51242" w:rsidRDefault="008E4E86">
            <w:pPr>
              <w:spacing w:line="360" w:lineRule="auto"/>
              <w:jc w:val="both"/>
              <w:rPr>
                <w:sz w:val="28"/>
                <w:szCs w:val="28"/>
              </w:rPr>
            </w:pPr>
            <w:r>
              <w:rPr>
                <w:b/>
                <w:bCs/>
                <w:color w:val="000000"/>
                <w:sz w:val="28"/>
                <w:szCs w:val="28"/>
              </w:rPr>
              <w:t xml:space="preserve"> Поширення КПТ як провідного психотерапевтичного підходу в світі, розвиток українських шкіл, поєднання з філософськими традиціями </w:t>
            </w:r>
            <w:r w:rsidRPr="00D3629B">
              <w:rPr>
                <w:color w:val="000000"/>
                <w:sz w:val="28"/>
                <w:szCs w:val="28"/>
              </w:rPr>
              <w:t>[10].</w:t>
            </w:r>
          </w:p>
          <w:p w14:paraId="5B9FBA58" w14:textId="77777777" w:rsidR="00B51242" w:rsidRDefault="008E4E86">
            <w:pPr>
              <w:spacing w:line="360" w:lineRule="auto"/>
              <w:jc w:val="both"/>
              <w:rPr>
                <w:sz w:val="28"/>
                <w:szCs w:val="28"/>
              </w:rPr>
            </w:pPr>
            <w:r>
              <w:rPr>
                <w:color w:val="000000"/>
                <w:sz w:val="28"/>
                <w:szCs w:val="28"/>
              </w:rPr>
              <w:t xml:space="preserve">               </w:t>
            </w:r>
          </w:p>
        </w:tc>
      </w:tr>
    </w:tbl>
    <w:p w14:paraId="31CD0C16" w14:textId="77777777" w:rsidR="00B51242" w:rsidRDefault="00B51242">
      <w:pPr>
        <w:tabs>
          <w:tab w:val="center" w:leader="dot" w:pos="9628"/>
        </w:tabs>
        <w:snapToGrid w:val="0"/>
        <w:spacing w:line="360" w:lineRule="auto"/>
        <w:jc w:val="both"/>
        <w:rPr>
          <w:rStyle w:val="InternetLink"/>
          <w:sz w:val="28"/>
          <w:szCs w:val="28"/>
        </w:rPr>
      </w:pPr>
    </w:p>
    <w:p w14:paraId="7FD8715F" w14:textId="77777777" w:rsidR="00B51242" w:rsidRDefault="00B51242">
      <w:pPr>
        <w:tabs>
          <w:tab w:val="center" w:leader="dot" w:pos="9344"/>
        </w:tabs>
        <w:snapToGrid w:val="0"/>
        <w:spacing w:line="360" w:lineRule="auto"/>
        <w:jc w:val="both"/>
        <w:rPr>
          <w:rStyle w:val="InternetLink"/>
          <w:sz w:val="28"/>
          <w:szCs w:val="28"/>
        </w:rPr>
      </w:pPr>
    </w:p>
    <w:p w14:paraId="6BDFDFC2" w14:textId="77777777" w:rsidR="00B51242" w:rsidRPr="00D3629B" w:rsidRDefault="00B51242">
      <w:pPr>
        <w:tabs>
          <w:tab w:val="center" w:leader="dot" w:pos="9344"/>
        </w:tabs>
        <w:snapToGrid w:val="0"/>
        <w:spacing w:line="360" w:lineRule="auto"/>
        <w:jc w:val="right"/>
        <w:rPr>
          <w:rStyle w:val="InternetLink"/>
          <w:rFonts w:eastAsia="Times New Roman" w:cs="Times New Roman"/>
          <w:b/>
          <w:bCs/>
          <w:color w:val="000000"/>
          <w:sz w:val="28"/>
          <w:szCs w:val="28"/>
          <w:u w:val="none"/>
        </w:rPr>
      </w:pPr>
    </w:p>
    <w:p w14:paraId="41F9AE5E" w14:textId="77777777" w:rsidR="00B51242" w:rsidRPr="00D3629B" w:rsidRDefault="00B51242">
      <w:pPr>
        <w:tabs>
          <w:tab w:val="center" w:leader="dot" w:pos="9344"/>
        </w:tabs>
        <w:snapToGrid w:val="0"/>
        <w:spacing w:line="360" w:lineRule="auto"/>
        <w:jc w:val="right"/>
        <w:rPr>
          <w:rStyle w:val="InternetLink"/>
          <w:rFonts w:eastAsia="Times New Roman" w:cs="Times New Roman"/>
          <w:b/>
          <w:bCs/>
          <w:color w:val="000000"/>
          <w:sz w:val="28"/>
          <w:szCs w:val="28"/>
          <w:u w:val="none"/>
        </w:rPr>
      </w:pPr>
    </w:p>
    <w:p w14:paraId="00F03A6D" w14:textId="77777777" w:rsidR="00B51242" w:rsidRPr="00D3629B" w:rsidRDefault="00B51242">
      <w:pPr>
        <w:tabs>
          <w:tab w:val="center" w:leader="dot" w:pos="9344"/>
        </w:tabs>
        <w:snapToGrid w:val="0"/>
        <w:spacing w:line="360" w:lineRule="auto"/>
        <w:jc w:val="right"/>
        <w:rPr>
          <w:rStyle w:val="InternetLink"/>
          <w:rFonts w:eastAsia="Times New Roman" w:cs="Times New Roman"/>
          <w:b/>
          <w:bCs/>
          <w:color w:val="000000"/>
          <w:sz w:val="28"/>
          <w:szCs w:val="28"/>
          <w:u w:val="none"/>
        </w:rPr>
      </w:pPr>
    </w:p>
    <w:p w14:paraId="6930E822" w14:textId="77777777" w:rsidR="00B51242" w:rsidRPr="00D3629B" w:rsidRDefault="00B51242">
      <w:pPr>
        <w:tabs>
          <w:tab w:val="center" w:leader="dot" w:pos="9344"/>
        </w:tabs>
        <w:snapToGrid w:val="0"/>
        <w:spacing w:line="360" w:lineRule="auto"/>
        <w:jc w:val="right"/>
        <w:rPr>
          <w:rStyle w:val="InternetLink"/>
          <w:rFonts w:eastAsia="Times New Roman" w:cs="Times New Roman"/>
          <w:b/>
          <w:bCs/>
          <w:color w:val="000000"/>
          <w:sz w:val="28"/>
          <w:szCs w:val="28"/>
          <w:u w:val="none"/>
        </w:rPr>
      </w:pPr>
    </w:p>
    <w:p w14:paraId="20E36DAB" w14:textId="77777777" w:rsidR="00B51242" w:rsidRPr="00D3629B" w:rsidRDefault="00B51242">
      <w:pPr>
        <w:tabs>
          <w:tab w:val="center" w:leader="dot" w:pos="9344"/>
        </w:tabs>
        <w:snapToGrid w:val="0"/>
        <w:spacing w:line="360" w:lineRule="auto"/>
        <w:jc w:val="right"/>
        <w:rPr>
          <w:rStyle w:val="InternetLink"/>
          <w:rFonts w:eastAsia="Times New Roman" w:cs="Times New Roman"/>
          <w:b/>
          <w:bCs/>
          <w:color w:val="000000"/>
          <w:sz w:val="28"/>
          <w:szCs w:val="28"/>
          <w:u w:val="none"/>
        </w:rPr>
      </w:pPr>
    </w:p>
    <w:p w14:paraId="32D85219" w14:textId="77777777" w:rsidR="00B51242" w:rsidRPr="00D3629B" w:rsidRDefault="00B51242">
      <w:pPr>
        <w:tabs>
          <w:tab w:val="center" w:leader="dot" w:pos="9344"/>
        </w:tabs>
        <w:snapToGrid w:val="0"/>
        <w:spacing w:line="360" w:lineRule="auto"/>
        <w:jc w:val="right"/>
        <w:rPr>
          <w:rStyle w:val="InternetLink"/>
          <w:rFonts w:eastAsia="Times New Roman" w:cs="Times New Roman"/>
          <w:b/>
          <w:bCs/>
          <w:color w:val="000000"/>
          <w:sz w:val="28"/>
          <w:szCs w:val="28"/>
          <w:u w:val="none"/>
        </w:rPr>
      </w:pPr>
    </w:p>
    <w:p w14:paraId="0CE19BC3" w14:textId="77777777" w:rsidR="00B51242" w:rsidRPr="00D3629B" w:rsidRDefault="00B51242">
      <w:pPr>
        <w:tabs>
          <w:tab w:val="center" w:leader="dot" w:pos="9344"/>
        </w:tabs>
        <w:snapToGrid w:val="0"/>
        <w:spacing w:line="360" w:lineRule="auto"/>
        <w:jc w:val="right"/>
        <w:rPr>
          <w:rStyle w:val="InternetLink"/>
          <w:rFonts w:eastAsia="Times New Roman" w:cs="Times New Roman"/>
          <w:b/>
          <w:bCs/>
          <w:color w:val="000000"/>
          <w:sz w:val="28"/>
          <w:szCs w:val="28"/>
          <w:u w:val="none"/>
        </w:rPr>
      </w:pPr>
    </w:p>
    <w:p w14:paraId="63966B72" w14:textId="77777777" w:rsidR="00B51242" w:rsidRPr="00D3629B" w:rsidRDefault="00B51242">
      <w:pPr>
        <w:tabs>
          <w:tab w:val="center" w:leader="dot" w:pos="9344"/>
        </w:tabs>
        <w:snapToGrid w:val="0"/>
        <w:spacing w:line="360" w:lineRule="auto"/>
        <w:jc w:val="right"/>
        <w:rPr>
          <w:rStyle w:val="InternetLink"/>
          <w:rFonts w:eastAsia="Times New Roman" w:cs="Times New Roman"/>
          <w:b/>
          <w:bCs/>
          <w:color w:val="000000"/>
          <w:sz w:val="28"/>
          <w:szCs w:val="28"/>
          <w:u w:val="none"/>
        </w:rPr>
      </w:pPr>
    </w:p>
    <w:p w14:paraId="39CBF945" w14:textId="77777777" w:rsidR="00B51242" w:rsidRDefault="008E4E86">
      <w:pPr>
        <w:tabs>
          <w:tab w:val="center" w:leader="dot" w:pos="9344"/>
        </w:tabs>
        <w:snapToGrid w:val="0"/>
        <w:spacing w:line="360" w:lineRule="auto"/>
        <w:jc w:val="right"/>
      </w:pPr>
      <w:r>
        <w:rPr>
          <w:rStyle w:val="InternetLink"/>
          <w:rFonts w:eastAsia="Times New Roman" w:cs="Times New Roman"/>
          <w:b/>
          <w:bCs/>
          <w:color w:val="000000"/>
          <w:sz w:val="28"/>
          <w:szCs w:val="28"/>
          <w:u w:val="none"/>
          <w:lang w:val="ru-RU"/>
        </w:rPr>
        <w:t xml:space="preserve">Додаток </w:t>
      </w:r>
      <w:r>
        <w:rPr>
          <w:rStyle w:val="InternetLink"/>
          <w:rFonts w:eastAsia="Times New Roman" w:cs="Times New Roman"/>
          <w:b/>
          <w:bCs/>
          <w:color w:val="000000"/>
          <w:sz w:val="28"/>
          <w:szCs w:val="28"/>
          <w:u w:val="none"/>
        </w:rPr>
        <w:t>Г</w:t>
      </w:r>
    </w:p>
    <w:p w14:paraId="326A43B6" w14:textId="77777777" w:rsidR="00B51242" w:rsidRDefault="008E4E86">
      <w:pPr>
        <w:tabs>
          <w:tab w:val="center" w:leader="dot" w:pos="9344"/>
        </w:tabs>
        <w:snapToGrid w:val="0"/>
        <w:spacing w:line="360" w:lineRule="auto"/>
        <w:jc w:val="center"/>
      </w:pPr>
      <w:r>
        <w:rPr>
          <w:rStyle w:val="InternetLink"/>
          <w:rFonts w:eastAsia="Times New Roman" w:cs="Times New Roman"/>
          <w:b/>
          <w:bCs/>
          <w:color w:val="000000"/>
          <w:sz w:val="28"/>
          <w:szCs w:val="28"/>
          <w:u w:val="none"/>
        </w:rPr>
        <w:t>Дослідження з порівняльною</w:t>
      </w:r>
      <w:r>
        <w:rPr>
          <w:rStyle w:val="InternetLink"/>
          <w:rFonts w:eastAsia="Times New Roman" w:cs="Times New Roman"/>
          <w:b/>
          <w:bCs/>
          <w:color w:val="000000"/>
          <w:sz w:val="28"/>
          <w:szCs w:val="28"/>
          <w:u w:val="none"/>
          <w:lang w:val="ru-RU"/>
        </w:rPr>
        <w:t xml:space="preserve"> таблиц</w:t>
      </w:r>
      <w:r>
        <w:rPr>
          <w:rStyle w:val="InternetLink"/>
          <w:rFonts w:eastAsia="Times New Roman" w:cs="Times New Roman"/>
          <w:b/>
          <w:bCs/>
          <w:color w:val="000000"/>
          <w:sz w:val="28"/>
          <w:szCs w:val="28"/>
          <w:u w:val="none"/>
        </w:rPr>
        <w:t xml:space="preserve">ею класичного </w:t>
      </w:r>
      <w:r>
        <w:rPr>
          <w:rStyle w:val="InternetLink"/>
          <w:rFonts w:eastAsia="Times New Roman" w:cs="Times New Roman"/>
          <w:b/>
          <w:bCs/>
          <w:color w:val="000000"/>
          <w:sz w:val="28"/>
          <w:szCs w:val="28"/>
          <w:u w:val="none"/>
          <w:lang w:val="ru-RU"/>
        </w:rPr>
        <w:t xml:space="preserve"> КПТ з техніками КПТ “третьої хвилі”.</w:t>
      </w:r>
    </w:p>
    <w:p w14:paraId="33908AC3" w14:textId="77777777" w:rsidR="00B51242" w:rsidRDefault="008E4E86">
      <w:pPr>
        <w:tabs>
          <w:tab w:val="center" w:leader="dot" w:pos="9344"/>
        </w:tabs>
        <w:snapToGrid w:val="0"/>
        <w:spacing w:line="360" w:lineRule="auto"/>
        <w:ind w:firstLine="737"/>
        <w:jc w:val="both"/>
      </w:pPr>
      <w:r>
        <w:rPr>
          <w:rStyle w:val="InternetLink"/>
          <w:rFonts w:eastAsia="Times New Roman" w:cs="Times New Roman"/>
          <w:color w:val="000000"/>
          <w:sz w:val="28"/>
          <w:szCs w:val="28"/>
          <w:u w:val="none"/>
        </w:rPr>
        <w:t xml:space="preserve">До аналізу включено Acceptance and Commitment Therapy (ACT), Behavioral Activation (BA), Dialectical Behavior Therapy (DBT), Metacognitive Therapy (MCT) та Mindfulness-Based Cognitive Therapy (MBCT). Загальний </w:t>
      </w:r>
      <w:r>
        <w:rPr>
          <w:rStyle w:val="StrongEmphasis"/>
          <w:rFonts w:eastAsia="Times New Roman" w:cs="Times New Roman"/>
          <w:color w:val="000000"/>
          <w:sz w:val="28"/>
          <w:szCs w:val="28"/>
        </w:rPr>
        <w:t>неконтрольований ефект</w:t>
      </w:r>
      <w:r>
        <w:rPr>
          <w:rStyle w:val="InternetLink"/>
          <w:rFonts w:eastAsia="Times New Roman" w:cs="Times New Roman"/>
          <w:color w:val="000000"/>
          <w:sz w:val="28"/>
          <w:szCs w:val="28"/>
          <w:u w:val="none"/>
        </w:rPr>
        <w:t xml:space="preserve"> становив середній–великий (Hedges’ g = 0.88; 95 % CI 0.72–1.03), а </w:t>
      </w:r>
      <w:r>
        <w:rPr>
          <w:rStyle w:val="StrongEmphasis"/>
          <w:rFonts w:eastAsia="Times New Roman" w:cs="Times New Roman"/>
          <w:color w:val="000000"/>
          <w:sz w:val="28"/>
          <w:szCs w:val="28"/>
        </w:rPr>
        <w:t>контрольований ефект</w:t>
      </w:r>
      <w:r>
        <w:rPr>
          <w:rStyle w:val="InternetLink"/>
          <w:rFonts w:eastAsia="Times New Roman" w:cs="Times New Roman"/>
          <w:color w:val="000000"/>
          <w:sz w:val="28"/>
          <w:szCs w:val="28"/>
          <w:u w:val="none"/>
        </w:rPr>
        <w:t xml:space="preserve"> (у підвибірці з контрольними умовами) — від малого до великого (Hedges’ g = 0.50; 95 % CI 0.20–0.80). Модераторний аналіз показав, що ефективність залежала від типу терапії (найвищі ефекти у MCT, DBT та BA), формату (індивідуальний &gt; груповий), включення експозиції (вище при її наявності), а також від використання intent-to-treat вибірок (ITT-аналіз давав нижчі ефекти, ніж completers). Тривалість терапії не виявилась значущим модератором. Виявлено певну публікаційну упередженість, проте її масштаб не нівелює загальні висновки. Автори наголошують, що, хоча третя хвиля КПТ демонструє перспективний потенціал у лікуванні PTS, методологічні обмеження (мала кількість РКД, часто відсутність активних контролів, середня якість більшості досліджень) вимагають проведення більш якісних рандомізованих досліджень. Третя хвиля може бути корисною як альтернатива для пацієнтів, які не відповіли на «золоті стандарти» (CPT, PE) або відмовляються від експозицій, а також у випадках коморбідності </w:t>
      </w:r>
      <w:r w:rsidRPr="00D3629B">
        <w:rPr>
          <w:rStyle w:val="InternetLink"/>
          <w:color w:val="000000"/>
          <w:sz w:val="28"/>
          <w:szCs w:val="28"/>
          <w:u w:val="none"/>
          <w:lang w:val="ru-RU"/>
        </w:rPr>
        <w:t>[33].</w:t>
      </w:r>
    </w:p>
    <w:p w14:paraId="6BAD598C" w14:textId="77777777" w:rsidR="00B51242" w:rsidRDefault="008E4E86">
      <w:pPr>
        <w:tabs>
          <w:tab w:val="center" w:leader="dot" w:pos="9344"/>
        </w:tabs>
        <w:snapToGrid w:val="0"/>
        <w:spacing w:line="360" w:lineRule="auto"/>
        <w:jc w:val="both"/>
        <w:rPr>
          <w:sz w:val="28"/>
          <w:szCs w:val="28"/>
        </w:rPr>
      </w:pPr>
      <w:r>
        <w:rPr>
          <w:color w:val="000000"/>
          <w:sz w:val="28"/>
          <w:szCs w:val="28"/>
        </w:rPr>
        <w:t xml:space="preserve">                                                        </w:t>
      </w:r>
    </w:p>
    <w:p w14:paraId="598EB881" w14:textId="77777777" w:rsidR="00B51242" w:rsidRDefault="008E4E86">
      <w:pPr>
        <w:tabs>
          <w:tab w:val="center" w:leader="dot" w:pos="9344"/>
        </w:tabs>
        <w:snapToGrid w:val="0"/>
        <w:spacing w:line="360" w:lineRule="auto"/>
        <w:jc w:val="both"/>
        <w:rPr>
          <w:sz w:val="28"/>
          <w:szCs w:val="28"/>
        </w:rPr>
      </w:pPr>
      <w:r>
        <w:rPr>
          <w:color w:val="000000"/>
          <w:sz w:val="28"/>
          <w:szCs w:val="28"/>
        </w:rPr>
        <w:t xml:space="preserve">Порівняльня таблиця КПТ класичного з техніками КПТ “третьої хвилі”.                                                                                           </w:t>
      </w:r>
    </w:p>
    <w:tbl>
      <w:tblPr>
        <w:tblW w:w="8082" w:type="dxa"/>
        <w:tblInd w:w="448" w:type="dxa"/>
        <w:tblLook w:val="04A0" w:firstRow="1" w:lastRow="0" w:firstColumn="1" w:lastColumn="0" w:noHBand="0" w:noVBand="1"/>
      </w:tblPr>
      <w:tblGrid>
        <w:gridCol w:w="3958"/>
        <w:gridCol w:w="1413"/>
        <w:gridCol w:w="1588"/>
        <w:gridCol w:w="1855"/>
      </w:tblGrid>
      <w:tr w:rsidR="00B51242" w14:paraId="11840137" w14:textId="77777777">
        <w:tc>
          <w:tcPr>
            <w:tcW w:w="1571" w:type="dxa"/>
            <w:shd w:val="clear" w:color="auto" w:fill="auto"/>
          </w:tcPr>
          <w:p w14:paraId="0ED00830" w14:textId="77777777" w:rsidR="00B51242" w:rsidRDefault="008E4E86">
            <w:pPr>
              <w:spacing w:line="360" w:lineRule="auto"/>
              <w:jc w:val="both"/>
              <w:rPr>
                <w:sz w:val="28"/>
                <w:szCs w:val="28"/>
              </w:rPr>
            </w:pPr>
            <w:r>
              <w:rPr>
                <w:color w:val="000000"/>
                <w:sz w:val="28"/>
                <w:szCs w:val="28"/>
              </w:rPr>
              <w:t>Джерело (посилання)</w:t>
            </w:r>
          </w:p>
        </w:tc>
        <w:tc>
          <w:tcPr>
            <w:tcW w:w="2149" w:type="dxa"/>
            <w:shd w:val="clear" w:color="auto" w:fill="auto"/>
          </w:tcPr>
          <w:p w14:paraId="34677754" w14:textId="77777777" w:rsidR="00B51242" w:rsidRDefault="008E4E86">
            <w:pPr>
              <w:spacing w:line="360" w:lineRule="auto"/>
              <w:jc w:val="both"/>
              <w:rPr>
                <w:sz w:val="28"/>
                <w:szCs w:val="28"/>
              </w:rPr>
            </w:pPr>
            <w:r>
              <w:rPr>
                <w:color w:val="000000"/>
                <w:sz w:val="28"/>
                <w:szCs w:val="28"/>
              </w:rPr>
              <w:t>Класична КПТ</w:t>
            </w:r>
          </w:p>
        </w:tc>
        <w:tc>
          <w:tcPr>
            <w:tcW w:w="2149" w:type="dxa"/>
            <w:shd w:val="clear" w:color="auto" w:fill="auto"/>
          </w:tcPr>
          <w:p w14:paraId="44BEAD71" w14:textId="77777777" w:rsidR="00B51242" w:rsidRDefault="008E4E86">
            <w:pPr>
              <w:spacing w:line="360" w:lineRule="auto"/>
              <w:jc w:val="both"/>
              <w:rPr>
                <w:sz w:val="28"/>
                <w:szCs w:val="28"/>
              </w:rPr>
            </w:pPr>
            <w:r>
              <w:rPr>
                <w:color w:val="000000"/>
                <w:sz w:val="28"/>
                <w:szCs w:val="28"/>
              </w:rPr>
              <w:t>Техніки третьої хвилі КПТ</w:t>
            </w:r>
          </w:p>
        </w:tc>
        <w:tc>
          <w:tcPr>
            <w:tcW w:w="2212" w:type="dxa"/>
            <w:shd w:val="clear" w:color="auto" w:fill="auto"/>
          </w:tcPr>
          <w:p w14:paraId="73FB47DD" w14:textId="77777777" w:rsidR="00B51242" w:rsidRDefault="008E4E86">
            <w:pPr>
              <w:spacing w:line="360" w:lineRule="auto"/>
              <w:jc w:val="both"/>
              <w:rPr>
                <w:sz w:val="28"/>
                <w:szCs w:val="28"/>
              </w:rPr>
            </w:pPr>
            <w:r>
              <w:rPr>
                <w:color w:val="000000"/>
                <w:sz w:val="28"/>
                <w:szCs w:val="28"/>
              </w:rPr>
              <w:t>Висновки</w:t>
            </w:r>
          </w:p>
        </w:tc>
      </w:tr>
      <w:tr w:rsidR="00B51242" w14:paraId="18AD519F" w14:textId="77777777">
        <w:tc>
          <w:tcPr>
            <w:tcW w:w="1571" w:type="dxa"/>
            <w:shd w:val="clear" w:color="auto" w:fill="auto"/>
          </w:tcPr>
          <w:p w14:paraId="05F6BD99" w14:textId="77777777" w:rsidR="00B51242" w:rsidRDefault="008E4E86">
            <w:pPr>
              <w:spacing w:line="360" w:lineRule="auto"/>
              <w:jc w:val="both"/>
            </w:pPr>
            <w:r>
              <w:rPr>
                <w:color w:val="000000"/>
                <w:sz w:val="28"/>
                <w:szCs w:val="28"/>
              </w:rPr>
              <w:t xml:space="preserve">Benfer, N., Spitzer, E. G., &amp; Bardeen, J. R. (2021). Efficacy of Third Wave Cognitive Behavioral Therapies in the Treatment of Posttraumatic Stress: A Meta-analytic Study. Journal of Anxiety Disorders, 78, 102360. </w:t>
            </w:r>
            <w:r>
              <w:rPr>
                <w:rStyle w:val="InternetLink"/>
                <w:color w:val="000000"/>
                <w:sz w:val="28"/>
                <w:szCs w:val="28"/>
              </w:rPr>
              <w:t>https://doi.org/10.1016/j.janxdis.2021.102360</w:t>
            </w:r>
          </w:p>
          <w:p w14:paraId="23536548" w14:textId="77777777" w:rsidR="00B51242" w:rsidRDefault="00B51242">
            <w:pPr>
              <w:spacing w:line="360" w:lineRule="auto"/>
              <w:jc w:val="both"/>
              <w:rPr>
                <w:sz w:val="28"/>
                <w:szCs w:val="28"/>
              </w:rPr>
            </w:pPr>
          </w:p>
        </w:tc>
        <w:tc>
          <w:tcPr>
            <w:tcW w:w="2149" w:type="dxa"/>
            <w:shd w:val="clear" w:color="auto" w:fill="auto"/>
          </w:tcPr>
          <w:p w14:paraId="6C8A8EDF" w14:textId="77777777" w:rsidR="00B51242" w:rsidRDefault="008E4E86">
            <w:pPr>
              <w:spacing w:line="360" w:lineRule="auto"/>
              <w:jc w:val="both"/>
              <w:rPr>
                <w:sz w:val="28"/>
                <w:szCs w:val="28"/>
              </w:rPr>
            </w:pPr>
            <w:r>
              <w:rPr>
                <w:color w:val="000000"/>
                <w:sz w:val="28"/>
                <w:szCs w:val="28"/>
              </w:rPr>
              <w:t>CPT, PE — великі ефекти в попередніх МА (CPT g = 1.24; PE g = 1.08) у порівнянні з контролем; висока ефективність, але обмеження через високий dropout та небажання клієнтів брати участь у експозиції</w:t>
            </w:r>
          </w:p>
          <w:p w14:paraId="271AE1F2" w14:textId="77777777" w:rsidR="00B51242" w:rsidRDefault="00B51242">
            <w:pPr>
              <w:spacing w:line="360" w:lineRule="auto"/>
              <w:jc w:val="both"/>
              <w:rPr>
                <w:color w:val="000000"/>
                <w:sz w:val="28"/>
                <w:szCs w:val="28"/>
              </w:rPr>
            </w:pPr>
          </w:p>
          <w:p w14:paraId="4AE5B7AF" w14:textId="77777777" w:rsidR="00B51242" w:rsidRDefault="00B51242">
            <w:pPr>
              <w:spacing w:line="360" w:lineRule="auto"/>
              <w:jc w:val="both"/>
              <w:rPr>
                <w:color w:val="000000"/>
                <w:sz w:val="28"/>
                <w:szCs w:val="28"/>
              </w:rPr>
            </w:pPr>
          </w:p>
          <w:p w14:paraId="3955E093" w14:textId="77777777" w:rsidR="00B51242" w:rsidRDefault="00B51242">
            <w:pPr>
              <w:spacing w:line="360" w:lineRule="auto"/>
              <w:jc w:val="both"/>
              <w:rPr>
                <w:color w:val="000000"/>
                <w:sz w:val="28"/>
                <w:szCs w:val="28"/>
              </w:rPr>
            </w:pPr>
          </w:p>
          <w:p w14:paraId="12C42424" w14:textId="77777777" w:rsidR="00B51242" w:rsidRDefault="00B51242">
            <w:pPr>
              <w:spacing w:line="360" w:lineRule="auto"/>
              <w:jc w:val="both"/>
              <w:rPr>
                <w:color w:val="000000"/>
                <w:sz w:val="28"/>
                <w:szCs w:val="28"/>
              </w:rPr>
            </w:pPr>
          </w:p>
          <w:p w14:paraId="379CA55B" w14:textId="77777777" w:rsidR="00B51242" w:rsidRDefault="00B51242">
            <w:pPr>
              <w:spacing w:line="360" w:lineRule="auto"/>
              <w:jc w:val="both"/>
              <w:rPr>
                <w:color w:val="000000"/>
                <w:sz w:val="28"/>
                <w:szCs w:val="28"/>
              </w:rPr>
            </w:pPr>
          </w:p>
          <w:p w14:paraId="3B6A0DDE" w14:textId="77777777" w:rsidR="00B51242" w:rsidRDefault="008E4E86">
            <w:pPr>
              <w:spacing w:line="360" w:lineRule="auto"/>
              <w:jc w:val="both"/>
              <w:rPr>
                <w:sz w:val="28"/>
                <w:szCs w:val="28"/>
              </w:rPr>
            </w:pPr>
            <w:r>
              <w:rPr>
                <w:color w:val="000000"/>
                <w:sz w:val="28"/>
                <w:szCs w:val="28"/>
              </w:rPr>
              <w:t xml:space="preserve">               </w:t>
            </w:r>
          </w:p>
        </w:tc>
        <w:tc>
          <w:tcPr>
            <w:tcW w:w="2149" w:type="dxa"/>
            <w:shd w:val="clear" w:color="auto" w:fill="auto"/>
          </w:tcPr>
          <w:p w14:paraId="77833832" w14:textId="77777777" w:rsidR="00B51242" w:rsidRDefault="008E4E86">
            <w:pPr>
              <w:spacing w:line="360" w:lineRule="auto"/>
              <w:jc w:val="both"/>
              <w:rPr>
                <w:sz w:val="28"/>
                <w:szCs w:val="28"/>
              </w:rPr>
            </w:pPr>
            <w:r>
              <w:rPr>
                <w:color w:val="000000"/>
                <w:sz w:val="28"/>
                <w:szCs w:val="28"/>
              </w:rPr>
              <w:t>ACT, BA, DBT, MCT, MBCT — фокус на прийнятті, усвідомленості, дефузії, роботі з цінностями, регуляції емоцій, толерантності до дистресу, метакогніціях; іноді інтеграція експозиції</w:t>
            </w:r>
          </w:p>
        </w:tc>
        <w:tc>
          <w:tcPr>
            <w:tcW w:w="2212" w:type="dxa"/>
            <w:shd w:val="clear" w:color="auto" w:fill="auto"/>
          </w:tcPr>
          <w:p w14:paraId="6661EF1E" w14:textId="77777777" w:rsidR="00B51242" w:rsidRDefault="008E4E86">
            <w:pPr>
              <w:spacing w:line="360" w:lineRule="auto"/>
              <w:jc w:val="both"/>
              <w:rPr>
                <w:sz w:val="28"/>
                <w:szCs w:val="28"/>
              </w:rPr>
            </w:pPr>
            <w:r>
              <w:rPr>
                <w:color w:val="000000"/>
                <w:sz w:val="28"/>
                <w:szCs w:val="28"/>
              </w:rPr>
              <w:t>Неконтрольований ефект g = 0.88 (середній–великий),</w:t>
            </w:r>
          </w:p>
          <w:p w14:paraId="21E4229D" w14:textId="77777777" w:rsidR="00B51242" w:rsidRDefault="008E4E86">
            <w:pPr>
              <w:spacing w:line="360" w:lineRule="auto"/>
              <w:jc w:val="both"/>
              <w:rPr>
                <w:sz w:val="28"/>
                <w:szCs w:val="28"/>
              </w:rPr>
            </w:pPr>
            <w:r>
              <w:rPr>
                <w:color w:val="000000"/>
                <w:sz w:val="28"/>
                <w:szCs w:val="28"/>
              </w:rPr>
              <w:t xml:space="preserve"> контрольований g = 0.50 (малий–великий); вища ефективність при MCT, DBT, BA; формат індивідуальний &gt; груповий; експозиція підвищує ефект; тривалість не впливає; методологічні обмеження зумовлюють потребу у більш якісних РКД</w:t>
            </w:r>
          </w:p>
        </w:tc>
      </w:tr>
    </w:tbl>
    <w:p w14:paraId="64082E1A" w14:textId="77777777" w:rsidR="00B51242" w:rsidRDefault="008E4E86">
      <w:pPr>
        <w:tabs>
          <w:tab w:val="center" w:leader="dot" w:pos="9344"/>
        </w:tabs>
        <w:snapToGrid w:val="0"/>
        <w:spacing w:after="100" w:line="360" w:lineRule="auto"/>
        <w:jc w:val="both"/>
        <w:rPr>
          <w:sz w:val="28"/>
          <w:szCs w:val="28"/>
        </w:rPr>
      </w:pPr>
      <w:r>
        <w:rPr>
          <w:color w:val="000000"/>
          <w:sz w:val="28"/>
          <w:szCs w:val="28"/>
        </w:rPr>
        <w:t xml:space="preserve">                                                                                                                                </w:t>
      </w:r>
    </w:p>
    <w:p w14:paraId="5ABF93C4" w14:textId="77777777" w:rsidR="00B51242" w:rsidRDefault="00B51242">
      <w:pPr>
        <w:tabs>
          <w:tab w:val="center" w:leader="dot" w:pos="9344"/>
        </w:tabs>
        <w:snapToGrid w:val="0"/>
        <w:spacing w:after="100" w:line="360" w:lineRule="auto"/>
        <w:jc w:val="both"/>
        <w:rPr>
          <w:rStyle w:val="InternetLink"/>
          <w:sz w:val="28"/>
          <w:szCs w:val="28"/>
        </w:rPr>
      </w:pPr>
    </w:p>
    <w:p w14:paraId="71DCB018" w14:textId="77777777" w:rsidR="00B51242" w:rsidRDefault="00B51242">
      <w:pPr>
        <w:spacing w:after="140" w:line="360" w:lineRule="auto"/>
        <w:jc w:val="both"/>
        <w:rPr>
          <w:rStyle w:val="StrongEmphasis"/>
          <w:sz w:val="28"/>
          <w:szCs w:val="28"/>
        </w:rPr>
      </w:pPr>
    </w:p>
    <w:p w14:paraId="4B644A8D" w14:textId="77777777" w:rsidR="00B51242" w:rsidRDefault="00B51242">
      <w:pPr>
        <w:spacing w:after="140" w:line="360" w:lineRule="auto"/>
        <w:jc w:val="both"/>
        <w:rPr>
          <w:rStyle w:val="StrongEmphasis"/>
          <w:sz w:val="28"/>
          <w:szCs w:val="28"/>
        </w:rPr>
      </w:pPr>
    </w:p>
    <w:p w14:paraId="082C48EB" w14:textId="77777777" w:rsidR="00B51242" w:rsidRDefault="00B51242">
      <w:pPr>
        <w:spacing w:after="140" w:line="360" w:lineRule="auto"/>
        <w:jc w:val="both"/>
        <w:rPr>
          <w:rStyle w:val="StrongEmphasis"/>
          <w:sz w:val="28"/>
          <w:szCs w:val="28"/>
        </w:rPr>
      </w:pPr>
    </w:p>
    <w:p w14:paraId="0FAC7A25" w14:textId="77777777" w:rsidR="00B51242" w:rsidRDefault="008E4E86">
      <w:pPr>
        <w:pStyle w:val="2"/>
        <w:spacing w:before="0" w:after="0" w:line="360" w:lineRule="auto"/>
        <w:jc w:val="right"/>
      </w:pPr>
      <w:r>
        <w:rPr>
          <w:rStyle w:val="StrongEmphasis"/>
          <w:rFonts w:eastAsia="Times New Roman" w:cs="Times New Roman"/>
          <w:b/>
          <w:bCs/>
          <w:color w:val="000000"/>
          <w:sz w:val="28"/>
          <w:szCs w:val="28"/>
        </w:rPr>
        <w:t>Додаток Д</w:t>
      </w:r>
    </w:p>
    <w:p w14:paraId="69446C21" w14:textId="77777777" w:rsidR="00B51242" w:rsidRDefault="008E4E86">
      <w:pPr>
        <w:pStyle w:val="2"/>
        <w:spacing w:before="0" w:after="0" w:line="360" w:lineRule="auto"/>
        <w:jc w:val="center"/>
      </w:pPr>
      <w:r>
        <w:rPr>
          <w:rStyle w:val="StrongEmphasis"/>
          <w:rFonts w:eastAsia="Times New Roman" w:cs="Times New Roman"/>
          <w:b/>
          <w:bCs/>
          <w:color w:val="000000"/>
          <w:sz w:val="28"/>
          <w:szCs w:val="28"/>
        </w:rPr>
        <w:t>Дослідження рецидиву ПТСР за DSM-5-TR, МКХ-11, VA/DoD, WHO та CDDG</w:t>
      </w:r>
      <w:r>
        <w:rPr>
          <w:color w:val="000000"/>
          <w:sz w:val="28"/>
          <w:szCs w:val="28"/>
        </w:rPr>
        <w:t xml:space="preserve">                                                                                                                                                          </w:t>
      </w:r>
    </w:p>
    <w:tbl>
      <w:tblPr>
        <w:tblW w:w="9238" w:type="dxa"/>
        <w:tblCellMar>
          <w:top w:w="55" w:type="dxa"/>
          <w:left w:w="55" w:type="dxa"/>
          <w:bottom w:w="55" w:type="dxa"/>
          <w:right w:w="55" w:type="dxa"/>
        </w:tblCellMar>
        <w:tblLook w:val="04A0" w:firstRow="1" w:lastRow="0" w:firstColumn="1" w:lastColumn="0" w:noHBand="0" w:noVBand="1"/>
      </w:tblPr>
      <w:tblGrid>
        <w:gridCol w:w="1006"/>
        <w:gridCol w:w="2115"/>
        <w:gridCol w:w="1699"/>
        <w:gridCol w:w="1729"/>
        <w:gridCol w:w="1235"/>
        <w:gridCol w:w="1472"/>
      </w:tblGrid>
      <w:tr w:rsidR="00B51242" w14:paraId="7A4E3216" w14:textId="77777777">
        <w:tc>
          <w:tcPr>
            <w:tcW w:w="1606" w:type="dxa"/>
            <w:tcBorders>
              <w:top w:val="single" w:sz="2" w:space="0" w:color="000000"/>
              <w:left w:val="single" w:sz="2" w:space="0" w:color="000000"/>
              <w:bottom w:val="single" w:sz="2" w:space="0" w:color="000000"/>
            </w:tcBorders>
            <w:shd w:val="clear" w:color="auto" w:fill="auto"/>
          </w:tcPr>
          <w:p w14:paraId="2FE0A779" w14:textId="77777777" w:rsidR="00B51242" w:rsidRDefault="008E4E86">
            <w:pPr>
              <w:spacing w:line="360" w:lineRule="auto"/>
              <w:jc w:val="both"/>
              <w:rPr>
                <w:sz w:val="28"/>
                <w:szCs w:val="28"/>
              </w:rPr>
            </w:pPr>
            <w:r>
              <w:rPr>
                <w:color w:val="000000"/>
                <w:sz w:val="28"/>
                <w:szCs w:val="28"/>
              </w:rPr>
              <w:t>Джерело</w:t>
            </w:r>
          </w:p>
        </w:tc>
        <w:tc>
          <w:tcPr>
            <w:tcW w:w="1606" w:type="dxa"/>
            <w:tcBorders>
              <w:top w:val="single" w:sz="2" w:space="0" w:color="000000"/>
              <w:left w:val="single" w:sz="2" w:space="0" w:color="000000"/>
              <w:bottom w:val="single" w:sz="2" w:space="0" w:color="000000"/>
            </w:tcBorders>
            <w:shd w:val="clear" w:color="auto" w:fill="auto"/>
          </w:tcPr>
          <w:p w14:paraId="1A335829" w14:textId="77777777" w:rsidR="00B51242" w:rsidRDefault="008E4E86">
            <w:pPr>
              <w:spacing w:line="360" w:lineRule="auto"/>
              <w:jc w:val="both"/>
              <w:rPr>
                <w:sz w:val="28"/>
                <w:szCs w:val="28"/>
              </w:rPr>
            </w:pPr>
            <w:r>
              <w:rPr>
                <w:color w:val="000000"/>
                <w:sz w:val="28"/>
                <w:szCs w:val="28"/>
              </w:rPr>
              <w:t>Офіційна позиція щодо «рецидиву»</w:t>
            </w:r>
          </w:p>
        </w:tc>
        <w:tc>
          <w:tcPr>
            <w:tcW w:w="1606" w:type="dxa"/>
            <w:tcBorders>
              <w:top w:val="single" w:sz="2" w:space="0" w:color="000000"/>
              <w:left w:val="single" w:sz="2" w:space="0" w:color="000000"/>
              <w:bottom w:val="single" w:sz="2" w:space="0" w:color="000000"/>
            </w:tcBorders>
            <w:shd w:val="clear" w:color="auto" w:fill="auto"/>
          </w:tcPr>
          <w:p w14:paraId="1EA33828" w14:textId="77777777" w:rsidR="00B51242" w:rsidRDefault="008E4E86">
            <w:pPr>
              <w:spacing w:line="360" w:lineRule="auto"/>
              <w:jc w:val="both"/>
              <w:rPr>
                <w:sz w:val="28"/>
                <w:szCs w:val="28"/>
              </w:rPr>
            </w:pPr>
            <w:r>
              <w:rPr>
                <w:color w:val="000000"/>
                <w:sz w:val="28"/>
                <w:szCs w:val="28"/>
              </w:rPr>
              <w:t>Робоче/клінічне визначення (якщо є)</w:t>
            </w:r>
          </w:p>
        </w:tc>
        <w:tc>
          <w:tcPr>
            <w:tcW w:w="1528" w:type="dxa"/>
            <w:tcBorders>
              <w:top w:val="single" w:sz="2" w:space="0" w:color="000000"/>
              <w:left w:val="single" w:sz="2" w:space="0" w:color="000000"/>
              <w:bottom w:val="single" w:sz="2" w:space="0" w:color="000000"/>
            </w:tcBorders>
            <w:shd w:val="clear" w:color="auto" w:fill="auto"/>
          </w:tcPr>
          <w:p w14:paraId="355BC59E" w14:textId="77777777" w:rsidR="00B51242" w:rsidRDefault="008E4E86">
            <w:pPr>
              <w:spacing w:line="360" w:lineRule="auto"/>
              <w:jc w:val="both"/>
              <w:rPr>
                <w:sz w:val="28"/>
                <w:szCs w:val="28"/>
              </w:rPr>
            </w:pPr>
            <w:r>
              <w:rPr>
                <w:color w:val="000000"/>
                <w:sz w:val="28"/>
                <w:szCs w:val="28"/>
              </w:rPr>
              <w:t>Часовий поріг / ремісія (якщо вказано)</w:t>
            </w:r>
          </w:p>
        </w:tc>
        <w:tc>
          <w:tcPr>
            <w:tcW w:w="1598" w:type="dxa"/>
            <w:tcBorders>
              <w:top w:val="single" w:sz="2" w:space="0" w:color="000000"/>
              <w:left w:val="single" w:sz="2" w:space="0" w:color="000000"/>
              <w:bottom w:val="single" w:sz="2" w:space="0" w:color="000000"/>
            </w:tcBorders>
            <w:shd w:val="clear" w:color="auto" w:fill="auto"/>
          </w:tcPr>
          <w:p w14:paraId="5331109D" w14:textId="77777777" w:rsidR="00B51242" w:rsidRDefault="008E4E86">
            <w:pPr>
              <w:spacing w:line="360" w:lineRule="auto"/>
              <w:jc w:val="both"/>
              <w:rPr>
                <w:sz w:val="28"/>
                <w:szCs w:val="28"/>
              </w:rPr>
            </w:pPr>
            <w:r>
              <w:rPr>
                <w:color w:val="000000"/>
                <w:sz w:val="28"/>
                <w:szCs w:val="28"/>
              </w:rPr>
              <w:t>Рекомендовані інструменти для оцінки</w:t>
            </w:r>
          </w:p>
        </w:tc>
        <w:tc>
          <w:tcPr>
            <w:tcW w:w="1294" w:type="dxa"/>
            <w:tcBorders>
              <w:top w:val="single" w:sz="2" w:space="0" w:color="000000"/>
              <w:left w:val="single" w:sz="2" w:space="0" w:color="000000"/>
              <w:bottom w:val="single" w:sz="2" w:space="0" w:color="000000"/>
              <w:right w:val="single" w:sz="2" w:space="0" w:color="000000"/>
            </w:tcBorders>
            <w:shd w:val="clear" w:color="auto" w:fill="auto"/>
          </w:tcPr>
          <w:p w14:paraId="7831FE53" w14:textId="77777777" w:rsidR="00B51242" w:rsidRDefault="008E4E86">
            <w:pPr>
              <w:spacing w:line="360" w:lineRule="auto"/>
              <w:jc w:val="both"/>
              <w:rPr>
                <w:sz w:val="28"/>
                <w:szCs w:val="28"/>
              </w:rPr>
            </w:pPr>
            <w:r>
              <w:rPr>
                <w:color w:val="000000"/>
                <w:sz w:val="28"/>
                <w:szCs w:val="28"/>
              </w:rPr>
              <w:t>Коментарі / зауваження</w:t>
            </w:r>
          </w:p>
        </w:tc>
      </w:tr>
      <w:tr w:rsidR="00B51242" w14:paraId="1A2A9995" w14:textId="77777777">
        <w:tc>
          <w:tcPr>
            <w:tcW w:w="1606" w:type="dxa"/>
            <w:tcBorders>
              <w:left w:val="single" w:sz="2" w:space="0" w:color="000000"/>
              <w:bottom w:val="single" w:sz="2" w:space="0" w:color="000000"/>
            </w:tcBorders>
            <w:shd w:val="clear" w:color="auto" w:fill="auto"/>
          </w:tcPr>
          <w:p w14:paraId="5B481F1A" w14:textId="77777777" w:rsidR="00B51242" w:rsidRDefault="008E4E86">
            <w:pPr>
              <w:spacing w:line="360" w:lineRule="auto"/>
              <w:jc w:val="both"/>
              <w:rPr>
                <w:sz w:val="28"/>
                <w:szCs w:val="28"/>
              </w:rPr>
            </w:pPr>
            <w:r>
              <w:rPr>
                <w:color w:val="000000"/>
                <w:sz w:val="28"/>
                <w:szCs w:val="28"/>
              </w:rPr>
              <w:t>DSM-5-TR (APA)</w:t>
            </w:r>
          </w:p>
        </w:tc>
        <w:tc>
          <w:tcPr>
            <w:tcW w:w="1606" w:type="dxa"/>
            <w:tcBorders>
              <w:left w:val="single" w:sz="2" w:space="0" w:color="000000"/>
              <w:bottom w:val="single" w:sz="2" w:space="0" w:color="000000"/>
            </w:tcBorders>
            <w:shd w:val="clear" w:color="auto" w:fill="auto"/>
          </w:tcPr>
          <w:p w14:paraId="09F4E3D6" w14:textId="77777777" w:rsidR="00B51242" w:rsidRDefault="008E4E86">
            <w:pPr>
              <w:spacing w:line="360" w:lineRule="auto"/>
              <w:jc w:val="both"/>
              <w:rPr>
                <w:sz w:val="28"/>
                <w:szCs w:val="28"/>
              </w:rPr>
            </w:pPr>
            <w:r>
              <w:rPr>
                <w:color w:val="000000"/>
                <w:sz w:val="28"/>
                <w:szCs w:val="28"/>
              </w:rPr>
              <w:t>Формального окремого діагностичного визначення «рецидиву ПТСР» немає.</w:t>
            </w:r>
          </w:p>
        </w:tc>
        <w:tc>
          <w:tcPr>
            <w:tcW w:w="1606" w:type="dxa"/>
            <w:tcBorders>
              <w:left w:val="single" w:sz="2" w:space="0" w:color="000000"/>
              <w:bottom w:val="single" w:sz="2" w:space="0" w:color="000000"/>
            </w:tcBorders>
            <w:shd w:val="clear" w:color="auto" w:fill="auto"/>
          </w:tcPr>
          <w:p w14:paraId="3911E46F" w14:textId="77777777" w:rsidR="00B51242" w:rsidRDefault="008E4E86">
            <w:pPr>
              <w:spacing w:line="360" w:lineRule="auto"/>
              <w:jc w:val="both"/>
              <w:rPr>
                <w:sz w:val="28"/>
                <w:szCs w:val="28"/>
              </w:rPr>
            </w:pPr>
            <w:r>
              <w:rPr>
                <w:color w:val="000000"/>
                <w:sz w:val="28"/>
                <w:szCs w:val="28"/>
              </w:rPr>
              <w:t>У практиці: повторне виникнення клінічно значущих симптомів ПТСР після періоду ремісії/стабілізації (описова формула в клінічних матеріалах).</w:t>
            </w:r>
          </w:p>
        </w:tc>
        <w:tc>
          <w:tcPr>
            <w:tcW w:w="1528" w:type="dxa"/>
            <w:tcBorders>
              <w:left w:val="single" w:sz="2" w:space="0" w:color="000000"/>
              <w:bottom w:val="single" w:sz="2" w:space="0" w:color="000000"/>
            </w:tcBorders>
            <w:shd w:val="clear" w:color="auto" w:fill="auto"/>
          </w:tcPr>
          <w:p w14:paraId="79F21F02" w14:textId="77777777" w:rsidR="00B51242" w:rsidRDefault="008E4E86">
            <w:pPr>
              <w:spacing w:line="360" w:lineRule="auto"/>
              <w:jc w:val="both"/>
              <w:rPr>
                <w:sz w:val="28"/>
                <w:szCs w:val="28"/>
              </w:rPr>
            </w:pPr>
            <w:r>
              <w:rPr>
                <w:color w:val="000000"/>
                <w:sz w:val="28"/>
                <w:szCs w:val="28"/>
              </w:rPr>
              <w:t>Не вказано формально; у дослідженнях інколи використовують період ≥3 місяців ремісії як робочий поріг.</w:t>
            </w:r>
          </w:p>
        </w:tc>
        <w:tc>
          <w:tcPr>
            <w:tcW w:w="1598" w:type="dxa"/>
            <w:tcBorders>
              <w:left w:val="single" w:sz="2" w:space="0" w:color="000000"/>
              <w:bottom w:val="single" w:sz="2" w:space="0" w:color="000000"/>
            </w:tcBorders>
            <w:shd w:val="clear" w:color="auto" w:fill="auto"/>
          </w:tcPr>
          <w:p w14:paraId="0F70E68E" w14:textId="77777777" w:rsidR="00B51242" w:rsidRDefault="008E4E86">
            <w:pPr>
              <w:spacing w:line="360" w:lineRule="auto"/>
              <w:jc w:val="both"/>
              <w:rPr>
                <w:sz w:val="28"/>
                <w:szCs w:val="28"/>
              </w:rPr>
            </w:pPr>
            <w:r>
              <w:rPr>
                <w:color w:val="000000"/>
                <w:sz w:val="28"/>
                <w:szCs w:val="28"/>
              </w:rPr>
              <w:t>CAPS (Clinician-Administered PTSD Scale), PCL-5 для моніторингу змін у часі.</w:t>
            </w:r>
          </w:p>
        </w:tc>
        <w:tc>
          <w:tcPr>
            <w:tcW w:w="1294" w:type="dxa"/>
            <w:tcBorders>
              <w:left w:val="single" w:sz="2" w:space="0" w:color="000000"/>
              <w:bottom w:val="single" w:sz="2" w:space="0" w:color="000000"/>
              <w:right w:val="single" w:sz="2" w:space="0" w:color="000000"/>
            </w:tcBorders>
            <w:shd w:val="clear" w:color="auto" w:fill="auto"/>
          </w:tcPr>
          <w:p w14:paraId="71A42D37" w14:textId="77777777" w:rsidR="00B51242" w:rsidRDefault="008E4E86">
            <w:pPr>
              <w:spacing w:line="360" w:lineRule="auto"/>
              <w:jc w:val="both"/>
              <w:rPr>
                <w:sz w:val="28"/>
                <w:szCs w:val="28"/>
              </w:rPr>
            </w:pPr>
            <w:r>
              <w:rPr>
                <w:color w:val="000000"/>
                <w:sz w:val="28"/>
                <w:szCs w:val="28"/>
              </w:rPr>
              <w:t>DSM-5-TR визначає симптомні кластери ПТСР, але не дає чіткої часової межі рецидиву; дослідники застосовують різні підходи.</w:t>
            </w:r>
          </w:p>
        </w:tc>
      </w:tr>
      <w:tr w:rsidR="00B51242" w14:paraId="2E622F96" w14:textId="77777777">
        <w:tc>
          <w:tcPr>
            <w:tcW w:w="1606" w:type="dxa"/>
            <w:tcBorders>
              <w:left w:val="single" w:sz="2" w:space="0" w:color="000000"/>
              <w:bottom w:val="single" w:sz="2" w:space="0" w:color="000000"/>
            </w:tcBorders>
            <w:shd w:val="clear" w:color="auto" w:fill="auto"/>
          </w:tcPr>
          <w:p w14:paraId="3AFD71F6" w14:textId="77777777" w:rsidR="00B51242" w:rsidRDefault="008E4E86">
            <w:pPr>
              <w:spacing w:line="360" w:lineRule="auto"/>
              <w:jc w:val="both"/>
              <w:rPr>
                <w:sz w:val="28"/>
                <w:szCs w:val="28"/>
              </w:rPr>
            </w:pPr>
            <w:r>
              <w:rPr>
                <w:color w:val="000000"/>
                <w:sz w:val="28"/>
                <w:szCs w:val="28"/>
              </w:rPr>
              <w:t>МКХ-11 (ICD-11)</w:t>
            </w:r>
          </w:p>
        </w:tc>
        <w:tc>
          <w:tcPr>
            <w:tcW w:w="1606" w:type="dxa"/>
            <w:tcBorders>
              <w:left w:val="single" w:sz="2" w:space="0" w:color="000000"/>
              <w:bottom w:val="single" w:sz="2" w:space="0" w:color="000000"/>
            </w:tcBorders>
            <w:shd w:val="clear" w:color="auto" w:fill="auto"/>
          </w:tcPr>
          <w:p w14:paraId="60F5C702" w14:textId="77777777" w:rsidR="00B51242" w:rsidRDefault="008E4E86">
            <w:pPr>
              <w:spacing w:line="360" w:lineRule="auto"/>
              <w:jc w:val="both"/>
              <w:rPr>
                <w:sz w:val="28"/>
                <w:szCs w:val="28"/>
              </w:rPr>
            </w:pPr>
            <w:r>
              <w:rPr>
                <w:color w:val="000000"/>
                <w:sz w:val="28"/>
                <w:szCs w:val="28"/>
              </w:rPr>
              <w:t>Формального окремого коду рецидиву ПТСР немає; рецидив розглядається як тип перебігу (рецидивуючий/хронічний тощо).</w:t>
            </w:r>
          </w:p>
        </w:tc>
        <w:tc>
          <w:tcPr>
            <w:tcW w:w="1606" w:type="dxa"/>
            <w:tcBorders>
              <w:left w:val="single" w:sz="2" w:space="0" w:color="000000"/>
              <w:bottom w:val="single" w:sz="2" w:space="0" w:color="000000"/>
            </w:tcBorders>
            <w:shd w:val="clear" w:color="auto" w:fill="auto"/>
          </w:tcPr>
          <w:p w14:paraId="5A201CCF" w14:textId="77777777" w:rsidR="00B51242" w:rsidRDefault="008E4E86">
            <w:pPr>
              <w:spacing w:line="360" w:lineRule="auto"/>
              <w:jc w:val="both"/>
              <w:rPr>
                <w:sz w:val="28"/>
                <w:szCs w:val="28"/>
              </w:rPr>
            </w:pPr>
            <w:r>
              <w:rPr>
                <w:color w:val="000000"/>
                <w:sz w:val="28"/>
                <w:szCs w:val="28"/>
              </w:rPr>
              <w:t>У клінічних описах рецидив трактується як повторна поява повного синдрому після періоду ремісії.</w:t>
            </w:r>
          </w:p>
        </w:tc>
        <w:tc>
          <w:tcPr>
            <w:tcW w:w="1528" w:type="dxa"/>
            <w:tcBorders>
              <w:left w:val="single" w:sz="2" w:space="0" w:color="000000"/>
              <w:bottom w:val="single" w:sz="2" w:space="0" w:color="000000"/>
            </w:tcBorders>
            <w:shd w:val="clear" w:color="auto" w:fill="auto"/>
          </w:tcPr>
          <w:p w14:paraId="0D016410" w14:textId="77777777" w:rsidR="00B51242" w:rsidRDefault="008E4E86">
            <w:pPr>
              <w:spacing w:line="360" w:lineRule="auto"/>
              <w:jc w:val="both"/>
              <w:rPr>
                <w:sz w:val="28"/>
                <w:szCs w:val="28"/>
              </w:rPr>
            </w:pPr>
            <w:r>
              <w:rPr>
                <w:color w:val="000000"/>
                <w:sz w:val="28"/>
                <w:szCs w:val="28"/>
              </w:rPr>
              <w:t>МКХ-11 у контексті рецидиву депресії вказує 'кілька місяців'—але для ПТСР конкретної часової межі не встановлено; дослідники пропонують ≈3 місяці як робочу межу.</w:t>
            </w:r>
          </w:p>
        </w:tc>
        <w:tc>
          <w:tcPr>
            <w:tcW w:w="1598" w:type="dxa"/>
            <w:tcBorders>
              <w:left w:val="single" w:sz="2" w:space="0" w:color="000000"/>
              <w:bottom w:val="single" w:sz="2" w:space="0" w:color="000000"/>
            </w:tcBorders>
            <w:shd w:val="clear" w:color="auto" w:fill="auto"/>
          </w:tcPr>
          <w:p w14:paraId="7E67C87D" w14:textId="77777777" w:rsidR="00B51242" w:rsidRDefault="008E4E86">
            <w:pPr>
              <w:spacing w:line="360" w:lineRule="auto"/>
              <w:jc w:val="both"/>
              <w:rPr>
                <w:sz w:val="28"/>
                <w:szCs w:val="28"/>
              </w:rPr>
            </w:pPr>
            <w:r>
              <w:rPr>
                <w:color w:val="000000"/>
                <w:sz w:val="28"/>
                <w:szCs w:val="28"/>
              </w:rPr>
              <w:t>CAPS, PCL-5; клінічні описові інструменти WHO.</w:t>
            </w:r>
          </w:p>
        </w:tc>
        <w:tc>
          <w:tcPr>
            <w:tcW w:w="1294" w:type="dxa"/>
            <w:tcBorders>
              <w:left w:val="single" w:sz="2" w:space="0" w:color="000000"/>
              <w:bottom w:val="single" w:sz="2" w:space="0" w:color="000000"/>
              <w:right w:val="single" w:sz="2" w:space="0" w:color="000000"/>
            </w:tcBorders>
            <w:shd w:val="clear" w:color="auto" w:fill="auto"/>
          </w:tcPr>
          <w:p w14:paraId="0D81E396" w14:textId="77777777" w:rsidR="00B51242" w:rsidRDefault="008E4E86">
            <w:pPr>
              <w:spacing w:line="360" w:lineRule="auto"/>
              <w:jc w:val="both"/>
              <w:rPr>
                <w:sz w:val="28"/>
                <w:szCs w:val="28"/>
              </w:rPr>
            </w:pPr>
            <w:r>
              <w:rPr>
                <w:color w:val="000000"/>
                <w:sz w:val="28"/>
                <w:szCs w:val="28"/>
              </w:rPr>
              <w:t>МКХ-11 дає гнучкість у характеристиці перебігу; це полегшує клінічну адаптацію, але ускладнює порівняння досліджень.</w:t>
            </w:r>
          </w:p>
        </w:tc>
      </w:tr>
      <w:tr w:rsidR="00B51242" w14:paraId="66156645" w14:textId="77777777">
        <w:tc>
          <w:tcPr>
            <w:tcW w:w="1606" w:type="dxa"/>
            <w:tcBorders>
              <w:left w:val="single" w:sz="2" w:space="0" w:color="000000"/>
              <w:bottom w:val="single" w:sz="2" w:space="0" w:color="000000"/>
            </w:tcBorders>
            <w:shd w:val="clear" w:color="auto" w:fill="auto"/>
          </w:tcPr>
          <w:p w14:paraId="5E78E4E8" w14:textId="77777777" w:rsidR="00B51242" w:rsidRDefault="008E4E86">
            <w:pPr>
              <w:spacing w:line="360" w:lineRule="auto"/>
              <w:jc w:val="both"/>
              <w:rPr>
                <w:sz w:val="28"/>
                <w:szCs w:val="28"/>
              </w:rPr>
            </w:pPr>
            <w:r>
              <w:rPr>
                <w:color w:val="000000"/>
                <w:sz w:val="28"/>
                <w:szCs w:val="28"/>
              </w:rPr>
              <w:t>VA/DoD Clinical Practice Guideline (2023)</w:t>
            </w:r>
          </w:p>
        </w:tc>
        <w:tc>
          <w:tcPr>
            <w:tcW w:w="1606" w:type="dxa"/>
            <w:tcBorders>
              <w:left w:val="single" w:sz="2" w:space="0" w:color="000000"/>
              <w:bottom w:val="single" w:sz="2" w:space="0" w:color="000000"/>
            </w:tcBorders>
            <w:shd w:val="clear" w:color="auto" w:fill="auto"/>
          </w:tcPr>
          <w:p w14:paraId="15A8F9C1" w14:textId="77777777" w:rsidR="00B51242" w:rsidRDefault="008E4E86">
            <w:pPr>
              <w:spacing w:line="360" w:lineRule="auto"/>
              <w:jc w:val="both"/>
              <w:rPr>
                <w:sz w:val="28"/>
                <w:szCs w:val="28"/>
              </w:rPr>
            </w:pPr>
            <w:r>
              <w:rPr>
                <w:color w:val="000000"/>
                <w:sz w:val="28"/>
                <w:szCs w:val="28"/>
              </w:rPr>
              <w:t>Не містить формального визначення 'рецидиву' як діагнозу; визнає можливість загострень/повернення симптомів та рекомендує моніторинг.</w:t>
            </w:r>
          </w:p>
        </w:tc>
        <w:tc>
          <w:tcPr>
            <w:tcW w:w="1606" w:type="dxa"/>
            <w:tcBorders>
              <w:left w:val="single" w:sz="2" w:space="0" w:color="000000"/>
              <w:bottom w:val="single" w:sz="2" w:space="0" w:color="000000"/>
            </w:tcBorders>
            <w:shd w:val="clear" w:color="auto" w:fill="auto"/>
          </w:tcPr>
          <w:p w14:paraId="72D3DC9D" w14:textId="77777777" w:rsidR="00B51242" w:rsidRDefault="008E4E86">
            <w:pPr>
              <w:spacing w:line="360" w:lineRule="auto"/>
              <w:jc w:val="both"/>
              <w:rPr>
                <w:sz w:val="28"/>
                <w:szCs w:val="28"/>
              </w:rPr>
            </w:pPr>
            <w:r>
              <w:rPr>
                <w:color w:val="000000"/>
                <w:sz w:val="28"/>
                <w:szCs w:val="28"/>
              </w:rPr>
              <w:t>Рецидив/загострення інтерпретуються як відновлення значущих симптомів після періоду покращення; конкретні пороги не кодифіковано в настанові.</w:t>
            </w:r>
          </w:p>
        </w:tc>
        <w:tc>
          <w:tcPr>
            <w:tcW w:w="1528" w:type="dxa"/>
            <w:tcBorders>
              <w:left w:val="single" w:sz="2" w:space="0" w:color="000000"/>
              <w:bottom w:val="single" w:sz="2" w:space="0" w:color="000000"/>
            </w:tcBorders>
            <w:shd w:val="clear" w:color="auto" w:fill="auto"/>
          </w:tcPr>
          <w:p w14:paraId="6F29E985" w14:textId="77777777" w:rsidR="00B51242" w:rsidRDefault="008E4E86">
            <w:pPr>
              <w:spacing w:line="360" w:lineRule="auto"/>
              <w:jc w:val="both"/>
              <w:rPr>
                <w:sz w:val="28"/>
                <w:szCs w:val="28"/>
              </w:rPr>
            </w:pPr>
            <w:r>
              <w:rPr>
                <w:color w:val="000000"/>
                <w:sz w:val="28"/>
                <w:szCs w:val="28"/>
              </w:rPr>
              <w:t>Не встановлено формально в CPG; клінічні проекти/дослідження часто використовують 3–12 міс. follow-up для оцінки утримання ефекту.</w:t>
            </w:r>
          </w:p>
        </w:tc>
        <w:tc>
          <w:tcPr>
            <w:tcW w:w="1598" w:type="dxa"/>
            <w:tcBorders>
              <w:left w:val="single" w:sz="2" w:space="0" w:color="000000"/>
              <w:bottom w:val="single" w:sz="2" w:space="0" w:color="000000"/>
            </w:tcBorders>
            <w:shd w:val="clear" w:color="auto" w:fill="auto"/>
          </w:tcPr>
          <w:p w14:paraId="3DE88099" w14:textId="77777777" w:rsidR="00B51242" w:rsidRDefault="008E4E86">
            <w:pPr>
              <w:spacing w:line="360" w:lineRule="auto"/>
              <w:jc w:val="both"/>
              <w:rPr>
                <w:sz w:val="28"/>
                <w:szCs w:val="28"/>
              </w:rPr>
            </w:pPr>
            <w:r>
              <w:rPr>
                <w:color w:val="000000"/>
                <w:sz w:val="28"/>
                <w:szCs w:val="28"/>
              </w:rPr>
              <w:t>Регулярний моніторинг (measurement-based care) — PCL-5, CAPS; клінічні інтерв'ю та функціональні оцінки.</w:t>
            </w:r>
          </w:p>
        </w:tc>
        <w:tc>
          <w:tcPr>
            <w:tcW w:w="1294" w:type="dxa"/>
            <w:tcBorders>
              <w:left w:val="single" w:sz="2" w:space="0" w:color="000000"/>
              <w:bottom w:val="single" w:sz="2" w:space="0" w:color="000000"/>
              <w:right w:val="single" w:sz="2" w:space="0" w:color="000000"/>
            </w:tcBorders>
            <w:shd w:val="clear" w:color="auto" w:fill="auto"/>
          </w:tcPr>
          <w:p w14:paraId="587DD525" w14:textId="77777777" w:rsidR="00B51242" w:rsidRDefault="008E4E86">
            <w:pPr>
              <w:spacing w:line="360" w:lineRule="auto"/>
              <w:jc w:val="both"/>
              <w:rPr>
                <w:sz w:val="28"/>
                <w:szCs w:val="28"/>
              </w:rPr>
            </w:pPr>
            <w:r>
              <w:rPr>
                <w:color w:val="000000"/>
                <w:sz w:val="28"/>
                <w:szCs w:val="28"/>
              </w:rPr>
              <w:t>CPG наголошує на необхідності тривалого супроводу, measurement-based care і планування відстеження після терапії.</w:t>
            </w:r>
          </w:p>
        </w:tc>
      </w:tr>
      <w:tr w:rsidR="00B51242" w14:paraId="0AF02966" w14:textId="77777777">
        <w:tc>
          <w:tcPr>
            <w:tcW w:w="1606" w:type="dxa"/>
            <w:tcBorders>
              <w:left w:val="single" w:sz="2" w:space="0" w:color="000000"/>
              <w:bottom w:val="single" w:sz="2" w:space="0" w:color="000000"/>
            </w:tcBorders>
            <w:shd w:val="clear" w:color="auto" w:fill="auto"/>
          </w:tcPr>
          <w:p w14:paraId="4EDC0716" w14:textId="77777777" w:rsidR="00B51242" w:rsidRDefault="008E4E86">
            <w:pPr>
              <w:spacing w:line="360" w:lineRule="auto"/>
              <w:jc w:val="both"/>
              <w:rPr>
                <w:sz w:val="28"/>
                <w:szCs w:val="28"/>
              </w:rPr>
            </w:pPr>
            <w:r>
              <w:rPr>
                <w:color w:val="000000"/>
                <w:sz w:val="28"/>
                <w:szCs w:val="28"/>
              </w:rPr>
              <w:t>ВОOЗ / WHO (Clinical Descriptions and Diagnostic Guidelines, CDDG)</w:t>
            </w:r>
          </w:p>
        </w:tc>
        <w:tc>
          <w:tcPr>
            <w:tcW w:w="1606" w:type="dxa"/>
            <w:tcBorders>
              <w:left w:val="single" w:sz="2" w:space="0" w:color="000000"/>
              <w:bottom w:val="single" w:sz="2" w:space="0" w:color="000000"/>
            </w:tcBorders>
            <w:shd w:val="clear" w:color="auto" w:fill="auto"/>
          </w:tcPr>
          <w:p w14:paraId="0E4285F2" w14:textId="77777777" w:rsidR="00B51242" w:rsidRDefault="008E4E86">
            <w:pPr>
              <w:spacing w:line="360" w:lineRule="auto"/>
              <w:jc w:val="both"/>
              <w:rPr>
                <w:sz w:val="28"/>
                <w:szCs w:val="28"/>
              </w:rPr>
            </w:pPr>
            <w:r>
              <w:rPr>
                <w:color w:val="000000"/>
                <w:sz w:val="28"/>
                <w:szCs w:val="28"/>
              </w:rPr>
              <w:t>WHO описує перебіг розладу (хронічний, рецидивуючий), але не задає окремого діагнозу 'рецидив PTSD'.</w:t>
            </w:r>
          </w:p>
        </w:tc>
        <w:tc>
          <w:tcPr>
            <w:tcW w:w="1606" w:type="dxa"/>
            <w:tcBorders>
              <w:left w:val="single" w:sz="2" w:space="0" w:color="000000"/>
              <w:bottom w:val="single" w:sz="2" w:space="0" w:color="000000"/>
            </w:tcBorders>
            <w:shd w:val="clear" w:color="auto" w:fill="auto"/>
          </w:tcPr>
          <w:p w14:paraId="0C543B76" w14:textId="77777777" w:rsidR="00B51242" w:rsidRDefault="008E4E86">
            <w:pPr>
              <w:spacing w:line="360" w:lineRule="auto"/>
              <w:jc w:val="both"/>
              <w:rPr>
                <w:sz w:val="28"/>
                <w:szCs w:val="28"/>
              </w:rPr>
            </w:pPr>
            <w:r>
              <w:rPr>
                <w:color w:val="000000"/>
                <w:sz w:val="28"/>
                <w:szCs w:val="28"/>
              </w:rPr>
              <w:t>Рецидив описується як повторна поява симптомів після періоду покращення; конкретні часові межі і критерії залишаються описовими.</w:t>
            </w:r>
          </w:p>
        </w:tc>
        <w:tc>
          <w:tcPr>
            <w:tcW w:w="1528" w:type="dxa"/>
            <w:tcBorders>
              <w:left w:val="single" w:sz="2" w:space="0" w:color="000000"/>
              <w:bottom w:val="single" w:sz="2" w:space="0" w:color="000000"/>
            </w:tcBorders>
            <w:shd w:val="clear" w:color="auto" w:fill="auto"/>
          </w:tcPr>
          <w:p w14:paraId="0A6C0B67" w14:textId="77777777" w:rsidR="00B51242" w:rsidRDefault="008E4E86">
            <w:pPr>
              <w:spacing w:line="360" w:lineRule="auto"/>
              <w:jc w:val="both"/>
              <w:rPr>
                <w:sz w:val="28"/>
                <w:szCs w:val="28"/>
              </w:rPr>
            </w:pPr>
            <w:r>
              <w:rPr>
                <w:color w:val="000000"/>
                <w:sz w:val="28"/>
                <w:szCs w:val="28"/>
              </w:rPr>
              <w:t>CDDG використовує описові рамки (наприклад 'кілька місяців' без значного порушення) — не визначає конкретного числа місяців для всіх розладів.</w:t>
            </w:r>
          </w:p>
        </w:tc>
        <w:tc>
          <w:tcPr>
            <w:tcW w:w="1598" w:type="dxa"/>
            <w:tcBorders>
              <w:left w:val="single" w:sz="2" w:space="0" w:color="000000"/>
              <w:bottom w:val="single" w:sz="2" w:space="0" w:color="000000"/>
            </w:tcBorders>
            <w:shd w:val="clear" w:color="auto" w:fill="auto"/>
          </w:tcPr>
          <w:p w14:paraId="4D4A99BD" w14:textId="77777777" w:rsidR="00B51242" w:rsidRDefault="008E4E86">
            <w:pPr>
              <w:spacing w:line="360" w:lineRule="auto"/>
              <w:jc w:val="both"/>
              <w:rPr>
                <w:sz w:val="28"/>
                <w:szCs w:val="28"/>
              </w:rPr>
            </w:pPr>
            <w:r>
              <w:rPr>
                <w:color w:val="000000"/>
                <w:sz w:val="28"/>
                <w:szCs w:val="28"/>
              </w:rPr>
              <w:t>CAPS, інструменти WHO для клінічного скринінгу та діагностики; longitudinal assessment.</w:t>
            </w:r>
          </w:p>
        </w:tc>
        <w:tc>
          <w:tcPr>
            <w:tcW w:w="1294" w:type="dxa"/>
            <w:tcBorders>
              <w:left w:val="single" w:sz="2" w:space="0" w:color="000000"/>
              <w:bottom w:val="single" w:sz="2" w:space="0" w:color="000000"/>
              <w:right w:val="single" w:sz="2" w:space="0" w:color="000000"/>
            </w:tcBorders>
            <w:shd w:val="clear" w:color="auto" w:fill="auto"/>
          </w:tcPr>
          <w:p w14:paraId="602D6FD8" w14:textId="77777777" w:rsidR="00B51242" w:rsidRDefault="008E4E86">
            <w:pPr>
              <w:spacing w:line="360" w:lineRule="auto"/>
              <w:jc w:val="both"/>
              <w:rPr>
                <w:sz w:val="28"/>
                <w:szCs w:val="28"/>
              </w:rPr>
            </w:pPr>
            <w:r>
              <w:rPr>
                <w:color w:val="000000"/>
                <w:sz w:val="28"/>
                <w:szCs w:val="28"/>
              </w:rPr>
              <w:t>WHO/CDDG надає корисні клінічні описи, але не стандартизований перелік часових порогів для рецидиву ПТСР.</w:t>
            </w:r>
          </w:p>
        </w:tc>
      </w:tr>
      <w:tr w:rsidR="00B51242" w14:paraId="5A4939C8" w14:textId="77777777">
        <w:tc>
          <w:tcPr>
            <w:tcW w:w="1606" w:type="dxa"/>
            <w:tcBorders>
              <w:left w:val="single" w:sz="2" w:space="0" w:color="000000"/>
              <w:bottom w:val="single" w:sz="2" w:space="0" w:color="000000"/>
            </w:tcBorders>
            <w:shd w:val="clear" w:color="auto" w:fill="auto"/>
          </w:tcPr>
          <w:p w14:paraId="78929FCD" w14:textId="77777777" w:rsidR="00B51242" w:rsidRDefault="008E4E86">
            <w:pPr>
              <w:spacing w:line="360" w:lineRule="auto"/>
              <w:jc w:val="both"/>
              <w:rPr>
                <w:sz w:val="28"/>
                <w:szCs w:val="28"/>
              </w:rPr>
            </w:pPr>
            <w:r>
              <w:rPr>
                <w:color w:val="000000"/>
                <w:sz w:val="28"/>
                <w:szCs w:val="28"/>
              </w:rPr>
              <w:t>CDDG (Clinical Descriptions and Diagnostic Guidelines, WHO)</w:t>
            </w:r>
          </w:p>
        </w:tc>
        <w:tc>
          <w:tcPr>
            <w:tcW w:w="1606" w:type="dxa"/>
            <w:tcBorders>
              <w:left w:val="single" w:sz="2" w:space="0" w:color="000000"/>
              <w:bottom w:val="single" w:sz="2" w:space="0" w:color="000000"/>
            </w:tcBorders>
            <w:shd w:val="clear" w:color="auto" w:fill="auto"/>
          </w:tcPr>
          <w:p w14:paraId="735AE865" w14:textId="77777777" w:rsidR="00B51242" w:rsidRDefault="008E4E86">
            <w:pPr>
              <w:spacing w:line="360" w:lineRule="auto"/>
              <w:jc w:val="both"/>
              <w:rPr>
                <w:sz w:val="28"/>
                <w:szCs w:val="28"/>
              </w:rPr>
            </w:pPr>
            <w:r>
              <w:rPr>
                <w:color w:val="000000"/>
                <w:sz w:val="28"/>
                <w:szCs w:val="28"/>
              </w:rPr>
              <w:t>Це частина документації WHO; як і WHO загалом — описує рецидив як тип перебігу, без формального діагнозу.</w:t>
            </w:r>
          </w:p>
        </w:tc>
        <w:tc>
          <w:tcPr>
            <w:tcW w:w="1606" w:type="dxa"/>
            <w:tcBorders>
              <w:left w:val="single" w:sz="2" w:space="0" w:color="000000"/>
              <w:bottom w:val="single" w:sz="2" w:space="0" w:color="000000"/>
            </w:tcBorders>
            <w:shd w:val="clear" w:color="auto" w:fill="auto"/>
          </w:tcPr>
          <w:p w14:paraId="08552879" w14:textId="77777777" w:rsidR="00B51242" w:rsidRDefault="008E4E86">
            <w:pPr>
              <w:spacing w:line="360" w:lineRule="auto"/>
              <w:jc w:val="both"/>
              <w:rPr>
                <w:sz w:val="28"/>
                <w:szCs w:val="28"/>
              </w:rPr>
            </w:pPr>
            <w:r>
              <w:rPr>
                <w:color w:val="000000"/>
                <w:sz w:val="28"/>
                <w:szCs w:val="28"/>
              </w:rPr>
              <w:t>Пропонується розгляд рецидиву як епізодів, розділених 'кількома місяцями' без значних симптомів; проте термін і величина 'значних' симптомів не конкретизовані.</w:t>
            </w:r>
          </w:p>
        </w:tc>
        <w:tc>
          <w:tcPr>
            <w:tcW w:w="1528" w:type="dxa"/>
            <w:tcBorders>
              <w:left w:val="single" w:sz="2" w:space="0" w:color="000000"/>
              <w:bottom w:val="single" w:sz="2" w:space="0" w:color="000000"/>
            </w:tcBorders>
            <w:shd w:val="clear" w:color="auto" w:fill="auto"/>
          </w:tcPr>
          <w:p w14:paraId="0CF8B1B6" w14:textId="77777777" w:rsidR="00B51242" w:rsidRDefault="008E4E86">
            <w:pPr>
              <w:spacing w:line="360" w:lineRule="auto"/>
              <w:jc w:val="both"/>
              <w:rPr>
                <w:sz w:val="28"/>
                <w:szCs w:val="28"/>
              </w:rPr>
            </w:pPr>
            <w:r>
              <w:rPr>
                <w:color w:val="000000"/>
                <w:sz w:val="28"/>
                <w:szCs w:val="28"/>
              </w:rPr>
              <w:t>Термін 'кілька місяців' у CDDG залишається нечітким — автори та огляди часто пропонують ≈3 місяці як практичну межу для дослідницьких робочих визначень.</w:t>
            </w:r>
          </w:p>
        </w:tc>
        <w:tc>
          <w:tcPr>
            <w:tcW w:w="1598" w:type="dxa"/>
            <w:tcBorders>
              <w:left w:val="single" w:sz="2" w:space="0" w:color="000000"/>
              <w:bottom w:val="single" w:sz="2" w:space="0" w:color="000000"/>
            </w:tcBorders>
            <w:shd w:val="clear" w:color="auto" w:fill="auto"/>
          </w:tcPr>
          <w:p w14:paraId="337577FA" w14:textId="77777777" w:rsidR="00B51242" w:rsidRDefault="008E4E86">
            <w:pPr>
              <w:spacing w:line="360" w:lineRule="auto"/>
              <w:jc w:val="both"/>
              <w:rPr>
                <w:sz w:val="28"/>
                <w:szCs w:val="28"/>
              </w:rPr>
            </w:pPr>
            <w:r>
              <w:rPr>
                <w:color w:val="000000"/>
                <w:sz w:val="28"/>
                <w:szCs w:val="28"/>
              </w:rPr>
              <w:t>CAPS, структуровані клінічні інтерв'ю, шкали самооцінки (PCL-5) у багаторазових вимірюваннях.</w:t>
            </w:r>
          </w:p>
        </w:tc>
        <w:tc>
          <w:tcPr>
            <w:tcW w:w="1294" w:type="dxa"/>
            <w:tcBorders>
              <w:left w:val="single" w:sz="2" w:space="0" w:color="000000"/>
              <w:bottom w:val="single" w:sz="2" w:space="0" w:color="000000"/>
              <w:right w:val="single" w:sz="2" w:space="0" w:color="000000"/>
            </w:tcBorders>
            <w:shd w:val="clear" w:color="auto" w:fill="auto"/>
          </w:tcPr>
          <w:p w14:paraId="1EF9F133" w14:textId="77777777" w:rsidR="00B51242" w:rsidRDefault="008E4E86">
            <w:pPr>
              <w:spacing w:line="360" w:lineRule="auto"/>
              <w:jc w:val="both"/>
              <w:rPr>
                <w:sz w:val="28"/>
                <w:szCs w:val="28"/>
              </w:rPr>
            </w:pPr>
            <w:r>
              <w:rPr>
                <w:color w:val="000000"/>
                <w:sz w:val="28"/>
                <w:szCs w:val="28"/>
              </w:rPr>
              <w:t>CDDG служить як довідковий описовий стандарт; для досліджень рекомендується деталізувати часові та симпт. пороги.</w:t>
            </w:r>
          </w:p>
        </w:tc>
      </w:tr>
    </w:tbl>
    <w:p w14:paraId="2677290C" w14:textId="77777777" w:rsidR="00B51242" w:rsidRDefault="00B51242">
      <w:pPr>
        <w:spacing w:line="360" w:lineRule="auto"/>
        <w:jc w:val="both"/>
        <w:rPr>
          <w:color w:val="000000"/>
          <w:sz w:val="28"/>
          <w:szCs w:val="28"/>
        </w:rPr>
      </w:pPr>
    </w:p>
    <w:p w14:paraId="3600C3BC" w14:textId="77777777" w:rsidR="00B51242" w:rsidRDefault="008E4E86">
      <w:pPr>
        <w:pStyle w:val="2"/>
        <w:spacing w:before="0" w:after="0" w:line="360" w:lineRule="auto"/>
        <w:jc w:val="both"/>
      </w:pPr>
      <w:r>
        <w:rPr>
          <w:rStyle w:val="StrongEmphasis"/>
          <w:rFonts w:eastAsia="Times New Roman" w:cs="Times New Roman"/>
          <w:color w:val="000000"/>
          <w:sz w:val="28"/>
          <w:szCs w:val="28"/>
        </w:rPr>
        <w:t xml:space="preserve">   </w:t>
      </w:r>
    </w:p>
    <w:p w14:paraId="249BF8C6"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0EF46479"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3AB58C42"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4EA9BA15"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7332107B"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5D98A3F1"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50C86B8C"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60EDCC55"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3BBB8815"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55B91B0D"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6810F0D1"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74E797DC"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25AF7EAE"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2633CEB9"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4B1D477B"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65BE1F1D"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6AFAB436"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042C5D41"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4D2E12B8"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308F224F"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5E6D6F63"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7B969857"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0FE634FD"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62A1F980"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300079F4" w14:textId="77777777" w:rsidR="00B51242" w:rsidRDefault="00B51242">
      <w:pPr>
        <w:tabs>
          <w:tab w:val="center" w:leader="dot" w:pos="9344"/>
        </w:tabs>
        <w:snapToGrid w:val="0"/>
        <w:spacing w:line="360" w:lineRule="auto"/>
        <w:jc w:val="both"/>
        <w:rPr>
          <w:rStyle w:val="InternetLink"/>
          <w:rFonts w:eastAsia="Times New Roman" w:cs="Times New Roman"/>
          <w:color w:val="000000"/>
          <w:sz w:val="28"/>
          <w:szCs w:val="28"/>
          <w:u w:val="none"/>
        </w:rPr>
      </w:pPr>
    </w:p>
    <w:p w14:paraId="299D8616" w14:textId="77777777" w:rsidR="00B51242" w:rsidRDefault="00B51242">
      <w:pPr>
        <w:tabs>
          <w:tab w:val="center" w:leader="dot" w:pos="9344"/>
        </w:tabs>
        <w:snapToGrid w:val="0"/>
        <w:spacing w:line="360" w:lineRule="auto"/>
        <w:jc w:val="both"/>
        <w:rPr>
          <w:rStyle w:val="InternetLink"/>
          <w:rFonts w:eastAsia="Times New Roman" w:cs="Times New Roman"/>
          <w:b/>
          <w:bCs/>
          <w:color w:val="000000"/>
          <w:sz w:val="28"/>
          <w:szCs w:val="28"/>
          <w:u w:val="none"/>
        </w:rPr>
      </w:pPr>
    </w:p>
    <w:p w14:paraId="035A7B36" w14:textId="77777777" w:rsidR="00B51242" w:rsidRDefault="008E4E86">
      <w:pPr>
        <w:tabs>
          <w:tab w:val="center" w:leader="dot" w:pos="9344"/>
        </w:tabs>
        <w:snapToGrid w:val="0"/>
        <w:spacing w:line="360" w:lineRule="auto"/>
        <w:jc w:val="right"/>
      </w:pPr>
      <w:r>
        <w:rPr>
          <w:rStyle w:val="InternetLink"/>
          <w:rFonts w:eastAsia="Times New Roman" w:cs="Times New Roman"/>
          <w:b/>
          <w:bCs/>
          <w:color w:val="000000"/>
          <w:sz w:val="28"/>
          <w:szCs w:val="28"/>
          <w:u w:val="none"/>
        </w:rPr>
        <w:t xml:space="preserve">Додаток Е </w:t>
      </w:r>
    </w:p>
    <w:p w14:paraId="73884136" w14:textId="77777777" w:rsidR="00B51242" w:rsidRDefault="008E4E86">
      <w:pPr>
        <w:tabs>
          <w:tab w:val="center" w:leader="dot" w:pos="9344"/>
        </w:tabs>
        <w:snapToGrid w:val="0"/>
        <w:spacing w:line="360" w:lineRule="auto"/>
        <w:jc w:val="center"/>
      </w:pPr>
      <w:r>
        <w:rPr>
          <w:rStyle w:val="InternetLink"/>
          <w:rFonts w:eastAsia="Times New Roman" w:cs="Times New Roman"/>
          <w:b/>
          <w:bCs/>
          <w:color w:val="000000"/>
          <w:sz w:val="28"/>
          <w:szCs w:val="28"/>
          <w:u w:val="none"/>
        </w:rPr>
        <w:t>Наукові підтвердження інтегративного підходу до психологічної допомоги військовослужбовцям із ПТСР</w:t>
      </w:r>
    </w:p>
    <w:tbl>
      <w:tblPr>
        <w:tblW w:w="8640" w:type="dxa"/>
        <w:tblInd w:w="-108" w:type="dxa"/>
        <w:tblLook w:val="04A0" w:firstRow="1" w:lastRow="0" w:firstColumn="1" w:lastColumn="0" w:noHBand="0" w:noVBand="1"/>
      </w:tblPr>
      <w:tblGrid>
        <w:gridCol w:w="1843"/>
        <w:gridCol w:w="2039"/>
        <w:gridCol w:w="1973"/>
        <w:gridCol w:w="1857"/>
        <w:gridCol w:w="1658"/>
      </w:tblGrid>
      <w:tr w:rsidR="00B51242" w14:paraId="1E1D3C10" w14:textId="77777777">
        <w:tc>
          <w:tcPr>
            <w:tcW w:w="1728" w:type="dxa"/>
            <w:shd w:val="clear" w:color="auto" w:fill="auto"/>
          </w:tcPr>
          <w:p w14:paraId="469D6506" w14:textId="77777777" w:rsidR="00B51242" w:rsidRDefault="008E4E86">
            <w:pPr>
              <w:spacing w:line="360" w:lineRule="auto"/>
              <w:jc w:val="both"/>
              <w:rPr>
                <w:sz w:val="28"/>
                <w:szCs w:val="28"/>
              </w:rPr>
            </w:pPr>
            <w:r>
              <w:rPr>
                <w:color w:val="000000"/>
                <w:sz w:val="28"/>
                <w:szCs w:val="28"/>
              </w:rPr>
              <w:t>Джерело дослідження</w:t>
            </w:r>
          </w:p>
        </w:tc>
        <w:tc>
          <w:tcPr>
            <w:tcW w:w="1728" w:type="dxa"/>
            <w:shd w:val="clear" w:color="auto" w:fill="auto"/>
          </w:tcPr>
          <w:p w14:paraId="40269AFE" w14:textId="77777777" w:rsidR="00B51242" w:rsidRDefault="008E4E86">
            <w:pPr>
              <w:spacing w:line="360" w:lineRule="auto"/>
              <w:jc w:val="both"/>
              <w:rPr>
                <w:sz w:val="28"/>
                <w:szCs w:val="28"/>
              </w:rPr>
            </w:pPr>
            <w:r>
              <w:rPr>
                <w:color w:val="000000"/>
                <w:sz w:val="28"/>
                <w:szCs w:val="28"/>
              </w:rPr>
              <w:t>Основна ідея дослідження</w:t>
            </w:r>
          </w:p>
        </w:tc>
        <w:tc>
          <w:tcPr>
            <w:tcW w:w="1728" w:type="dxa"/>
            <w:shd w:val="clear" w:color="auto" w:fill="auto"/>
          </w:tcPr>
          <w:p w14:paraId="492ACA21" w14:textId="77777777" w:rsidR="00B51242" w:rsidRDefault="008E4E86">
            <w:pPr>
              <w:spacing w:line="360" w:lineRule="auto"/>
              <w:jc w:val="both"/>
              <w:rPr>
                <w:sz w:val="28"/>
                <w:szCs w:val="28"/>
              </w:rPr>
            </w:pPr>
            <w:r>
              <w:rPr>
                <w:color w:val="000000"/>
                <w:sz w:val="28"/>
                <w:szCs w:val="28"/>
              </w:rPr>
              <w:t>Основний метод</w:t>
            </w:r>
          </w:p>
        </w:tc>
        <w:tc>
          <w:tcPr>
            <w:tcW w:w="1728" w:type="dxa"/>
            <w:shd w:val="clear" w:color="auto" w:fill="auto"/>
          </w:tcPr>
          <w:p w14:paraId="440217D9" w14:textId="77777777" w:rsidR="00B51242" w:rsidRDefault="008E4E86">
            <w:pPr>
              <w:spacing w:line="360" w:lineRule="auto"/>
              <w:jc w:val="both"/>
              <w:rPr>
                <w:sz w:val="28"/>
                <w:szCs w:val="28"/>
              </w:rPr>
            </w:pPr>
            <w:r>
              <w:rPr>
                <w:color w:val="000000"/>
                <w:sz w:val="28"/>
                <w:szCs w:val="28"/>
              </w:rPr>
              <w:t>Допоміжні методи, техніки, практики</w:t>
            </w:r>
          </w:p>
        </w:tc>
        <w:tc>
          <w:tcPr>
            <w:tcW w:w="1728" w:type="dxa"/>
            <w:shd w:val="clear" w:color="auto" w:fill="auto"/>
          </w:tcPr>
          <w:p w14:paraId="41ECC6DB" w14:textId="77777777" w:rsidR="00B51242" w:rsidRDefault="008E4E86">
            <w:pPr>
              <w:spacing w:line="360" w:lineRule="auto"/>
              <w:jc w:val="both"/>
              <w:rPr>
                <w:sz w:val="28"/>
                <w:szCs w:val="28"/>
              </w:rPr>
            </w:pPr>
            <w:r>
              <w:rPr>
                <w:color w:val="000000"/>
                <w:sz w:val="28"/>
                <w:szCs w:val="28"/>
              </w:rPr>
              <w:t>Результат</w:t>
            </w:r>
          </w:p>
        </w:tc>
      </w:tr>
      <w:tr w:rsidR="00B51242" w14:paraId="3AE2AB22" w14:textId="77777777">
        <w:tc>
          <w:tcPr>
            <w:tcW w:w="1728" w:type="dxa"/>
            <w:shd w:val="clear" w:color="auto" w:fill="auto"/>
          </w:tcPr>
          <w:p w14:paraId="49A860F3" w14:textId="77777777" w:rsidR="00B51242" w:rsidRDefault="008E4E86">
            <w:pPr>
              <w:spacing w:line="360" w:lineRule="auto"/>
              <w:jc w:val="both"/>
              <w:rPr>
                <w:sz w:val="28"/>
                <w:szCs w:val="28"/>
              </w:rPr>
            </w:pPr>
            <w:r>
              <w:rPr>
                <w:color w:val="000000"/>
                <w:sz w:val="28"/>
                <w:szCs w:val="28"/>
              </w:rPr>
              <w:t>Програма «Back on Track» (США, 2019, PubMed; Liebertpub)</w:t>
            </w:r>
          </w:p>
          <w:p w14:paraId="41791BCA" w14:textId="77777777" w:rsidR="00B51242" w:rsidRDefault="008E4E86">
            <w:pPr>
              <w:spacing w:line="360" w:lineRule="auto"/>
              <w:jc w:val="both"/>
            </w:pPr>
            <w:r>
              <w:rPr>
                <w:rStyle w:val="InternetLink"/>
                <w:color w:val="000000"/>
                <w:sz w:val="28"/>
                <w:szCs w:val="28"/>
                <w:u w:val="none"/>
                <w:lang w:val="en-US"/>
              </w:rPr>
              <w:t>[53]</w:t>
            </w:r>
          </w:p>
        </w:tc>
        <w:tc>
          <w:tcPr>
            <w:tcW w:w="1728" w:type="dxa"/>
            <w:shd w:val="clear" w:color="auto" w:fill="auto"/>
          </w:tcPr>
          <w:p w14:paraId="6615FCD9" w14:textId="77777777" w:rsidR="00B51242" w:rsidRDefault="008E4E86">
            <w:pPr>
              <w:spacing w:line="360" w:lineRule="auto"/>
              <w:jc w:val="both"/>
              <w:rPr>
                <w:sz w:val="28"/>
                <w:szCs w:val="28"/>
              </w:rPr>
            </w:pPr>
            <w:r>
              <w:rPr>
                <w:color w:val="000000"/>
                <w:sz w:val="28"/>
                <w:szCs w:val="28"/>
              </w:rPr>
              <w:t>Holistic multimodal approach як ефективна модель для лікування бойового стресу та ПТСР</w:t>
            </w:r>
          </w:p>
        </w:tc>
        <w:tc>
          <w:tcPr>
            <w:tcW w:w="1728" w:type="dxa"/>
            <w:shd w:val="clear" w:color="auto" w:fill="auto"/>
          </w:tcPr>
          <w:p w14:paraId="4B2CA268" w14:textId="77777777" w:rsidR="00B51242" w:rsidRDefault="008E4E86">
            <w:pPr>
              <w:spacing w:line="360" w:lineRule="auto"/>
              <w:jc w:val="both"/>
              <w:rPr>
                <w:sz w:val="28"/>
                <w:szCs w:val="28"/>
              </w:rPr>
            </w:pPr>
            <w:r>
              <w:rPr>
                <w:color w:val="000000"/>
                <w:sz w:val="28"/>
                <w:szCs w:val="28"/>
              </w:rPr>
              <w:t>Інтенсивна амбулаторна мультикомпонентна програма</w:t>
            </w:r>
          </w:p>
        </w:tc>
        <w:tc>
          <w:tcPr>
            <w:tcW w:w="1728" w:type="dxa"/>
            <w:shd w:val="clear" w:color="auto" w:fill="auto"/>
          </w:tcPr>
          <w:p w14:paraId="6AE8E02F" w14:textId="77777777" w:rsidR="00B51242" w:rsidRDefault="008E4E86">
            <w:pPr>
              <w:spacing w:line="360" w:lineRule="auto"/>
              <w:jc w:val="both"/>
              <w:rPr>
                <w:sz w:val="28"/>
                <w:szCs w:val="28"/>
              </w:rPr>
            </w:pPr>
            <w:r>
              <w:rPr>
                <w:color w:val="000000"/>
                <w:sz w:val="28"/>
                <w:szCs w:val="28"/>
              </w:rPr>
              <w:t>Психоосвіта, тілесні практики, групова терапія, релаксація, когнітивні інтервенції</w:t>
            </w:r>
          </w:p>
        </w:tc>
        <w:tc>
          <w:tcPr>
            <w:tcW w:w="1728" w:type="dxa"/>
            <w:shd w:val="clear" w:color="auto" w:fill="auto"/>
          </w:tcPr>
          <w:p w14:paraId="0B84D6A9" w14:textId="77777777" w:rsidR="00B51242" w:rsidRDefault="008E4E86">
            <w:pPr>
              <w:spacing w:line="360" w:lineRule="auto"/>
              <w:jc w:val="both"/>
              <w:rPr>
                <w:sz w:val="28"/>
                <w:szCs w:val="28"/>
              </w:rPr>
            </w:pPr>
            <w:r>
              <w:rPr>
                <w:color w:val="000000"/>
                <w:sz w:val="28"/>
                <w:szCs w:val="28"/>
              </w:rPr>
              <w:t>На вибірці 595 учасників зафіксовано значне зниження симптомів ПТСР після втручання та через 6 тижнів</w:t>
            </w:r>
          </w:p>
        </w:tc>
      </w:tr>
      <w:tr w:rsidR="00B51242" w14:paraId="2C153B25" w14:textId="77777777">
        <w:tc>
          <w:tcPr>
            <w:tcW w:w="1728" w:type="dxa"/>
            <w:shd w:val="clear" w:color="auto" w:fill="auto"/>
          </w:tcPr>
          <w:p w14:paraId="1FA8A6B3" w14:textId="77777777" w:rsidR="00B51242" w:rsidRDefault="008E4E86">
            <w:pPr>
              <w:spacing w:line="360" w:lineRule="auto"/>
              <w:jc w:val="both"/>
              <w:rPr>
                <w:sz w:val="28"/>
                <w:szCs w:val="28"/>
              </w:rPr>
            </w:pPr>
            <w:r>
              <w:rPr>
                <w:color w:val="000000"/>
                <w:sz w:val="28"/>
                <w:szCs w:val="28"/>
              </w:rPr>
              <w:t>Васьківська, Гірник (НаУКМА, Україна, politpsy.org)</w:t>
            </w:r>
          </w:p>
          <w:p w14:paraId="7B770CBC" w14:textId="77777777" w:rsidR="00B51242" w:rsidRDefault="008E4E86">
            <w:pPr>
              <w:spacing w:line="360" w:lineRule="auto"/>
              <w:jc w:val="both"/>
              <w:rPr>
                <w:sz w:val="28"/>
                <w:szCs w:val="28"/>
              </w:rPr>
            </w:pPr>
            <w:r>
              <w:rPr>
                <w:color w:val="000000"/>
                <w:sz w:val="28"/>
                <w:szCs w:val="28"/>
              </w:rPr>
              <w:t xml:space="preserve"> </w:t>
            </w:r>
            <w:r>
              <w:rPr>
                <w:color w:val="000000"/>
                <w:sz w:val="28"/>
                <w:szCs w:val="28"/>
                <w:lang w:val="en-US"/>
              </w:rPr>
              <w:t>[5]</w:t>
            </w:r>
          </w:p>
        </w:tc>
        <w:tc>
          <w:tcPr>
            <w:tcW w:w="1728" w:type="dxa"/>
            <w:shd w:val="clear" w:color="auto" w:fill="auto"/>
          </w:tcPr>
          <w:p w14:paraId="43782D63" w14:textId="77777777" w:rsidR="00B51242" w:rsidRDefault="008E4E86">
            <w:pPr>
              <w:spacing w:line="360" w:lineRule="auto"/>
              <w:jc w:val="both"/>
              <w:rPr>
                <w:sz w:val="28"/>
                <w:szCs w:val="28"/>
              </w:rPr>
            </w:pPr>
            <w:r>
              <w:rPr>
                <w:color w:val="000000"/>
                <w:sz w:val="28"/>
                <w:szCs w:val="28"/>
              </w:rPr>
              <w:t>Інтегративна реабілітація військових базується на багатовимірному підході до особистості</w:t>
            </w:r>
          </w:p>
        </w:tc>
        <w:tc>
          <w:tcPr>
            <w:tcW w:w="1728" w:type="dxa"/>
            <w:shd w:val="clear" w:color="auto" w:fill="auto"/>
          </w:tcPr>
          <w:p w14:paraId="2481A41F" w14:textId="77777777" w:rsidR="00B51242" w:rsidRDefault="008E4E86">
            <w:pPr>
              <w:spacing w:line="360" w:lineRule="auto"/>
              <w:jc w:val="both"/>
              <w:rPr>
                <w:sz w:val="28"/>
                <w:szCs w:val="28"/>
              </w:rPr>
            </w:pPr>
            <w:r>
              <w:rPr>
                <w:color w:val="000000"/>
                <w:sz w:val="28"/>
                <w:szCs w:val="28"/>
              </w:rPr>
              <w:t>Інтегративна психологічна реабілітація</w:t>
            </w:r>
          </w:p>
        </w:tc>
        <w:tc>
          <w:tcPr>
            <w:tcW w:w="1728" w:type="dxa"/>
            <w:shd w:val="clear" w:color="auto" w:fill="auto"/>
          </w:tcPr>
          <w:p w14:paraId="7537486D" w14:textId="77777777" w:rsidR="00B51242" w:rsidRDefault="008E4E86">
            <w:pPr>
              <w:spacing w:line="360" w:lineRule="auto"/>
              <w:jc w:val="both"/>
              <w:rPr>
                <w:sz w:val="28"/>
                <w:szCs w:val="28"/>
              </w:rPr>
            </w:pPr>
            <w:r>
              <w:rPr>
                <w:color w:val="000000"/>
                <w:sz w:val="28"/>
                <w:szCs w:val="28"/>
              </w:rPr>
              <w:t>Соматотерапія, духовні практики, соціальна підтримка, психоосвіта</w:t>
            </w:r>
          </w:p>
        </w:tc>
        <w:tc>
          <w:tcPr>
            <w:tcW w:w="1728" w:type="dxa"/>
            <w:shd w:val="clear" w:color="auto" w:fill="auto"/>
          </w:tcPr>
          <w:p w14:paraId="2B7291A8" w14:textId="77777777" w:rsidR="00B51242" w:rsidRDefault="008E4E86">
            <w:pPr>
              <w:spacing w:line="360" w:lineRule="auto"/>
              <w:jc w:val="both"/>
              <w:rPr>
                <w:sz w:val="28"/>
                <w:szCs w:val="28"/>
              </w:rPr>
            </w:pPr>
            <w:r>
              <w:rPr>
                <w:color w:val="000000"/>
                <w:sz w:val="28"/>
                <w:szCs w:val="28"/>
              </w:rPr>
              <w:t>Підтверджено ефективність комплексної реабілітації, що враховує не лише травму, а й цілісний розвиток особистості</w:t>
            </w:r>
          </w:p>
        </w:tc>
      </w:tr>
      <w:tr w:rsidR="00B51242" w14:paraId="47AB7ECC" w14:textId="77777777">
        <w:tc>
          <w:tcPr>
            <w:tcW w:w="1728" w:type="dxa"/>
            <w:shd w:val="clear" w:color="auto" w:fill="auto"/>
          </w:tcPr>
          <w:p w14:paraId="1CAB2D19" w14:textId="77777777" w:rsidR="00B51242" w:rsidRDefault="008E4E86">
            <w:pPr>
              <w:spacing w:line="360" w:lineRule="auto"/>
              <w:jc w:val="both"/>
              <w:rPr>
                <w:sz w:val="28"/>
                <w:szCs w:val="28"/>
              </w:rPr>
            </w:pPr>
            <w:r>
              <w:rPr>
                <w:color w:val="000000"/>
                <w:sz w:val="28"/>
                <w:szCs w:val="28"/>
              </w:rPr>
              <w:t>Лавренюк, Кулешова (Україна, journals.cusu.in.ua)</w:t>
            </w:r>
          </w:p>
          <w:p w14:paraId="30A0DDC9" w14:textId="77777777" w:rsidR="00B51242" w:rsidRDefault="008E4E86">
            <w:pPr>
              <w:spacing w:line="360" w:lineRule="auto"/>
              <w:jc w:val="both"/>
            </w:pPr>
            <w:r>
              <w:rPr>
                <w:rStyle w:val="InternetLink"/>
                <w:color w:val="000000"/>
                <w:sz w:val="28"/>
                <w:szCs w:val="28"/>
                <w:u w:val="none"/>
                <w:lang w:val="en-US"/>
              </w:rPr>
              <w:t>[12]</w:t>
            </w:r>
            <w:r>
              <w:rPr>
                <w:color w:val="000000"/>
                <w:sz w:val="28"/>
                <w:szCs w:val="28"/>
              </w:rPr>
              <w:t xml:space="preserve"> </w:t>
            </w:r>
          </w:p>
        </w:tc>
        <w:tc>
          <w:tcPr>
            <w:tcW w:w="1728" w:type="dxa"/>
            <w:shd w:val="clear" w:color="auto" w:fill="auto"/>
          </w:tcPr>
          <w:p w14:paraId="266EDE11" w14:textId="77777777" w:rsidR="00B51242" w:rsidRDefault="008E4E86">
            <w:pPr>
              <w:spacing w:line="360" w:lineRule="auto"/>
              <w:jc w:val="both"/>
              <w:rPr>
                <w:sz w:val="28"/>
                <w:szCs w:val="28"/>
              </w:rPr>
            </w:pPr>
            <w:r>
              <w:rPr>
                <w:color w:val="000000"/>
                <w:sz w:val="28"/>
                <w:szCs w:val="28"/>
              </w:rPr>
              <w:t>Необхідність науково-обґрунтованих багатокомпонентних програм</w:t>
            </w:r>
          </w:p>
        </w:tc>
        <w:tc>
          <w:tcPr>
            <w:tcW w:w="1728" w:type="dxa"/>
            <w:shd w:val="clear" w:color="auto" w:fill="auto"/>
          </w:tcPr>
          <w:p w14:paraId="7AC1167B" w14:textId="77777777" w:rsidR="00B51242" w:rsidRDefault="008E4E86">
            <w:pPr>
              <w:spacing w:line="360" w:lineRule="auto"/>
              <w:jc w:val="both"/>
              <w:rPr>
                <w:sz w:val="28"/>
                <w:szCs w:val="28"/>
              </w:rPr>
            </w:pPr>
            <w:r>
              <w:rPr>
                <w:color w:val="000000"/>
                <w:sz w:val="28"/>
                <w:szCs w:val="28"/>
              </w:rPr>
              <w:t>Комплексна медико-психологічна реабілітація</w:t>
            </w:r>
          </w:p>
        </w:tc>
        <w:tc>
          <w:tcPr>
            <w:tcW w:w="1728" w:type="dxa"/>
            <w:shd w:val="clear" w:color="auto" w:fill="auto"/>
          </w:tcPr>
          <w:p w14:paraId="6648999D" w14:textId="77777777" w:rsidR="00B51242" w:rsidRDefault="008E4E86">
            <w:pPr>
              <w:spacing w:line="360" w:lineRule="auto"/>
              <w:jc w:val="both"/>
              <w:rPr>
                <w:sz w:val="28"/>
                <w:szCs w:val="28"/>
              </w:rPr>
            </w:pPr>
            <w:r>
              <w:rPr>
                <w:color w:val="000000"/>
                <w:sz w:val="28"/>
                <w:szCs w:val="28"/>
              </w:rPr>
              <w:t>Психологічна допомога, медичний супровід, міждисциплінарна координація</w:t>
            </w:r>
          </w:p>
        </w:tc>
        <w:tc>
          <w:tcPr>
            <w:tcW w:w="1728" w:type="dxa"/>
            <w:shd w:val="clear" w:color="auto" w:fill="auto"/>
          </w:tcPr>
          <w:p w14:paraId="505DCD65" w14:textId="77777777" w:rsidR="00B51242" w:rsidRDefault="008E4E86">
            <w:pPr>
              <w:spacing w:line="360" w:lineRule="auto"/>
              <w:jc w:val="both"/>
              <w:rPr>
                <w:sz w:val="28"/>
                <w:szCs w:val="28"/>
              </w:rPr>
            </w:pPr>
            <w:r>
              <w:rPr>
                <w:color w:val="000000"/>
                <w:sz w:val="28"/>
                <w:szCs w:val="28"/>
              </w:rPr>
              <w:t>Покращення результатів лікування завдяки поєднанню медичних і психологічних підходів, орієнтація на особистість у цілому</w:t>
            </w:r>
          </w:p>
        </w:tc>
      </w:tr>
      <w:tr w:rsidR="00B51242" w14:paraId="43B60671" w14:textId="77777777">
        <w:tc>
          <w:tcPr>
            <w:tcW w:w="1728" w:type="dxa"/>
            <w:shd w:val="clear" w:color="auto" w:fill="auto"/>
          </w:tcPr>
          <w:p w14:paraId="5A4DB43B" w14:textId="77777777" w:rsidR="00B51242" w:rsidRDefault="008E4E86">
            <w:pPr>
              <w:spacing w:line="360" w:lineRule="auto"/>
              <w:jc w:val="both"/>
              <w:rPr>
                <w:sz w:val="28"/>
                <w:szCs w:val="28"/>
              </w:rPr>
            </w:pPr>
            <w:r>
              <w:rPr>
                <w:color w:val="000000"/>
                <w:sz w:val="28"/>
                <w:szCs w:val="28"/>
              </w:rPr>
              <w:t>Климків, Кульматицький, Білобрин (2025, ukrmedsci.com)</w:t>
            </w:r>
          </w:p>
          <w:p w14:paraId="090B3E18" w14:textId="77777777" w:rsidR="00B51242" w:rsidRDefault="008E4E86">
            <w:pPr>
              <w:spacing w:line="360" w:lineRule="auto"/>
              <w:jc w:val="both"/>
              <w:rPr>
                <w:sz w:val="28"/>
                <w:szCs w:val="28"/>
              </w:rPr>
            </w:pPr>
            <w:r>
              <w:rPr>
                <w:color w:val="000000"/>
                <w:sz w:val="28"/>
                <w:szCs w:val="28"/>
                <w:lang w:val="en-US"/>
              </w:rPr>
              <w:t>[20]</w:t>
            </w:r>
          </w:p>
        </w:tc>
        <w:tc>
          <w:tcPr>
            <w:tcW w:w="1728" w:type="dxa"/>
            <w:shd w:val="clear" w:color="auto" w:fill="auto"/>
          </w:tcPr>
          <w:p w14:paraId="02567307" w14:textId="77777777" w:rsidR="00B51242" w:rsidRDefault="008E4E86">
            <w:pPr>
              <w:spacing w:line="360" w:lineRule="auto"/>
              <w:jc w:val="both"/>
              <w:rPr>
                <w:sz w:val="28"/>
                <w:szCs w:val="28"/>
              </w:rPr>
            </w:pPr>
            <w:r>
              <w:rPr>
                <w:color w:val="000000"/>
                <w:sz w:val="28"/>
                <w:szCs w:val="28"/>
              </w:rPr>
              <w:t>Інноваційні стратегії лікування ПТСР потребують інтеграції класичних і новітніх методів</w:t>
            </w:r>
          </w:p>
        </w:tc>
        <w:tc>
          <w:tcPr>
            <w:tcW w:w="1728" w:type="dxa"/>
            <w:shd w:val="clear" w:color="auto" w:fill="auto"/>
          </w:tcPr>
          <w:p w14:paraId="280B0E67" w14:textId="77777777" w:rsidR="00B51242" w:rsidRDefault="008E4E86">
            <w:pPr>
              <w:spacing w:line="360" w:lineRule="auto"/>
              <w:jc w:val="both"/>
              <w:rPr>
                <w:sz w:val="28"/>
                <w:szCs w:val="28"/>
              </w:rPr>
            </w:pPr>
            <w:r>
              <w:rPr>
                <w:color w:val="000000"/>
                <w:sz w:val="28"/>
                <w:szCs w:val="28"/>
              </w:rPr>
              <w:t>Літературний огляд сучасних досліджень</w:t>
            </w:r>
          </w:p>
        </w:tc>
        <w:tc>
          <w:tcPr>
            <w:tcW w:w="1728" w:type="dxa"/>
            <w:shd w:val="clear" w:color="auto" w:fill="auto"/>
          </w:tcPr>
          <w:p w14:paraId="245EC2A5" w14:textId="77777777" w:rsidR="00B51242" w:rsidRDefault="008E4E86">
            <w:pPr>
              <w:spacing w:line="360" w:lineRule="auto"/>
              <w:jc w:val="both"/>
              <w:rPr>
                <w:sz w:val="28"/>
                <w:szCs w:val="28"/>
              </w:rPr>
            </w:pPr>
            <w:r>
              <w:rPr>
                <w:color w:val="000000"/>
                <w:sz w:val="28"/>
                <w:szCs w:val="28"/>
              </w:rPr>
              <w:t>КПТ, експозиційна терапія, ТМС, VR-терапія, фармакотерапія, соціальні програми</w:t>
            </w:r>
          </w:p>
        </w:tc>
        <w:tc>
          <w:tcPr>
            <w:tcW w:w="1728" w:type="dxa"/>
            <w:shd w:val="clear" w:color="auto" w:fill="auto"/>
          </w:tcPr>
          <w:p w14:paraId="00532E87" w14:textId="77777777" w:rsidR="00B51242" w:rsidRDefault="008E4E86">
            <w:pPr>
              <w:spacing w:line="360" w:lineRule="auto"/>
              <w:jc w:val="both"/>
              <w:rPr>
                <w:sz w:val="28"/>
                <w:szCs w:val="28"/>
              </w:rPr>
            </w:pPr>
            <w:r>
              <w:rPr>
                <w:color w:val="000000"/>
                <w:sz w:val="28"/>
                <w:szCs w:val="28"/>
              </w:rPr>
              <w:t>Визначено високу перспективність комплексних програм, що поєднують психологічні, технологічні та соціальні інтервенції</w:t>
            </w:r>
          </w:p>
        </w:tc>
      </w:tr>
    </w:tbl>
    <w:p w14:paraId="3377B404" w14:textId="77777777" w:rsidR="00B51242" w:rsidRDefault="008E4E86">
      <w:pPr>
        <w:tabs>
          <w:tab w:val="center" w:leader="dot" w:pos="9344"/>
        </w:tabs>
        <w:snapToGrid w:val="0"/>
        <w:spacing w:line="360" w:lineRule="auto"/>
        <w:jc w:val="both"/>
      </w:pPr>
      <w:r>
        <w:rPr>
          <w:rStyle w:val="InternetLink"/>
          <w:rFonts w:eastAsia="Times New Roman" w:cs="Times New Roman"/>
          <w:color w:val="000000"/>
          <w:sz w:val="28"/>
          <w:szCs w:val="28"/>
          <w:u w:val="none"/>
        </w:rPr>
        <w:t xml:space="preserve">                                                                                                                     </w:t>
      </w:r>
    </w:p>
    <w:p w14:paraId="608DEACE" w14:textId="77777777" w:rsidR="00B51242" w:rsidRDefault="008E4E86">
      <w:pPr>
        <w:tabs>
          <w:tab w:val="center" w:leader="dot" w:pos="9344"/>
        </w:tabs>
        <w:snapToGrid w:val="0"/>
        <w:spacing w:line="360" w:lineRule="auto"/>
        <w:jc w:val="both"/>
      </w:pPr>
      <w:r>
        <w:rPr>
          <w:rStyle w:val="InternetLink"/>
          <w:b/>
          <w:bCs/>
          <w:color w:val="000000"/>
          <w:sz w:val="28"/>
          <w:szCs w:val="28"/>
          <w:u w:val="none"/>
          <w:lang w:eastAsia="ru-RU"/>
        </w:rPr>
        <w:t xml:space="preserve"> </w:t>
      </w:r>
    </w:p>
    <w:p w14:paraId="491D2769" w14:textId="77777777" w:rsidR="00B51242" w:rsidRDefault="00B51242">
      <w:pPr>
        <w:tabs>
          <w:tab w:val="center" w:leader="dot" w:pos="9344"/>
        </w:tabs>
        <w:snapToGrid w:val="0"/>
        <w:spacing w:line="360" w:lineRule="auto"/>
        <w:jc w:val="both"/>
        <w:rPr>
          <w:rStyle w:val="InternetLink"/>
          <w:sz w:val="28"/>
          <w:szCs w:val="28"/>
        </w:rPr>
      </w:pPr>
    </w:p>
    <w:p w14:paraId="6F5CD9ED" w14:textId="77777777" w:rsidR="00B51242" w:rsidRDefault="00B51242">
      <w:pPr>
        <w:tabs>
          <w:tab w:val="center" w:leader="dot" w:pos="9344"/>
        </w:tabs>
        <w:snapToGrid w:val="0"/>
        <w:spacing w:line="360" w:lineRule="auto"/>
        <w:jc w:val="right"/>
        <w:rPr>
          <w:rStyle w:val="InternetLink"/>
          <w:b/>
          <w:bCs/>
          <w:color w:val="000000"/>
          <w:sz w:val="28"/>
          <w:szCs w:val="28"/>
          <w:u w:val="none"/>
          <w:lang w:eastAsia="ru-RU"/>
        </w:rPr>
      </w:pPr>
    </w:p>
    <w:p w14:paraId="4EF7FBD7" w14:textId="77777777" w:rsidR="00B51242" w:rsidRDefault="00B51242">
      <w:pPr>
        <w:tabs>
          <w:tab w:val="center" w:leader="dot" w:pos="9344"/>
        </w:tabs>
        <w:snapToGrid w:val="0"/>
        <w:spacing w:line="360" w:lineRule="auto"/>
        <w:jc w:val="right"/>
        <w:rPr>
          <w:rStyle w:val="InternetLink"/>
          <w:b/>
          <w:bCs/>
          <w:color w:val="000000"/>
          <w:sz w:val="28"/>
          <w:szCs w:val="28"/>
          <w:u w:val="none"/>
          <w:lang w:eastAsia="ru-RU"/>
        </w:rPr>
      </w:pPr>
    </w:p>
    <w:p w14:paraId="740C982E" w14:textId="77777777" w:rsidR="00B51242" w:rsidRDefault="00B51242">
      <w:pPr>
        <w:tabs>
          <w:tab w:val="center" w:leader="dot" w:pos="9344"/>
        </w:tabs>
        <w:snapToGrid w:val="0"/>
        <w:spacing w:line="360" w:lineRule="auto"/>
        <w:jc w:val="right"/>
        <w:rPr>
          <w:rStyle w:val="InternetLink"/>
          <w:b/>
          <w:bCs/>
          <w:color w:val="000000"/>
          <w:sz w:val="28"/>
          <w:szCs w:val="28"/>
          <w:u w:val="none"/>
          <w:lang w:eastAsia="ru-RU"/>
        </w:rPr>
      </w:pPr>
    </w:p>
    <w:p w14:paraId="15C78039" w14:textId="77777777" w:rsidR="00B51242" w:rsidRDefault="00B51242">
      <w:pPr>
        <w:tabs>
          <w:tab w:val="center" w:leader="dot" w:pos="9344"/>
        </w:tabs>
        <w:snapToGrid w:val="0"/>
        <w:spacing w:line="360" w:lineRule="auto"/>
        <w:jc w:val="right"/>
        <w:rPr>
          <w:rStyle w:val="InternetLink"/>
          <w:b/>
          <w:bCs/>
          <w:color w:val="000000"/>
          <w:sz w:val="28"/>
          <w:szCs w:val="28"/>
          <w:u w:val="none"/>
          <w:lang w:eastAsia="ru-RU"/>
        </w:rPr>
      </w:pPr>
    </w:p>
    <w:p w14:paraId="527D639D" w14:textId="77777777" w:rsidR="00B51242" w:rsidRDefault="00B51242">
      <w:pPr>
        <w:tabs>
          <w:tab w:val="center" w:leader="dot" w:pos="9344"/>
        </w:tabs>
        <w:snapToGrid w:val="0"/>
        <w:spacing w:line="360" w:lineRule="auto"/>
        <w:jc w:val="right"/>
        <w:rPr>
          <w:rStyle w:val="InternetLink"/>
          <w:b/>
          <w:bCs/>
          <w:color w:val="000000"/>
          <w:sz w:val="28"/>
          <w:szCs w:val="28"/>
          <w:u w:val="none"/>
          <w:lang w:eastAsia="ru-RU"/>
        </w:rPr>
      </w:pPr>
    </w:p>
    <w:p w14:paraId="30640F79" w14:textId="77777777" w:rsidR="00B51242" w:rsidRDefault="008E4E86">
      <w:pPr>
        <w:tabs>
          <w:tab w:val="center" w:leader="dot" w:pos="9344"/>
        </w:tabs>
        <w:snapToGrid w:val="0"/>
        <w:spacing w:line="360" w:lineRule="auto"/>
        <w:jc w:val="right"/>
      </w:pPr>
      <w:r>
        <w:rPr>
          <w:rStyle w:val="InternetLink"/>
          <w:b/>
          <w:bCs/>
          <w:color w:val="000000"/>
          <w:sz w:val="28"/>
          <w:szCs w:val="28"/>
          <w:u w:val="none"/>
          <w:lang w:eastAsia="ru-RU"/>
        </w:rPr>
        <w:t>Додаток Ж</w:t>
      </w:r>
    </w:p>
    <w:p w14:paraId="7A7D4263" w14:textId="77777777" w:rsidR="00B51242" w:rsidRDefault="008E4E86">
      <w:pPr>
        <w:tabs>
          <w:tab w:val="center" w:leader="dot" w:pos="9344"/>
        </w:tabs>
        <w:snapToGrid w:val="0"/>
        <w:spacing w:line="360" w:lineRule="auto"/>
        <w:jc w:val="center"/>
      </w:pPr>
      <w:r>
        <w:rPr>
          <w:rStyle w:val="InternetLink"/>
          <w:b/>
          <w:bCs/>
          <w:color w:val="000000"/>
          <w:sz w:val="28"/>
          <w:szCs w:val="28"/>
          <w:u w:val="none"/>
          <w:lang w:eastAsia="ru-RU"/>
        </w:rPr>
        <w:t>План занять  з детальним описом</w:t>
      </w:r>
    </w:p>
    <w:p w14:paraId="74DFB61C" w14:textId="77777777" w:rsidR="00B51242" w:rsidRDefault="008E4E86">
      <w:pPr>
        <w:tabs>
          <w:tab w:val="center" w:leader="dot" w:pos="9344"/>
        </w:tabs>
        <w:snapToGrid w:val="0"/>
        <w:spacing w:line="360" w:lineRule="auto"/>
        <w:jc w:val="center"/>
      </w:pPr>
      <w:r>
        <w:rPr>
          <w:rStyle w:val="InternetLink"/>
          <w:color w:val="000000"/>
          <w:sz w:val="28"/>
          <w:szCs w:val="28"/>
          <w:u w:val="none"/>
          <w:lang w:eastAsia="ru-RU"/>
        </w:rPr>
        <w:t>(12 занять по 60 хвилин</w:t>
      </w:r>
      <w:r>
        <w:rPr>
          <w:rFonts w:eastAsia="Times New Roman" w:cs="Times New Roman"/>
          <w:color w:val="000000"/>
          <w:sz w:val="28"/>
          <w:szCs w:val="28"/>
          <w:lang w:eastAsia="ru-RU"/>
        </w:rPr>
        <w:t>)</w:t>
      </w:r>
    </w:p>
    <w:p w14:paraId="065CDDD7" w14:textId="77777777" w:rsidR="00B51242" w:rsidRDefault="008E4E86">
      <w:pPr>
        <w:spacing w:line="360" w:lineRule="auto"/>
        <w:ind w:firstLine="794"/>
        <w:jc w:val="both"/>
      </w:pPr>
      <w:r>
        <w:rPr>
          <w:rStyle w:val="InternetLink"/>
          <w:rFonts w:eastAsia="Times New Roman" w:cs="Times New Roman"/>
          <w:b/>
          <w:bCs/>
          <w:color w:val="000000"/>
          <w:sz w:val="28"/>
          <w:szCs w:val="28"/>
          <w:u w:val="none"/>
          <w:lang w:eastAsia="ru-RU"/>
        </w:rPr>
        <w:t>Заняття 1. Стабілізація. Фізиологічна регуляція.</w:t>
      </w:r>
    </w:p>
    <w:p w14:paraId="60682910"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 xml:space="preserve">План.                                                    </w:t>
      </w:r>
    </w:p>
    <w:p w14:paraId="2A49D062"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1. Знайомство з отримувачем послуг. (через напівструктуроване інтерв’ю, яке містить питання щодо особистих даних)</w:t>
      </w:r>
    </w:p>
    <w:p w14:paraId="4C2330C8"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2. З'ясування запиту.</w:t>
      </w:r>
    </w:p>
    <w:p w14:paraId="2E5B339A"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3. Знайомство з психологом. Введення в метод.</w:t>
      </w:r>
    </w:p>
    <w:p w14:paraId="56989112"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 xml:space="preserve">4. Діагностика. (опитувальник “чотири стани”, </w:t>
      </w:r>
      <w:r>
        <w:rPr>
          <w:rStyle w:val="InternetLink"/>
          <w:rFonts w:eastAsia="Times New Roman" w:cs="Times New Roman"/>
          <w:b/>
          <w:bCs/>
          <w:color w:val="000000"/>
          <w:sz w:val="28"/>
          <w:szCs w:val="28"/>
          <w:u w:val="none"/>
          <w:lang w:val="en-US" w:eastAsia="ru-RU"/>
        </w:rPr>
        <w:t>PCL</w:t>
      </w:r>
      <w:r w:rsidRPr="00D3629B">
        <w:rPr>
          <w:rStyle w:val="InternetLink"/>
          <w:rFonts w:eastAsia="Times New Roman" w:cs="Times New Roman"/>
          <w:b/>
          <w:bCs/>
          <w:color w:val="000000"/>
          <w:sz w:val="28"/>
          <w:szCs w:val="28"/>
          <w:u w:val="none"/>
          <w:lang w:val="ru-RU" w:eastAsia="ru-RU"/>
        </w:rPr>
        <w:t xml:space="preserve">-5 </w:t>
      </w:r>
      <w:r>
        <w:rPr>
          <w:rStyle w:val="InternetLink"/>
          <w:rFonts w:eastAsia="Times New Roman" w:cs="Times New Roman"/>
          <w:b/>
          <w:bCs/>
          <w:color w:val="000000"/>
          <w:sz w:val="28"/>
          <w:szCs w:val="28"/>
          <w:u w:val="none"/>
          <w:lang w:eastAsia="ru-RU"/>
        </w:rPr>
        <w:t>(додаткове діагностика - спостереження))</w:t>
      </w:r>
    </w:p>
    <w:p w14:paraId="0FC8EEA3"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5. Домашнє завдання. (антистресове дихання, мязова релаксація, створення безпечного місця).</w:t>
      </w:r>
    </w:p>
    <w:p w14:paraId="4EEC2689" w14:textId="77777777" w:rsidR="00B51242" w:rsidRDefault="008E4E86">
      <w:pPr>
        <w:spacing w:line="360" w:lineRule="auto"/>
        <w:jc w:val="both"/>
      </w:pPr>
      <w:r>
        <w:rPr>
          <w:rStyle w:val="InternetLink"/>
          <w:rFonts w:eastAsia="Times New Roman" w:cs="Times New Roman"/>
          <w:color w:val="000000"/>
          <w:sz w:val="28"/>
          <w:szCs w:val="28"/>
          <w:u w:val="none"/>
          <w:lang w:eastAsia="ru-RU"/>
        </w:rPr>
        <w:t>Початковий етап взаємодії з військовослужбовцем із ПТСР має ключове значення, оскільки перше враження визначає рівень довіри та готовність до подальшої співпраці. Важливо створити атмосферу безпеки та підтримки. Для цього необхідно забезпечити належні умови: облаштований кабінет, зручне місце для сидіння та можливість самостійного вибору місця отримувачем послуг. При прибутті доцільно запропонувати напій та уточнити, чи є додаткові потреби.</w:t>
      </w:r>
    </w:p>
    <w:p w14:paraId="56B2CA20" w14:textId="77777777" w:rsidR="00B51242" w:rsidRDefault="008E4E86">
      <w:pPr>
        <w:spacing w:line="360" w:lineRule="auto"/>
        <w:jc w:val="both"/>
        <w:rPr>
          <w:sz w:val="28"/>
          <w:szCs w:val="28"/>
        </w:rPr>
      </w:pPr>
      <w:r>
        <w:rPr>
          <w:color w:val="000000"/>
          <w:sz w:val="28"/>
          <w:szCs w:val="28"/>
        </w:rPr>
        <w:t>Одним із правил роботи є мінімізація зовнішніх відволікаючих чинників, тому на початку заняття слід домовитися про вимкнення мобільних телефонів — як психолога, так і отримувача послуг.</w:t>
      </w:r>
    </w:p>
    <w:p w14:paraId="2E2BEFC1" w14:textId="77777777" w:rsidR="00B51242" w:rsidRDefault="008E4E86">
      <w:pPr>
        <w:spacing w:line="360" w:lineRule="auto"/>
        <w:jc w:val="both"/>
        <w:rPr>
          <w:sz w:val="28"/>
          <w:szCs w:val="28"/>
        </w:rPr>
      </w:pPr>
      <w:r>
        <w:rPr>
          <w:color w:val="000000"/>
          <w:sz w:val="28"/>
          <w:szCs w:val="28"/>
        </w:rPr>
        <w:t>Оскільки військовослужбовці нерідко приходять на заняття в емоційно напруженому стані, важливо спрямувати увагу на нейтральні та знайомі теми, що дозволяє знизити тривожність і поступово перейти до діалогу. Варто почати з легких запитань, що не потребують значних емоційних зусиль. Досвід показує, що говорити про емоції військовослужбовцям часто складно, однак вони охоче діляться власним життєвим досвідом.</w:t>
      </w:r>
    </w:p>
    <w:p w14:paraId="42B94E09" w14:textId="77777777" w:rsidR="00B51242" w:rsidRDefault="008E4E86">
      <w:pPr>
        <w:spacing w:line="360" w:lineRule="auto"/>
        <w:jc w:val="both"/>
        <w:rPr>
          <w:sz w:val="28"/>
          <w:szCs w:val="28"/>
        </w:rPr>
      </w:pPr>
      <w:r>
        <w:rPr>
          <w:color w:val="000000"/>
          <w:sz w:val="28"/>
          <w:szCs w:val="28"/>
        </w:rPr>
        <w:t>Доцільною формою роботи є напівструктуроване інтерв’ю, яке містить питання щодо особистих даних, професійного досвіду, а також індивідуальних ресурсів, що допомагають долати тривогу. Важливо наголосити, що у разі небажання відповідати на певне запитання достатньо сказати «далі», без будь-яких пояснень. Проявлення зацікавленості до життя отримувача послуг дозволяє з самого початку закласти основу для побудови терапевтичного альянсу,  яке буде ґрунтуватися на повазі, довірі та автономії отримувача послуг.</w:t>
      </w:r>
    </w:p>
    <w:p w14:paraId="5101B52C" w14:textId="77777777" w:rsidR="00B51242" w:rsidRDefault="00B51242">
      <w:pPr>
        <w:spacing w:line="360" w:lineRule="auto"/>
        <w:jc w:val="both"/>
        <w:rPr>
          <w:color w:val="000000"/>
          <w:sz w:val="28"/>
          <w:szCs w:val="28"/>
        </w:rPr>
      </w:pPr>
    </w:p>
    <w:p w14:paraId="53DBCC75" w14:textId="77777777" w:rsidR="00B51242" w:rsidRDefault="008E4E86">
      <w:pPr>
        <w:spacing w:line="360" w:lineRule="auto"/>
        <w:jc w:val="center"/>
      </w:pPr>
      <w:r>
        <w:rPr>
          <w:rStyle w:val="InternetLink"/>
          <w:rFonts w:eastAsia="Times New Roman" w:cs="Times New Roman"/>
          <w:b/>
          <w:bCs/>
          <w:color w:val="000000"/>
          <w:sz w:val="28"/>
          <w:szCs w:val="28"/>
          <w:u w:val="none"/>
          <w:lang w:eastAsia="ru-RU"/>
        </w:rPr>
        <w:t xml:space="preserve">Перелік орієнтовних запитань отримувачу послуг. </w:t>
      </w:r>
    </w:p>
    <w:tbl>
      <w:tblPr>
        <w:tblW w:w="8640" w:type="dxa"/>
        <w:tblInd w:w="-108" w:type="dxa"/>
        <w:tblLook w:val="04A0" w:firstRow="1" w:lastRow="0" w:firstColumn="1" w:lastColumn="0" w:noHBand="0" w:noVBand="1"/>
      </w:tblPr>
      <w:tblGrid>
        <w:gridCol w:w="2880"/>
        <w:gridCol w:w="2880"/>
        <w:gridCol w:w="2880"/>
      </w:tblGrid>
      <w:tr w:rsidR="00B51242" w14:paraId="308283E1" w14:textId="77777777">
        <w:tc>
          <w:tcPr>
            <w:tcW w:w="2880" w:type="dxa"/>
            <w:shd w:val="clear" w:color="auto" w:fill="auto"/>
          </w:tcPr>
          <w:p w14:paraId="727C90FA" w14:textId="77777777" w:rsidR="00B51242" w:rsidRDefault="008E4E86">
            <w:pPr>
              <w:spacing w:line="360" w:lineRule="auto"/>
              <w:jc w:val="both"/>
              <w:rPr>
                <w:sz w:val="28"/>
                <w:szCs w:val="28"/>
              </w:rPr>
            </w:pPr>
            <w:r>
              <w:rPr>
                <w:color w:val="000000"/>
                <w:sz w:val="28"/>
                <w:szCs w:val="28"/>
              </w:rPr>
              <w:t>Тематика</w:t>
            </w:r>
          </w:p>
        </w:tc>
        <w:tc>
          <w:tcPr>
            <w:tcW w:w="2880" w:type="dxa"/>
            <w:shd w:val="clear" w:color="auto" w:fill="auto"/>
          </w:tcPr>
          <w:p w14:paraId="2F6B1D47" w14:textId="77777777" w:rsidR="00B51242" w:rsidRDefault="008E4E86">
            <w:pPr>
              <w:spacing w:line="360" w:lineRule="auto"/>
              <w:jc w:val="both"/>
              <w:rPr>
                <w:sz w:val="28"/>
                <w:szCs w:val="28"/>
              </w:rPr>
            </w:pPr>
            <w:r>
              <w:rPr>
                <w:color w:val="000000"/>
                <w:sz w:val="28"/>
                <w:szCs w:val="28"/>
              </w:rPr>
              <w:t>Орієнтовні запитання</w:t>
            </w:r>
          </w:p>
        </w:tc>
        <w:tc>
          <w:tcPr>
            <w:tcW w:w="2880" w:type="dxa"/>
            <w:shd w:val="clear" w:color="auto" w:fill="auto"/>
          </w:tcPr>
          <w:p w14:paraId="313B5A2F" w14:textId="77777777" w:rsidR="00B51242" w:rsidRDefault="008E4E86">
            <w:pPr>
              <w:spacing w:line="360" w:lineRule="auto"/>
              <w:jc w:val="both"/>
              <w:rPr>
                <w:sz w:val="28"/>
                <w:szCs w:val="28"/>
              </w:rPr>
            </w:pPr>
            <w:r>
              <w:rPr>
                <w:color w:val="000000"/>
                <w:sz w:val="28"/>
                <w:szCs w:val="28"/>
              </w:rPr>
              <w:t>Примітки для психолога</w:t>
            </w:r>
          </w:p>
        </w:tc>
      </w:tr>
      <w:tr w:rsidR="00B51242" w14:paraId="3B439198" w14:textId="77777777">
        <w:tc>
          <w:tcPr>
            <w:tcW w:w="2880" w:type="dxa"/>
            <w:shd w:val="clear" w:color="auto" w:fill="auto"/>
          </w:tcPr>
          <w:p w14:paraId="527FBC06" w14:textId="77777777" w:rsidR="00B51242" w:rsidRDefault="008E4E86">
            <w:pPr>
              <w:spacing w:line="360" w:lineRule="auto"/>
              <w:jc w:val="both"/>
              <w:rPr>
                <w:sz w:val="28"/>
                <w:szCs w:val="28"/>
              </w:rPr>
            </w:pPr>
            <w:r>
              <w:rPr>
                <w:color w:val="000000"/>
                <w:sz w:val="28"/>
                <w:szCs w:val="28"/>
              </w:rPr>
              <w:t>Походження та базова інформація</w:t>
            </w:r>
          </w:p>
        </w:tc>
        <w:tc>
          <w:tcPr>
            <w:tcW w:w="2880" w:type="dxa"/>
            <w:shd w:val="clear" w:color="auto" w:fill="auto"/>
          </w:tcPr>
          <w:p w14:paraId="751CE951" w14:textId="77777777" w:rsidR="00B51242" w:rsidRDefault="008E4E86">
            <w:pPr>
              <w:spacing w:line="360" w:lineRule="auto"/>
              <w:jc w:val="both"/>
              <w:rPr>
                <w:sz w:val="28"/>
                <w:szCs w:val="28"/>
              </w:rPr>
            </w:pPr>
            <w:r>
              <w:rPr>
                <w:color w:val="000000"/>
                <w:sz w:val="28"/>
                <w:szCs w:val="28"/>
              </w:rPr>
              <w:t>Звідки ви родом?</w:t>
            </w:r>
            <w:r>
              <w:rPr>
                <w:color w:val="000000"/>
                <w:sz w:val="28"/>
                <w:szCs w:val="28"/>
              </w:rPr>
              <w:br/>
              <w:t>Де жили, навчалися, працювали?</w:t>
            </w:r>
          </w:p>
          <w:p w14:paraId="2BAC6FC9" w14:textId="77777777" w:rsidR="00B51242" w:rsidRDefault="008E4E86">
            <w:pPr>
              <w:spacing w:line="360" w:lineRule="auto"/>
              <w:jc w:val="both"/>
              <w:rPr>
                <w:sz w:val="28"/>
                <w:szCs w:val="28"/>
              </w:rPr>
            </w:pPr>
            <w:r>
              <w:rPr>
                <w:color w:val="000000"/>
                <w:sz w:val="28"/>
                <w:szCs w:val="28"/>
              </w:rPr>
              <w:t xml:space="preserve"> </w:t>
            </w:r>
          </w:p>
        </w:tc>
        <w:tc>
          <w:tcPr>
            <w:tcW w:w="2880" w:type="dxa"/>
            <w:shd w:val="clear" w:color="auto" w:fill="auto"/>
          </w:tcPr>
          <w:p w14:paraId="7AC15BE0" w14:textId="77777777" w:rsidR="00B51242" w:rsidRDefault="008E4E86">
            <w:pPr>
              <w:spacing w:line="360" w:lineRule="auto"/>
              <w:jc w:val="both"/>
              <w:rPr>
                <w:sz w:val="28"/>
                <w:szCs w:val="28"/>
              </w:rPr>
            </w:pPr>
            <w:r>
              <w:rPr>
                <w:color w:val="000000"/>
                <w:sz w:val="28"/>
                <w:szCs w:val="28"/>
              </w:rPr>
              <w:t>Початок розмови з простих фактів, що допомагають зняти напруження.</w:t>
            </w:r>
          </w:p>
        </w:tc>
      </w:tr>
      <w:tr w:rsidR="00B51242" w14:paraId="37BC7A04" w14:textId="77777777">
        <w:tc>
          <w:tcPr>
            <w:tcW w:w="2880" w:type="dxa"/>
            <w:shd w:val="clear" w:color="auto" w:fill="auto"/>
          </w:tcPr>
          <w:p w14:paraId="4EE5CCF7" w14:textId="77777777" w:rsidR="00B51242" w:rsidRDefault="008E4E86">
            <w:pPr>
              <w:spacing w:line="360" w:lineRule="auto"/>
              <w:jc w:val="both"/>
              <w:rPr>
                <w:sz w:val="28"/>
                <w:szCs w:val="28"/>
              </w:rPr>
            </w:pPr>
            <w:r>
              <w:rPr>
                <w:color w:val="000000"/>
                <w:sz w:val="28"/>
                <w:szCs w:val="28"/>
              </w:rPr>
              <w:t>Життєвий досвід</w:t>
            </w:r>
          </w:p>
        </w:tc>
        <w:tc>
          <w:tcPr>
            <w:tcW w:w="2880" w:type="dxa"/>
            <w:shd w:val="clear" w:color="auto" w:fill="auto"/>
          </w:tcPr>
          <w:p w14:paraId="271D0D83" w14:textId="77777777" w:rsidR="00B51242" w:rsidRDefault="008E4E86">
            <w:pPr>
              <w:spacing w:line="360" w:lineRule="auto"/>
              <w:jc w:val="both"/>
              <w:rPr>
                <w:sz w:val="28"/>
                <w:szCs w:val="28"/>
              </w:rPr>
            </w:pPr>
            <w:r>
              <w:rPr>
                <w:color w:val="000000"/>
                <w:sz w:val="28"/>
                <w:szCs w:val="28"/>
              </w:rPr>
              <w:t>Чим займалися до повномасштабного вторгнення 2022 року?Які моменти з життя зараз згадуються найчастіше?</w:t>
            </w:r>
          </w:p>
        </w:tc>
        <w:tc>
          <w:tcPr>
            <w:tcW w:w="2880" w:type="dxa"/>
            <w:shd w:val="clear" w:color="auto" w:fill="auto"/>
          </w:tcPr>
          <w:p w14:paraId="0A0DC21C" w14:textId="77777777" w:rsidR="00B51242" w:rsidRDefault="008E4E86">
            <w:pPr>
              <w:spacing w:line="360" w:lineRule="auto"/>
              <w:jc w:val="both"/>
              <w:rPr>
                <w:sz w:val="28"/>
                <w:szCs w:val="28"/>
              </w:rPr>
            </w:pPr>
            <w:r>
              <w:rPr>
                <w:color w:val="000000"/>
                <w:sz w:val="28"/>
                <w:szCs w:val="28"/>
              </w:rPr>
              <w:t>Важливо дозволити вільні асоціації, не примушувати деталізувати травматичний досвід.</w:t>
            </w:r>
          </w:p>
        </w:tc>
      </w:tr>
      <w:tr w:rsidR="00B51242" w14:paraId="0282F6CC" w14:textId="77777777">
        <w:tc>
          <w:tcPr>
            <w:tcW w:w="2880" w:type="dxa"/>
            <w:shd w:val="clear" w:color="auto" w:fill="auto"/>
          </w:tcPr>
          <w:p w14:paraId="4C6DB592" w14:textId="77777777" w:rsidR="00B51242" w:rsidRDefault="008E4E86">
            <w:pPr>
              <w:spacing w:line="360" w:lineRule="auto"/>
              <w:jc w:val="both"/>
              <w:rPr>
                <w:sz w:val="28"/>
                <w:szCs w:val="28"/>
              </w:rPr>
            </w:pPr>
            <w:r>
              <w:rPr>
                <w:color w:val="000000"/>
                <w:sz w:val="28"/>
                <w:szCs w:val="28"/>
              </w:rPr>
              <w:t>Родина</w:t>
            </w:r>
          </w:p>
        </w:tc>
        <w:tc>
          <w:tcPr>
            <w:tcW w:w="2880" w:type="dxa"/>
            <w:shd w:val="clear" w:color="auto" w:fill="auto"/>
          </w:tcPr>
          <w:p w14:paraId="2178C3D1" w14:textId="77777777" w:rsidR="00B51242" w:rsidRDefault="008E4E86">
            <w:pPr>
              <w:spacing w:line="360" w:lineRule="auto"/>
              <w:jc w:val="both"/>
              <w:rPr>
                <w:sz w:val="28"/>
                <w:szCs w:val="28"/>
              </w:rPr>
            </w:pPr>
            <w:r>
              <w:rPr>
                <w:color w:val="000000"/>
                <w:sz w:val="28"/>
                <w:szCs w:val="28"/>
              </w:rPr>
              <w:t>Які родинні стосунки?Розкажіть декілька моментів про батьківську родину, які першими приходять на думку.</w:t>
            </w:r>
            <w:r>
              <w:rPr>
                <w:color w:val="000000"/>
                <w:sz w:val="28"/>
                <w:szCs w:val="28"/>
              </w:rPr>
              <w:br/>
              <w:t>Чи є у вас власна родина?</w:t>
            </w:r>
          </w:p>
        </w:tc>
        <w:tc>
          <w:tcPr>
            <w:tcW w:w="2880" w:type="dxa"/>
            <w:shd w:val="clear" w:color="auto" w:fill="auto"/>
          </w:tcPr>
          <w:p w14:paraId="064504C5" w14:textId="77777777" w:rsidR="00B51242" w:rsidRDefault="008E4E86">
            <w:pPr>
              <w:spacing w:line="360" w:lineRule="auto"/>
              <w:jc w:val="both"/>
              <w:rPr>
                <w:sz w:val="28"/>
                <w:szCs w:val="28"/>
              </w:rPr>
            </w:pPr>
            <w:r>
              <w:rPr>
                <w:color w:val="000000"/>
                <w:sz w:val="28"/>
                <w:szCs w:val="28"/>
              </w:rPr>
              <w:t>Може викликати сильні емоції (індивідуально).</w:t>
            </w:r>
          </w:p>
          <w:p w14:paraId="3C8EC45C" w14:textId="77777777" w:rsidR="00B51242" w:rsidRDefault="00B51242">
            <w:pPr>
              <w:spacing w:line="360" w:lineRule="auto"/>
              <w:jc w:val="both"/>
              <w:rPr>
                <w:color w:val="000000"/>
                <w:sz w:val="28"/>
                <w:szCs w:val="28"/>
              </w:rPr>
            </w:pPr>
          </w:p>
        </w:tc>
      </w:tr>
      <w:tr w:rsidR="00B51242" w14:paraId="3C887707" w14:textId="77777777">
        <w:tc>
          <w:tcPr>
            <w:tcW w:w="2880" w:type="dxa"/>
            <w:shd w:val="clear" w:color="auto" w:fill="auto"/>
          </w:tcPr>
          <w:p w14:paraId="1A152608" w14:textId="77777777" w:rsidR="00B51242" w:rsidRDefault="008E4E86">
            <w:pPr>
              <w:spacing w:line="360" w:lineRule="auto"/>
              <w:jc w:val="both"/>
              <w:rPr>
                <w:sz w:val="28"/>
                <w:szCs w:val="28"/>
              </w:rPr>
            </w:pPr>
            <w:r>
              <w:rPr>
                <w:color w:val="000000"/>
                <w:sz w:val="28"/>
                <w:szCs w:val="28"/>
              </w:rPr>
              <w:t>Безпека та підтримка</w:t>
            </w:r>
          </w:p>
        </w:tc>
        <w:tc>
          <w:tcPr>
            <w:tcW w:w="2880" w:type="dxa"/>
            <w:shd w:val="clear" w:color="auto" w:fill="auto"/>
          </w:tcPr>
          <w:p w14:paraId="6EF6DED6" w14:textId="77777777" w:rsidR="00B51242" w:rsidRDefault="008E4E86">
            <w:pPr>
              <w:spacing w:line="360" w:lineRule="auto"/>
              <w:jc w:val="both"/>
              <w:rPr>
                <w:sz w:val="28"/>
                <w:szCs w:val="28"/>
              </w:rPr>
            </w:pPr>
            <w:r>
              <w:rPr>
                <w:color w:val="000000"/>
                <w:sz w:val="28"/>
                <w:szCs w:val="28"/>
              </w:rPr>
              <w:t>Ваші близькі зараз перебувають у безпеці?</w:t>
            </w:r>
            <w:r>
              <w:rPr>
                <w:color w:val="000000"/>
                <w:sz w:val="28"/>
                <w:szCs w:val="28"/>
              </w:rPr>
              <w:br/>
              <w:t>Чи є від рідних підтримка?</w:t>
            </w:r>
            <w:r>
              <w:rPr>
                <w:color w:val="000000"/>
                <w:sz w:val="28"/>
                <w:szCs w:val="28"/>
              </w:rPr>
              <w:br/>
              <w:t>Які у вас зараз стосунки з ними?</w:t>
            </w:r>
          </w:p>
        </w:tc>
        <w:tc>
          <w:tcPr>
            <w:tcW w:w="2880" w:type="dxa"/>
            <w:shd w:val="clear" w:color="auto" w:fill="auto"/>
          </w:tcPr>
          <w:p w14:paraId="15A635FE" w14:textId="77777777" w:rsidR="00B51242" w:rsidRDefault="008E4E86">
            <w:pPr>
              <w:spacing w:line="360" w:lineRule="auto"/>
              <w:jc w:val="both"/>
              <w:rPr>
                <w:sz w:val="28"/>
                <w:szCs w:val="28"/>
              </w:rPr>
            </w:pPr>
            <w:r>
              <w:rPr>
                <w:color w:val="000000"/>
                <w:sz w:val="28"/>
                <w:szCs w:val="28"/>
              </w:rPr>
              <w:t>Допомагає оцінити наявність або відсутність соціальної опори.</w:t>
            </w:r>
          </w:p>
        </w:tc>
      </w:tr>
      <w:tr w:rsidR="00B51242" w14:paraId="54C2C306" w14:textId="77777777">
        <w:tc>
          <w:tcPr>
            <w:tcW w:w="2880" w:type="dxa"/>
            <w:shd w:val="clear" w:color="auto" w:fill="auto"/>
          </w:tcPr>
          <w:p w14:paraId="499B7A51" w14:textId="77777777" w:rsidR="00B51242" w:rsidRDefault="008E4E86">
            <w:pPr>
              <w:spacing w:line="360" w:lineRule="auto"/>
              <w:jc w:val="both"/>
              <w:rPr>
                <w:sz w:val="28"/>
                <w:szCs w:val="28"/>
              </w:rPr>
            </w:pPr>
            <w:r>
              <w:rPr>
                <w:color w:val="000000"/>
                <w:sz w:val="28"/>
                <w:szCs w:val="28"/>
              </w:rPr>
              <w:t>Соціальні зв’язки</w:t>
            </w:r>
          </w:p>
        </w:tc>
        <w:tc>
          <w:tcPr>
            <w:tcW w:w="2880" w:type="dxa"/>
            <w:shd w:val="clear" w:color="auto" w:fill="auto"/>
          </w:tcPr>
          <w:p w14:paraId="189E8571" w14:textId="77777777" w:rsidR="00B51242" w:rsidRDefault="008E4E86">
            <w:pPr>
              <w:spacing w:line="360" w:lineRule="auto"/>
              <w:jc w:val="both"/>
              <w:rPr>
                <w:sz w:val="28"/>
                <w:szCs w:val="28"/>
              </w:rPr>
            </w:pPr>
            <w:r>
              <w:rPr>
                <w:color w:val="000000"/>
                <w:sz w:val="28"/>
                <w:szCs w:val="28"/>
              </w:rPr>
              <w:t>Хто ще входить у ваше постійне коло спілкування, окрім родичів?</w:t>
            </w:r>
            <w:r>
              <w:rPr>
                <w:color w:val="000000"/>
                <w:sz w:val="28"/>
                <w:szCs w:val="28"/>
              </w:rPr>
              <w:br/>
              <w:t>Чи є складнощі у спілкуванні?</w:t>
            </w:r>
            <w:r>
              <w:rPr>
                <w:color w:val="000000"/>
                <w:sz w:val="28"/>
                <w:szCs w:val="28"/>
              </w:rPr>
              <w:br/>
              <w:t>Як ви оцінюєте себе в колективі?</w:t>
            </w:r>
          </w:p>
        </w:tc>
        <w:tc>
          <w:tcPr>
            <w:tcW w:w="2880" w:type="dxa"/>
            <w:shd w:val="clear" w:color="auto" w:fill="auto"/>
          </w:tcPr>
          <w:p w14:paraId="261627CF" w14:textId="77777777" w:rsidR="00B51242" w:rsidRDefault="008E4E86">
            <w:pPr>
              <w:spacing w:line="360" w:lineRule="auto"/>
              <w:jc w:val="both"/>
              <w:rPr>
                <w:sz w:val="28"/>
                <w:szCs w:val="28"/>
              </w:rPr>
            </w:pPr>
            <w:r>
              <w:rPr>
                <w:color w:val="000000"/>
                <w:sz w:val="28"/>
                <w:szCs w:val="28"/>
              </w:rPr>
              <w:t>Дає уявлення про ресурси та бар’єри в соціальних контактах.</w:t>
            </w:r>
          </w:p>
        </w:tc>
      </w:tr>
      <w:tr w:rsidR="00B51242" w14:paraId="17295AAB" w14:textId="77777777">
        <w:tc>
          <w:tcPr>
            <w:tcW w:w="2880" w:type="dxa"/>
            <w:shd w:val="clear" w:color="auto" w:fill="auto"/>
          </w:tcPr>
          <w:p w14:paraId="24ED1B75" w14:textId="77777777" w:rsidR="00B51242" w:rsidRDefault="008E4E86">
            <w:pPr>
              <w:spacing w:line="360" w:lineRule="auto"/>
              <w:jc w:val="both"/>
              <w:rPr>
                <w:sz w:val="28"/>
                <w:szCs w:val="28"/>
              </w:rPr>
            </w:pPr>
            <w:r>
              <w:rPr>
                <w:color w:val="000000"/>
                <w:sz w:val="28"/>
                <w:szCs w:val="28"/>
              </w:rPr>
              <w:t>Дружні стосунки</w:t>
            </w:r>
          </w:p>
        </w:tc>
        <w:tc>
          <w:tcPr>
            <w:tcW w:w="2880" w:type="dxa"/>
            <w:shd w:val="clear" w:color="auto" w:fill="auto"/>
          </w:tcPr>
          <w:p w14:paraId="4A2CC8E7" w14:textId="77777777" w:rsidR="00B51242" w:rsidRDefault="008E4E86">
            <w:pPr>
              <w:spacing w:line="360" w:lineRule="auto"/>
              <w:jc w:val="both"/>
              <w:rPr>
                <w:sz w:val="28"/>
                <w:szCs w:val="28"/>
              </w:rPr>
            </w:pPr>
            <w:r>
              <w:rPr>
                <w:color w:val="000000"/>
                <w:sz w:val="28"/>
                <w:szCs w:val="28"/>
              </w:rPr>
              <w:t>Чи є близькі друзі, з якими можете поділитися навіть особистим чи секретами?</w:t>
            </w:r>
          </w:p>
        </w:tc>
        <w:tc>
          <w:tcPr>
            <w:tcW w:w="2880" w:type="dxa"/>
            <w:shd w:val="clear" w:color="auto" w:fill="auto"/>
          </w:tcPr>
          <w:p w14:paraId="74FA848B" w14:textId="77777777" w:rsidR="00B51242" w:rsidRDefault="008E4E86">
            <w:pPr>
              <w:spacing w:line="360" w:lineRule="auto"/>
              <w:jc w:val="both"/>
              <w:rPr>
                <w:sz w:val="28"/>
                <w:szCs w:val="28"/>
              </w:rPr>
            </w:pPr>
            <w:r>
              <w:rPr>
                <w:color w:val="000000"/>
                <w:sz w:val="28"/>
                <w:szCs w:val="28"/>
              </w:rPr>
              <w:t>Визначає рівень довіри та наявність емоційної підтримки.</w:t>
            </w:r>
          </w:p>
        </w:tc>
      </w:tr>
      <w:tr w:rsidR="00B51242" w14:paraId="69FD5858" w14:textId="77777777">
        <w:tc>
          <w:tcPr>
            <w:tcW w:w="2880" w:type="dxa"/>
            <w:shd w:val="clear" w:color="auto" w:fill="auto"/>
          </w:tcPr>
          <w:p w14:paraId="700D6541" w14:textId="77777777" w:rsidR="00B51242" w:rsidRDefault="008E4E86">
            <w:pPr>
              <w:spacing w:line="360" w:lineRule="auto"/>
              <w:jc w:val="both"/>
              <w:rPr>
                <w:sz w:val="28"/>
                <w:szCs w:val="28"/>
              </w:rPr>
            </w:pPr>
            <w:r>
              <w:rPr>
                <w:color w:val="000000"/>
                <w:sz w:val="28"/>
                <w:szCs w:val="28"/>
              </w:rPr>
              <w:t>Фізичний стан та звички</w:t>
            </w:r>
          </w:p>
        </w:tc>
        <w:tc>
          <w:tcPr>
            <w:tcW w:w="2880" w:type="dxa"/>
            <w:shd w:val="clear" w:color="auto" w:fill="auto"/>
          </w:tcPr>
          <w:p w14:paraId="38F7D118" w14:textId="77777777" w:rsidR="00B51242" w:rsidRDefault="008E4E86">
            <w:pPr>
              <w:spacing w:line="360" w:lineRule="auto"/>
              <w:jc w:val="both"/>
              <w:rPr>
                <w:sz w:val="28"/>
                <w:szCs w:val="28"/>
              </w:rPr>
            </w:pPr>
            <w:r>
              <w:rPr>
                <w:color w:val="000000"/>
                <w:sz w:val="28"/>
                <w:szCs w:val="28"/>
              </w:rPr>
              <w:t xml:space="preserve">Чи була окуборотравма (чи лікувалась)? </w:t>
            </w:r>
          </w:p>
          <w:p w14:paraId="61B27320" w14:textId="77777777" w:rsidR="00B51242" w:rsidRDefault="008E4E86">
            <w:pPr>
              <w:spacing w:line="360" w:lineRule="auto"/>
              <w:jc w:val="both"/>
              <w:rPr>
                <w:sz w:val="28"/>
                <w:szCs w:val="28"/>
              </w:rPr>
            </w:pPr>
            <w:r>
              <w:rPr>
                <w:color w:val="000000"/>
                <w:sz w:val="28"/>
                <w:szCs w:val="28"/>
              </w:rPr>
              <w:t>Як у вас зі сном?</w:t>
            </w:r>
            <w:r>
              <w:rPr>
                <w:color w:val="000000"/>
                <w:sz w:val="28"/>
                <w:szCs w:val="28"/>
              </w:rPr>
              <w:br/>
              <w:t>Чи є хобі, захоплення, чи було?</w:t>
            </w:r>
            <w:r>
              <w:rPr>
                <w:color w:val="000000"/>
                <w:sz w:val="28"/>
                <w:szCs w:val="28"/>
              </w:rPr>
              <w:br/>
              <w:t>Чи займалися або займаєтесь спортом?</w:t>
            </w:r>
            <w:r>
              <w:rPr>
                <w:color w:val="000000"/>
                <w:sz w:val="28"/>
                <w:szCs w:val="28"/>
              </w:rPr>
              <w:br/>
              <w:t>Чим би ви зайнялися, якби це залежало від вас?</w:t>
            </w:r>
            <w:r>
              <w:rPr>
                <w:color w:val="000000"/>
                <w:sz w:val="28"/>
                <w:szCs w:val="28"/>
              </w:rPr>
              <w:br/>
              <w:t>Що можете сказати про алкоголь?</w:t>
            </w:r>
            <w:r>
              <w:rPr>
                <w:color w:val="000000"/>
                <w:sz w:val="28"/>
                <w:szCs w:val="28"/>
              </w:rPr>
              <w:br/>
              <w:t>Чи пробували наркотики?</w:t>
            </w:r>
          </w:p>
          <w:p w14:paraId="0FA84C5B" w14:textId="77777777" w:rsidR="00B51242" w:rsidRDefault="008E4E86">
            <w:pPr>
              <w:spacing w:line="360" w:lineRule="auto"/>
              <w:jc w:val="both"/>
              <w:rPr>
                <w:sz w:val="28"/>
                <w:szCs w:val="28"/>
              </w:rPr>
            </w:pPr>
            <w:r>
              <w:rPr>
                <w:color w:val="000000"/>
                <w:sz w:val="28"/>
                <w:szCs w:val="28"/>
              </w:rPr>
              <w:t>Психотропні речовини?</w:t>
            </w:r>
          </w:p>
        </w:tc>
        <w:tc>
          <w:tcPr>
            <w:tcW w:w="2880" w:type="dxa"/>
            <w:shd w:val="clear" w:color="auto" w:fill="auto"/>
          </w:tcPr>
          <w:p w14:paraId="32C64967" w14:textId="77777777" w:rsidR="00B51242" w:rsidRDefault="008E4E86">
            <w:pPr>
              <w:spacing w:line="360" w:lineRule="auto"/>
              <w:jc w:val="both"/>
              <w:rPr>
                <w:sz w:val="28"/>
                <w:szCs w:val="28"/>
              </w:rPr>
            </w:pPr>
            <w:r>
              <w:rPr>
                <w:color w:val="000000"/>
                <w:sz w:val="28"/>
                <w:szCs w:val="28"/>
              </w:rPr>
              <w:t>Дає змогу оцінити стан фізичного здоров’я та наявність ресурсних чи ризикованих практик.</w:t>
            </w:r>
          </w:p>
          <w:p w14:paraId="326DC100" w14:textId="77777777" w:rsidR="00B51242" w:rsidRDefault="00B51242">
            <w:pPr>
              <w:spacing w:line="360" w:lineRule="auto"/>
              <w:jc w:val="both"/>
              <w:rPr>
                <w:color w:val="000000"/>
                <w:sz w:val="28"/>
                <w:szCs w:val="28"/>
              </w:rPr>
            </w:pPr>
          </w:p>
          <w:p w14:paraId="0A821549" w14:textId="77777777" w:rsidR="00B51242" w:rsidRDefault="00B51242">
            <w:pPr>
              <w:spacing w:line="360" w:lineRule="auto"/>
              <w:jc w:val="both"/>
              <w:rPr>
                <w:color w:val="000000"/>
                <w:sz w:val="28"/>
                <w:szCs w:val="28"/>
              </w:rPr>
            </w:pPr>
          </w:p>
          <w:p w14:paraId="66FDCF4E" w14:textId="77777777" w:rsidR="00B51242" w:rsidRDefault="00B51242">
            <w:pPr>
              <w:spacing w:line="360" w:lineRule="auto"/>
              <w:jc w:val="both"/>
              <w:rPr>
                <w:color w:val="000000"/>
                <w:sz w:val="28"/>
                <w:szCs w:val="28"/>
              </w:rPr>
            </w:pPr>
          </w:p>
          <w:p w14:paraId="3BEE236D" w14:textId="77777777" w:rsidR="00B51242" w:rsidRDefault="00B51242">
            <w:pPr>
              <w:spacing w:line="360" w:lineRule="auto"/>
              <w:jc w:val="both"/>
              <w:rPr>
                <w:color w:val="000000"/>
                <w:sz w:val="28"/>
                <w:szCs w:val="28"/>
              </w:rPr>
            </w:pPr>
          </w:p>
          <w:p w14:paraId="3D8553D8" w14:textId="77777777" w:rsidR="00B51242" w:rsidRDefault="008E4E86">
            <w:pPr>
              <w:spacing w:line="360" w:lineRule="auto"/>
              <w:jc w:val="both"/>
              <w:rPr>
                <w:sz w:val="28"/>
                <w:szCs w:val="28"/>
              </w:rPr>
            </w:pPr>
            <w:r>
              <w:rPr>
                <w:color w:val="000000"/>
                <w:sz w:val="28"/>
                <w:szCs w:val="28"/>
              </w:rPr>
              <w:t xml:space="preserve">                              </w:t>
            </w:r>
          </w:p>
        </w:tc>
      </w:tr>
      <w:tr w:rsidR="00B51242" w14:paraId="204BF710" w14:textId="77777777">
        <w:tc>
          <w:tcPr>
            <w:tcW w:w="2880" w:type="dxa"/>
            <w:shd w:val="clear" w:color="auto" w:fill="auto"/>
          </w:tcPr>
          <w:p w14:paraId="523E4DF9" w14:textId="77777777" w:rsidR="00B51242" w:rsidRDefault="008E4E86">
            <w:pPr>
              <w:spacing w:line="360" w:lineRule="auto"/>
              <w:jc w:val="both"/>
              <w:rPr>
                <w:sz w:val="28"/>
                <w:szCs w:val="28"/>
              </w:rPr>
            </w:pPr>
            <w:r>
              <w:rPr>
                <w:color w:val="000000"/>
                <w:sz w:val="28"/>
                <w:szCs w:val="28"/>
              </w:rPr>
              <w:t>Емоційний стан</w:t>
            </w:r>
          </w:p>
        </w:tc>
        <w:tc>
          <w:tcPr>
            <w:tcW w:w="2880" w:type="dxa"/>
            <w:shd w:val="clear" w:color="auto" w:fill="auto"/>
          </w:tcPr>
          <w:p w14:paraId="127753EF" w14:textId="77777777" w:rsidR="00B51242" w:rsidRDefault="008E4E86">
            <w:pPr>
              <w:spacing w:line="360" w:lineRule="auto"/>
              <w:jc w:val="both"/>
              <w:rPr>
                <w:sz w:val="28"/>
                <w:szCs w:val="28"/>
              </w:rPr>
            </w:pPr>
            <w:r>
              <w:rPr>
                <w:color w:val="000000"/>
                <w:sz w:val="28"/>
                <w:szCs w:val="28"/>
              </w:rPr>
              <w:t>У вас є питання, в яких хочете розібратись?</w:t>
            </w:r>
            <w:r>
              <w:rPr>
                <w:color w:val="000000"/>
                <w:sz w:val="28"/>
                <w:szCs w:val="28"/>
              </w:rPr>
              <w:br/>
              <w:t>На вашу думку, емоційний стан відображається в тілі?</w:t>
            </w:r>
            <w:r>
              <w:rPr>
                <w:color w:val="000000"/>
                <w:sz w:val="28"/>
                <w:szCs w:val="28"/>
              </w:rPr>
              <w:br/>
              <w:t>Як ви почуваєтесь у тілі?</w:t>
            </w:r>
            <w:r>
              <w:rPr>
                <w:color w:val="000000"/>
                <w:sz w:val="28"/>
                <w:szCs w:val="28"/>
              </w:rPr>
              <w:br/>
              <w:t>Як ви оцінюєте свій стан?</w:t>
            </w:r>
            <w:r>
              <w:rPr>
                <w:color w:val="000000"/>
                <w:sz w:val="28"/>
                <w:szCs w:val="28"/>
              </w:rPr>
              <w:br/>
              <w:t>Бувають різкі перепади настрою? Як часто?</w:t>
            </w:r>
          </w:p>
        </w:tc>
        <w:tc>
          <w:tcPr>
            <w:tcW w:w="2880" w:type="dxa"/>
            <w:shd w:val="clear" w:color="auto" w:fill="auto"/>
          </w:tcPr>
          <w:p w14:paraId="30E6E2B6" w14:textId="77777777" w:rsidR="00B51242" w:rsidRDefault="008E4E86">
            <w:pPr>
              <w:spacing w:line="360" w:lineRule="auto"/>
              <w:jc w:val="both"/>
              <w:rPr>
                <w:sz w:val="28"/>
                <w:szCs w:val="28"/>
              </w:rPr>
            </w:pPr>
            <w:r>
              <w:rPr>
                <w:color w:val="000000"/>
                <w:sz w:val="28"/>
                <w:szCs w:val="28"/>
              </w:rPr>
              <w:t>Дослідження усвідомлення емоцій та психосоматичних проявів.</w:t>
            </w:r>
          </w:p>
        </w:tc>
      </w:tr>
      <w:tr w:rsidR="00B51242" w14:paraId="5690740A" w14:textId="77777777">
        <w:tc>
          <w:tcPr>
            <w:tcW w:w="2880" w:type="dxa"/>
            <w:shd w:val="clear" w:color="auto" w:fill="auto"/>
          </w:tcPr>
          <w:p w14:paraId="18871A9E" w14:textId="77777777" w:rsidR="00B51242" w:rsidRDefault="008E4E86">
            <w:pPr>
              <w:spacing w:line="360" w:lineRule="auto"/>
              <w:jc w:val="both"/>
              <w:rPr>
                <w:sz w:val="28"/>
                <w:szCs w:val="28"/>
              </w:rPr>
            </w:pPr>
            <w:r>
              <w:rPr>
                <w:color w:val="000000"/>
                <w:sz w:val="28"/>
                <w:szCs w:val="28"/>
              </w:rPr>
              <w:t>Стратегії подолання стресу</w:t>
            </w:r>
          </w:p>
        </w:tc>
        <w:tc>
          <w:tcPr>
            <w:tcW w:w="2880" w:type="dxa"/>
            <w:shd w:val="clear" w:color="auto" w:fill="auto"/>
          </w:tcPr>
          <w:p w14:paraId="53F0EB6F" w14:textId="77777777" w:rsidR="00B51242" w:rsidRDefault="008E4E86">
            <w:pPr>
              <w:spacing w:line="360" w:lineRule="auto"/>
              <w:jc w:val="both"/>
              <w:rPr>
                <w:sz w:val="28"/>
                <w:szCs w:val="28"/>
              </w:rPr>
            </w:pPr>
            <w:r>
              <w:rPr>
                <w:color w:val="000000"/>
                <w:sz w:val="28"/>
                <w:szCs w:val="28"/>
              </w:rPr>
              <w:t>Як ви намагаєтесь подолати стрес?</w:t>
            </w:r>
            <w:r>
              <w:rPr>
                <w:color w:val="000000"/>
                <w:sz w:val="28"/>
                <w:szCs w:val="28"/>
              </w:rPr>
              <w:br/>
              <w:t>Який ваш ресурс, що допомагає в подоланні?</w:t>
            </w:r>
            <w:r>
              <w:rPr>
                <w:color w:val="000000"/>
                <w:sz w:val="28"/>
                <w:szCs w:val="28"/>
              </w:rPr>
              <w:br/>
              <w:t>Хотілося б навчитись технікам подолання стресу?</w:t>
            </w:r>
          </w:p>
        </w:tc>
        <w:tc>
          <w:tcPr>
            <w:tcW w:w="2880" w:type="dxa"/>
            <w:shd w:val="clear" w:color="auto" w:fill="auto"/>
          </w:tcPr>
          <w:p w14:paraId="4B05A343" w14:textId="77777777" w:rsidR="00B51242" w:rsidRDefault="008E4E86">
            <w:pPr>
              <w:spacing w:line="360" w:lineRule="auto"/>
              <w:jc w:val="both"/>
              <w:rPr>
                <w:sz w:val="28"/>
                <w:szCs w:val="28"/>
              </w:rPr>
            </w:pPr>
            <w:r>
              <w:rPr>
                <w:color w:val="000000"/>
                <w:sz w:val="28"/>
                <w:szCs w:val="28"/>
              </w:rPr>
              <w:t>Визначення наявних та потенційних копінг-стратегій.</w:t>
            </w:r>
          </w:p>
        </w:tc>
      </w:tr>
      <w:tr w:rsidR="00B51242" w14:paraId="0497DB49" w14:textId="77777777">
        <w:tc>
          <w:tcPr>
            <w:tcW w:w="2880" w:type="dxa"/>
            <w:shd w:val="clear" w:color="auto" w:fill="auto"/>
          </w:tcPr>
          <w:p w14:paraId="3F97F92A" w14:textId="77777777" w:rsidR="00B51242" w:rsidRDefault="008E4E86">
            <w:pPr>
              <w:spacing w:line="360" w:lineRule="auto"/>
              <w:jc w:val="both"/>
              <w:rPr>
                <w:sz w:val="28"/>
                <w:szCs w:val="28"/>
              </w:rPr>
            </w:pPr>
            <w:r>
              <w:rPr>
                <w:color w:val="000000"/>
                <w:sz w:val="28"/>
                <w:szCs w:val="28"/>
              </w:rPr>
              <w:t>Досвід психологічної допомоги</w:t>
            </w:r>
          </w:p>
        </w:tc>
        <w:tc>
          <w:tcPr>
            <w:tcW w:w="2880" w:type="dxa"/>
            <w:shd w:val="clear" w:color="auto" w:fill="auto"/>
          </w:tcPr>
          <w:p w14:paraId="0BD34BBB" w14:textId="77777777" w:rsidR="00B51242" w:rsidRDefault="008E4E86">
            <w:pPr>
              <w:spacing w:line="360" w:lineRule="auto"/>
              <w:jc w:val="both"/>
              <w:rPr>
                <w:sz w:val="28"/>
                <w:szCs w:val="28"/>
              </w:rPr>
            </w:pPr>
            <w:r>
              <w:rPr>
                <w:color w:val="000000"/>
                <w:sz w:val="28"/>
                <w:szCs w:val="28"/>
              </w:rPr>
              <w:t>Чи маєте досвід спілкування та роботи з психологами?</w:t>
            </w:r>
            <w:r>
              <w:rPr>
                <w:color w:val="000000"/>
                <w:sz w:val="28"/>
                <w:szCs w:val="28"/>
              </w:rPr>
              <w:br/>
              <w:t>Як, на вашу думку, повинна проходити робота психолога, щоб вам допомогти?</w:t>
            </w:r>
          </w:p>
        </w:tc>
        <w:tc>
          <w:tcPr>
            <w:tcW w:w="2880" w:type="dxa"/>
            <w:shd w:val="clear" w:color="auto" w:fill="auto"/>
          </w:tcPr>
          <w:p w14:paraId="3ACDCE7E" w14:textId="77777777" w:rsidR="00B51242" w:rsidRDefault="008E4E86">
            <w:pPr>
              <w:spacing w:line="360" w:lineRule="auto"/>
              <w:jc w:val="both"/>
              <w:rPr>
                <w:sz w:val="28"/>
                <w:szCs w:val="28"/>
              </w:rPr>
            </w:pPr>
            <w:r>
              <w:rPr>
                <w:color w:val="000000"/>
                <w:sz w:val="28"/>
                <w:szCs w:val="28"/>
              </w:rPr>
              <w:t>Дозволяє сформувати очікування та адаптувати методи роботи.</w:t>
            </w:r>
          </w:p>
        </w:tc>
      </w:tr>
      <w:tr w:rsidR="00B51242" w14:paraId="64A9AC59" w14:textId="77777777">
        <w:tc>
          <w:tcPr>
            <w:tcW w:w="2880" w:type="dxa"/>
            <w:shd w:val="clear" w:color="auto" w:fill="auto"/>
          </w:tcPr>
          <w:p w14:paraId="70308476" w14:textId="77777777" w:rsidR="00B51242" w:rsidRDefault="008E4E86">
            <w:pPr>
              <w:spacing w:line="360" w:lineRule="auto"/>
              <w:jc w:val="both"/>
              <w:rPr>
                <w:sz w:val="28"/>
                <w:szCs w:val="28"/>
              </w:rPr>
            </w:pPr>
            <w:r>
              <w:rPr>
                <w:color w:val="000000"/>
                <w:sz w:val="28"/>
                <w:szCs w:val="28"/>
              </w:rPr>
              <w:t>Світогляд та мотивація</w:t>
            </w:r>
          </w:p>
        </w:tc>
        <w:tc>
          <w:tcPr>
            <w:tcW w:w="2880" w:type="dxa"/>
            <w:shd w:val="clear" w:color="auto" w:fill="auto"/>
          </w:tcPr>
          <w:p w14:paraId="3461608D" w14:textId="77777777" w:rsidR="00B51242" w:rsidRDefault="008E4E86">
            <w:pPr>
              <w:spacing w:line="360" w:lineRule="auto"/>
              <w:jc w:val="both"/>
              <w:rPr>
                <w:sz w:val="28"/>
                <w:szCs w:val="28"/>
              </w:rPr>
            </w:pPr>
            <w:r>
              <w:rPr>
                <w:color w:val="000000"/>
                <w:sz w:val="28"/>
                <w:szCs w:val="28"/>
              </w:rPr>
              <w:t>Ви віруюча людина?</w:t>
            </w:r>
            <w:r>
              <w:rPr>
                <w:color w:val="000000"/>
                <w:sz w:val="28"/>
                <w:szCs w:val="28"/>
              </w:rPr>
              <w:br/>
              <w:t>Яка ваша мотивація?</w:t>
            </w:r>
            <w:r>
              <w:rPr>
                <w:color w:val="000000"/>
                <w:sz w:val="28"/>
                <w:szCs w:val="28"/>
              </w:rPr>
              <w:br/>
              <w:t>У чому сенс життя?</w:t>
            </w:r>
          </w:p>
        </w:tc>
        <w:tc>
          <w:tcPr>
            <w:tcW w:w="2880" w:type="dxa"/>
            <w:shd w:val="clear" w:color="auto" w:fill="auto"/>
          </w:tcPr>
          <w:p w14:paraId="0137D604" w14:textId="77777777" w:rsidR="00B51242" w:rsidRDefault="008E4E86">
            <w:pPr>
              <w:spacing w:line="360" w:lineRule="auto"/>
              <w:jc w:val="both"/>
              <w:rPr>
                <w:sz w:val="28"/>
                <w:szCs w:val="28"/>
              </w:rPr>
            </w:pPr>
            <w:r>
              <w:rPr>
                <w:color w:val="000000"/>
                <w:sz w:val="28"/>
                <w:szCs w:val="28"/>
              </w:rPr>
              <w:t>Сприяє розумінню цінностей та внутрішніх опор.</w:t>
            </w:r>
          </w:p>
        </w:tc>
      </w:tr>
    </w:tbl>
    <w:p w14:paraId="0CCC0888" w14:textId="77777777" w:rsidR="00B51242" w:rsidRDefault="00B51242">
      <w:pPr>
        <w:spacing w:line="360" w:lineRule="auto"/>
        <w:jc w:val="both"/>
        <w:rPr>
          <w:rStyle w:val="InternetLink"/>
          <w:sz w:val="28"/>
          <w:szCs w:val="28"/>
        </w:rPr>
      </w:pPr>
    </w:p>
    <w:p w14:paraId="2E66ED61" w14:textId="77777777" w:rsidR="00B51242" w:rsidRDefault="008E4E86">
      <w:pPr>
        <w:spacing w:line="360" w:lineRule="auto"/>
        <w:ind w:firstLine="737"/>
        <w:jc w:val="both"/>
      </w:pPr>
      <w:r>
        <w:rPr>
          <w:rStyle w:val="InternetLink"/>
          <w:rFonts w:eastAsia="Times New Roman" w:cs="Times New Roman"/>
          <w:b/>
          <w:bCs/>
          <w:color w:val="000000"/>
          <w:sz w:val="28"/>
          <w:szCs w:val="28"/>
          <w:u w:val="none"/>
          <w:lang w:eastAsia="ru-RU"/>
        </w:rPr>
        <w:t>Зясування запиту.</w:t>
      </w:r>
    </w:p>
    <w:p w14:paraId="156A6281"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 </w:t>
      </w:r>
    </w:p>
    <w:p w14:paraId="18C720B9" w14:textId="77777777" w:rsidR="00B51242" w:rsidRDefault="008E4E86">
      <w:pPr>
        <w:spacing w:line="360" w:lineRule="auto"/>
        <w:ind w:firstLine="737"/>
        <w:jc w:val="both"/>
      </w:pPr>
      <w:r>
        <w:rPr>
          <w:rStyle w:val="InternetLink"/>
          <w:rFonts w:eastAsia="Times New Roman" w:cs="Times New Roman"/>
          <w:b/>
          <w:bCs/>
          <w:color w:val="000000"/>
          <w:sz w:val="28"/>
          <w:szCs w:val="28"/>
          <w:u w:val="none"/>
        </w:rPr>
        <w:t>Введення в метод.</w:t>
      </w:r>
    </w:p>
    <w:p w14:paraId="33D8AD80"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Психолог розповідає про себе та методи психологічнох допомоги в якомувін працює. Надаючи інформацію щодо застосування когнітивно-поведінкової терапії як методу психологічної підтримки військовослужбовців, необхідно враховувати як можливі сумніви отримувачів послуг, так і доступність подачі матеріалу. Інформація має бути структурованою, зрозумілою та адаптованою до рівня сприйняття цільової групи, що забезпечує підвищення довіри до процесу та готовності брати участь у терапевтичній взаємодії.   Орієнтовний план представлений у таблиці нижче. </w:t>
      </w:r>
    </w:p>
    <w:p w14:paraId="4A990D24" w14:textId="77777777" w:rsidR="00B51242" w:rsidRDefault="00B51242">
      <w:pPr>
        <w:spacing w:line="360" w:lineRule="auto"/>
        <w:jc w:val="both"/>
        <w:rPr>
          <w:rStyle w:val="InternetLink"/>
          <w:sz w:val="28"/>
          <w:szCs w:val="28"/>
        </w:rPr>
      </w:pPr>
    </w:p>
    <w:p w14:paraId="41BCC28F" w14:textId="77777777" w:rsidR="00B51242" w:rsidRDefault="008E4E86">
      <w:pPr>
        <w:spacing w:line="360" w:lineRule="auto"/>
        <w:jc w:val="center"/>
      </w:pPr>
      <w:r>
        <w:rPr>
          <w:rStyle w:val="InternetLink"/>
          <w:rFonts w:eastAsia="Times New Roman" w:cs="Times New Roman"/>
          <w:b/>
          <w:bCs/>
          <w:color w:val="000000"/>
          <w:sz w:val="28"/>
          <w:szCs w:val="28"/>
          <w:u w:val="none"/>
          <w:lang w:eastAsia="ru-RU"/>
        </w:rPr>
        <w:t>Порядок ознайомлення отримувача послуг із методом КПТ</w:t>
      </w:r>
    </w:p>
    <w:tbl>
      <w:tblPr>
        <w:tblW w:w="8640" w:type="dxa"/>
        <w:tblInd w:w="-108" w:type="dxa"/>
        <w:tblLook w:val="04A0" w:firstRow="1" w:lastRow="0" w:firstColumn="1" w:lastColumn="0" w:noHBand="0" w:noVBand="1"/>
      </w:tblPr>
      <w:tblGrid>
        <w:gridCol w:w="4321"/>
        <w:gridCol w:w="4319"/>
      </w:tblGrid>
      <w:tr w:rsidR="00B51242" w14:paraId="02BF57BE" w14:textId="77777777">
        <w:tc>
          <w:tcPr>
            <w:tcW w:w="4320" w:type="dxa"/>
            <w:shd w:val="clear" w:color="auto" w:fill="auto"/>
          </w:tcPr>
          <w:p w14:paraId="760AD3C7" w14:textId="77777777" w:rsidR="00B51242" w:rsidRDefault="008E4E86">
            <w:pPr>
              <w:spacing w:line="360" w:lineRule="auto"/>
              <w:jc w:val="both"/>
              <w:rPr>
                <w:sz w:val="28"/>
                <w:szCs w:val="28"/>
              </w:rPr>
            </w:pPr>
            <w:r>
              <w:rPr>
                <w:color w:val="000000"/>
                <w:sz w:val="28"/>
                <w:szCs w:val="28"/>
              </w:rPr>
              <w:t>Проблема, яку вирішуємо</w:t>
            </w:r>
          </w:p>
        </w:tc>
        <w:tc>
          <w:tcPr>
            <w:tcW w:w="4319" w:type="dxa"/>
            <w:shd w:val="clear" w:color="auto" w:fill="auto"/>
          </w:tcPr>
          <w:p w14:paraId="7AE3E659" w14:textId="77777777" w:rsidR="00B51242" w:rsidRDefault="008E4E86">
            <w:pPr>
              <w:spacing w:line="360" w:lineRule="auto"/>
              <w:jc w:val="both"/>
              <w:rPr>
                <w:sz w:val="28"/>
                <w:szCs w:val="28"/>
              </w:rPr>
            </w:pPr>
            <w:r>
              <w:rPr>
                <w:color w:val="000000"/>
                <w:sz w:val="28"/>
                <w:szCs w:val="28"/>
              </w:rPr>
              <w:t>Основні тези та пояснення</w:t>
            </w:r>
          </w:p>
        </w:tc>
      </w:tr>
      <w:tr w:rsidR="00B51242" w14:paraId="4829FE89" w14:textId="77777777">
        <w:tc>
          <w:tcPr>
            <w:tcW w:w="4320" w:type="dxa"/>
            <w:shd w:val="clear" w:color="auto" w:fill="auto"/>
          </w:tcPr>
          <w:p w14:paraId="4B513DED" w14:textId="77777777" w:rsidR="00B51242" w:rsidRDefault="008E4E86">
            <w:pPr>
              <w:spacing w:line="360" w:lineRule="auto"/>
              <w:jc w:val="both"/>
              <w:rPr>
                <w:sz w:val="28"/>
                <w:szCs w:val="28"/>
              </w:rPr>
            </w:pPr>
            <w:r>
              <w:rPr>
                <w:color w:val="000000"/>
                <w:sz w:val="28"/>
                <w:szCs w:val="28"/>
              </w:rPr>
              <w:t>Невизначеність отримувача послуг щодо суті методу та формату роботи</w:t>
            </w:r>
          </w:p>
        </w:tc>
        <w:tc>
          <w:tcPr>
            <w:tcW w:w="4319" w:type="dxa"/>
            <w:shd w:val="clear" w:color="auto" w:fill="auto"/>
          </w:tcPr>
          <w:p w14:paraId="41FB32CF" w14:textId="77777777" w:rsidR="00B51242" w:rsidRDefault="008E4E86">
            <w:pPr>
              <w:spacing w:line="360" w:lineRule="auto"/>
              <w:jc w:val="both"/>
              <w:rPr>
                <w:sz w:val="28"/>
                <w:szCs w:val="28"/>
              </w:rPr>
            </w:pPr>
            <w:r>
              <w:rPr>
                <w:color w:val="000000"/>
                <w:sz w:val="28"/>
                <w:szCs w:val="28"/>
              </w:rPr>
              <w:t>Психолог знайомить із методом когнітивно-поведінкової терапії (КПТ).</w:t>
            </w:r>
          </w:p>
          <w:p w14:paraId="6E0AB702" w14:textId="77777777" w:rsidR="00B51242" w:rsidRDefault="008E4E86">
            <w:pPr>
              <w:spacing w:line="360" w:lineRule="auto"/>
              <w:jc w:val="both"/>
              <w:rPr>
                <w:sz w:val="28"/>
                <w:szCs w:val="28"/>
              </w:rPr>
            </w:pPr>
            <w:r>
              <w:rPr>
                <w:color w:val="000000"/>
                <w:sz w:val="28"/>
                <w:szCs w:val="28"/>
              </w:rPr>
              <w:t>Наголосити, що КПТ не є «медичним лікуванням», а практичним інструментом підтримки, що проходить у форматі занять.</w:t>
            </w:r>
          </w:p>
        </w:tc>
      </w:tr>
      <w:tr w:rsidR="00B51242" w14:paraId="50BFF10D" w14:textId="77777777">
        <w:tc>
          <w:tcPr>
            <w:tcW w:w="4320" w:type="dxa"/>
            <w:shd w:val="clear" w:color="auto" w:fill="auto"/>
          </w:tcPr>
          <w:p w14:paraId="0624F7AC" w14:textId="77777777" w:rsidR="00B51242" w:rsidRDefault="008E4E86">
            <w:pPr>
              <w:spacing w:line="360" w:lineRule="auto"/>
              <w:jc w:val="both"/>
              <w:rPr>
                <w:sz w:val="28"/>
                <w:szCs w:val="28"/>
              </w:rPr>
            </w:pPr>
            <w:r>
              <w:rPr>
                <w:color w:val="000000"/>
                <w:sz w:val="28"/>
                <w:szCs w:val="28"/>
              </w:rPr>
              <w:t>Відсутність розуміння структури процесу</w:t>
            </w:r>
          </w:p>
          <w:p w14:paraId="603CC4DB" w14:textId="77777777" w:rsidR="00B51242" w:rsidRDefault="00B51242">
            <w:pPr>
              <w:spacing w:line="360" w:lineRule="auto"/>
              <w:jc w:val="both"/>
              <w:rPr>
                <w:color w:val="000000"/>
                <w:sz w:val="28"/>
                <w:szCs w:val="28"/>
              </w:rPr>
            </w:pPr>
          </w:p>
          <w:p w14:paraId="5BAD3425" w14:textId="77777777" w:rsidR="00B51242" w:rsidRDefault="00B51242">
            <w:pPr>
              <w:spacing w:line="360" w:lineRule="auto"/>
              <w:jc w:val="both"/>
              <w:rPr>
                <w:color w:val="000000"/>
                <w:sz w:val="28"/>
                <w:szCs w:val="28"/>
              </w:rPr>
            </w:pPr>
          </w:p>
          <w:p w14:paraId="62023BEB" w14:textId="77777777" w:rsidR="00B51242" w:rsidRDefault="008E4E86">
            <w:pPr>
              <w:spacing w:line="360" w:lineRule="auto"/>
              <w:jc w:val="both"/>
              <w:rPr>
                <w:sz w:val="28"/>
                <w:szCs w:val="28"/>
              </w:rPr>
            </w:pPr>
            <w:r>
              <w:rPr>
                <w:color w:val="000000"/>
                <w:sz w:val="28"/>
                <w:szCs w:val="28"/>
              </w:rPr>
              <w:t xml:space="preserve">                                                 </w:t>
            </w:r>
          </w:p>
        </w:tc>
        <w:tc>
          <w:tcPr>
            <w:tcW w:w="4319" w:type="dxa"/>
            <w:shd w:val="clear" w:color="auto" w:fill="auto"/>
          </w:tcPr>
          <w:p w14:paraId="57737900" w14:textId="77777777" w:rsidR="00B51242" w:rsidRDefault="008E4E86">
            <w:pPr>
              <w:spacing w:line="360" w:lineRule="auto"/>
              <w:jc w:val="both"/>
              <w:rPr>
                <w:sz w:val="28"/>
                <w:szCs w:val="28"/>
              </w:rPr>
            </w:pPr>
            <w:r>
              <w:rPr>
                <w:color w:val="000000"/>
                <w:sz w:val="28"/>
                <w:szCs w:val="28"/>
              </w:rPr>
              <w:t>КПТ складається з етапів:</w:t>
            </w:r>
            <w:r>
              <w:rPr>
                <w:color w:val="000000"/>
                <w:sz w:val="28"/>
                <w:szCs w:val="28"/>
              </w:rPr>
              <w:br/>
              <w:t>• формування цілей;</w:t>
            </w:r>
            <w:r>
              <w:rPr>
                <w:color w:val="000000"/>
                <w:sz w:val="28"/>
                <w:szCs w:val="28"/>
              </w:rPr>
              <w:br/>
              <w:t>• визначення проблемних думок, емоцій та поведінки;</w:t>
            </w:r>
            <w:r>
              <w:rPr>
                <w:color w:val="000000"/>
                <w:sz w:val="28"/>
                <w:szCs w:val="28"/>
              </w:rPr>
              <w:br/>
              <w:t>• опрацювання стратегій змін;</w:t>
            </w:r>
            <w:r>
              <w:rPr>
                <w:color w:val="000000"/>
                <w:sz w:val="28"/>
                <w:szCs w:val="28"/>
              </w:rPr>
              <w:br/>
              <w:t>• закріплення навичок та профілактика рецидивів.</w:t>
            </w:r>
          </w:p>
        </w:tc>
      </w:tr>
      <w:tr w:rsidR="00B51242" w14:paraId="370571D4" w14:textId="77777777">
        <w:tc>
          <w:tcPr>
            <w:tcW w:w="4320" w:type="dxa"/>
            <w:shd w:val="clear" w:color="auto" w:fill="auto"/>
          </w:tcPr>
          <w:p w14:paraId="481FEC28" w14:textId="77777777" w:rsidR="00B51242" w:rsidRDefault="008E4E86">
            <w:pPr>
              <w:spacing w:line="360" w:lineRule="auto"/>
              <w:jc w:val="both"/>
              <w:rPr>
                <w:sz w:val="28"/>
                <w:szCs w:val="28"/>
              </w:rPr>
            </w:pPr>
            <w:r>
              <w:rPr>
                <w:color w:val="000000"/>
                <w:sz w:val="28"/>
                <w:szCs w:val="28"/>
              </w:rPr>
              <w:t>Неясність формату проведення занять</w:t>
            </w:r>
          </w:p>
        </w:tc>
        <w:tc>
          <w:tcPr>
            <w:tcW w:w="4319" w:type="dxa"/>
            <w:shd w:val="clear" w:color="auto" w:fill="auto"/>
          </w:tcPr>
          <w:p w14:paraId="725E1F3F" w14:textId="77777777" w:rsidR="00B51242" w:rsidRDefault="008E4E86">
            <w:pPr>
              <w:spacing w:line="360" w:lineRule="auto"/>
              <w:jc w:val="both"/>
              <w:rPr>
                <w:sz w:val="28"/>
                <w:szCs w:val="28"/>
              </w:rPr>
            </w:pPr>
            <w:r>
              <w:rPr>
                <w:color w:val="000000"/>
                <w:sz w:val="28"/>
                <w:szCs w:val="28"/>
              </w:rPr>
              <w:t>Заняття будуть відбуватися за структурою:</w:t>
            </w:r>
            <w:r>
              <w:rPr>
                <w:color w:val="000000"/>
                <w:sz w:val="28"/>
                <w:szCs w:val="28"/>
              </w:rPr>
              <w:br/>
              <w:t>1. Обговорення домашнього завдання;</w:t>
            </w:r>
            <w:r>
              <w:rPr>
                <w:color w:val="000000"/>
                <w:sz w:val="28"/>
                <w:szCs w:val="28"/>
              </w:rPr>
              <w:br/>
              <w:t>2. Робота з визначеними завданнями;</w:t>
            </w:r>
            <w:r>
              <w:rPr>
                <w:color w:val="000000"/>
                <w:sz w:val="28"/>
                <w:szCs w:val="28"/>
              </w:rPr>
              <w:br/>
              <w:t>3. Формулювання висновків;</w:t>
            </w:r>
            <w:r>
              <w:rPr>
                <w:color w:val="000000"/>
                <w:sz w:val="28"/>
                <w:szCs w:val="28"/>
              </w:rPr>
              <w:br/>
              <w:t>4. Постановка нового домашнього завдання.</w:t>
            </w:r>
          </w:p>
        </w:tc>
      </w:tr>
      <w:tr w:rsidR="00B51242" w14:paraId="188421DD" w14:textId="77777777">
        <w:tc>
          <w:tcPr>
            <w:tcW w:w="4320" w:type="dxa"/>
            <w:shd w:val="clear" w:color="auto" w:fill="auto"/>
          </w:tcPr>
          <w:p w14:paraId="3EF87276" w14:textId="77777777" w:rsidR="00B51242" w:rsidRDefault="008E4E86">
            <w:pPr>
              <w:spacing w:line="360" w:lineRule="auto"/>
              <w:jc w:val="both"/>
              <w:rPr>
                <w:sz w:val="28"/>
                <w:szCs w:val="28"/>
              </w:rPr>
            </w:pPr>
            <w:r>
              <w:rPr>
                <w:color w:val="000000"/>
                <w:sz w:val="28"/>
                <w:szCs w:val="28"/>
              </w:rPr>
              <w:t>Пасивна позиція клієнта</w:t>
            </w:r>
          </w:p>
        </w:tc>
        <w:tc>
          <w:tcPr>
            <w:tcW w:w="4319" w:type="dxa"/>
            <w:shd w:val="clear" w:color="auto" w:fill="auto"/>
          </w:tcPr>
          <w:p w14:paraId="4EB7BDD5" w14:textId="77777777" w:rsidR="00B51242" w:rsidRDefault="008E4E86">
            <w:pPr>
              <w:spacing w:line="360" w:lineRule="auto"/>
              <w:jc w:val="both"/>
              <w:rPr>
                <w:sz w:val="28"/>
                <w:szCs w:val="28"/>
              </w:rPr>
            </w:pPr>
            <w:r>
              <w:rPr>
                <w:color w:val="000000"/>
                <w:sz w:val="28"/>
                <w:szCs w:val="28"/>
              </w:rPr>
              <w:t>Важливо включення отримувача послуг у процес: психолог з’ясовує, чого клієнт очікує, яких цілей прагне досягти на початкових етапах і на завершення курсу.</w:t>
            </w:r>
          </w:p>
        </w:tc>
      </w:tr>
      <w:tr w:rsidR="00B51242" w14:paraId="6D3293A3" w14:textId="77777777">
        <w:tc>
          <w:tcPr>
            <w:tcW w:w="4320" w:type="dxa"/>
            <w:shd w:val="clear" w:color="auto" w:fill="auto"/>
          </w:tcPr>
          <w:p w14:paraId="37FEA3FD" w14:textId="77777777" w:rsidR="00B51242" w:rsidRDefault="008E4E86">
            <w:pPr>
              <w:spacing w:line="360" w:lineRule="auto"/>
              <w:jc w:val="both"/>
              <w:rPr>
                <w:sz w:val="28"/>
                <w:szCs w:val="28"/>
              </w:rPr>
            </w:pPr>
            <w:r>
              <w:rPr>
                <w:color w:val="000000"/>
                <w:sz w:val="28"/>
                <w:szCs w:val="28"/>
              </w:rPr>
              <w:t>Побоювання втрати контролю над процесом</w:t>
            </w:r>
          </w:p>
        </w:tc>
        <w:tc>
          <w:tcPr>
            <w:tcW w:w="4319" w:type="dxa"/>
            <w:shd w:val="clear" w:color="auto" w:fill="auto"/>
          </w:tcPr>
          <w:p w14:paraId="7EFAB49A" w14:textId="77777777" w:rsidR="00B51242" w:rsidRDefault="008E4E86">
            <w:pPr>
              <w:spacing w:line="360" w:lineRule="auto"/>
              <w:jc w:val="both"/>
              <w:rPr>
                <w:sz w:val="28"/>
                <w:szCs w:val="28"/>
              </w:rPr>
            </w:pPr>
            <w:r>
              <w:rPr>
                <w:color w:val="000000"/>
                <w:sz w:val="28"/>
                <w:szCs w:val="28"/>
              </w:rPr>
              <w:t>Усі плани та цілі узгоджуються в терапевтичному альянсі: психолог і клієнт спільно коригують напрямки роботи залежно від потреб.</w:t>
            </w:r>
          </w:p>
        </w:tc>
      </w:tr>
      <w:tr w:rsidR="00B51242" w14:paraId="08ECE89B" w14:textId="77777777">
        <w:tc>
          <w:tcPr>
            <w:tcW w:w="4320" w:type="dxa"/>
            <w:shd w:val="clear" w:color="auto" w:fill="auto"/>
          </w:tcPr>
          <w:p w14:paraId="62046B21" w14:textId="77777777" w:rsidR="00B51242" w:rsidRDefault="008E4E86">
            <w:pPr>
              <w:spacing w:line="360" w:lineRule="auto"/>
              <w:jc w:val="both"/>
              <w:rPr>
                <w:sz w:val="28"/>
                <w:szCs w:val="28"/>
              </w:rPr>
            </w:pPr>
            <w:r>
              <w:rPr>
                <w:color w:val="000000"/>
                <w:sz w:val="28"/>
                <w:szCs w:val="28"/>
              </w:rPr>
              <w:t>Недовіра до ефективності методу</w:t>
            </w:r>
          </w:p>
          <w:p w14:paraId="0C7D08AC" w14:textId="77777777" w:rsidR="00B51242" w:rsidRDefault="00B51242">
            <w:pPr>
              <w:spacing w:line="360" w:lineRule="auto"/>
              <w:jc w:val="both"/>
              <w:rPr>
                <w:color w:val="000000"/>
                <w:sz w:val="28"/>
                <w:szCs w:val="28"/>
              </w:rPr>
            </w:pPr>
          </w:p>
        </w:tc>
        <w:tc>
          <w:tcPr>
            <w:tcW w:w="4319" w:type="dxa"/>
            <w:shd w:val="clear" w:color="auto" w:fill="auto"/>
          </w:tcPr>
          <w:p w14:paraId="71B47F6E" w14:textId="77777777" w:rsidR="00B51242" w:rsidRDefault="008E4E86">
            <w:pPr>
              <w:spacing w:line="360" w:lineRule="auto"/>
              <w:jc w:val="both"/>
              <w:rPr>
                <w:sz w:val="28"/>
                <w:szCs w:val="28"/>
              </w:rPr>
            </w:pPr>
            <w:r>
              <w:rPr>
                <w:color w:val="000000"/>
                <w:sz w:val="28"/>
                <w:szCs w:val="28"/>
              </w:rPr>
              <w:t>Психолог пояснює, як саме КПТ допоможе вирішити конкретні проблемні питання клієнта, переводячи загальні принципи методу у приклади, близькі до його життєвого досвіду.</w:t>
            </w:r>
          </w:p>
        </w:tc>
      </w:tr>
      <w:tr w:rsidR="00B51242" w14:paraId="71DEB91E" w14:textId="77777777">
        <w:tc>
          <w:tcPr>
            <w:tcW w:w="4320" w:type="dxa"/>
            <w:shd w:val="clear" w:color="auto" w:fill="auto"/>
          </w:tcPr>
          <w:p w14:paraId="337792D4" w14:textId="77777777" w:rsidR="00B51242" w:rsidRDefault="008E4E86">
            <w:pPr>
              <w:spacing w:line="360" w:lineRule="auto"/>
              <w:jc w:val="both"/>
              <w:rPr>
                <w:sz w:val="28"/>
                <w:szCs w:val="28"/>
              </w:rPr>
            </w:pPr>
            <w:r>
              <w:rPr>
                <w:color w:val="000000"/>
                <w:sz w:val="28"/>
                <w:szCs w:val="28"/>
              </w:rPr>
              <w:t>Відчуття ненормальності власних реакцій у військовослужбовця</w:t>
            </w:r>
          </w:p>
        </w:tc>
        <w:tc>
          <w:tcPr>
            <w:tcW w:w="4319" w:type="dxa"/>
            <w:shd w:val="clear" w:color="auto" w:fill="auto"/>
          </w:tcPr>
          <w:p w14:paraId="137656F9" w14:textId="77777777" w:rsidR="00B51242" w:rsidRDefault="008E4E86">
            <w:pPr>
              <w:spacing w:line="360" w:lineRule="auto"/>
              <w:jc w:val="both"/>
              <w:rPr>
                <w:sz w:val="28"/>
                <w:szCs w:val="28"/>
              </w:rPr>
            </w:pPr>
            <w:r>
              <w:rPr>
                <w:color w:val="000000"/>
                <w:sz w:val="28"/>
                <w:szCs w:val="28"/>
              </w:rPr>
              <w:t>Пояснити, що все що відбувається з отримувачем послуг, всі реакції (тривога, напруження, уникання, гнів) це нормально, вони є природними захисними механізмами організму, і саме вони будуть предметом роботи. Використовувати спортивну аналогію: «Це тренування психіки так само, як фізичні тренування для тіла».  Поточний стан не означає хворобу, а радше «недостатню тренованість» у сфері психологічних навичок, яку можна розвинути через КПТ.</w:t>
            </w:r>
          </w:p>
        </w:tc>
      </w:tr>
      <w:tr w:rsidR="00B51242" w14:paraId="01AB8DDE" w14:textId="77777777">
        <w:tc>
          <w:tcPr>
            <w:tcW w:w="4320" w:type="dxa"/>
            <w:shd w:val="clear" w:color="auto" w:fill="auto"/>
          </w:tcPr>
          <w:p w14:paraId="1A065AD0" w14:textId="77777777" w:rsidR="00B51242" w:rsidRDefault="008E4E86">
            <w:pPr>
              <w:spacing w:line="360" w:lineRule="auto"/>
              <w:jc w:val="both"/>
              <w:rPr>
                <w:sz w:val="28"/>
                <w:szCs w:val="28"/>
              </w:rPr>
            </w:pPr>
            <w:r>
              <w:rPr>
                <w:color w:val="000000"/>
                <w:sz w:val="28"/>
                <w:szCs w:val="28"/>
              </w:rPr>
              <w:t>Потреба у надії та мотивації</w:t>
            </w:r>
          </w:p>
        </w:tc>
        <w:tc>
          <w:tcPr>
            <w:tcW w:w="4319" w:type="dxa"/>
            <w:shd w:val="clear" w:color="auto" w:fill="auto"/>
          </w:tcPr>
          <w:p w14:paraId="2757279B" w14:textId="77777777" w:rsidR="00B51242" w:rsidRDefault="008E4E86">
            <w:pPr>
              <w:spacing w:line="360" w:lineRule="auto"/>
              <w:jc w:val="both"/>
              <w:rPr>
                <w:sz w:val="28"/>
                <w:szCs w:val="28"/>
              </w:rPr>
            </w:pPr>
            <w:r>
              <w:rPr>
                <w:color w:val="000000"/>
                <w:sz w:val="28"/>
                <w:szCs w:val="28"/>
              </w:rPr>
              <w:t xml:space="preserve">Наголосити що результати з’являтимуться поступово у міру набуття досвіду. </w:t>
            </w:r>
          </w:p>
        </w:tc>
      </w:tr>
    </w:tbl>
    <w:p w14:paraId="0797FC4E"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                                                                                                                                                                                                                                                              </w:t>
      </w:r>
    </w:p>
    <w:p w14:paraId="635387F3" w14:textId="77777777" w:rsidR="00B51242" w:rsidRDefault="008E4E86">
      <w:pPr>
        <w:spacing w:line="360" w:lineRule="auto"/>
        <w:ind w:firstLine="737"/>
        <w:jc w:val="both"/>
      </w:pPr>
      <w:r>
        <w:rPr>
          <w:rStyle w:val="InternetLink"/>
          <w:rFonts w:eastAsia="Times New Roman" w:cs="Times New Roman"/>
          <w:b/>
          <w:bCs/>
          <w:color w:val="000000"/>
          <w:sz w:val="28"/>
          <w:szCs w:val="28"/>
          <w:u w:val="none"/>
        </w:rPr>
        <w:t>ДІАГНОСТИКА</w:t>
      </w:r>
    </w:p>
    <w:p w14:paraId="37A31054" w14:textId="77777777" w:rsidR="00B51242" w:rsidRDefault="00B51242">
      <w:pPr>
        <w:spacing w:line="360" w:lineRule="auto"/>
        <w:jc w:val="both"/>
        <w:rPr>
          <w:rStyle w:val="InternetLink"/>
          <w:sz w:val="28"/>
          <w:szCs w:val="28"/>
        </w:rPr>
      </w:pPr>
    </w:p>
    <w:p w14:paraId="499717F6" w14:textId="77777777" w:rsidR="00B51242" w:rsidRDefault="008E4E86">
      <w:pPr>
        <w:spacing w:line="360" w:lineRule="auto"/>
        <w:ind w:firstLine="737"/>
        <w:jc w:val="both"/>
      </w:pPr>
      <w:r>
        <w:rPr>
          <w:rStyle w:val="InternetLink"/>
          <w:rFonts w:eastAsia="Times New Roman" w:cs="Times New Roman"/>
          <w:b/>
          <w:bCs/>
          <w:color w:val="000000"/>
          <w:sz w:val="28"/>
          <w:szCs w:val="28"/>
          <w:u w:val="none"/>
          <w:lang w:eastAsia="ru-RU"/>
        </w:rPr>
        <w:t xml:space="preserve">Проводиться напівстуктуроване інтервю    </w:t>
      </w:r>
    </w:p>
    <w:p w14:paraId="7D2F53CA"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Початковий етап діагностики - скринінг на ПТСР,</w:t>
      </w:r>
      <w:r>
        <w:rPr>
          <w:rStyle w:val="InternetLink"/>
          <w:rFonts w:eastAsia="Times New Roman" w:cs="Times New Roman"/>
          <w:color w:val="000000"/>
          <w:sz w:val="28"/>
          <w:szCs w:val="28"/>
          <w:u w:val="none"/>
          <w:lang w:eastAsia="ru-RU"/>
        </w:rPr>
        <w:t xml:space="preserve"> для початкової оцінки симптомів.                                                                                                               </w:t>
      </w:r>
    </w:p>
    <w:p w14:paraId="255AA652" w14:textId="77777777" w:rsidR="00B51242" w:rsidRDefault="008E4E86">
      <w:pPr>
        <w:spacing w:line="360" w:lineRule="auto"/>
        <w:jc w:val="both"/>
      </w:pPr>
      <w:r>
        <w:rPr>
          <w:color w:val="000000"/>
          <w:sz w:val="28"/>
          <w:szCs w:val="28"/>
        </w:rPr>
        <w:t xml:space="preserve">Відповідно до Наказу МОЗ № 1265 від 19 липня 2024, за умови участі пацієнта у воєнних/бойових діях діагностика здійснюється з використанням військового варіанта PCL-5                                                                                                </w:t>
      </w:r>
      <w:r>
        <w:rPr>
          <w:color w:val="000000"/>
          <w:sz w:val="28"/>
          <w:szCs w:val="28"/>
          <w:highlight w:val="yellow"/>
        </w:rPr>
        <w:t xml:space="preserve">    </w:t>
      </w:r>
      <w:r>
        <w:rPr>
          <w:color w:val="000000"/>
          <w:sz w:val="28"/>
          <w:szCs w:val="28"/>
        </w:rPr>
        <w:t xml:space="preserve">                                                                                          </w:t>
      </w:r>
      <w:r>
        <w:rPr>
          <w:rStyle w:val="InternetLink"/>
          <w:rFonts w:eastAsia="Times New Roman" w:cs="Times New Roman"/>
          <w:color w:val="000000"/>
          <w:sz w:val="28"/>
          <w:szCs w:val="28"/>
          <w:u w:val="none"/>
          <w:lang w:eastAsia="ru-RU"/>
        </w:rPr>
        <w:t xml:space="preserve">                                       </w:t>
      </w:r>
      <w:r>
        <w:rPr>
          <w:color w:val="000000"/>
          <w:sz w:val="28"/>
          <w:szCs w:val="28"/>
        </w:rPr>
        <w:t xml:space="preserve">                                     </w:t>
      </w:r>
    </w:p>
    <w:p w14:paraId="0A7C373B" w14:textId="77777777" w:rsidR="00B51242" w:rsidRDefault="008E4E86">
      <w:pPr>
        <w:pStyle w:val="2"/>
        <w:spacing w:before="0" w:after="0" w:line="360" w:lineRule="auto"/>
        <w:ind w:firstLine="737"/>
        <w:jc w:val="both"/>
        <w:rPr>
          <w:sz w:val="28"/>
          <w:szCs w:val="28"/>
        </w:rPr>
      </w:pPr>
      <w:r>
        <w:rPr>
          <w:color w:val="000000"/>
          <w:sz w:val="28"/>
          <w:szCs w:val="28"/>
        </w:rPr>
        <w:t xml:space="preserve">PCL – шкала самооцінки наявності ПТСР </w:t>
      </w:r>
    </w:p>
    <w:p w14:paraId="17251E59" w14:textId="77777777" w:rsidR="00B51242" w:rsidRDefault="008E4E86">
      <w:pPr>
        <w:pStyle w:val="2"/>
        <w:spacing w:before="0" w:after="0" w:line="360" w:lineRule="auto"/>
        <w:ind w:firstLine="737"/>
        <w:jc w:val="both"/>
      </w:pPr>
      <w:r>
        <w:rPr>
          <w:color w:val="000000"/>
          <w:sz w:val="28"/>
          <w:szCs w:val="28"/>
        </w:rPr>
        <w:t>(</w:t>
      </w:r>
      <w:hyperlink r:id="rId55">
        <w:r>
          <w:rPr>
            <w:rStyle w:val="InternetLink"/>
            <w:b w:val="0"/>
            <w:caps/>
            <w:color w:val="000000"/>
            <w:sz w:val="28"/>
            <w:szCs w:val="28"/>
            <w:u w:val="none"/>
          </w:rPr>
          <w:t>Український інститут когнітивно- поведінкової терапії</w:t>
        </w:r>
      </w:hyperlink>
      <w:r>
        <w:rPr>
          <w:rStyle w:val="InternetLink"/>
          <w:caps/>
          <w:color w:val="000000"/>
          <w:sz w:val="28"/>
          <w:szCs w:val="28"/>
          <w:u w:val="none"/>
        </w:rPr>
        <w:t xml:space="preserve"> </w:t>
      </w:r>
      <w:r>
        <w:rPr>
          <w:b w:val="0"/>
          <w:bCs w:val="0"/>
          <w:color w:val="000000"/>
          <w:sz w:val="28"/>
          <w:szCs w:val="28"/>
        </w:rPr>
        <w:t>https://i-cbt.org.ua/wp-content/uploads/2017/11/PCL_%D0%9F%D0%A2%D0%A1%D0%A0.pdf )</w:t>
      </w:r>
    </w:p>
    <w:p w14:paraId="6B9522E2" w14:textId="77777777" w:rsidR="00B51242" w:rsidRDefault="008E4E86">
      <w:pPr>
        <w:pStyle w:val="2"/>
        <w:spacing w:before="0" w:after="0" w:line="360" w:lineRule="auto"/>
        <w:ind w:firstLine="737"/>
        <w:jc w:val="both"/>
        <w:rPr>
          <w:sz w:val="28"/>
          <w:szCs w:val="28"/>
        </w:rPr>
      </w:pPr>
      <w:r>
        <w:rPr>
          <w:b w:val="0"/>
          <w:bCs w:val="0"/>
          <w:color w:val="000000"/>
          <w:sz w:val="28"/>
          <w:szCs w:val="28"/>
        </w:rPr>
        <w:t xml:space="preserve">Ця шкала самооцінки щодо симтомів ПТСР базується на критеріях DSM-IV та займає 5-7 хвилин вашого часу. </w:t>
      </w:r>
    </w:p>
    <w:p w14:paraId="7C740D90" w14:textId="77777777" w:rsidR="00B51242" w:rsidRDefault="008E4E86">
      <w:pPr>
        <w:pStyle w:val="2"/>
        <w:spacing w:before="0" w:after="0" w:line="360" w:lineRule="auto"/>
        <w:ind w:firstLine="850"/>
        <w:jc w:val="both"/>
        <w:rPr>
          <w:sz w:val="28"/>
          <w:szCs w:val="28"/>
        </w:rPr>
      </w:pPr>
      <w:r>
        <w:rPr>
          <w:b w:val="0"/>
          <w:bCs w:val="0"/>
          <w:color w:val="000000"/>
          <w:sz w:val="28"/>
          <w:szCs w:val="28"/>
        </w:rPr>
        <w:t xml:space="preserve">Між версіями для військових (М) і для цивільних (С) існують незначні відмінності, так само як і для осіб, що побували в «особливо травмуючих обставинах» (S). Відмінності є в уточненні ситуації в які Ви перебували – тому розглядаємо версію для військових як базову. </w:t>
      </w:r>
    </w:p>
    <w:p w14:paraId="36A89067" w14:textId="77777777" w:rsidR="00B51242" w:rsidRDefault="008E4E86">
      <w:pPr>
        <w:pStyle w:val="2"/>
        <w:spacing w:before="0" w:after="0" w:line="360" w:lineRule="auto"/>
        <w:ind w:firstLine="850"/>
        <w:jc w:val="both"/>
        <w:rPr>
          <w:sz w:val="28"/>
          <w:szCs w:val="28"/>
        </w:rPr>
      </w:pPr>
      <w:r>
        <w:rPr>
          <w:b w:val="0"/>
          <w:bCs w:val="0"/>
          <w:color w:val="000000"/>
          <w:sz w:val="28"/>
          <w:szCs w:val="28"/>
        </w:rPr>
        <w:t xml:space="preserve">Інформація про автора/видавництво: Національний Центр PTSD, Бостон, США. http://www.ncptsd.va.gov/, Дата видання: 1993 </w:t>
      </w:r>
    </w:p>
    <w:p w14:paraId="0F625870" w14:textId="77777777" w:rsidR="00B51242" w:rsidRDefault="008E4E86">
      <w:pPr>
        <w:pStyle w:val="2"/>
        <w:spacing w:before="0" w:after="0" w:line="360" w:lineRule="auto"/>
        <w:ind w:firstLine="850"/>
        <w:jc w:val="both"/>
        <w:rPr>
          <w:sz w:val="28"/>
          <w:szCs w:val="28"/>
        </w:rPr>
      </w:pPr>
      <w:r>
        <w:rPr>
          <w:color w:val="000000"/>
          <w:sz w:val="28"/>
          <w:szCs w:val="28"/>
        </w:rPr>
        <w:t>Опис</w:t>
      </w:r>
      <w:r>
        <w:rPr>
          <w:b w:val="0"/>
          <w:bCs w:val="0"/>
          <w:color w:val="000000"/>
          <w:sz w:val="28"/>
          <w:szCs w:val="28"/>
        </w:rPr>
        <w:t xml:space="preserve"> </w:t>
      </w:r>
    </w:p>
    <w:p w14:paraId="6B386B51" w14:textId="77777777" w:rsidR="00B51242" w:rsidRDefault="008E4E86">
      <w:pPr>
        <w:pStyle w:val="2"/>
        <w:spacing w:before="0" w:after="0" w:line="360" w:lineRule="auto"/>
        <w:ind w:firstLine="850"/>
        <w:jc w:val="both"/>
        <w:rPr>
          <w:sz w:val="28"/>
          <w:szCs w:val="28"/>
        </w:rPr>
      </w:pPr>
      <w:r>
        <w:rPr>
          <w:b w:val="0"/>
          <w:bCs w:val="0"/>
          <w:color w:val="000000"/>
          <w:sz w:val="28"/>
          <w:szCs w:val="28"/>
        </w:rPr>
        <w:t xml:space="preserve">PCL – шкала самооцінки базується на критеріях DSM-IV та містить 17 пунктів – ознак ПТСР. </w:t>
      </w:r>
    </w:p>
    <w:p w14:paraId="07AA6A2B" w14:textId="77777777" w:rsidR="00B51242" w:rsidRDefault="008E4E86">
      <w:pPr>
        <w:pStyle w:val="2"/>
        <w:spacing w:before="0" w:after="0" w:line="360" w:lineRule="auto"/>
        <w:ind w:firstLine="850"/>
        <w:jc w:val="both"/>
        <w:rPr>
          <w:sz w:val="28"/>
          <w:szCs w:val="28"/>
        </w:rPr>
      </w:pPr>
      <w:r>
        <w:rPr>
          <w:b w:val="0"/>
          <w:bCs w:val="0"/>
          <w:color w:val="000000"/>
          <w:sz w:val="28"/>
          <w:szCs w:val="28"/>
        </w:rPr>
        <w:t xml:space="preserve">Респонденти оцінюють кожний пункт від 1 (зовсім ні) до 5 (дуже виражено), щоб вказати ступінь прояву конкретного симптому впродовж минулого місяця. </w:t>
      </w:r>
    </w:p>
    <w:p w14:paraId="7C1A8C16" w14:textId="77777777" w:rsidR="00B51242" w:rsidRDefault="008E4E86">
      <w:pPr>
        <w:pStyle w:val="2"/>
        <w:spacing w:before="0" w:after="0" w:line="360" w:lineRule="auto"/>
        <w:ind w:firstLine="850"/>
        <w:jc w:val="both"/>
        <w:rPr>
          <w:sz w:val="28"/>
          <w:szCs w:val="28"/>
        </w:rPr>
      </w:pPr>
      <w:r>
        <w:rPr>
          <w:b w:val="0"/>
          <w:bCs w:val="0"/>
          <w:color w:val="000000"/>
          <w:sz w:val="28"/>
          <w:szCs w:val="28"/>
        </w:rPr>
        <w:t xml:space="preserve">Існують три версії PCL – шкали, хоча відмінності досить несуттєві. PCL –М - це військова версія, і питання стосуються «травматичного (стресового) військового досвіду». PCL-С – версія для цивільного населення, і питання стосуються «травматичного (стресового) досвіду у минулому». PCL- S – версія стосується певного конкретного виду травми у минулому. Підрахунок балів ідентичний для всіх трьох версій тесту. </w:t>
      </w:r>
    </w:p>
    <w:p w14:paraId="5A9B2DDE" w14:textId="77777777" w:rsidR="00B51242" w:rsidRDefault="008E4E86">
      <w:pPr>
        <w:pStyle w:val="2"/>
        <w:spacing w:before="0" w:after="0" w:line="360" w:lineRule="auto"/>
        <w:ind w:firstLine="850"/>
        <w:jc w:val="both"/>
        <w:rPr>
          <w:sz w:val="28"/>
          <w:szCs w:val="28"/>
        </w:rPr>
      </w:pPr>
      <w:r>
        <w:rPr>
          <w:color w:val="000000"/>
          <w:sz w:val="28"/>
          <w:szCs w:val="28"/>
        </w:rPr>
        <w:t xml:space="preserve"> Оцінка результатів і психометрія </w:t>
      </w:r>
    </w:p>
    <w:p w14:paraId="6A3E36B0" w14:textId="77777777" w:rsidR="00B51242" w:rsidRDefault="008E4E86">
      <w:pPr>
        <w:pStyle w:val="2"/>
        <w:spacing w:before="0" w:after="0" w:line="360" w:lineRule="auto"/>
        <w:ind w:firstLine="850"/>
        <w:jc w:val="both"/>
        <w:rPr>
          <w:sz w:val="28"/>
          <w:szCs w:val="28"/>
        </w:rPr>
      </w:pPr>
      <w:r>
        <w:rPr>
          <w:b w:val="0"/>
          <w:bCs w:val="0"/>
          <w:color w:val="000000"/>
          <w:sz w:val="28"/>
          <w:szCs w:val="28"/>
        </w:rPr>
        <w:t xml:space="preserve">Респонденти оцінюють кожний пункт від 1 (зовсім ні) до 5 (дуже виражено), щоб вказати ступінь прояву конкретного симптому впродовж минулого місяця. Таким чином, діапазон оцінки може перебувати в межах від 17 до 85 балів. Не дивлячись на те, що самооціночні шкали не слід використовувати для постановки формального діагнозу, PCL виявився хорошим діагностичним інструментом, Weathers та інші (1993) рекомендують межу від 50 балів і вище - як оптимальний показник для того, щоб вказати на можливе встановлення діагнозу ПТСР пост-комбатанта (тобто якщо підрахунок балів дорівнює 50 і більше, то можна вже говорити про ПТСР, якщо менше – ні). Альтернативна стратегія підрахунку полягає в тому, щоб використовувати окремі пункти у відповідності до критеріїв DSM-IV. Наприклад, для підозри щодо наявності ПТСР необхідно, щоб було відмічено не менш як на рівні «3» (помірно) або вищому рівні одне із питань з діапазону №№1-5, не менш як 3 питання серед питань діапазону №№6-12, і мінімум 2 серед питань №№13- 17. Пропонується граничний бал 3 (помірно) або більше для кожного пункту - як найбільш відповідний для цього підходу. </w:t>
      </w:r>
    </w:p>
    <w:p w14:paraId="2A02417F" w14:textId="77777777" w:rsidR="00B51242" w:rsidRDefault="008E4E86">
      <w:pPr>
        <w:pStyle w:val="2"/>
        <w:spacing w:before="0" w:after="0" w:line="360" w:lineRule="auto"/>
        <w:ind w:firstLine="850"/>
        <w:jc w:val="both"/>
        <w:rPr>
          <w:sz w:val="28"/>
          <w:szCs w:val="28"/>
        </w:rPr>
      </w:pPr>
      <w:r>
        <w:rPr>
          <w:color w:val="000000"/>
          <w:sz w:val="28"/>
          <w:szCs w:val="28"/>
        </w:rPr>
        <w:t>Психометрія.</w:t>
      </w:r>
      <w:r>
        <w:rPr>
          <w:b w:val="0"/>
          <w:bCs w:val="0"/>
          <w:color w:val="000000"/>
          <w:sz w:val="28"/>
          <w:szCs w:val="28"/>
        </w:rPr>
        <w:t xml:space="preserve"> </w:t>
      </w:r>
    </w:p>
    <w:p w14:paraId="393D2E12" w14:textId="77777777" w:rsidR="00B51242" w:rsidRDefault="008E4E86">
      <w:pPr>
        <w:pStyle w:val="2"/>
        <w:spacing w:before="0" w:after="0" w:line="360" w:lineRule="auto"/>
        <w:ind w:firstLine="850"/>
        <w:jc w:val="both"/>
        <w:rPr>
          <w:sz w:val="28"/>
          <w:szCs w:val="28"/>
        </w:rPr>
      </w:pPr>
      <w:r>
        <w:rPr>
          <w:b w:val="0"/>
          <w:bCs w:val="0"/>
          <w:color w:val="000000"/>
          <w:sz w:val="28"/>
          <w:szCs w:val="28"/>
        </w:rPr>
        <w:t xml:space="preserve">PCL продемонстрував вагомі психометричні якості. Оцінка внутрішньої послідовності (альфа Кронбаха) знаходиться між .94 (Blanchard та інші 1996) та .97 Weathers та інші. 1993). Про надійність випробувального ретестування повідомили як .96 за 2-3 дня, і .88 за 1 тиждень (Blanchard та інші, 1996; Руджерота інші., 2003) </w:t>
      </w:r>
    </w:p>
    <w:p w14:paraId="78679A67" w14:textId="77777777" w:rsidR="00B51242" w:rsidRDefault="008E4E86">
      <w:pPr>
        <w:pStyle w:val="2"/>
        <w:spacing w:before="0" w:after="0" w:line="360" w:lineRule="auto"/>
        <w:ind w:firstLine="850"/>
        <w:jc w:val="both"/>
        <w:rPr>
          <w:sz w:val="28"/>
          <w:szCs w:val="28"/>
        </w:rPr>
      </w:pPr>
      <w:r>
        <w:rPr>
          <w:b w:val="0"/>
          <w:bCs w:val="0"/>
          <w:color w:val="000000"/>
          <w:sz w:val="28"/>
          <w:szCs w:val="28"/>
        </w:rPr>
        <w:t>PCL позитивно корелює з міссісіпською шкалою оцінки ПТСР з конвергентною валідністю між r =.85 та r =.93 (Weathers та інші, 1993). Про сильну кореляцію повідомили шкала Кейна у MMPI-2 (.77), IES (.77-.90) and CAPS .92 (Blanchard та інші, 1996) Граничний бал 50 для діагностування ПТСР продемонстрував хорошу чутливіть (.78 до .82) і специфічність (.83 до .86). Зменшення балів до 44 показало кращу чутливість (.94), специфічність (.86) і повну діагностичну ефективність (.90) с жертвами автомобільних аварій (Blanchard и. al., 1996).</w:t>
      </w:r>
    </w:p>
    <w:p w14:paraId="7DC8C081" w14:textId="77777777" w:rsidR="00B51242" w:rsidRDefault="00B51242">
      <w:pPr>
        <w:pStyle w:val="2"/>
        <w:spacing w:before="0" w:after="0" w:line="360" w:lineRule="auto"/>
        <w:ind w:firstLine="850"/>
        <w:jc w:val="both"/>
        <w:rPr>
          <w:b w:val="0"/>
          <w:bCs w:val="0"/>
          <w:color w:val="000000"/>
          <w:sz w:val="28"/>
          <w:szCs w:val="28"/>
        </w:rPr>
      </w:pPr>
    </w:p>
    <w:p w14:paraId="21644D2A" w14:textId="77777777" w:rsidR="00B51242" w:rsidRDefault="008E4E86">
      <w:pPr>
        <w:pStyle w:val="2"/>
        <w:spacing w:before="0" w:after="0" w:line="360" w:lineRule="auto"/>
        <w:ind w:firstLine="850"/>
        <w:jc w:val="both"/>
        <w:rPr>
          <w:sz w:val="28"/>
          <w:szCs w:val="28"/>
        </w:rPr>
      </w:pPr>
      <w:r>
        <w:rPr>
          <w:b w:val="0"/>
          <w:bCs w:val="0"/>
          <w:color w:val="000000"/>
          <w:sz w:val="28"/>
          <w:szCs w:val="28"/>
        </w:rPr>
        <w:t xml:space="preserve">                         </w:t>
      </w:r>
    </w:p>
    <w:p w14:paraId="2D489A31" w14:textId="77777777" w:rsidR="00B51242" w:rsidRDefault="008E4E86">
      <w:pPr>
        <w:pStyle w:val="2"/>
        <w:spacing w:before="0" w:after="0" w:line="360" w:lineRule="auto"/>
        <w:ind w:firstLine="850"/>
        <w:jc w:val="both"/>
        <w:rPr>
          <w:sz w:val="28"/>
          <w:szCs w:val="28"/>
        </w:rPr>
      </w:pPr>
      <w:r>
        <w:rPr>
          <w:color w:val="000000"/>
          <w:sz w:val="28"/>
          <w:szCs w:val="28"/>
        </w:rPr>
        <w:t xml:space="preserve">      </w:t>
      </w:r>
      <w:bookmarkStart w:id="21" w:name="__DdeLink__6536_1636281306"/>
      <w:r>
        <w:rPr>
          <w:color w:val="000000"/>
          <w:sz w:val="28"/>
          <w:szCs w:val="28"/>
        </w:rPr>
        <w:t>Шкала самооцінки PCL -М (військова версія)</w:t>
      </w:r>
      <w:r>
        <w:rPr>
          <w:b w:val="0"/>
          <w:bCs w:val="0"/>
          <w:color w:val="000000"/>
          <w:sz w:val="28"/>
          <w:szCs w:val="28"/>
        </w:rPr>
        <w:t xml:space="preserve"> </w:t>
      </w:r>
      <w:bookmarkEnd w:id="21"/>
    </w:p>
    <w:p w14:paraId="1EB9D80D" w14:textId="77777777" w:rsidR="00B51242" w:rsidRDefault="008E4E86">
      <w:pPr>
        <w:pStyle w:val="2"/>
        <w:spacing w:before="0" w:after="0" w:line="360" w:lineRule="auto"/>
        <w:jc w:val="both"/>
        <w:rPr>
          <w:sz w:val="28"/>
          <w:szCs w:val="28"/>
        </w:rPr>
      </w:pPr>
      <w:r>
        <w:rPr>
          <w:b w:val="0"/>
          <w:bCs w:val="0"/>
          <w:color w:val="000000"/>
          <w:sz w:val="28"/>
          <w:szCs w:val="28"/>
        </w:rPr>
        <w:t xml:space="preserve">Ім'я ________________________________________________ </w:t>
      </w:r>
    </w:p>
    <w:p w14:paraId="58A6E3BF" w14:textId="77777777" w:rsidR="00B51242" w:rsidRDefault="008E4E86">
      <w:pPr>
        <w:pStyle w:val="2"/>
        <w:spacing w:before="0" w:after="0" w:line="360" w:lineRule="auto"/>
        <w:jc w:val="both"/>
        <w:rPr>
          <w:sz w:val="28"/>
          <w:szCs w:val="28"/>
        </w:rPr>
      </w:pPr>
      <w:r>
        <w:rPr>
          <w:color w:val="000000"/>
          <w:sz w:val="28"/>
          <w:szCs w:val="28"/>
        </w:rPr>
        <w:t>Інструкція щодо заповнення:</w:t>
      </w:r>
      <w:r>
        <w:rPr>
          <w:b w:val="0"/>
          <w:bCs w:val="0"/>
          <w:color w:val="000000"/>
          <w:sz w:val="28"/>
          <w:szCs w:val="28"/>
        </w:rPr>
        <w:t xml:space="preserve"> внизу перераховано проблеми або скарги, які людина може мати внаслідок стресового (травматичного) військового досвіду. Будь ласка, прочитайте кожен пункт уважно, та поставте позначку «</w:t>
      </w:r>
      <w:r>
        <w:rPr>
          <w:color w:val="000000"/>
          <w:sz w:val="28"/>
          <w:szCs w:val="28"/>
        </w:rPr>
        <w:t>Х</w:t>
      </w:r>
      <w:r>
        <w:rPr>
          <w:b w:val="0"/>
          <w:bCs w:val="0"/>
          <w:color w:val="000000"/>
          <w:sz w:val="28"/>
          <w:szCs w:val="28"/>
        </w:rPr>
        <w:t xml:space="preserve">» у графі, що найбільш чітко відображає частоту, з якою Вас турбувало це питання </w:t>
      </w:r>
      <w:r>
        <w:rPr>
          <w:i/>
          <w:iCs/>
          <w:color w:val="000000"/>
          <w:sz w:val="28"/>
          <w:szCs w:val="28"/>
        </w:rPr>
        <w:t xml:space="preserve">минулого місяця </w:t>
      </w:r>
      <w:r>
        <w:rPr>
          <w:color w:val="000000"/>
          <w:sz w:val="28"/>
          <w:szCs w:val="28"/>
        </w:rPr>
        <w:t xml:space="preserve"> </w:t>
      </w:r>
    </w:p>
    <w:tbl>
      <w:tblPr>
        <w:tblW w:w="9300" w:type="dxa"/>
        <w:tblCellMar>
          <w:top w:w="55" w:type="dxa"/>
          <w:left w:w="55" w:type="dxa"/>
          <w:bottom w:w="55" w:type="dxa"/>
          <w:right w:w="55" w:type="dxa"/>
        </w:tblCellMar>
        <w:tblLook w:val="04A0" w:firstRow="1" w:lastRow="0" w:firstColumn="1" w:lastColumn="0" w:noHBand="0" w:noVBand="1"/>
      </w:tblPr>
      <w:tblGrid>
        <w:gridCol w:w="613"/>
        <w:gridCol w:w="2880"/>
        <w:gridCol w:w="1236"/>
        <w:gridCol w:w="1243"/>
        <w:gridCol w:w="1237"/>
        <w:gridCol w:w="1185"/>
        <w:gridCol w:w="906"/>
      </w:tblGrid>
      <w:tr w:rsidR="00B51242" w14:paraId="6310A5F3" w14:textId="77777777">
        <w:tc>
          <w:tcPr>
            <w:tcW w:w="612" w:type="dxa"/>
            <w:tcBorders>
              <w:top w:val="single" w:sz="2" w:space="0" w:color="000000"/>
              <w:left w:val="single" w:sz="2" w:space="0" w:color="000000"/>
              <w:bottom w:val="single" w:sz="2" w:space="0" w:color="000000"/>
            </w:tcBorders>
            <w:shd w:val="clear" w:color="auto" w:fill="auto"/>
          </w:tcPr>
          <w:p w14:paraId="3E9E3C07" w14:textId="77777777" w:rsidR="00B51242" w:rsidRDefault="008E4E86">
            <w:pPr>
              <w:spacing w:line="360" w:lineRule="auto"/>
              <w:jc w:val="both"/>
              <w:rPr>
                <w:sz w:val="28"/>
                <w:szCs w:val="28"/>
              </w:rPr>
            </w:pPr>
            <w:r>
              <w:rPr>
                <w:color w:val="000000"/>
                <w:sz w:val="28"/>
                <w:szCs w:val="28"/>
              </w:rPr>
              <w:t xml:space="preserve">          №</w:t>
            </w:r>
          </w:p>
          <w:p w14:paraId="38EC52E6" w14:textId="77777777" w:rsidR="00B51242" w:rsidRDefault="008E4E86">
            <w:pPr>
              <w:spacing w:line="360" w:lineRule="auto"/>
              <w:jc w:val="both"/>
              <w:rPr>
                <w:sz w:val="28"/>
                <w:szCs w:val="28"/>
              </w:rPr>
            </w:pPr>
            <w:r>
              <w:rPr>
                <w:color w:val="000000"/>
                <w:sz w:val="28"/>
                <w:szCs w:val="28"/>
              </w:rPr>
              <w:t>з/п</w:t>
            </w:r>
          </w:p>
        </w:tc>
        <w:tc>
          <w:tcPr>
            <w:tcW w:w="2880" w:type="dxa"/>
            <w:tcBorders>
              <w:top w:val="single" w:sz="2" w:space="0" w:color="000000"/>
              <w:left w:val="single" w:sz="2" w:space="0" w:color="000000"/>
              <w:bottom w:val="single" w:sz="2" w:space="0" w:color="000000"/>
            </w:tcBorders>
            <w:shd w:val="clear" w:color="auto" w:fill="auto"/>
          </w:tcPr>
          <w:p w14:paraId="0477E574" w14:textId="77777777" w:rsidR="00B51242" w:rsidRDefault="00B51242">
            <w:pPr>
              <w:spacing w:line="360" w:lineRule="auto"/>
              <w:jc w:val="both"/>
              <w:rPr>
                <w:color w:val="000000"/>
                <w:sz w:val="28"/>
                <w:szCs w:val="28"/>
              </w:rPr>
            </w:pPr>
          </w:p>
          <w:p w14:paraId="47FA23B8" w14:textId="77777777" w:rsidR="00B51242" w:rsidRDefault="008E4E86">
            <w:pPr>
              <w:spacing w:line="360" w:lineRule="auto"/>
              <w:jc w:val="both"/>
              <w:rPr>
                <w:sz w:val="28"/>
                <w:szCs w:val="28"/>
              </w:rPr>
            </w:pPr>
            <w:r>
              <w:rPr>
                <w:color w:val="000000"/>
                <w:sz w:val="28"/>
                <w:szCs w:val="28"/>
              </w:rPr>
              <w:t xml:space="preserve">      Питання</w:t>
            </w:r>
          </w:p>
        </w:tc>
        <w:tc>
          <w:tcPr>
            <w:tcW w:w="1236" w:type="dxa"/>
            <w:tcBorders>
              <w:top w:val="single" w:sz="2" w:space="0" w:color="000000"/>
              <w:left w:val="single" w:sz="2" w:space="0" w:color="000000"/>
              <w:bottom w:val="single" w:sz="2" w:space="0" w:color="000000"/>
            </w:tcBorders>
            <w:shd w:val="clear" w:color="auto" w:fill="auto"/>
          </w:tcPr>
          <w:p w14:paraId="38B6E580" w14:textId="77777777" w:rsidR="00B51242" w:rsidRDefault="008E4E86">
            <w:pPr>
              <w:spacing w:line="360" w:lineRule="auto"/>
              <w:jc w:val="both"/>
              <w:rPr>
                <w:sz w:val="28"/>
                <w:szCs w:val="28"/>
              </w:rPr>
            </w:pPr>
            <w:r>
              <w:rPr>
                <w:color w:val="000000"/>
                <w:sz w:val="28"/>
                <w:szCs w:val="28"/>
              </w:rPr>
              <w:t xml:space="preserve">Не було </w:t>
            </w:r>
          </w:p>
          <w:p w14:paraId="546A1393" w14:textId="77777777" w:rsidR="00B51242" w:rsidRDefault="008E4E86">
            <w:pPr>
              <w:spacing w:line="360" w:lineRule="auto"/>
              <w:jc w:val="both"/>
              <w:rPr>
                <w:sz w:val="28"/>
                <w:szCs w:val="28"/>
              </w:rPr>
            </w:pPr>
            <w:r>
              <w:rPr>
                <w:color w:val="000000"/>
                <w:sz w:val="28"/>
                <w:szCs w:val="28"/>
              </w:rPr>
              <w:t xml:space="preserve">зовсім </w:t>
            </w:r>
          </w:p>
          <w:p w14:paraId="2F2AAC4E" w14:textId="77777777" w:rsidR="00B51242" w:rsidRDefault="008E4E86">
            <w:pPr>
              <w:spacing w:line="360" w:lineRule="auto"/>
              <w:jc w:val="both"/>
              <w:rPr>
                <w:sz w:val="28"/>
                <w:szCs w:val="28"/>
              </w:rPr>
            </w:pPr>
            <w:r>
              <w:rPr>
                <w:color w:val="000000"/>
                <w:sz w:val="28"/>
                <w:szCs w:val="28"/>
              </w:rPr>
              <w:t xml:space="preserve">(1) </w:t>
            </w:r>
          </w:p>
        </w:tc>
        <w:tc>
          <w:tcPr>
            <w:tcW w:w="1243" w:type="dxa"/>
            <w:tcBorders>
              <w:top w:val="single" w:sz="2" w:space="0" w:color="000000"/>
              <w:left w:val="single" w:sz="2" w:space="0" w:color="000000"/>
              <w:bottom w:val="single" w:sz="2" w:space="0" w:color="000000"/>
            </w:tcBorders>
            <w:shd w:val="clear" w:color="auto" w:fill="auto"/>
          </w:tcPr>
          <w:p w14:paraId="7319C403" w14:textId="77777777" w:rsidR="00B51242" w:rsidRDefault="008E4E86">
            <w:pPr>
              <w:spacing w:line="360" w:lineRule="auto"/>
              <w:jc w:val="both"/>
              <w:rPr>
                <w:sz w:val="28"/>
                <w:szCs w:val="28"/>
              </w:rPr>
            </w:pPr>
            <w:r>
              <w:rPr>
                <w:color w:val="000000"/>
                <w:sz w:val="28"/>
                <w:szCs w:val="28"/>
              </w:rPr>
              <w:t xml:space="preserve"> Інколи</w:t>
            </w:r>
          </w:p>
          <w:p w14:paraId="3901FF6C" w14:textId="77777777" w:rsidR="00B51242" w:rsidRDefault="008E4E86">
            <w:pPr>
              <w:spacing w:line="360" w:lineRule="auto"/>
              <w:jc w:val="both"/>
              <w:rPr>
                <w:sz w:val="28"/>
                <w:szCs w:val="28"/>
              </w:rPr>
            </w:pPr>
            <w:r>
              <w:rPr>
                <w:color w:val="000000"/>
                <w:sz w:val="28"/>
                <w:szCs w:val="28"/>
              </w:rPr>
              <w:t xml:space="preserve"> (2) </w:t>
            </w:r>
          </w:p>
        </w:tc>
        <w:tc>
          <w:tcPr>
            <w:tcW w:w="1237" w:type="dxa"/>
            <w:tcBorders>
              <w:top w:val="single" w:sz="2" w:space="0" w:color="000000"/>
              <w:left w:val="single" w:sz="2" w:space="0" w:color="000000"/>
              <w:bottom w:val="single" w:sz="2" w:space="0" w:color="000000"/>
            </w:tcBorders>
            <w:shd w:val="clear" w:color="auto" w:fill="auto"/>
          </w:tcPr>
          <w:p w14:paraId="58C3A721" w14:textId="77777777" w:rsidR="00B51242" w:rsidRDefault="008E4E86">
            <w:pPr>
              <w:spacing w:line="360" w:lineRule="auto"/>
              <w:jc w:val="both"/>
              <w:rPr>
                <w:sz w:val="28"/>
                <w:szCs w:val="28"/>
              </w:rPr>
            </w:pPr>
            <w:r>
              <w:rPr>
                <w:color w:val="000000"/>
                <w:sz w:val="28"/>
                <w:szCs w:val="28"/>
              </w:rPr>
              <w:t xml:space="preserve">Помірно </w:t>
            </w:r>
          </w:p>
          <w:p w14:paraId="35DDE7AE" w14:textId="77777777" w:rsidR="00B51242" w:rsidRDefault="008E4E86">
            <w:pPr>
              <w:spacing w:line="360" w:lineRule="auto"/>
              <w:jc w:val="both"/>
              <w:rPr>
                <w:sz w:val="28"/>
                <w:szCs w:val="28"/>
              </w:rPr>
            </w:pPr>
            <w:r>
              <w:rPr>
                <w:color w:val="000000"/>
                <w:sz w:val="28"/>
                <w:szCs w:val="28"/>
              </w:rPr>
              <w:t>(3)</w:t>
            </w:r>
          </w:p>
        </w:tc>
        <w:tc>
          <w:tcPr>
            <w:tcW w:w="1185" w:type="dxa"/>
            <w:tcBorders>
              <w:top w:val="single" w:sz="2" w:space="0" w:color="000000"/>
              <w:left w:val="single" w:sz="2" w:space="0" w:color="000000"/>
              <w:bottom w:val="single" w:sz="2" w:space="0" w:color="000000"/>
            </w:tcBorders>
            <w:shd w:val="clear" w:color="auto" w:fill="auto"/>
          </w:tcPr>
          <w:p w14:paraId="2CBABA9D" w14:textId="77777777" w:rsidR="00B51242" w:rsidRDefault="008E4E86">
            <w:pPr>
              <w:spacing w:line="360" w:lineRule="auto"/>
              <w:jc w:val="both"/>
              <w:rPr>
                <w:sz w:val="28"/>
                <w:szCs w:val="28"/>
              </w:rPr>
            </w:pPr>
            <w:r>
              <w:rPr>
                <w:color w:val="000000"/>
                <w:sz w:val="28"/>
                <w:szCs w:val="28"/>
              </w:rPr>
              <w:t xml:space="preserve">Часто </w:t>
            </w:r>
          </w:p>
          <w:p w14:paraId="4978132D" w14:textId="77777777" w:rsidR="00B51242" w:rsidRDefault="008E4E86">
            <w:pPr>
              <w:spacing w:line="360" w:lineRule="auto"/>
              <w:jc w:val="both"/>
              <w:rPr>
                <w:sz w:val="28"/>
                <w:szCs w:val="28"/>
              </w:rPr>
            </w:pPr>
            <w:r>
              <w:rPr>
                <w:color w:val="000000"/>
                <w:sz w:val="28"/>
                <w:szCs w:val="28"/>
              </w:rPr>
              <w:t xml:space="preserve">(4)    </w:t>
            </w:r>
          </w:p>
        </w:tc>
        <w:tc>
          <w:tcPr>
            <w:tcW w:w="906" w:type="dxa"/>
            <w:tcBorders>
              <w:top w:val="single" w:sz="2" w:space="0" w:color="000000"/>
              <w:left w:val="single" w:sz="2" w:space="0" w:color="000000"/>
              <w:bottom w:val="single" w:sz="2" w:space="0" w:color="000000"/>
              <w:right w:val="single" w:sz="2" w:space="0" w:color="000000"/>
            </w:tcBorders>
            <w:shd w:val="clear" w:color="auto" w:fill="auto"/>
          </w:tcPr>
          <w:p w14:paraId="09424748" w14:textId="77777777" w:rsidR="00B51242" w:rsidRDefault="008E4E86">
            <w:pPr>
              <w:spacing w:line="360" w:lineRule="auto"/>
              <w:jc w:val="both"/>
              <w:rPr>
                <w:sz w:val="28"/>
                <w:szCs w:val="28"/>
              </w:rPr>
            </w:pPr>
            <w:r>
              <w:rPr>
                <w:color w:val="000000"/>
                <w:sz w:val="28"/>
                <w:szCs w:val="28"/>
              </w:rPr>
              <w:t>Дуже</w:t>
            </w:r>
          </w:p>
          <w:p w14:paraId="18CBC915" w14:textId="77777777" w:rsidR="00B51242" w:rsidRDefault="008E4E86">
            <w:pPr>
              <w:spacing w:line="360" w:lineRule="auto"/>
              <w:jc w:val="both"/>
              <w:rPr>
                <w:sz w:val="28"/>
                <w:szCs w:val="28"/>
              </w:rPr>
            </w:pPr>
            <w:r>
              <w:rPr>
                <w:color w:val="000000"/>
                <w:sz w:val="28"/>
                <w:szCs w:val="28"/>
              </w:rPr>
              <w:t xml:space="preserve">часто </w:t>
            </w:r>
          </w:p>
          <w:p w14:paraId="60D2F9E6" w14:textId="77777777" w:rsidR="00B51242" w:rsidRDefault="008E4E86">
            <w:pPr>
              <w:spacing w:line="360" w:lineRule="auto"/>
              <w:jc w:val="both"/>
              <w:rPr>
                <w:sz w:val="28"/>
                <w:szCs w:val="28"/>
              </w:rPr>
            </w:pPr>
            <w:r>
              <w:rPr>
                <w:color w:val="000000"/>
                <w:sz w:val="28"/>
                <w:szCs w:val="28"/>
              </w:rPr>
              <w:t xml:space="preserve">(5) </w:t>
            </w:r>
          </w:p>
        </w:tc>
      </w:tr>
      <w:tr w:rsidR="00B51242" w14:paraId="781F7BA5" w14:textId="77777777">
        <w:tc>
          <w:tcPr>
            <w:tcW w:w="612" w:type="dxa"/>
            <w:tcBorders>
              <w:left w:val="single" w:sz="2" w:space="0" w:color="000000"/>
              <w:bottom w:val="single" w:sz="2" w:space="0" w:color="000000"/>
            </w:tcBorders>
            <w:shd w:val="clear" w:color="auto" w:fill="auto"/>
          </w:tcPr>
          <w:p w14:paraId="649841BE" w14:textId="77777777" w:rsidR="00B51242" w:rsidRDefault="008E4E86">
            <w:pPr>
              <w:spacing w:line="360" w:lineRule="auto"/>
              <w:jc w:val="both"/>
              <w:rPr>
                <w:sz w:val="28"/>
                <w:szCs w:val="28"/>
              </w:rPr>
            </w:pPr>
            <w:r>
              <w:rPr>
                <w:color w:val="000000"/>
                <w:sz w:val="28"/>
                <w:szCs w:val="28"/>
              </w:rPr>
              <w:t>1</w:t>
            </w:r>
          </w:p>
        </w:tc>
        <w:tc>
          <w:tcPr>
            <w:tcW w:w="2880" w:type="dxa"/>
            <w:tcBorders>
              <w:left w:val="single" w:sz="2" w:space="0" w:color="000000"/>
              <w:bottom w:val="single" w:sz="2" w:space="0" w:color="000000"/>
            </w:tcBorders>
            <w:shd w:val="clear" w:color="auto" w:fill="auto"/>
          </w:tcPr>
          <w:p w14:paraId="5C422EA1" w14:textId="77777777" w:rsidR="00B51242" w:rsidRDefault="008E4E86">
            <w:pPr>
              <w:spacing w:line="360" w:lineRule="auto"/>
              <w:jc w:val="both"/>
              <w:rPr>
                <w:sz w:val="28"/>
                <w:szCs w:val="28"/>
              </w:rPr>
            </w:pPr>
            <w:r>
              <w:rPr>
                <w:color w:val="000000"/>
                <w:sz w:val="28"/>
                <w:szCs w:val="28"/>
              </w:rPr>
              <w:t xml:space="preserve">Думки і спогади, що повторюються і турбують, або ж нав’язливі картини травматичного досвіду з минулого? </w:t>
            </w:r>
          </w:p>
        </w:tc>
        <w:tc>
          <w:tcPr>
            <w:tcW w:w="1236" w:type="dxa"/>
            <w:tcBorders>
              <w:left w:val="single" w:sz="2" w:space="0" w:color="000000"/>
              <w:bottom w:val="single" w:sz="2" w:space="0" w:color="000000"/>
            </w:tcBorders>
            <w:shd w:val="clear" w:color="auto" w:fill="auto"/>
          </w:tcPr>
          <w:p w14:paraId="3FD9042A"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052D4810"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62D3F89E"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2780AF0D"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46FC4A0D" w14:textId="77777777" w:rsidR="00B51242" w:rsidRDefault="00B51242">
            <w:pPr>
              <w:spacing w:line="360" w:lineRule="auto"/>
              <w:jc w:val="both"/>
              <w:rPr>
                <w:color w:val="000000"/>
                <w:sz w:val="28"/>
                <w:szCs w:val="28"/>
              </w:rPr>
            </w:pPr>
          </w:p>
        </w:tc>
      </w:tr>
      <w:tr w:rsidR="00B51242" w14:paraId="672CCA9F" w14:textId="77777777">
        <w:tc>
          <w:tcPr>
            <w:tcW w:w="612" w:type="dxa"/>
            <w:tcBorders>
              <w:left w:val="single" w:sz="2" w:space="0" w:color="000000"/>
              <w:bottom w:val="single" w:sz="2" w:space="0" w:color="000000"/>
            </w:tcBorders>
            <w:shd w:val="clear" w:color="auto" w:fill="auto"/>
          </w:tcPr>
          <w:p w14:paraId="18F999B5" w14:textId="77777777" w:rsidR="00B51242" w:rsidRDefault="008E4E86">
            <w:pPr>
              <w:spacing w:line="360" w:lineRule="auto"/>
              <w:jc w:val="both"/>
              <w:rPr>
                <w:sz w:val="28"/>
                <w:szCs w:val="28"/>
              </w:rPr>
            </w:pPr>
            <w:r>
              <w:rPr>
                <w:color w:val="000000"/>
                <w:sz w:val="28"/>
                <w:szCs w:val="28"/>
              </w:rPr>
              <w:t>2</w:t>
            </w:r>
          </w:p>
        </w:tc>
        <w:tc>
          <w:tcPr>
            <w:tcW w:w="2880" w:type="dxa"/>
            <w:tcBorders>
              <w:left w:val="single" w:sz="2" w:space="0" w:color="000000"/>
              <w:bottom w:val="single" w:sz="2" w:space="0" w:color="000000"/>
            </w:tcBorders>
            <w:shd w:val="clear" w:color="auto" w:fill="auto"/>
          </w:tcPr>
          <w:p w14:paraId="1772CF3C" w14:textId="77777777" w:rsidR="00B51242" w:rsidRDefault="008E4E86">
            <w:pPr>
              <w:spacing w:line="360" w:lineRule="auto"/>
              <w:jc w:val="both"/>
              <w:rPr>
                <w:sz w:val="28"/>
                <w:szCs w:val="28"/>
              </w:rPr>
            </w:pPr>
            <w:r>
              <w:rPr>
                <w:color w:val="000000"/>
                <w:sz w:val="28"/>
                <w:szCs w:val="28"/>
              </w:rPr>
              <w:t xml:space="preserve">Повторювані, турбуючи сни про травматичний досвід з минулого? </w:t>
            </w:r>
          </w:p>
        </w:tc>
        <w:tc>
          <w:tcPr>
            <w:tcW w:w="1236" w:type="dxa"/>
            <w:tcBorders>
              <w:left w:val="single" w:sz="2" w:space="0" w:color="000000"/>
              <w:bottom w:val="single" w:sz="2" w:space="0" w:color="000000"/>
            </w:tcBorders>
            <w:shd w:val="clear" w:color="auto" w:fill="auto"/>
          </w:tcPr>
          <w:p w14:paraId="4DC2ECC6"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79796693"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47297C67"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048740F3"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51371A77" w14:textId="77777777" w:rsidR="00B51242" w:rsidRDefault="00B51242">
            <w:pPr>
              <w:spacing w:line="360" w:lineRule="auto"/>
              <w:jc w:val="both"/>
              <w:rPr>
                <w:color w:val="000000"/>
                <w:sz w:val="28"/>
                <w:szCs w:val="28"/>
              </w:rPr>
            </w:pPr>
          </w:p>
        </w:tc>
      </w:tr>
      <w:tr w:rsidR="00B51242" w14:paraId="0611330A" w14:textId="77777777">
        <w:tc>
          <w:tcPr>
            <w:tcW w:w="612" w:type="dxa"/>
            <w:tcBorders>
              <w:left w:val="single" w:sz="2" w:space="0" w:color="000000"/>
              <w:bottom w:val="single" w:sz="2" w:space="0" w:color="000000"/>
            </w:tcBorders>
            <w:shd w:val="clear" w:color="auto" w:fill="auto"/>
          </w:tcPr>
          <w:p w14:paraId="5FCD5EC4" w14:textId="77777777" w:rsidR="00B51242" w:rsidRDefault="008E4E86">
            <w:pPr>
              <w:spacing w:line="360" w:lineRule="auto"/>
              <w:jc w:val="both"/>
              <w:rPr>
                <w:sz w:val="28"/>
                <w:szCs w:val="28"/>
              </w:rPr>
            </w:pPr>
            <w:r>
              <w:rPr>
                <w:color w:val="000000"/>
                <w:sz w:val="28"/>
                <w:szCs w:val="28"/>
              </w:rPr>
              <w:t>3</w:t>
            </w:r>
          </w:p>
        </w:tc>
        <w:tc>
          <w:tcPr>
            <w:tcW w:w="2880" w:type="dxa"/>
            <w:tcBorders>
              <w:left w:val="single" w:sz="2" w:space="0" w:color="000000"/>
              <w:bottom w:val="single" w:sz="2" w:space="0" w:color="000000"/>
            </w:tcBorders>
            <w:shd w:val="clear" w:color="auto" w:fill="auto"/>
          </w:tcPr>
          <w:p w14:paraId="0EFDDF14" w14:textId="77777777" w:rsidR="00B51242" w:rsidRDefault="008E4E86">
            <w:pPr>
              <w:spacing w:line="360" w:lineRule="auto"/>
              <w:jc w:val="both"/>
              <w:rPr>
                <w:sz w:val="28"/>
                <w:szCs w:val="28"/>
              </w:rPr>
            </w:pPr>
            <w:r>
              <w:rPr>
                <w:color w:val="000000"/>
                <w:sz w:val="28"/>
                <w:szCs w:val="28"/>
              </w:rPr>
              <w:t xml:space="preserve">Чи часто ви починаєте діяти так, як у травмуючій ситауції, або почуваєтеся, ніби ви ще там, ніби вона знову повторюється (переживаєте ситуацію знову)? </w:t>
            </w:r>
          </w:p>
        </w:tc>
        <w:tc>
          <w:tcPr>
            <w:tcW w:w="1236" w:type="dxa"/>
            <w:tcBorders>
              <w:left w:val="single" w:sz="2" w:space="0" w:color="000000"/>
              <w:bottom w:val="single" w:sz="2" w:space="0" w:color="000000"/>
            </w:tcBorders>
            <w:shd w:val="clear" w:color="auto" w:fill="auto"/>
          </w:tcPr>
          <w:p w14:paraId="732434A0"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2328BB07"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256AC6DA"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38AA98D6"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665A1408" w14:textId="77777777" w:rsidR="00B51242" w:rsidRDefault="00B51242">
            <w:pPr>
              <w:spacing w:line="360" w:lineRule="auto"/>
              <w:jc w:val="both"/>
              <w:rPr>
                <w:color w:val="000000"/>
                <w:sz w:val="28"/>
                <w:szCs w:val="28"/>
              </w:rPr>
            </w:pPr>
          </w:p>
        </w:tc>
      </w:tr>
      <w:tr w:rsidR="00B51242" w14:paraId="51255572" w14:textId="77777777">
        <w:tc>
          <w:tcPr>
            <w:tcW w:w="612" w:type="dxa"/>
            <w:tcBorders>
              <w:left w:val="single" w:sz="2" w:space="0" w:color="000000"/>
              <w:bottom w:val="single" w:sz="2" w:space="0" w:color="000000"/>
            </w:tcBorders>
            <w:shd w:val="clear" w:color="auto" w:fill="auto"/>
          </w:tcPr>
          <w:p w14:paraId="2598DEE6" w14:textId="77777777" w:rsidR="00B51242" w:rsidRDefault="008E4E86">
            <w:pPr>
              <w:spacing w:line="360" w:lineRule="auto"/>
              <w:jc w:val="both"/>
              <w:rPr>
                <w:sz w:val="28"/>
                <w:szCs w:val="28"/>
              </w:rPr>
            </w:pPr>
            <w:r>
              <w:rPr>
                <w:color w:val="000000"/>
                <w:sz w:val="28"/>
                <w:szCs w:val="28"/>
              </w:rPr>
              <w:t>4</w:t>
            </w:r>
          </w:p>
        </w:tc>
        <w:tc>
          <w:tcPr>
            <w:tcW w:w="2880" w:type="dxa"/>
            <w:tcBorders>
              <w:left w:val="single" w:sz="2" w:space="0" w:color="000000"/>
              <w:bottom w:val="single" w:sz="2" w:space="0" w:color="000000"/>
            </w:tcBorders>
            <w:shd w:val="clear" w:color="auto" w:fill="auto"/>
          </w:tcPr>
          <w:p w14:paraId="189C8113" w14:textId="77777777" w:rsidR="00B51242" w:rsidRDefault="008E4E86">
            <w:pPr>
              <w:spacing w:line="360" w:lineRule="auto"/>
              <w:jc w:val="both"/>
              <w:rPr>
                <w:sz w:val="28"/>
                <w:szCs w:val="28"/>
              </w:rPr>
            </w:pPr>
            <w:r>
              <w:rPr>
                <w:color w:val="000000"/>
                <w:sz w:val="28"/>
                <w:szCs w:val="28"/>
              </w:rPr>
              <w:t xml:space="preserve">Почуваєтеся пригніченим, засмучуєтесь, якщо дещо нагадує вам травматичну ситуацію з минулого? </w:t>
            </w:r>
          </w:p>
        </w:tc>
        <w:tc>
          <w:tcPr>
            <w:tcW w:w="1236" w:type="dxa"/>
            <w:tcBorders>
              <w:left w:val="single" w:sz="2" w:space="0" w:color="000000"/>
              <w:bottom w:val="single" w:sz="2" w:space="0" w:color="000000"/>
            </w:tcBorders>
            <w:shd w:val="clear" w:color="auto" w:fill="auto"/>
          </w:tcPr>
          <w:p w14:paraId="71049383"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4D16AC41"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12A4EA11"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5A1EA135"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58717D39" w14:textId="77777777" w:rsidR="00B51242" w:rsidRDefault="00B51242">
            <w:pPr>
              <w:spacing w:line="360" w:lineRule="auto"/>
              <w:jc w:val="both"/>
              <w:rPr>
                <w:color w:val="000000"/>
                <w:sz w:val="28"/>
                <w:szCs w:val="28"/>
              </w:rPr>
            </w:pPr>
          </w:p>
        </w:tc>
      </w:tr>
      <w:tr w:rsidR="00B51242" w14:paraId="67AFCD4D" w14:textId="77777777">
        <w:tc>
          <w:tcPr>
            <w:tcW w:w="612" w:type="dxa"/>
            <w:tcBorders>
              <w:left w:val="single" w:sz="2" w:space="0" w:color="000000"/>
              <w:bottom w:val="single" w:sz="2" w:space="0" w:color="000000"/>
            </w:tcBorders>
            <w:shd w:val="clear" w:color="auto" w:fill="auto"/>
          </w:tcPr>
          <w:p w14:paraId="78941E47" w14:textId="77777777" w:rsidR="00B51242" w:rsidRDefault="008E4E86">
            <w:pPr>
              <w:spacing w:line="360" w:lineRule="auto"/>
              <w:jc w:val="both"/>
              <w:rPr>
                <w:sz w:val="28"/>
                <w:szCs w:val="28"/>
              </w:rPr>
            </w:pPr>
            <w:r>
              <w:rPr>
                <w:color w:val="000000"/>
                <w:sz w:val="28"/>
                <w:szCs w:val="28"/>
              </w:rPr>
              <w:t>5</w:t>
            </w:r>
          </w:p>
        </w:tc>
        <w:tc>
          <w:tcPr>
            <w:tcW w:w="2880" w:type="dxa"/>
            <w:tcBorders>
              <w:left w:val="single" w:sz="2" w:space="0" w:color="000000"/>
              <w:bottom w:val="single" w:sz="2" w:space="0" w:color="000000"/>
            </w:tcBorders>
            <w:shd w:val="clear" w:color="auto" w:fill="auto"/>
          </w:tcPr>
          <w:p w14:paraId="7678B049" w14:textId="77777777" w:rsidR="00B51242" w:rsidRDefault="008E4E86">
            <w:pPr>
              <w:spacing w:line="360" w:lineRule="auto"/>
              <w:jc w:val="both"/>
              <w:rPr>
                <w:sz w:val="28"/>
                <w:szCs w:val="28"/>
              </w:rPr>
            </w:pPr>
            <w:r>
              <w:rPr>
                <w:color w:val="000000"/>
                <w:sz w:val="28"/>
                <w:szCs w:val="28"/>
              </w:rPr>
              <w:t xml:space="preserve">Фізично реагуєте (тобто - сильне серцебиття, проблеми з диханням або сильне потіння) коли щось нагадує вам про травматичний досвід з минулого? </w:t>
            </w:r>
          </w:p>
        </w:tc>
        <w:tc>
          <w:tcPr>
            <w:tcW w:w="1236" w:type="dxa"/>
            <w:tcBorders>
              <w:left w:val="single" w:sz="2" w:space="0" w:color="000000"/>
              <w:bottom w:val="single" w:sz="2" w:space="0" w:color="000000"/>
            </w:tcBorders>
            <w:shd w:val="clear" w:color="auto" w:fill="auto"/>
          </w:tcPr>
          <w:p w14:paraId="5338A720"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61DAA4D5"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2AEAF47F"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281B37BA"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2E500C74" w14:textId="77777777" w:rsidR="00B51242" w:rsidRDefault="00B51242">
            <w:pPr>
              <w:spacing w:line="360" w:lineRule="auto"/>
              <w:jc w:val="both"/>
              <w:rPr>
                <w:color w:val="000000"/>
                <w:sz w:val="28"/>
                <w:szCs w:val="28"/>
              </w:rPr>
            </w:pPr>
          </w:p>
        </w:tc>
      </w:tr>
      <w:tr w:rsidR="00B51242" w14:paraId="2E21D19B" w14:textId="77777777">
        <w:tc>
          <w:tcPr>
            <w:tcW w:w="612" w:type="dxa"/>
            <w:tcBorders>
              <w:left w:val="single" w:sz="2" w:space="0" w:color="000000"/>
              <w:bottom w:val="single" w:sz="2" w:space="0" w:color="000000"/>
            </w:tcBorders>
            <w:shd w:val="clear" w:color="auto" w:fill="auto"/>
          </w:tcPr>
          <w:p w14:paraId="29B4EA11" w14:textId="77777777" w:rsidR="00B51242" w:rsidRDefault="008E4E86">
            <w:pPr>
              <w:spacing w:line="360" w:lineRule="auto"/>
              <w:jc w:val="both"/>
              <w:rPr>
                <w:sz w:val="28"/>
                <w:szCs w:val="28"/>
              </w:rPr>
            </w:pPr>
            <w:r>
              <w:rPr>
                <w:color w:val="000000"/>
                <w:sz w:val="28"/>
                <w:szCs w:val="28"/>
              </w:rPr>
              <w:t>6</w:t>
            </w:r>
          </w:p>
        </w:tc>
        <w:tc>
          <w:tcPr>
            <w:tcW w:w="2880" w:type="dxa"/>
            <w:tcBorders>
              <w:left w:val="single" w:sz="2" w:space="0" w:color="000000"/>
              <w:bottom w:val="single" w:sz="2" w:space="0" w:color="000000"/>
            </w:tcBorders>
            <w:shd w:val="clear" w:color="auto" w:fill="auto"/>
          </w:tcPr>
          <w:p w14:paraId="474EAD84" w14:textId="77777777" w:rsidR="00B51242" w:rsidRDefault="008E4E86">
            <w:pPr>
              <w:spacing w:line="360" w:lineRule="auto"/>
              <w:jc w:val="both"/>
              <w:rPr>
                <w:sz w:val="28"/>
                <w:szCs w:val="28"/>
              </w:rPr>
            </w:pPr>
            <w:r>
              <w:rPr>
                <w:color w:val="000000"/>
                <w:sz w:val="28"/>
                <w:szCs w:val="28"/>
              </w:rPr>
              <w:t xml:space="preserve">Уникаєте думок або розмов про травматичну ситуацію у минулому або уникаєте почуттів, пов’язаних з цією ситуацією? </w:t>
            </w:r>
          </w:p>
        </w:tc>
        <w:tc>
          <w:tcPr>
            <w:tcW w:w="1236" w:type="dxa"/>
            <w:tcBorders>
              <w:left w:val="single" w:sz="2" w:space="0" w:color="000000"/>
              <w:bottom w:val="single" w:sz="2" w:space="0" w:color="000000"/>
            </w:tcBorders>
            <w:shd w:val="clear" w:color="auto" w:fill="auto"/>
          </w:tcPr>
          <w:p w14:paraId="74CD1D1F"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1C5BEDD8"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02915484"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03B94F49"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6D846F5D" w14:textId="77777777" w:rsidR="00B51242" w:rsidRDefault="00B51242">
            <w:pPr>
              <w:spacing w:line="360" w:lineRule="auto"/>
              <w:jc w:val="both"/>
              <w:rPr>
                <w:color w:val="000000"/>
                <w:sz w:val="28"/>
                <w:szCs w:val="28"/>
              </w:rPr>
            </w:pPr>
          </w:p>
        </w:tc>
      </w:tr>
      <w:tr w:rsidR="00B51242" w14:paraId="55E162DF" w14:textId="77777777">
        <w:tc>
          <w:tcPr>
            <w:tcW w:w="612" w:type="dxa"/>
            <w:tcBorders>
              <w:left w:val="single" w:sz="2" w:space="0" w:color="000000"/>
              <w:bottom w:val="single" w:sz="2" w:space="0" w:color="000000"/>
            </w:tcBorders>
            <w:shd w:val="clear" w:color="auto" w:fill="auto"/>
          </w:tcPr>
          <w:p w14:paraId="75697EEC" w14:textId="77777777" w:rsidR="00B51242" w:rsidRDefault="008E4E86">
            <w:pPr>
              <w:spacing w:line="360" w:lineRule="auto"/>
              <w:jc w:val="both"/>
              <w:rPr>
                <w:sz w:val="28"/>
                <w:szCs w:val="28"/>
              </w:rPr>
            </w:pPr>
            <w:r>
              <w:rPr>
                <w:color w:val="000000"/>
                <w:sz w:val="28"/>
                <w:szCs w:val="28"/>
              </w:rPr>
              <w:t>7</w:t>
            </w:r>
          </w:p>
        </w:tc>
        <w:tc>
          <w:tcPr>
            <w:tcW w:w="2880" w:type="dxa"/>
            <w:tcBorders>
              <w:left w:val="single" w:sz="2" w:space="0" w:color="000000"/>
              <w:bottom w:val="single" w:sz="2" w:space="0" w:color="000000"/>
            </w:tcBorders>
            <w:shd w:val="clear" w:color="auto" w:fill="auto"/>
          </w:tcPr>
          <w:p w14:paraId="18AAF181" w14:textId="77777777" w:rsidR="00B51242" w:rsidRDefault="008E4E86">
            <w:pPr>
              <w:spacing w:line="360" w:lineRule="auto"/>
              <w:jc w:val="both"/>
              <w:rPr>
                <w:sz w:val="28"/>
                <w:szCs w:val="28"/>
              </w:rPr>
            </w:pPr>
            <w:r>
              <w:rPr>
                <w:color w:val="000000"/>
                <w:sz w:val="28"/>
                <w:szCs w:val="28"/>
              </w:rPr>
              <w:t xml:space="preserve">Уникаєте певної діяльності або ситуацій, тому що вони нагадують вам травмуючи ситуацію з минулого? </w:t>
            </w:r>
          </w:p>
        </w:tc>
        <w:tc>
          <w:tcPr>
            <w:tcW w:w="1236" w:type="dxa"/>
            <w:tcBorders>
              <w:left w:val="single" w:sz="2" w:space="0" w:color="000000"/>
              <w:bottom w:val="single" w:sz="2" w:space="0" w:color="000000"/>
            </w:tcBorders>
            <w:shd w:val="clear" w:color="auto" w:fill="auto"/>
          </w:tcPr>
          <w:p w14:paraId="62F015AF"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1B15DD1D"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6E681184"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230165FA"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7CB33CA5" w14:textId="77777777" w:rsidR="00B51242" w:rsidRDefault="00B51242">
            <w:pPr>
              <w:spacing w:line="360" w:lineRule="auto"/>
              <w:jc w:val="both"/>
              <w:rPr>
                <w:color w:val="000000"/>
                <w:sz w:val="28"/>
                <w:szCs w:val="28"/>
              </w:rPr>
            </w:pPr>
          </w:p>
        </w:tc>
      </w:tr>
      <w:tr w:rsidR="00B51242" w14:paraId="50341A3F" w14:textId="77777777">
        <w:tc>
          <w:tcPr>
            <w:tcW w:w="612" w:type="dxa"/>
            <w:tcBorders>
              <w:left w:val="single" w:sz="2" w:space="0" w:color="000000"/>
              <w:bottom w:val="single" w:sz="2" w:space="0" w:color="000000"/>
            </w:tcBorders>
            <w:shd w:val="clear" w:color="auto" w:fill="auto"/>
          </w:tcPr>
          <w:p w14:paraId="44B0A208" w14:textId="77777777" w:rsidR="00B51242" w:rsidRDefault="008E4E86">
            <w:pPr>
              <w:spacing w:line="360" w:lineRule="auto"/>
              <w:jc w:val="both"/>
              <w:rPr>
                <w:sz w:val="28"/>
                <w:szCs w:val="28"/>
              </w:rPr>
            </w:pPr>
            <w:r>
              <w:rPr>
                <w:color w:val="000000"/>
                <w:sz w:val="28"/>
                <w:szCs w:val="28"/>
              </w:rPr>
              <w:t>8</w:t>
            </w:r>
          </w:p>
        </w:tc>
        <w:tc>
          <w:tcPr>
            <w:tcW w:w="2880" w:type="dxa"/>
            <w:tcBorders>
              <w:left w:val="single" w:sz="2" w:space="0" w:color="000000"/>
              <w:bottom w:val="single" w:sz="2" w:space="0" w:color="000000"/>
            </w:tcBorders>
            <w:shd w:val="clear" w:color="auto" w:fill="auto"/>
          </w:tcPr>
          <w:p w14:paraId="7F974FFD" w14:textId="77777777" w:rsidR="00B51242" w:rsidRDefault="008E4E86">
            <w:pPr>
              <w:spacing w:line="360" w:lineRule="auto"/>
              <w:jc w:val="both"/>
              <w:rPr>
                <w:sz w:val="28"/>
                <w:szCs w:val="28"/>
              </w:rPr>
            </w:pPr>
            <w:r>
              <w:rPr>
                <w:color w:val="000000"/>
                <w:sz w:val="28"/>
                <w:szCs w:val="28"/>
              </w:rPr>
              <w:t xml:space="preserve">Відчували труднощі з пригадуванням важливих частин травмуючої ситуації з минулого? </w:t>
            </w:r>
          </w:p>
        </w:tc>
        <w:tc>
          <w:tcPr>
            <w:tcW w:w="1236" w:type="dxa"/>
            <w:tcBorders>
              <w:left w:val="single" w:sz="2" w:space="0" w:color="000000"/>
              <w:bottom w:val="single" w:sz="2" w:space="0" w:color="000000"/>
            </w:tcBorders>
            <w:shd w:val="clear" w:color="auto" w:fill="auto"/>
          </w:tcPr>
          <w:p w14:paraId="17414610"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781DF2CB"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16788234"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57A6A0F0"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7DF0CA62" w14:textId="77777777" w:rsidR="00B51242" w:rsidRDefault="00B51242">
            <w:pPr>
              <w:spacing w:line="360" w:lineRule="auto"/>
              <w:jc w:val="both"/>
              <w:rPr>
                <w:color w:val="000000"/>
                <w:sz w:val="28"/>
                <w:szCs w:val="28"/>
              </w:rPr>
            </w:pPr>
          </w:p>
        </w:tc>
      </w:tr>
      <w:tr w:rsidR="00B51242" w14:paraId="576A890E" w14:textId="77777777">
        <w:tc>
          <w:tcPr>
            <w:tcW w:w="612" w:type="dxa"/>
            <w:tcBorders>
              <w:left w:val="single" w:sz="2" w:space="0" w:color="000000"/>
              <w:bottom w:val="single" w:sz="2" w:space="0" w:color="000000"/>
            </w:tcBorders>
            <w:shd w:val="clear" w:color="auto" w:fill="auto"/>
          </w:tcPr>
          <w:p w14:paraId="2B2B7304" w14:textId="77777777" w:rsidR="00B51242" w:rsidRDefault="008E4E86">
            <w:pPr>
              <w:spacing w:line="360" w:lineRule="auto"/>
              <w:jc w:val="both"/>
              <w:rPr>
                <w:sz w:val="28"/>
                <w:szCs w:val="28"/>
              </w:rPr>
            </w:pPr>
            <w:r>
              <w:rPr>
                <w:color w:val="000000"/>
                <w:sz w:val="28"/>
                <w:szCs w:val="28"/>
              </w:rPr>
              <w:t>9</w:t>
            </w:r>
          </w:p>
        </w:tc>
        <w:tc>
          <w:tcPr>
            <w:tcW w:w="2880" w:type="dxa"/>
            <w:tcBorders>
              <w:left w:val="single" w:sz="2" w:space="0" w:color="000000"/>
              <w:bottom w:val="single" w:sz="2" w:space="0" w:color="000000"/>
            </w:tcBorders>
            <w:shd w:val="clear" w:color="auto" w:fill="auto"/>
          </w:tcPr>
          <w:p w14:paraId="582280B3" w14:textId="77777777" w:rsidR="00B51242" w:rsidRDefault="008E4E86">
            <w:pPr>
              <w:spacing w:line="360" w:lineRule="auto"/>
              <w:jc w:val="both"/>
              <w:rPr>
                <w:sz w:val="28"/>
                <w:szCs w:val="28"/>
              </w:rPr>
            </w:pPr>
            <w:r>
              <w:rPr>
                <w:color w:val="000000"/>
                <w:sz w:val="28"/>
                <w:szCs w:val="28"/>
              </w:rPr>
              <w:t xml:space="preserve">Втрата інтересу до того, що раніше приносило задоволення? </w:t>
            </w:r>
          </w:p>
        </w:tc>
        <w:tc>
          <w:tcPr>
            <w:tcW w:w="1236" w:type="dxa"/>
            <w:tcBorders>
              <w:left w:val="single" w:sz="2" w:space="0" w:color="000000"/>
              <w:bottom w:val="single" w:sz="2" w:space="0" w:color="000000"/>
            </w:tcBorders>
            <w:shd w:val="clear" w:color="auto" w:fill="auto"/>
          </w:tcPr>
          <w:p w14:paraId="44BA3426"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175D53C2"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7DB1D1D4"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0841E4F5"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711A9A35" w14:textId="77777777" w:rsidR="00B51242" w:rsidRDefault="00B51242">
            <w:pPr>
              <w:spacing w:line="360" w:lineRule="auto"/>
              <w:jc w:val="both"/>
              <w:rPr>
                <w:color w:val="000000"/>
                <w:sz w:val="28"/>
                <w:szCs w:val="28"/>
              </w:rPr>
            </w:pPr>
          </w:p>
        </w:tc>
      </w:tr>
      <w:tr w:rsidR="00B51242" w14:paraId="32AFE995" w14:textId="77777777">
        <w:tc>
          <w:tcPr>
            <w:tcW w:w="612" w:type="dxa"/>
            <w:tcBorders>
              <w:left w:val="single" w:sz="2" w:space="0" w:color="000000"/>
              <w:bottom w:val="single" w:sz="2" w:space="0" w:color="000000"/>
            </w:tcBorders>
            <w:shd w:val="clear" w:color="auto" w:fill="auto"/>
          </w:tcPr>
          <w:p w14:paraId="5D369756" w14:textId="77777777" w:rsidR="00B51242" w:rsidRDefault="008E4E86">
            <w:pPr>
              <w:spacing w:line="360" w:lineRule="auto"/>
              <w:jc w:val="both"/>
              <w:rPr>
                <w:sz w:val="28"/>
                <w:szCs w:val="28"/>
              </w:rPr>
            </w:pPr>
            <w:r>
              <w:rPr>
                <w:color w:val="000000"/>
                <w:sz w:val="28"/>
                <w:szCs w:val="28"/>
              </w:rPr>
              <w:t>10</w:t>
            </w:r>
          </w:p>
        </w:tc>
        <w:tc>
          <w:tcPr>
            <w:tcW w:w="2880" w:type="dxa"/>
            <w:tcBorders>
              <w:left w:val="single" w:sz="2" w:space="0" w:color="000000"/>
              <w:bottom w:val="single" w:sz="2" w:space="0" w:color="000000"/>
            </w:tcBorders>
            <w:shd w:val="clear" w:color="auto" w:fill="auto"/>
          </w:tcPr>
          <w:p w14:paraId="5DED1BD3" w14:textId="77777777" w:rsidR="00B51242" w:rsidRDefault="008E4E86">
            <w:pPr>
              <w:spacing w:line="360" w:lineRule="auto"/>
              <w:jc w:val="both"/>
              <w:rPr>
                <w:sz w:val="28"/>
                <w:szCs w:val="28"/>
              </w:rPr>
            </w:pPr>
            <w:r>
              <w:rPr>
                <w:color w:val="000000"/>
                <w:sz w:val="28"/>
                <w:szCs w:val="28"/>
              </w:rPr>
              <w:t xml:space="preserve">Відчували відстороненість або ж «відрізаність» від інших людей? </w:t>
            </w:r>
          </w:p>
        </w:tc>
        <w:tc>
          <w:tcPr>
            <w:tcW w:w="1236" w:type="dxa"/>
            <w:tcBorders>
              <w:left w:val="single" w:sz="2" w:space="0" w:color="000000"/>
              <w:bottom w:val="single" w:sz="2" w:space="0" w:color="000000"/>
            </w:tcBorders>
            <w:shd w:val="clear" w:color="auto" w:fill="auto"/>
          </w:tcPr>
          <w:p w14:paraId="4EE333D4"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0D6BC734"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34A104AC"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114B4F84"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1AABDC09" w14:textId="77777777" w:rsidR="00B51242" w:rsidRDefault="00B51242">
            <w:pPr>
              <w:spacing w:line="360" w:lineRule="auto"/>
              <w:jc w:val="both"/>
              <w:rPr>
                <w:color w:val="000000"/>
                <w:sz w:val="28"/>
                <w:szCs w:val="28"/>
              </w:rPr>
            </w:pPr>
          </w:p>
        </w:tc>
      </w:tr>
      <w:tr w:rsidR="00B51242" w14:paraId="2A2D9347" w14:textId="77777777">
        <w:tc>
          <w:tcPr>
            <w:tcW w:w="612" w:type="dxa"/>
            <w:tcBorders>
              <w:left w:val="single" w:sz="2" w:space="0" w:color="000000"/>
              <w:bottom w:val="single" w:sz="2" w:space="0" w:color="000000"/>
            </w:tcBorders>
            <w:shd w:val="clear" w:color="auto" w:fill="auto"/>
          </w:tcPr>
          <w:p w14:paraId="4737E36C" w14:textId="77777777" w:rsidR="00B51242" w:rsidRDefault="008E4E86">
            <w:pPr>
              <w:spacing w:line="360" w:lineRule="auto"/>
              <w:jc w:val="both"/>
              <w:rPr>
                <w:sz w:val="28"/>
                <w:szCs w:val="28"/>
              </w:rPr>
            </w:pPr>
            <w:r>
              <w:rPr>
                <w:color w:val="000000"/>
                <w:sz w:val="28"/>
                <w:szCs w:val="28"/>
              </w:rPr>
              <w:t>11</w:t>
            </w:r>
          </w:p>
        </w:tc>
        <w:tc>
          <w:tcPr>
            <w:tcW w:w="2880" w:type="dxa"/>
            <w:tcBorders>
              <w:left w:val="single" w:sz="2" w:space="0" w:color="000000"/>
              <w:bottom w:val="single" w:sz="2" w:space="0" w:color="000000"/>
            </w:tcBorders>
            <w:shd w:val="clear" w:color="auto" w:fill="auto"/>
          </w:tcPr>
          <w:p w14:paraId="01C00733" w14:textId="77777777" w:rsidR="00B51242" w:rsidRDefault="008E4E86">
            <w:pPr>
              <w:spacing w:line="360" w:lineRule="auto"/>
              <w:jc w:val="both"/>
              <w:rPr>
                <w:sz w:val="28"/>
                <w:szCs w:val="28"/>
              </w:rPr>
            </w:pPr>
            <w:r>
              <w:rPr>
                <w:color w:val="000000"/>
                <w:sz w:val="28"/>
                <w:szCs w:val="28"/>
              </w:rPr>
              <w:t xml:space="preserve">Відчували емоційне заціпеніння або неможливість відчувати любов до близьких вам людей? </w:t>
            </w:r>
          </w:p>
        </w:tc>
        <w:tc>
          <w:tcPr>
            <w:tcW w:w="1236" w:type="dxa"/>
            <w:tcBorders>
              <w:left w:val="single" w:sz="2" w:space="0" w:color="000000"/>
              <w:bottom w:val="single" w:sz="2" w:space="0" w:color="000000"/>
            </w:tcBorders>
            <w:shd w:val="clear" w:color="auto" w:fill="auto"/>
          </w:tcPr>
          <w:p w14:paraId="3F82752B"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6CA203BD"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1EEB5C65"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27EFE50A"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44D1216F" w14:textId="77777777" w:rsidR="00B51242" w:rsidRDefault="00B51242">
            <w:pPr>
              <w:spacing w:line="360" w:lineRule="auto"/>
              <w:jc w:val="both"/>
              <w:rPr>
                <w:color w:val="000000"/>
                <w:sz w:val="28"/>
                <w:szCs w:val="28"/>
              </w:rPr>
            </w:pPr>
          </w:p>
        </w:tc>
      </w:tr>
      <w:tr w:rsidR="00B51242" w14:paraId="20FA7FCB" w14:textId="77777777">
        <w:tc>
          <w:tcPr>
            <w:tcW w:w="612" w:type="dxa"/>
            <w:tcBorders>
              <w:left w:val="single" w:sz="2" w:space="0" w:color="000000"/>
              <w:bottom w:val="single" w:sz="2" w:space="0" w:color="000000"/>
            </w:tcBorders>
            <w:shd w:val="clear" w:color="auto" w:fill="auto"/>
          </w:tcPr>
          <w:p w14:paraId="4B73E586" w14:textId="77777777" w:rsidR="00B51242" w:rsidRDefault="008E4E86">
            <w:pPr>
              <w:spacing w:line="360" w:lineRule="auto"/>
              <w:jc w:val="both"/>
              <w:rPr>
                <w:sz w:val="28"/>
                <w:szCs w:val="28"/>
              </w:rPr>
            </w:pPr>
            <w:r>
              <w:rPr>
                <w:color w:val="000000"/>
                <w:sz w:val="28"/>
                <w:szCs w:val="28"/>
              </w:rPr>
              <w:t>12</w:t>
            </w:r>
          </w:p>
        </w:tc>
        <w:tc>
          <w:tcPr>
            <w:tcW w:w="2880" w:type="dxa"/>
            <w:tcBorders>
              <w:left w:val="single" w:sz="2" w:space="0" w:color="000000"/>
              <w:bottom w:val="single" w:sz="2" w:space="0" w:color="000000"/>
            </w:tcBorders>
            <w:shd w:val="clear" w:color="auto" w:fill="auto"/>
          </w:tcPr>
          <w:p w14:paraId="4FF14DA0" w14:textId="77777777" w:rsidR="00B51242" w:rsidRDefault="008E4E86">
            <w:pPr>
              <w:spacing w:line="360" w:lineRule="auto"/>
              <w:jc w:val="both"/>
              <w:rPr>
                <w:sz w:val="28"/>
                <w:szCs w:val="28"/>
              </w:rPr>
            </w:pPr>
            <w:r>
              <w:rPr>
                <w:color w:val="000000"/>
                <w:sz w:val="28"/>
                <w:szCs w:val="28"/>
              </w:rPr>
              <w:t xml:space="preserve">Відчуття, що ваше майбутнє обрізане? </w:t>
            </w:r>
          </w:p>
        </w:tc>
        <w:tc>
          <w:tcPr>
            <w:tcW w:w="1236" w:type="dxa"/>
            <w:tcBorders>
              <w:left w:val="single" w:sz="2" w:space="0" w:color="000000"/>
              <w:bottom w:val="single" w:sz="2" w:space="0" w:color="000000"/>
            </w:tcBorders>
            <w:shd w:val="clear" w:color="auto" w:fill="auto"/>
          </w:tcPr>
          <w:p w14:paraId="3517F98F"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34223B45"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539CD7A1"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6A9A2604"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3DD220FA" w14:textId="77777777" w:rsidR="00B51242" w:rsidRDefault="00B51242">
            <w:pPr>
              <w:spacing w:line="360" w:lineRule="auto"/>
              <w:jc w:val="both"/>
              <w:rPr>
                <w:color w:val="000000"/>
                <w:sz w:val="28"/>
                <w:szCs w:val="28"/>
              </w:rPr>
            </w:pPr>
          </w:p>
        </w:tc>
      </w:tr>
      <w:tr w:rsidR="00B51242" w14:paraId="5E23F919" w14:textId="77777777">
        <w:tc>
          <w:tcPr>
            <w:tcW w:w="612" w:type="dxa"/>
            <w:tcBorders>
              <w:left w:val="single" w:sz="2" w:space="0" w:color="000000"/>
              <w:bottom w:val="single" w:sz="2" w:space="0" w:color="000000"/>
            </w:tcBorders>
            <w:shd w:val="clear" w:color="auto" w:fill="auto"/>
          </w:tcPr>
          <w:p w14:paraId="39F18D26" w14:textId="77777777" w:rsidR="00B51242" w:rsidRDefault="008E4E86">
            <w:pPr>
              <w:spacing w:line="360" w:lineRule="auto"/>
              <w:jc w:val="both"/>
              <w:rPr>
                <w:sz w:val="28"/>
                <w:szCs w:val="28"/>
              </w:rPr>
            </w:pPr>
            <w:r>
              <w:rPr>
                <w:color w:val="000000"/>
                <w:sz w:val="28"/>
                <w:szCs w:val="28"/>
              </w:rPr>
              <w:t>13</w:t>
            </w:r>
          </w:p>
        </w:tc>
        <w:tc>
          <w:tcPr>
            <w:tcW w:w="2880" w:type="dxa"/>
            <w:tcBorders>
              <w:left w:val="single" w:sz="2" w:space="0" w:color="000000"/>
              <w:bottom w:val="single" w:sz="2" w:space="0" w:color="000000"/>
            </w:tcBorders>
            <w:shd w:val="clear" w:color="auto" w:fill="auto"/>
          </w:tcPr>
          <w:p w14:paraId="7C30AD70" w14:textId="77777777" w:rsidR="00B51242" w:rsidRDefault="008E4E86">
            <w:pPr>
              <w:spacing w:line="360" w:lineRule="auto"/>
              <w:jc w:val="both"/>
              <w:rPr>
                <w:sz w:val="28"/>
                <w:szCs w:val="28"/>
              </w:rPr>
            </w:pPr>
            <w:r>
              <w:rPr>
                <w:color w:val="000000"/>
                <w:sz w:val="28"/>
                <w:szCs w:val="28"/>
              </w:rPr>
              <w:t xml:space="preserve">Труднощі із засинанням або переривчастий поверхневий сон? </w:t>
            </w:r>
          </w:p>
        </w:tc>
        <w:tc>
          <w:tcPr>
            <w:tcW w:w="1236" w:type="dxa"/>
            <w:tcBorders>
              <w:left w:val="single" w:sz="2" w:space="0" w:color="000000"/>
              <w:bottom w:val="single" w:sz="2" w:space="0" w:color="000000"/>
            </w:tcBorders>
            <w:shd w:val="clear" w:color="auto" w:fill="auto"/>
          </w:tcPr>
          <w:p w14:paraId="7B186A81"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4F24943C"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6AD9664E"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6BF7610E"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25DC539F" w14:textId="77777777" w:rsidR="00B51242" w:rsidRDefault="00B51242">
            <w:pPr>
              <w:spacing w:line="360" w:lineRule="auto"/>
              <w:jc w:val="both"/>
              <w:rPr>
                <w:color w:val="000000"/>
                <w:sz w:val="28"/>
                <w:szCs w:val="28"/>
              </w:rPr>
            </w:pPr>
          </w:p>
        </w:tc>
      </w:tr>
      <w:tr w:rsidR="00B51242" w14:paraId="4E71C2B9" w14:textId="77777777">
        <w:tc>
          <w:tcPr>
            <w:tcW w:w="612" w:type="dxa"/>
            <w:tcBorders>
              <w:left w:val="single" w:sz="2" w:space="0" w:color="000000"/>
              <w:bottom w:val="single" w:sz="2" w:space="0" w:color="000000"/>
            </w:tcBorders>
            <w:shd w:val="clear" w:color="auto" w:fill="auto"/>
          </w:tcPr>
          <w:p w14:paraId="4E1E336A" w14:textId="77777777" w:rsidR="00B51242" w:rsidRDefault="008E4E86">
            <w:pPr>
              <w:spacing w:line="360" w:lineRule="auto"/>
              <w:jc w:val="both"/>
              <w:rPr>
                <w:sz w:val="28"/>
                <w:szCs w:val="28"/>
              </w:rPr>
            </w:pPr>
            <w:r>
              <w:rPr>
                <w:color w:val="000000"/>
                <w:sz w:val="28"/>
                <w:szCs w:val="28"/>
              </w:rPr>
              <w:t>14</w:t>
            </w:r>
          </w:p>
        </w:tc>
        <w:tc>
          <w:tcPr>
            <w:tcW w:w="2880" w:type="dxa"/>
            <w:tcBorders>
              <w:left w:val="single" w:sz="2" w:space="0" w:color="000000"/>
              <w:bottom w:val="single" w:sz="2" w:space="0" w:color="000000"/>
            </w:tcBorders>
            <w:shd w:val="clear" w:color="auto" w:fill="auto"/>
          </w:tcPr>
          <w:p w14:paraId="1BA53748" w14:textId="77777777" w:rsidR="00B51242" w:rsidRDefault="008E4E86">
            <w:pPr>
              <w:spacing w:line="360" w:lineRule="auto"/>
              <w:jc w:val="both"/>
              <w:rPr>
                <w:sz w:val="28"/>
                <w:szCs w:val="28"/>
              </w:rPr>
            </w:pPr>
            <w:r>
              <w:rPr>
                <w:color w:val="000000"/>
                <w:sz w:val="28"/>
                <w:szCs w:val="28"/>
              </w:rPr>
              <w:t xml:space="preserve">Відчуття роздратування або вибухи гніву? </w:t>
            </w:r>
          </w:p>
        </w:tc>
        <w:tc>
          <w:tcPr>
            <w:tcW w:w="1236" w:type="dxa"/>
            <w:tcBorders>
              <w:left w:val="single" w:sz="2" w:space="0" w:color="000000"/>
              <w:bottom w:val="single" w:sz="2" w:space="0" w:color="000000"/>
            </w:tcBorders>
            <w:shd w:val="clear" w:color="auto" w:fill="auto"/>
          </w:tcPr>
          <w:p w14:paraId="63E83F18"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6FBAD364"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5DC4596E"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71E9947C"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1413D853" w14:textId="77777777" w:rsidR="00B51242" w:rsidRDefault="00B51242">
            <w:pPr>
              <w:spacing w:line="360" w:lineRule="auto"/>
              <w:jc w:val="both"/>
              <w:rPr>
                <w:color w:val="000000"/>
                <w:sz w:val="28"/>
                <w:szCs w:val="28"/>
              </w:rPr>
            </w:pPr>
          </w:p>
        </w:tc>
      </w:tr>
      <w:tr w:rsidR="00B51242" w14:paraId="407C6F7E" w14:textId="77777777">
        <w:tc>
          <w:tcPr>
            <w:tcW w:w="612" w:type="dxa"/>
            <w:tcBorders>
              <w:left w:val="single" w:sz="2" w:space="0" w:color="000000"/>
              <w:bottom w:val="single" w:sz="2" w:space="0" w:color="000000"/>
            </w:tcBorders>
            <w:shd w:val="clear" w:color="auto" w:fill="auto"/>
          </w:tcPr>
          <w:p w14:paraId="33CFEC6B" w14:textId="77777777" w:rsidR="00B51242" w:rsidRDefault="008E4E86">
            <w:pPr>
              <w:spacing w:line="360" w:lineRule="auto"/>
              <w:jc w:val="both"/>
              <w:rPr>
                <w:sz w:val="28"/>
                <w:szCs w:val="28"/>
              </w:rPr>
            </w:pPr>
            <w:r>
              <w:rPr>
                <w:color w:val="000000"/>
                <w:sz w:val="28"/>
                <w:szCs w:val="28"/>
              </w:rPr>
              <w:t>15</w:t>
            </w:r>
          </w:p>
        </w:tc>
        <w:tc>
          <w:tcPr>
            <w:tcW w:w="2880" w:type="dxa"/>
            <w:tcBorders>
              <w:left w:val="single" w:sz="2" w:space="0" w:color="000000"/>
              <w:bottom w:val="single" w:sz="2" w:space="0" w:color="000000"/>
            </w:tcBorders>
            <w:shd w:val="clear" w:color="auto" w:fill="auto"/>
          </w:tcPr>
          <w:p w14:paraId="7FAC2B2A" w14:textId="77777777" w:rsidR="00B51242" w:rsidRDefault="008E4E86">
            <w:pPr>
              <w:spacing w:line="360" w:lineRule="auto"/>
              <w:jc w:val="both"/>
              <w:rPr>
                <w:sz w:val="28"/>
                <w:szCs w:val="28"/>
              </w:rPr>
            </w:pPr>
            <w:r>
              <w:rPr>
                <w:color w:val="000000"/>
                <w:sz w:val="28"/>
                <w:szCs w:val="28"/>
              </w:rPr>
              <w:t xml:space="preserve">Труднощі з концентрацією уваги? </w:t>
            </w:r>
          </w:p>
        </w:tc>
        <w:tc>
          <w:tcPr>
            <w:tcW w:w="1236" w:type="dxa"/>
            <w:tcBorders>
              <w:left w:val="single" w:sz="2" w:space="0" w:color="000000"/>
              <w:bottom w:val="single" w:sz="2" w:space="0" w:color="000000"/>
            </w:tcBorders>
            <w:shd w:val="clear" w:color="auto" w:fill="auto"/>
          </w:tcPr>
          <w:p w14:paraId="2A7A9836"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47CE7A2C"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2C7DA92C"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3F904CCB"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040360B8" w14:textId="77777777" w:rsidR="00B51242" w:rsidRDefault="00B51242">
            <w:pPr>
              <w:spacing w:line="360" w:lineRule="auto"/>
              <w:jc w:val="both"/>
              <w:rPr>
                <w:color w:val="000000"/>
                <w:sz w:val="28"/>
                <w:szCs w:val="28"/>
              </w:rPr>
            </w:pPr>
          </w:p>
        </w:tc>
      </w:tr>
      <w:tr w:rsidR="00B51242" w14:paraId="6959C882" w14:textId="77777777">
        <w:tc>
          <w:tcPr>
            <w:tcW w:w="612" w:type="dxa"/>
            <w:tcBorders>
              <w:left w:val="single" w:sz="2" w:space="0" w:color="000000"/>
              <w:bottom w:val="single" w:sz="2" w:space="0" w:color="000000"/>
            </w:tcBorders>
            <w:shd w:val="clear" w:color="auto" w:fill="auto"/>
          </w:tcPr>
          <w:p w14:paraId="0EB5E791" w14:textId="77777777" w:rsidR="00B51242" w:rsidRDefault="008E4E86">
            <w:pPr>
              <w:spacing w:line="360" w:lineRule="auto"/>
              <w:jc w:val="both"/>
              <w:rPr>
                <w:sz w:val="28"/>
                <w:szCs w:val="28"/>
              </w:rPr>
            </w:pPr>
            <w:r>
              <w:rPr>
                <w:color w:val="000000"/>
                <w:sz w:val="28"/>
                <w:szCs w:val="28"/>
              </w:rPr>
              <w:t>16</w:t>
            </w:r>
          </w:p>
        </w:tc>
        <w:tc>
          <w:tcPr>
            <w:tcW w:w="2880" w:type="dxa"/>
            <w:tcBorders>
              <w:left w:val="single" w:sz="2" w:space="0" w:color="000000"/>
              <w:bottom w:val="single" w:sz="2" w:space="0" w:color="000000"/>
            </w:tcBorders>
            <w:shd w:val="clear" w:color="auto" w:fill="auto"/>
          </w:tcPr>
          <w:p w14:paraId="6ED0E5ED" w14:textId="77777777" w:rsidR="00B51242" w:rsidRDefault="008E4E86">
            <w:pPr>
              <w:spacing w:line="360" w:lineRule="auto"/>
              <w:jc w:val="both"/>
              <w:rPr>
                <w:sz w:val="28"/>
                <w:szCs w:val="28"/>
              </w:rPr>
            </w:pPr>
            <w:r>
              <w:rPr>
                <w:color w:val="000000"/>
                <w:sz w:val="28"/>
                <w:szCs w:val="28"/>
              </w:rPr>
              <w:t xml:space="preserve">Постійно «насторожені», занадто пильні, постійно очікуєте на небезпеку? </w:t>
            </w:r>
          </w:p>
        </w:tc>
        <w:tc>
          <w:tcPr>
            <w:tcW w:w="1236" w:type="dxa"/>
            <w:tcBorders>
              <w:left w:val="single" w:sz="2" w:space="0" w:color="000000"/>
              <w:bottom w:val="single" w:sz="2" w:space="0" w:color="000000"/>
            </w:tcBorders>
            <w:shd w:val="clear" w:color="auto" w:fill="auto"/>
          </w:tcPr>
          <w:p w14:paraId="17A1CA98"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1A55251A"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4F6D2C48"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31F27C88"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79B88F8C" w14:textId="77777777" w:rsidR="00B51242" w:rsidRDefault="00B51242">
            <w:pPr>
              <w:spacing w:line="360" w:lineRule="auto"/>
              <w:jc w:val="both"/>
              <w:rPr>
                <w:color w:val="000000"/>
                <w:sz w:val="28"/>
                <w:szCs w:val="28"/>
              </w:rPr>
            </w:pPr>
          </w:p>
        </w:tc>
      </w:tr>
      <w:tr w:rsidR="00B51242" w14:paraId="57B539F8" w14:textId="77777777">
        <w:tc>
          <w:tcPr>
            <w:tcW w:w="612" w:type="dxa"/>
            <w:tcBorders>
              <w:left w:val="single" w:sz="2" w:space="0" w:color="000000"/>
              <w:bottom w:val="single" w:sz="2" w:space="0" w:color="000000"/>
            </w:tcBorders>
            <w:shd w:val="clear" w:color="auto" w:fill="auto"/>
          </w:tcPr>
          <w:p w14:paraId="111B77A1" w14:textId="77777777" w:rsidR="00B51242" w:rsidRDefault="008E4E86">
            <w:pPr>
              <w:spacing w:line="360" w:lineRule="auto"/>
              <w:jc w:val="both"/>
              <w:rPr>
                <w:sz w:val="28"/>
                <w:szCs w:val="28"/>
              </w:rPr>
            </w:pPr>
            <w:r>
              <w:rPr>
                <w:color w:val="000000"/>
                <w:sz w:val="28"/>
                <w:szCs w:val="28"/>
              </w:rPr>
              <w:t>17</w:t>
            </w:r>
          </w:p>
        </w:tc>
        <w:tc>
          <w:tcPr>
            <w:tcW w:w="2880" w:type="dxa"/>
            <w:tcBorders>
              <w:left w:val="single" w:sz="2" w:space="0" w:color="000000"/>
              <w:bottom w:val="single" w:sz="2" w:space="0" w:color="000000"/>
            </w:tcBorders>
            <w:shd w:val="clear" w:color="auto" w:fill="auto"/>
          </w:tcPr>
          <w:p w14:paraId="66FB0B71" w14:textId="77777777" w:rsidR="00B51242" w:rsidRDefault="008E4E86">
            <w:pPr>
              <w:spacing w:line="360" w:lineRule="auto"/>
              <w:jc w:val="both"/>
              <w:rPr>
                <w:sz w:val="28"/>
                <w:szCs w:val="28"/>
              </w:rPr>
            </w:pPr>
            <w:r>
              <w:rPr>
                <w:color w:val="000000"/>
                <w:sz w:val="28"/>
                <w:szCs w:val="28"/>
              </w:rPr>
              <w:t xml:space="preserve">Відчуваєте себе знервованим/ою (смиканий) або легко лякаєтесь? </w:t>
            </w:r>
          </w:p>
        </w:tc>
        <w:tc>
          <w:tcPr>
            <w:tcW w:w="1236" w:type="dxa"/>
            <w:tcBorders>
              <w:left w:val="single" w:sz="2" w:space="0" w:color="000000"/>
              <w:bottom w:val="single" w:sz="2" w:space="0" w:color="000000"/>
            </w:tcBorders>
            <w:shd w:val="clear" w:color="auto" w:fill="auto"/>
          </w:tcPr>
          <w:p w14:paraId="145C11DD" w14:textId="77777777" w:rsidR="00B51242" w:rsidRDefault="00B51242">
            <w:pPr>
              <w:spacing w:line="360" w:lineRule="auto"/>
              <w:jc w:val="both"/>
              <w:rPr>
                <w:color w:val="000000"/>
                <w:sz w:val="28"/>
                <w:szCs w:val="28"/>
              </w:rPr>
            </w:pPr>
          </w:p>
        </w:tc>
        <w:tc>
          <w:tcPr>
            <w:tcW w:w="1243" w:type="dxa"/>
            <w:tcBorders>
              <w:left w:val="single" w:sz="2" w:space="0" w:color="000000"/>
              <w:bottom w:val="single" w:sz="2" w:space="0" w:color="000000"/>
            </w:tcBorders>
            <w:shd w:val="clear" w:color="auto" w:fill="auto"/>
          </w:tcPr>
          <w:p w14:paraId="6B40E7A7" w14:textId="77777777" w:rsidR="00B51242" w:rsidRDefault="00B51242">
            <w:pPr>
              <w:spacing w:line="360" w:lineRule="auto"/>
              <w:jc w:val="both"/>
              <w:rPr>
                <w:color w:val="000000"/>
                <w:sz w:val="28"/>
                <w:szCs w:val="28"/>
              </w:rPr>
            </w:pPr>
          </w:p>
        </w:tc>
        <w:tc>
          <w:tcPr>
            <w:tcW w:w="1237" w:type="dxa"/>
            <w:tcBorders>
              <w:left w:val="single" w:sz="2" w:space="0" w:color="000000"/>
              <w:bottom w:val="single" w:sz="2" w:space="0" w:color="000000"/>
            </w:tcBorders>
            <w:shd w:val="clear" w:color="auto" w:fill="auto"/>
          </w:tcPr>
          <w:p w14:paraId="3FFF7D4A" w14:textId="77777777" w:rsidR="00B51242" w:rsidRDefault="00B51242">
            <w:pPr>
              <w:spacing w:line="360" w:lineRule="auto"/>
              <w:jc w:val="both"/>
              <w:rPr>
                <w:color w:val="000000"/>
                <w:sz w:val="28"/>
                <w:szCs w:val="28"/>
              </w:rPr>
            </w:pPr>
          </w:p>
        </w:tc>
        <w:tc>
          <w:tcPr>
            <w:tcW w:w="1185" w:type="dxa"/>
            <w:tcBorders>
              <w:left w:val="single" w:sz="2" w:space="0" w:color="000000"/>
              <w:bottom w:val="single" w:sz="2" w:space="0" w:color="000000"/>
            </w:tcBorders>
            <w:shd w:val="clear" w:color="auto" w:fill="auto"/>
          </w:tcPr>
          <w:p w14:paraId="287B69A3" w14:textId="77777777" w:rsidR="00B51242" w:rsidRDefault="00B51242">
            <w:pPr>
              <w:spacing w:line="360" w:lineRule="auto"/>
              <w:jc w:val="both"/>
              <w:rPr>
                <w:color w:val="000000"/>
                <w:sz w:val="28"/>
                <w:szCs w:val="28"/>
              </w:rPr>
            </w:pPr>
          </w:p>
        </w:tc>
        <w:tc>
          <w:tcPr>
            <w:tcW w:w="906" w:type="dxa"/>
            <w:tcBorders>
              <w:left w:val="single" w:sz="2" w:space="0" w:color="000000"/>
              <w:bottom w:val="single" w:sz="2" w:space="0" w:color="000000"/>
              <w:right w:val="single" w:sz="2" w:space="0" w:color="000000"/>
            </w:tcBorders>
            <w:shd w:val="clear" w:color="auto" w:fill="auto"/>
          </w:tcPr>
          <w:p w14:paraId="63A0829D" w14:textId="77777777" w:rsidR="00B51242" w:rsidRDefault="00B51242">
            <w:pPr>
              <w:spacing w:line="360" w:lineRule="auto"/>
              <w:jc w:val="both"/>
              <w:rPr>
                <w:color w:val="000000"/>
                <w:sz w:val="28"/>
                <w:szCs w:val="28"/>
              </w:rPr>
            </w:pPr>
          </w:p>
        </w:tc>
      </w:tr>
    </w:tbl>
    <w:p w14:paraId="39CA8924" w14:textId="77777777" w:rsidR="00B51242" w:rsidRDefault="00B51242">
      <w:pPr>
        <w:pStyle w:val="2"/>
        <w:spacing w:before="0" w:after="0" w:line="360" w:lineRule="auto"/>
        <w:jc w:val="both"/>
        <w:rPr>
          <w:color w:val="000000"/>
          <w:sz w:val="28"/>
          <w:szCs w:val="28"/>
        </w:rPr>
      </w:pPr>
    </w:p>
    <w:p w14:paraId="7AA3089C" w14:textId="77777777" w:rsidR="00B51242" w:rsidRDefault="008E4E86">
      <w:pPr>
        <w:pStyle w:val="1"/>
        <w:overflowPunct/>
        <w:spacing w:before="0" w:after="0" w:line="360" w:lineRule="auto"/>
        <w:jc w:val="both"/>
      </w:pPr>
      <w:r>
        <w:rPr>
          <w:rStyle w:val="StrongEmphasis"/>
          <w:color w:val="000000"/>
          <w:sz w:val="28"/>
          <w:szCs w:val="28"/>
        </w:rPr>
        <w:t>Розшифровка сумарних балів PCL-M</w:t>
      </w:r>
    </w:p>
    <w:p w14:paraId="55C2E85B" w14:textId="77777777" w:rsidR="00B51242" w:rsidRDefault="008E4E86">
      <w:pPr>
        <w:pStyle w:val="3"/>
        <w:spacing w:line="360" w:lineRule="auto"/>
        <w:jc w:val="both"/>
      </w:pPr>
      <w:r>
        <w:rPr>
          <w:rStyle w:val="StrongEmphasis"/>
          <w:color w:val="000000"/>
        </w:rPr>
        <w:t>17–29 балів — відсутність клінічно значущих симптомів ПТСР</w:t>
      </w:r>
    </w:p>
    <w:p w14:paraId="073ED850" w14:textId="77777777" w:rsidR="00B51242" w:rsidRDefault="008E4E86">
      <w:pPr>
        <w:numPr>
          <w:ilvl w:val="0"/>
          <w:numId w:val="2"/>
        </w:numPr>
        <w:tabs>
          <w:tab w:val="left" w:pos="707"/>
        </w:tabs>
        <w:spacing w:line="360" w:lineRule="auto"/>
        <w:jc w:val="both"/>
        <w:rPr>
          <w:sz w:val="28"/>
          <w:szCs w:val="28"/>
        </w:rPr>
      </w:pPr>
      <w:r>
        <w:rPr>
          <w:color w:val="000000"/>
          <w:sz w:val="28"/>
          <w:szCs w:val="28"/>
        </w:rPr>
        <w:t>Симптоми мінімальні або відповідають нормальній стресовій реакції.</w:t>
      </w:r>
    </w:p>
    <w:p w14:paraId="5AC9204B" w14:textId="77777777" w:rsidR="00B51242" w:rsidRDefault="008E4E86">
      <w:pPr>
        <w:numPr>
          <w:ilvl w:val="0"/>
          <w:numId w:val="2"/>
        </w:numPr>
        <w:tabs>
          <w:tab w:val="left" w:pos="707"/>
        </w:tabs>
        <w:spacing w:line="360" w:lineRule="auto"/>
        <w:jc w:val="both"/>
        <w:rPr>
          <w:sz w:val="28"/>
          <w:szCs w:val="28"/>
        </w:rPr>
      </w:pPr>
      <w:r>
        <w:rPr>
          <w:color w:val="000000"/>
          <w:sz w:val="28"/>
          <w:szCs w:val="28"/>
        </w:rPr>
        <w:t>Клінічне втручання зазвичай не потребується.</w:t>
      </w:r>
    </w:p>
    <w:p w14:paraId="41F176C8" w14:textId="77777777" w:rsidR="00B51242" w:rsidRDefault="008E4E86">
      <w:pPr>
        <w:numPr>
          <w:ilvl w:val="0"/>
          <w:numId w:val="2"/>
        </w:numPr>
        <w:tabs>
          <w:tab w:val="left" w:pos="707"/>
        </w:tabs>
        <w:spacing w:line="360" w:lineRule="auto"/>
        <w:jc w:val="both"/>
        <w:rPr>
          <w:sz w:val="28"/>
          <w:szCs w:val="28"/>
        </w:rPr>
      </w:pPr>
      <w:r>
        <w:rPr>
          <w:color w:val="000000"/>
          <w:sz w:val="28"/>
          <w:szCs w:val="28"/>
        </w:rPr>
        <w:t>Рекомендації: психоедукація, базова підтримка, моніторинг.</w:t>
      </w:r>
    </w:p>
    <w:p w14:paraId="07E1A41D" w14:textId="77777777" w:rsidR="00B51242" w:rsidRDefault="008E4E86">
      <w:pPr>
        <w:pStyle w:val="3"/>
        <w:spacing w:line="360" w:lineRule="auto"/>
        <w:jc w:val="both"/>
      </w:pPr>
      <w:r>
        <w:rPr>
          <w:rStyle w:val="StrongEmphasis"/>
          <w:color w:val="000000"/>
        </w:rPr>
        <w:t>30–44 бали — помірний рівень симптомів / можливий ПТСР</w:t>
      </w:r>
    </w:p>
    <w:p w14:paraId="6D98A089" w14:textId="77777777" w:rsidR="00B51242" w:rsidRDefault="008E4E86">
      <w:pPr>
        <w:numPr>
          <w:ilvl w:val="0"/>
          <w:numId w:val="3"/>
        </w:numPr>
        <w:tabs>
          <w:tab w:val="left" w:pos="707"/>
        </w:tabs>
        <w:spacing w:line="360" w:lineRule="auto"/>
        <w:jc w:val="both"/>
        <w:rPr>
          <w:sz w:val="28"/>
          <w:szCs w:val="28"/>
        </w:rPr>
      </w:pPr>
      <w:r>
        <w:rPr>
          <w:color w:val="000000"/>
          <w:sz w:val="28"/>
          <w:szCs w:val="28"/>
        </w:rPr>
        <w:t>Є окремі прояви: нав'язливі спогади, підвищена пильність, уникнення.</w:t>
      </w:r>
    </w:p>
    <w:p w14:paraId="0B422526" w14:textId="77777777" w:rsidR="00B51242" w:rsidRDefault="008E4E86">
      <w:pPr>
        <w:numPr>
          <w:ilvl w:val="0"/>
          <w:numId w:val="3"/>
        </w:numPr>
        <w:tabs>
          <w:tab w:val="left" w:pos="707"/>
        </w:tabs>
        <w:spacing w:line="360" w:lineRule="auto"/>
        <w:jc w:val="both"/>
        <w:rPr>
          <w:sz w:val="28"/>
          <w:szCs w:val="28"/>
        </w:rPr>
      </w:pPr>
      <w:r>
        <w:rPr>
          <w:color w:val="000000"/>
          <w:sz w:val="28"/>
          <w:szCs w:val="28"/>
        </w:rPr>
        <w:t>Діагноз ПТСР не підтверджується автоматично, але присутні фактори ризику.</w:t>
      </w:r>
    </w:p>
    <w:p w14:paraId="4F622BF9" w14:textId="77777777" w:rsidR="00B51242" w:rsidRDefault="008E4E86">
      <w:pPr>
        <w:numPr>
          <w:ilvl w:val="0"/>
          <w:numId w:val="3"/>
        </w:numPr>
        <w:tabs>
          <w:tab w:val="left" w:pos="707"/>
        </w:tabs>
        <w:spacing w:line="360" w:lineRule="auto"/>
        <w:jc w:val="both"/>
        <w:rPr>
          <w:sz w:val="28"/>
          <w:szCs w:val="28"/>
        </w:rPr>
      </w:pPr>
      <w:r>
        <w:rPr>
          <w:color w:val="000000"/>
          <w:sz w:val="28"/>
          <w:szCs w:val="28"/>
        </w:rPr>
        <w:t>Потребує: скринінгу, структурованого клінічного інтерв'ю (наприклад, CAPS-5).</w:t>
      </w:r>
    </w:p>
    <w:p w14:paraId="3E2DDFF4" w14:textId="77777777" w:rsidR="00B51242" w:rsidRDefault="008E4E86">
      <w:pPr>
        <w:pStyle w:val="3"/>
        <w:spacing w:line="360" w:lineRule="auto"/>
        <w:jc w:val="both"/>
      </w:pPr>
      <w:r>
        <w:rPr>
          <w:rStyle w:val="StrongEmphasis"/>
          <w:color w:val="000000"/>
        </w:rPr>
        <w:t>45–56 балів — виражені симптоми  ПТСР</w:t>
      </w:r>
    </w:p>
    <w:p w14:paraId="1A997F46" w14:textId="77777777" w:rsidR="00B51242" w:rsidRDefault="008E4E86">
      <w:pPr>
        <w:numPr>
          <w:ilvl w:val="0"/>
          <w:numId w:val="4"/>
        </w:numPr>
        <w:tabs>
          <w:tab w:val="left" w:pos="707"/>
        </w:tabs>
        <w:spacing w:line="360" w:lineRule="auto"/>
        <w:jc w:val="both"/>
        <w:rPr>
          <w:sz w:val="28"/>
          <w:szCs w:val="28"/>
        </w:rPr>
      </w:pPr>
      <w:r>
        <w:rPr>
          <w:color w:val="000000"/>
          <w:sz w:val="28"/>
          <w:szCs w:val="28"/>
        </w:rPr>
        <w:t>Симптоми стійкі та суттєво порушують повсякденне функціонування.</w:t>
      </w:r>
    </w:p>
    <w:p w14:paraId="15298638" w14:textId="77777777" w:rsidR="00B51242" w:rsidRDefault="008E4E86">
      <w:pPr>
        <w:numPr>
          <w:ilvl w:val="0"/>
          <w:numId w:val="4"/>
        </w:numPr>
        <w:tabs>
          <w:tab w:val="left" w:pos="707"/>
        </w:tabs>
        <w:spacing w:line="360" w:lineRule="auto"/>
        <w:jc w:val="both"/>
      </w:pPr>
      <w:r>
        <w:rPr>
          <w:color w:val="000000"/>
          <w:sz w:val="28"/>
          <w:szCs w:val="28"/>
        </w:rPr>
        <w:t xml:space="preserve">На практиці часто відповідає </w:t>
      </w:r>
      <w:r>
        <w:rPr>
          <w:rStyle w:val="StrongEmphasis"/>
          <w:color w:val="000000"/>
          <w:sz w:val="28"/>
          <w:szCs w:val="28"/>
        </w:rPr>
        <w:t>клінічно значущому ПТСР</w:t>
      </w:r>
      <w:r>
        <w:rPr>
          <w:color w:val="000000"/>
          <w:sz w:val="28"/>
          <w:szCs w:val="28"/>
        </w:rPr>
        <w:t>, особливо у військових.</w:t>
      </w:r>
    </w:p>
    <w:p w14:paraId="5657E5B5" w14:textId="77777777" w:rsidR="00B51242" w:rsidRDefault="008E4E86">
      <w:pPr>
        <w:numPr>
          <w:ilvl w:val="0"/>
          <w:numId w:val="4"/>
        </w:numPr>
        <w:tabs>
          <w:tab w:val="left" w:pos="707"/>
        </w:tabs>
        <w:spacing w:line="360" w:lineRule="auto"/>
        <w:jc w:val="both"/>
        <w:rPr>
          <w:sz w:val="28"/>
          <w:szCs w:val="28"/>
        </w:rPr>
      </w:pPr>
      <w:r>
        <w:rPr>
          <w:color w:val="000000"/>
          <w:sz w:val="28"/>
          <w:szCs w:val="28"/>
        </w:rPr>
        <w:t>Рекомендації:</w:t>
      </w:r>
    </w:p>
    <w:p w14:paraId="77660FC1" w14:textId="77777777" w:rsidR="00B51242" w:rsidRDefault="008E4E86">
      <w:pPr>
        <w:numPr>
          <w:ilvl w:val="1"/>
          <w:numId w:val="4"/>
        </w:numPr>
        <w:tabs>
          <w:tab w:val="left" w:pos="1414"/>
        </w:tabs>
        <w:spacing w:line="360" w:lineRule="auto"/>
        <w:jc w:val="both"/>
        <w:rPr>
          <w:sz w:val="28"/>
          <w:szCs w:val="28"/>
        </w:rPr>
      </w:pPr>
      <w:r>
        <w:rPr>
          <w:color w:val="000000"/>
          <w:sz w:val="28"/>
          <w:szCs w:val="28"/>
        </w:rPr>
        <w:t>детальне клінічне обстеження;</w:t>
      </w:r>
    </w:p>
    <w:p w14:paraId="16E22CDA" w14:textId="77777777" w:rsidR="00B51242" w:rsidRDefault="008E4E86">
      <w:pPr>
        <w:numPr>
          <w:ilvl w:val="1"/>
          <w:numId w:val="4"/>
        </w:numPr>
        <w:tabs>
          <w:tab w:val="left" w:pos="1414"/>
        </w:tabs>
        <w:spacing w:line="360" w:lineRule="auto"/>
        <w:jc w:val="both"/>
        <w:rPr>
          <w:sz w:val="28"/>
          <w:szCs w:val="28"/>
        </w:rPr>
      </w:pPr>
      <w:r>
        <w:rPr>
          <w:color w:val="000000"/>
          <w:sz w:val="28"/>
          <w:szCs w:val="28"/>
        </w:rPr>
        <w:t>початок терапії (КПТ, TF-CBT, CPT, PE, EMDR);</w:t>
      </w:r>
    </w:p>
    <w:p w14:paraId="3147DA42" w14:textId="77777777" w:rsidR="00B51242" w:rsidRDefault="008E4E86">
      <w:pPr>
        <w:numPr>
          <w:ilvl w:val="1"/>
          <w:numId w:val="4"/>
        </w:numPr>
        <w:tabs>
          <w:tab w:val="left" w:pos="1414"/>
        </w:tabs>
        <w:spacing w:line="360" w:lineRule="auto"/>
        <w:jc w:val="both"/>
        <w:rPr>
          <w:sz w:val="28"/>
          <w:szCs w:val="28"/>
        </w:rPr>
      </w:pPr>
      <w:r>
        <w:rPr>
          <w:color w:val="000000"/>
          <w:sz w:val="28"/>
          <w:szCs w:val="28"/>
        </w:rPr>
        <w:t>оцінка коморбідних станів (депресія, тривога, стрес).</w:t>
      </w:r>
    </w:p>
    <w:p w14:paraId="1D4C083B" w14:textId="77777777" w:rsidR="00B51242" w:rsidRDefault="008E4E86">
      <w:pPr>
        <w:pStyle w:val="3"/>
        <w:spacing w:line="360" w:lineRule="auto"/>
        <w:jc w:val="both"/>
      </w:pPr>
      <w:r>
        <w:rPr>
          <w:rStyle w:val="StrongEmphasis"/>
          <w:color w:val="000000"/>
        </w:rPr>
        <w:t>57 балів і вище — тяжкий ПТСР</w:t>
      </w:r>
    </w:p>
    <w:p w14:paraId="2F3FABDE" w14:textId="77777777" w:rsidR="00B51242" w:rsidRDefault="008E4E86">
      <w:pPr>
        <w:numPr>
          <w:ilvl w:val="0"/>
          <w:numId w:val="5"/>
        </w:numPr>
        <w:tabs>
          <w:tab w:val="left" w:pos="707"/>
        </w:tabs>
        <w:spacing w:line="360" w:lineRule="auto"/>
        <w:jc w:val="both"/>
        <w:rPr>
          <w:sz w:val="28"/>
          <w:szCs w:val="28"/>
        </w:rPr>
      </w:pPr>
      <w:r>
        <w:rPr>
          <w:color w:val="000000"/>
          <w:sz w:val="28"/>
          <w:szCs w:val="28"/>
        </w:rPr>
        <w:t>Дуже висока інтенсивність симптоматики.</w:t>
      </w:r>
    </w:p>
    <w:p w14:paraId="5D05BBD4" w14:textId="77777777" w:rsidR="00B51242" w:rsidRDefault="008E4E86">
      <w:pPr>
        <w:numPr>
          <w:ilvl w:val="0"/>
          <w:numId w:val="5"/>
        </w:numPr>
        <w:tabs>
          <w:tab w:val="left" w:pos="707"/>
        </w:tabs>
        <w:spacing w:line="360" w:lineRule="auto"/>
        <w:jc w:val="both"/>
        <w:rPr>
          <w:sz w:val="28"/>
          <w:szCs w:val="28"/>
        </w:rPr>
      </w:pPr>
      <w:r>
        <w:rPr>
          <w:color w:val="000000"/>
          <w:sz w:val="28"/>
          <w:szCs w:val="28"/>
        </w:rPr>
        <w:t>Ймовірні:</w:t>
      </w:r>
    </w:p>
    <w:p w14:paraId="265248C2" w14:textId="77777777" w:rsidR="00B51242" w:rsidRDefault="008E4E86">
      <w:pPr>
        <w:numPr>
          <w:ilvl w:val="1"/>
          <w:numId w:val="5"/>
        </w:numPr>
        <w:tabs>
          <w:tab w:val="left" w:pos="1414"/>
        </w:tabs>
        <w:spacing w:line="360" w:lineRule="auto"/>
        <w:jc w:val="both"/>
        <w:rPr>
          <w:sz w:val="28"/>
          <w:szCs w:val="28"/>
        </w:rPr>
      </w:pPr>
      <w:r>
        <w:rPr>
          <w:color w:val="000000"/>
          <w:sz w:val="28"/>
          <w:szCs w:val="28"/>
        </w:rPr>
        <w:t>дезадаптивні когніції,</w:t>
      </w:r>
    </w:p>
    <w:p w14:paraId="13779119" w14:textId="77777777" w:rsidR="00B51242" w:rsidRDefault="008E4E86">
      <w:pPr>
        <w:numPr>
          <w:ilvl w:val="1"/>
          <w:numId w:val="5"/>
        </w:numPr>
        <w:tabs>
          <w:tab w:val="left" w:pos="1414"/>
        </w:tabs>
        <w:spacing w:line="360" w:lineRule="auto"/>
        <w:jc w:val="both"/>
        <w:rPr>
          <w:sz w:val="28"/>
          <w:szCs w:val="28"/>
        </w:rPr>
      </w:pPr>
      <w:r>
        <w:rPr>
          <w:color w:val="000000"/>
          <w:sz w:val="28"/>
          <w:szCs w:val="28"/>
        </w:rPr>
        <w:t>нічні кошмари,</w:t>
      </w:r>
    </w:p>
    <w:p w14:paraId="37BAB2F5" w14:textId="77777777" w:rsidR="00B51242" w:rsidRDefault="008E4E86">
      <w:pPr>
        <w:numPr>
          <w:ilvl w:val="1"/>
          <w:numId w:val="5"/>
        </w:numPr>
        <w:tabs>
          <w:tab w:val="left" w:pos="1414"/>
        </w:tabs>
        <w:spacing w:line="360" w:lineRule="auto"/>
        <w:jc w:val="both"/>
        <w:rPr>
          <w:sz w:val="28"/>
          <w:szCs w:val="28"/>
        </w:rPr>
      </w:pPr>
      <w:r>
        <w:rPr>
          <w:color w:val="000000"/>
          <w:sz w:val="28"/>
          <w:szCs w:val="28"/>
        </w:rPr>
        <w:t>сильна гіпервозбудливість,</w:t>
      </w:r>
    </w:p>
    <w:p w14:paraId="34F3ED64" w14:textId="77777777" w:rsidR="00B51242" w:rsidRDefault="008E4E86">
      <w:pPr>
        <w:numPr>
          <w:ilvl w:val="1"/>
          <w:numId w:val="5"/>
        </w:numPr>
        <w:tabs>
          <w:tab w:val="left" w:pos="1414"/>
        </w:tabs>
        <w:spacing w:line="360" w:lineRule="auto"/>
        <w:jc w:val="both"/>
        <w:rPr>
          <w:sz w:val="28"/>
          <w:szCs w:val="28"/>
        </w:rPr>
      </w:pPr>
      <w:r>
        <w:rPr>
          <w:color w:val="000000"/>
          <w:sz w:val="28"/>
          <w:szCs w:val="28"/>
        </w:rPr>
        <w:t>значне уникнення,</w:t>
      </w:r>
    </w:p>
    <w:p w14:paraId="167A4F52" w14:textId="77777777" w:rsidR="00B51242" w:rsidRDefault="008E4E86">
      <w:pPr>
        <w:numPr>
          <w:ilvl w:val="1"/>
          <w:numId w:val="5"/>
        </w:numPr>
        <w:tabs>
          <w:tab w:val="left" w:pos="1414"/>
        </w:tabs>
        <w:spacing w:line="360" w:lineRule="auto"/>
        <w:jc w:val="both"/>
        <w:rPr>
          <w:sz w:val="28"/>
          <w:szCs w:val="28"/>
        </w:rPr>
      </w:pPr>
      <w:r>
        <w:rPr>
          <w:color w:val="000000"/>
          <w:sz w:val="28"/>
          <w:szCs w:val="28"/>
        </w:rPr>
        <w:t>ризик виснаження, суїцидальні думки (не обов’язково, але підвищений ризик).</w:t>
      </w:r>
    </w:p>
    <w:p w14:paraId="350F0DC4" w14:textId="77777777" w:rsidR="00B51242" w:rsidRDefault="008E4E86">
      <w:pPr>
        <w:numPr>
          <w:ilvl w:val="0"/>
          <w:numId w:val="5"/>
        </w:numPr>
        <w:tabs>
          <w:tab w:val="left" w:pos="707"/>
        </w:tabs>
        <w:spacing w:line="360" w:lineRule="auto"/>
        <w:jc w:val="both"/>
      </w:pPr>
      <w:r>
        <w:rPr>
          <w:color w:val="000000"/>
          <w:sz w:val="28"/>
          <w:szCs w:val="28"/>
        </w:rPr>
        <w:t xml:space="preserve">Необхідне </w:t>
      </w:r>
      <w:r>
        <w:rPr>
          <w:rStyle w:val="StrongEmphasis"/>
          <w:color w:val="000000"/>
          <w:sz w:val="28"/>
          <w:szCs w:val="28"/>
        </w:rPr>
        <w:t>невідкладне втручання</w:t>
      </w:r>
      <w:r>
        <w:rPr>
          <w:color w:val="000000"/>
          <w:sz w:val="28"/>
          <w:szCs w:val="28"/>
        </w:rPr>
        <w:t>, серед якого:</w:t>
      </w:r>
    </w:p>
    <w:p w14:paraId="7D585232" w14:textId="77777777" w:rsidR="00B51242" w:rsidRDefault="008E4E86">
      <w:pPr>
        <w:numPr>
          <w:ilvl w:val="1"/>
          <w:numId w:val="5"/>
        </w:numPr>
        <w:tabs>
          <w:tab w:val="left" w:pos="1414"/>
        </w:tabs>
        <w:spacing w:line="360" w:lineRule="auto"/>
        <w:jc w:val="both"/>
        <w:rPr>
          <w:sz w:val="28"/>
          <w:szCs w:val="28"/>
        </w:rPr>
      </w:pPr>
      <w:r>
        <w:rPr>
          <w:color w:val="000000"/>
          <w:sz w:val="28"/>
          <w:szCs w:val="28"/>
        </w:rPr>
        <w:t>травмофокусована КПТ,</w:t>
      </w:r>
    </w:p>
    <w:p w14:paraId="431888C4" w14:textId="77777777" w:rsidR="00B51242" w:rsidRDefault="008E4E86">
      <w:pPr>
        <w:numPr>
          <w:ilvl w:val="1"/>
          <w:numId w:val="5"/>
        </w:numPr>
        <w:tabs>
          <w:tab w:val="left" w:pos="1414"/>
        </w:tabs>
        <w:spacing w:line="360" w:lineRule="auto"/>
        <w:jc w:val="both"/>
        <w:rPr>
          <w:sz w:val="28"/>
          <w:szCs w:val="28"/>
        </w:rPr>
      </w:pPr>
      <w:r>
        <w:rPr>
          <w:color w:val="000000"/>
          <w:sz w:val="28"/>
          <w:szCs w:val="28"/>
        </w:rPr>
        <w:t>EMDR,</w:t>
      </w:r>
    </w:p>
    <w:p w14:paraId="30A807CA" w14:textId="77777777" w:rsidR="00B51242" w:rsidRDefault="008E4E86">
      <w:pPr>
        <w:numPr>
          <w:ilvl w:val="1"/>
          <w:numId w:val="5"/>
        </w:numPr>
        <w:tabs>
          <w:tab w:val="left" w:pos="1414"/>
        </w:tabs>
        <w:spacing w:line="360" w:lineRule="auto"/>
        <w:jc w:val="both"/>
        <w:rPr>
          <w:sz w:val="28"/>
          <w:szCs w:val="28"/>
        </w:rPr>
      </w:pPr>
      <w:r>
        <w:rPr>
          <w:color w:val="000000"/>
          <w:sz w:val="28"/>
          <w:szCs w:val="28"/>
        </w:rPr>
        <w:t>стабілізаційна терапія,</w:t>
      </w:r>
    </w:p>
    <w:p w14:paraId="4DF5AB0A" w14:textId="77777777" w:rsidR="00B51242" w:rsidRDefault="008E4E86">
      <w:pPr>
        <w:numPr>
          <w:ilvl w:val="1"/>
          <w:numId w:val="5"/>
        </w:numPr>
        <w:tabs>
          <w:tab w:val="left" w:pos="1414"/>
        </w:tabs>
        <w:spacing w:line="360" w:lineRule="auto"/>
        <w:jc w:val="both"/>
        <w:rPr>
          <w:sz w:val="28"/>
          <w:szCs w:val="28"/>
        </w:rPr>
      </w:pPr>
      <w:r>
        <w:rPr>
          <w:color w:val="000000"/>
          <w:sz w:val="28"/>
          <w:szCs w:val="28"/>
        </w:rPr>
        <w:t>медична консультація (за потреби).</w:t>
      </w:r>
    </w:p>
    <w:p w14:paraId="02D851FA" w14:textId="77777777" w:rsidR="00B51242" w:rsidRDefault="008E4E86">
      <w:pPr>
        <w:pStyle w:val="1"/>
        <w:spacing w:line="360" w:lineRule="auto"/>
        <w:jc w:val="both"/>
      </w:pPr>
      <w:r>
        <w:rPr>
          <w:rStyle w:val="StrongEmphasis"/>
          <w:color w:val="000000"/>
          <w:sz w:val="28"/>
          <w:szCs w:val="28"/>
        </w:rPr>
        <w:t>Скорочена інтерпретаційна таблиця</w:t>
      </w:r>
    </w:p>
    <w:tbl>
      <w:tblPr>
        <w:tblW w:w="9638" w:type="dxa"/>
        <w:tblCellMar>
          <w:top w:w="28" w:type="dxa"/>
          <w:left w:w="28" w:type="dxa"/>
          <w:bottom w:w="28" w:type="dxa"/>
          <w:right w:w="28" w:type="dxa"/>
        </w:tblCellMar>
        <w:tblLook w:val="04A0" w:firstRow="1" w:lastRow="0" w:firstColumn="1" w:lastColumn="0" w:noHBand="0" w:noVBand="1"/>
      </w:tblPr>
      <w:tblGrid>
        <w:gridCol w:w="1518"/>
        <w:gridCol w:w="1877"/>
        <w:gridCol w:w="2560"/>
        <w:gridCol w:w="3683"/>
      </w:tblGrid>
      <w:tr w:rsidR="00B51242" w14:paraId="41E28B2B" w14:textId="77777777">
        <w:trPr>
          <w:tblHeader/>
        </w:trPr>
        <w:tc>
          <w:tcPr>
            <w:tcW w:w="1517" w:type="dxa"/>
            <w:shd w:val="clear" w:color="auto" w:fill="auto"/>
            <w:vAlign w:val="center"/>
          </w:tcPr>
          <w:p w14:paraId="039D45A5" w14:textId="77777777" w:rsidR="00B51242" w:rsidRDefault="008E4E86">
            <w:pPr>
              <w:spacing w:line="360" w:lineRule="auto"/>
              <w:jc w:val="both"/>
              <w:rPr>
                <w:sz w:val="28"/>
                <w:szCs w:val="28"/>
              </w:rPr>
            </w:pPr>
            <w:r>
              <w:rPr>
                <w:color w:val="000000"/>
                <w:sz w:val="28"/>
                <w:szCs w:val="28"/>
              </w:rPr>
              <w:t>Бал за PCL-M</w:t>
            </w:r>
          </w:p>
        </w:tc>
        <w:tc>
          <w:tcPr>
            <w:tcW w:w="1877" w:type="dxa"/>
            <w:shd w:val="clear" w:color="auto" w:fill="auto"/>
            <w:vAlign w:val="center"/>
          </w:tcPr>
          <w:p w14:paraId="51881EEC" w14:textId="77777777" w:rsidR="00B51242" w:rsidRDefault="008E4E86">
            <w:pPr>
              <w:spacing w:line="360" w:lineRule="auto"/>
              <w:jc w:val="both"/>
              <w:rPr>
                <w:sz w:val="28"/>
                <w:szCs w:val="28"/>
              </w:rPr>
            </w:pPr>
            <w:r>
              <w:rPr>
                <w:color w:val="000000"/>
                <w:sz w:val="28"/>
                <w:szCs w:val="28"/>
              </w:rPr>
              <w:t>Рівень симптомів</w:t>
            </w:r>
          </w:p>
        </w:tc>
        <w:tc>
          <w:tcPr>
            <w:tcW w:w="2560" w:type="dxa"/>
            <w:shd w:val="clear" w:color="auto" w:fill="auto"/>
            <w:vAlign w:val="center"/>
          </w:tcPr>
          <w:p w14:paraId="5B96F54F" w14:textId="77777777" w:rsidR="00B51242" w:rsidRDefault="008E4E86">
            <w:pPr>
              <w:spacing w:line="360" w:lineRule="auto"/>
              <w:jc w:val="both"/>
              <w:rPr>
                <w:sz w:val="28"/>
                <w:szCs w:val="28"/>
              </w:rPr>
            </w:pPr>
            <w:r>
              <w:rPr>
                <w:color w:val="000000"/>
                <w:sz w:val="28"/>
                <w:szCs w:val="28"/>
              </w:rPr>
              <w:t>Ймовірність ПТСР</w:t>
            </w:r>
          </w:p>
        </w:tc>
        <w:tc>
          <w:tcPr>
            <w:tcW w:w="3683" w:type="dxa"/>
            <w:shd w:val="clear" w:color="auto" w:fill="auto"/>
            <w:vAlign w:val="center"/>
          </w:tcPr>
          <w:p w14:paraId="05155D1D" w14:textId="77777777" w:rsidR="00B51242" w:rsidRDefault="008E4E86">
            <w:pPr>
              <w:spacing w:line="360" w:lineRule="auto"/>
              <w:jc w:val="both"/>
              <w:rPr>
                <w:sz w:val="28"/>
                <w:szCs w:val="28"/>
              </w:rPr>
            </w:pPr>
            <w:r>
              <w:rPr>
                <w:color w:val="000000"/>
                <w:sz w:val="28"/>
                <w:szCs w:val="28"/>
              </w:rPr>
              <w:t>Клінічні рекомендації</w:t>
            </w:r>
          </w:p>
        </w:tc>
      </w:tr>
      <w:tr w:rsidR="00B51242" w14:paraId="1E46D2D3" w14:textId="77777777">
        <w:tc>
          <w:tcPr>
            <w:tcW w:w="1517" w:type="dxa"/>
            <w:shd w:val="clear" w:color="auto" w:fill="auto"/>
            <w:vAlign w:val="center"/>
          </w:tcPr>
          <w:p w14:paraId="6CBB6AAE" w14:textId="77777777" w:rsidR="00B51242" w:rsidRDefault="008E4E86">
            <w:pPr>
              <w:spacing w:line="360" w:lineRule="auto"/>
              <w:jc w:val="both"/>
            </w:pPr>
            <w:r>
              <w:rPr>
                <w:rStyle w:val="StrongEmphasis"/>
                <w:color w:val="000000"/>
                <w:sz w:val="28"/>
                <w:szCs w:val="28"/>
              </w:rPr>
              <w:t>17–29</w:t>
            </w:r>
          </w:p>
        </w:tc>
        <w:tc>
          <w:tcPr>
            <w:tcW w:w="1877" w:type="dxa"/>
            <w:shd w:val="clear" w:color="auto" w:fill="auto"/>
            <w:vAlign w:val="center"/>
          </w:tcPr>
          <w:p w14:paraId="6BE781D0" w14:textId="77777777" w:rsidR="00B51242" w:rsidRDefault="008E4E86">
            <w:pPr>
              <w:spacing w:line="360" w:lineRule="auto"/>
              <w:jc w:val="both"/>
              <w:rPr>
                <w:sz w:val="28"/>
                <w:szCs w:val="28"/>
              </w:rPr>
            </w:pPr>
            <w:r>
              <w:rPr>
                <w:color w:val="000000"/>
                <w:sz w:val="28"/>
                <w:szCs w:val="28"/>
              </w:rPr>
              <w:t>Низькі</w:t>
            </w:r>
          </w:p>
        </w:tc>
        <w:tc>
          <w:tcPr>
            <w:tcW w:w="2560" w:type="dxa"/>
            <w:shd w:val="clear" w:color="auto" w:fill="auto"/>
            <w:vAlign w:val="center"/>
          </w:tcPr>
          <w:p w14:paraId="297CF762" w14:textId="77777777" w:rsidR="00B51242" w:rsidRDefault="008E4E86">
            <w:pPr>
              <w:spacing w:line="360" w:lineRule="auto"/>
              <w:jc w:val="both"/>
              <w:rPr>
                <w:sz w:val="28"/>
                <w:szCs w:val="28"/>
              </w:rPr>
            </w:pPr>
            <w:r>
              <w:rPr>
                <w:color w:val="000000"/>
                <w:sz w:val="28"/>
                <w:szCs w:val="28"/>
              </w:rPr>
              <w:t>Низька</w:t>
            </w:r>
          </w:p>
        </w:tc>
        <w:tc>
          <w:tcPr>
            <w:tcW w:w="3683" w:type="dxa"/>
            <w:shd w:val="clear" w:color="auto" w:fill="auto"/>
            <w:vAlign w:val="center"/>
          </w:tcPr>
          <w:p w14:paraId="16CFA7E1" w14:textId="77777777" w:rsidR="00B51242" w:rsidRDefault="008E4E86">
            <w:pPr>
              <w:spacing w:line="360" w:lineRule="auto"/>
              <w:jc w:val="both"/>
              <w:rPr>
                <w:sz w:val="28"/>
                <w:szCs w:val="28"/>
              </w:rPr>
            </w:pPr>
            <w:r>
              <w:rPr>
                <w:color w:val="000000"/>
                <w:sz w:val="28"/>
                <w:szCs w:val="28"/>
              </w:rPr>
              <w:t>Психоедукація, моніторинг</w:t>
            </w:r>
          </w:p>
        </w:tc>
      </w:tr>
      <w:tr w:rsidR="00B51242" w14:paraId="4D080E12" w14:textId="77777777">
        <w:tc>
          <w:tcPr>
            <w:tcW w:w="1517" w:type="dxa"/>
            <w:shd w:val="clear" w:color="auto" w:fill="auto"/>
            <w:vAlign w:val="center"/>
          </w:tcPr>
          <w:p w14:paraId="1F48137F" w14:textId="77777777" w:rsidR="00B51242" w:rsidRDefault="008E4E86">
            <w:pPr>
              <w:spacing w:line="360" w:lineRule="auto"/>
              <w:jc w:val="both"/>
            </w:pPr>
            <w:r>
              <w:rPr>
                <w:rStyle w:val="StrongEmphasis"/>
                <w:color w:val="000000"/>
                <w:sz w:val="28"/>
                <w:szCs w:val="28"/>
              </w:rPr>
              <w:t>30–44</w:t>
            </w:r>
          </w:p>
        </w:tc>
        <w:tc>
          <w:tcPr>
            <w:tcW w:w="1877" w:type="dxa"/>
            <w:shd w:val="clear" w:color="auto" w:fill="auto"/>
            <w:vAlign w:val="center"/>
          </w:tcPr>
          <w:p w14:paraId="5937B5AE" w14:textId="77777777" w:rsidR="00B51242" w:rsidRDefault="008E4E86">
            <w:pPr>
              <w:spacing w:line="360" w:lineRule="auto"/>
              <w:jc w:val="both"/>
              <w:rPr>
                <w:sz w:val="28"/>
                <w:szCs w:val="28"/>
              </w:rPr>
            </w:pPr>
            <w:r>
              <w:rPr>
                <w:color w:val="000000"/>
                <w:sz w:val="28"/>
                <w:szCs w:val="28"/>
              </w:rPr>
              <w:t>Помірні</w:t>
            </w:r>
          </w:p>
        </w:tc>
        <w:tc>
          <w:tcPr>
            <w:tcW w:w="2560" w:type="dxa"/>
            <w:shd w:val="clear" w:color="auto" w:fill="auto"/>
            <w:vAlign w:val="center"/>
          </w:tcPr>
          <w:p w14:paraId="2CFFD55F" w14:textId="77777777" w:rsidR="00B51242" w:rsidRDefault="008E4E86">
            <w:pPr>
              <w:spacing w:line="360" w:lineRule="auto"/>
              <w:jc w:val="both"/>
              <w:rPr>
                <w:sz w:val="28"/>
                <w:szCs w:val="28"/>
              </w:rPr>
            </w:pPr>
            <w:r>
              <w:rPr>
                <w:color w:val="000000"/>
                <w:sz w:val="28"/>
                <w:szCs w:val="28"/>
              </w:rPr>
              <w:t>Можливий ПТСР</w:t>
            </w:r>
          </w:p>
        </w:tc>
        <w:tc>
          <w:tcPr>
            <w:tcW w:w="3683" w:type="dxa"/>
            <w:shd w:val="clear" w:color="auto" w:fill="auto"/>
            <w:vAlign w:val="center"/>
          </w:tcPr>
          <w:p w14:paraId="41B7D319" w14:textId="77777777" w:rsidR="00B51242" w:rsidRDefault="008E4E86">
            <w:pPr>
              <w:spacing w:line="360" w:lineRule="auto"/>
              <w:jc w:val="both"/>
              <w:rPr>
                <w:sz w:val="28"/>
                <w:szCs w:val="28"/>
              </w:rPr>
            </w:pPr>
            <w:r>
              <w:rPr>
                <w:color w:val="000000"/>
                <w:sz w:val="28"/>
                <w:szCs w:val="28"/>
              </w:rPr>
              <w:t>Скринінг, оцінка, початкові втручання</w:t>
            </w:r>
          </w:p>
        </w:tc>
      </w:tr>
      <w:tr w:rsidR="00B51242" w14:paraId="1BF1E5DE" w14:textId="77777777">
        <w:tc>
          <w:tcPr>
            <w:tcW w:w="1517" w:type="dxa"/>
            <w:shd w:val="clear" w:color="auto" w:fill="auto"/>
            <w:vAlign w:val="center"/>
          </w:tcPr>
          <w:p w14:paraId="69DCEBB6" w14:textId="77777777" w:rsidR="00B51242" w:rsidRDefault="008E4E86">
            <w:pPr>
              <w:spacing w:line="360" w:lineRule="auto"/>
              <w:jc w:val="both"/>
            </w:pPr>
            <w:r>
              <w:rPr>
                <w:rStyle w:val="StrongEmphasis"/>
                <w:color w:val="000000"/>
                <w:sz w:val="28"/>
                <w:szCs w:val="28"/>
              </w:rPr>
              <w:t>45–56</w:t>
            </w:r>
          </w:p>
        </w:tc>
        <w:tc>
          <w:tcPr>
            <w:tcW w:w="1877" w:type="dxa"/>
            <w:shd w:val="clear" w:color="auto" w:fill="auto"/>
            <w:vAlign w:val="center"/>
          </w:tcPr>
          <w:p w14:paraId="7721CE00" w14:textId="77777777" w:rsidR="00B51242" w:rsidRDefault="008E4E86">
            <w:pPr>
              <w:spacing w:line="360" w:lineRule="auto"/>
              <w:jc w:val="both"/>
              <w:rPr>
                <w:sz w:val="28"/>
                <w:szCs w:val="28"/>
              </w:rPr>
            </w:pPr>
            <w:r>
              <w:rPr>
                <w:color w:val="000000"/>
                <w:sz w:val="28"/>
                <w:szCs w:val="28"/>
              </w:rPr>
              <w:t>Виражені</w:t>
            </w:r>
          </w:p>
        </w:tc>
        <w:tc>
          <w:tcPr>
            <w:tcW w:w="2560" w:type="dxa"/>
            <w:shd w:val="clear" w:color="auto" w:fill="auto"/>
            <w:vAlign w:val="center"/>
          </w:tcPr>
          <w:p w14:paraId="1C6B37B5" w14:textId="77777777" w:rsidR="00B51242" w:rsidRDefault="008E4E86">
            <w:pPr>
              <w:spacing w:line="360" w:lineRule="auto"/>
              <w:jc w:val="both"/>
              <w:rPr>
                <w:sz w:val="28"/>
                <w:szCs w:val="28"/>
              </w:rPr>
            </w:pPr>
            <w:r>
              <w:rPr>
                <w:color w:val="000000"/>
                <w:sz w:val="28"/>
                <w:szCs w:val="28"/>
              </w:rPr>
              <w:t>Ймовірний ПТСР</w:t>
            </w:r>
          </w:p>
        </w:tc>
        <w:tc>
          <w:tcPr>
            <w:tcW w:w="3683" w:type="dxa"/>
            <w:shd w:val="clear" w:color="auto" w:fill="auto"/>
            <w:vAlign w:val="center"/>
          </w:tcPr>
          <w:p w14:paraId="7C1425D2" w14:textId="77777777" w:rsidR="00B51242" w:rsidRDefault="008E4E86">
            <w:pPr>
              <w:spacing w:line="360" w:lineRule="auto"/>
              <w:jc w:val="both"/>
              <w:rPr>
                <w:sz w:val="28"/>
                <w:szCs w:val="28"/>
              </w:rPr>
            </w:pPr>
            <w:r>
              <w:rPr>
                <w:color w:val="000000"/>
                <w:sz w:val="28"/>
                <w:szCs w:val="28"/>
              </w:rPr>
              <w:t>Клінічна діагностика, терапія</w:t>
            </w:r>
          </w:p>
        </w:tc>
      </w:tr>
      <w:tr w:rsidR="00B51242" w14:paraId="72C3C635" w14:textId="77777777">
        <w:tc>
          <w:tcPr>
            <w:tcW w:w="1517" w:type="dxa"/>
            <w:shd w:val="clear" w:color="auto" w:fill="auto"/>
            <w:vAlign w:val="center"/>
          </w:tcPr>
          <w:p w14:paraId="25CE98DE" w14:textId="77777777" w:rsidR="00B51242" w:rsidRDefault="008E4E86">
            <w:pPr>
              <w:spacing w:line="360" w:lineRule="auto"/>
              <w:jc w:val="both"/>
            </w:pPr>
            <w:r>
              <w:rPr>
                <w:rStyle w:val="StrongEmphasis"/>
                <w:color w:val="000000"/>
                <w:sz w:val="28"/>
                <w:szCs w:val="28"/>
              </w:rPr>
              <w:t>57+</w:t>
            </w:r>
          </w:p>
        </w:tc>
        <w:tc>
          <w:tcPr>
            <w:tcW w:w="1877" w:type="dxa"/>
            <w:shd w:val="clear" w:color="auto" w:fill="auto"/>
            <w:vAlign w:val="center"/>
          </w:tcPr>
          <w:p w14:paraId="0B62575C" w14:textId="77777777" w:rsidR="00B51242" w:rsidRDefault="008E4E86">
            <w:pPr>
              <w:spacing w:line="360" w:lineRule="auto"/>
              <w:jc w:val="both"/>
              <w:rPr>
                <w:sz w:val="28"/>
                <w:szCs w:val="28"/>
              </w:rPr>
            </w:pPr>
            <w:r>
              <w:rPr>
                <w:color w:val="000000"/>
                <w:sz w:val="28"/>
                <w:szCs w:val="28"/>
              </w:rPr>
              <w:t>Тяжкі</w:t>
            </w:r>
          </w:p>
        </w:tc>
        <w:tc>
          <w:tcPr>
            <w:tcW w:w="2560" w:type="dxa"/>
            <w:shd w:val="clear" w:color="auto" w:fill="auto"/>
            <w:vAlign w:val="center"/>
          </w:tcPr>
          <w:p w14:paraId="2C921BB7" w14:textId="77777777" w:rsidR="00B51242" w:rsidRDefault="008E4E86">
            <w:pPr>
              <w:spacing w:line="360" w:lineRule="auto"/>
              <w:jc w:val="both"/>
              <w:rPr>
                <w:sz w:val="28"/>
                <w:szCs w:val="28"/>
              </w:rPr>
            </w:pPr>
            <w:r>
              <w:rPr>
                <w:color w:val="000000"/>
                <w:sz w:val="28"/>
                <w:szCs w:val="28"/>
              </w:rPr>
              <w:t>Висока ймовірність ПТСР</w:t>
            </w:r>
          </w:p>
        </w:tc>
        <w:tc>
          <w:tcPr>
            <w:tcW w:w="3683" w:type="dxa"/>
            <w:shd w:val="clear" w:color="auto" w:fill="auto"/>
            <w:vAlign w:val="center"/>
          </w:tcPr>
          <w:p w14:paraId="23254B11" w14:textId="77777777" w:rsidR="00B51242" w:rsidRDefault="008E4E86">
            <w:pPr>
              <w:spacing w:line="360" w:lineRule="auto"/>
              <w:jc w:val="both"/>
              <w:rPr>
                <w:sz w:val="28"/>
                <w:szCs w:val="28"/>
              </w:rPr>
            </w:pPr>
            <w:r>
              <w:rPr>
                <w:color w:val="000000"/>
                <w:sz w:val="28"/>
                <w:szCs w:val="28"/>
              </w:rPr>
              <w:t>Негайне повноцінне лікування</w:t>
            </w:r>
          </w:p>
        </w:tc>
      </w:tr>
    </w:tbl>
    <w:p w14:paraId="1BB6F150" w14:textId="77777777" w:rsidR="00B51242" w:rsidRDefault="00B51242">
      <w:pPr>
        <w:spacing w:line="360" w:lineRule="auto"/>
        <w:jc w:val="both"/>
        <w:rPr>
          <w:color w:val="000000"/>
          <w:sz w:val="28"/>
          <w:szCs w:val="28"/>
        </w:rPr>
      </w:pPr>
    </w:p>
    <w:p w14:paraId="7B8E2517" w14:textId="77777777" w:rsidR="00B51242" w:rsidRDefault="008E4E86">
      <w:pPr>
        <w:spacing w:line="360" w:lineRule="auto"/>
        <w:jc w:val="both"/>
      </w:pPr>
      <w:r>
        <w:rPr>
          <w:rStyle w:val="StrongEmphasis"/>
          <w:rFonts w:eastAsia="Times New Roman" w:cs="Times New Roman"/>
          <w:color w:val="000000"/>
          <w:sz w:val="28"/>
          <w:szCs w:val="28"/>
          <w:lang w:eastAsia="ru-RU"/>
        </w:rPr>
        <w:t xml:space="preserve">                                                                                                                          </w:t>
      </w:r>
    </w:p>
    <w:p w14:paraId="7D40054D" w14:textId="77777777" w:rsidR="00B51242" w:rsidRDefault="008E4E86">
      <w:pPr>
        <w:spacing w:line="360" w:lineRule="auto"/>
        <w:ind w:firstLine="794"/>
        <w:jc w:val="both"/>
      </w:pPr>
      <w:r>
        <w:rPr>
          <w:rStyle w:val="InternetLink"/>
          <w:rFonts w:eastAsia="Times New Roman" w:cs="Times New Roman"/>
          <w:color w:val="000000"/>
          <w:sz w:val="28"/>
          <w:szCs w:val="28"/>
          <w:u w:val="none"/>
        </w:rPr>
        <w:t xml:space="preserve">Під час проходження отримувачем послуг опитувальника </w:t>
      </w:r>
      <w:r>
        <w:rPr>
          <w:rStyle w:val="StrongEmphasis"/>
          <w:rFonts w:eastAsia="Times New Roman" w:cs="Times New Roman"/>
          <w:b w:val="0"/>
          <w:bCs w:val="0"/>
          <w:color w:val="000000"/>
          <w:sz w:val="28"/>
          <w:szCs w:val="28"/>
          <w:lang w:eastAsia="ru-RU"/>
        </w:rPr>
        <w:t>PCL-5</w:t>
      </w:r>
      <w:r>
        <w:rPr>
          <w:rStyle w:val="InternetLink"/>
          <w:rFonts w:eastAsia="Times New Roman" w:cs="Times New Roman"/>
          <w:color w:val="000000"/>
          <w:sz w:val="28"/>
          <w:szCs w:val="28"/>
          <w:u w:val="none"/>
        </w:rPr>
        <w:t xml:space="preserve">, психолог може паралельно здійснювати якісне спостереження за фізичною динамікою та особливостями структури характеру згідно з підходом О. Лоуена. </w:t>
      </w:r>
    </w:p>
    <w:p w14:paraId="0F8C6775" w14:textId="77777777" w:rsidR="00B51242" w:rsidRDefault="008E4E86">
      <w:pPr>
        <w:spacing w:line="360" w:lineRule="auto"/>
        <w:jc w:val="both"/>
        <w:rPr>
          <w:sz w:val="28"/>
          <w:szCs w:val="28"/>
        </w:rPr>
      </w:pPr>
      <w:r>
        <w:rPr>
          <w:color w:val="000000"/>
          <w:sz w:val="28"/>
          <w:szCs w:val="28"/>
        </w:rPr>
        <w:t>Поєднання стандартизованого психометричного інструменту (PCL-5) із тілесно-орієнтованим аналізом за Лоуеном підвищує якість первинної оцінки стану та сприяє побудові більш ефективного терапевтичного альянсу. Це дозволяє не лише точніше визначити терапевтичні цілі, але й створити безпечний простір, у якому клієнт відчуває себе зрозумілим не лише на рівні вербального, а й тілесного досвіду.</w:t>
      </w:r>
    </w:p>
    <w:p w14:paraId="2F7D8510" w14:textId="77777777" w:rsidR="00B51242" w:rsidRDefault="008E4E86">
      <w:pPr>
        <w:spacing w:line="360" w:lineRule="auto"/>
        <w:ind w:firstLine="794"/>
        <w:jc w:val="both"/>
        <w:rPr>
          <w:sz w:val="28"/>
          <w:szCs w:val="28"/>
        </w:rPr>
      </w:pPr>
      <w:r>
        <w:rPr>
          <w:color w:val="000000"/>
          <w:sz w:val="28"/>
          <w:szCs w:val="28"/>
        </w:rPr>
        <w:t>У тілесно-орієнтованій психотерапії за А. Лоуеном характерологічні структури формуються як результат ранніх життєвих переживань та способів адаптації дитини до зовнішнього середовища. Кожна структура містить у собі поєднання тілесних блоків, емоційних захистів та характерних патернів взаємодії з оточенням. У роботі з травмою та військовими клієнтами ці моделі можуть бути актуалізовані у специфічний спосіб:</w:t>
      </w:r>
    </w:p>
    <w:p w14:paraId="333626B0" w14:textId="77777777" w:rsidR="00B51242" w:rsidRDefault="008E4E86">
      <w:pPr>
        <w:tabs>
          <w:tab w:val="left" w:pos="707"/>
        </w:tabs>
        <w:spacing w:line="360" w:lineRule="auto"/>
        <w:ind w:left="707" w:hanging="283"/>
        <w:jc w:val="both"/>
      </w:pPr>
      <w:r>
        <w:rPr>
          <w:rStyle w:val="StrongEmphasis"/>
          <w:color w:val="000000"/>
          <w:sz w:val="28"/>
          <w:szCs w:val="28"/>
        </w:rPr>
        <w:t>Шизоїдна структура</w:t>
      </w:r>
      <w:r>
        <w:rPr>
          <w:color w:val="000000"/>
          <w:sz w:val="28"/>
          <w:szCs w:val="28"/>
        </w:rPr>
        <w:t xml:space="preserve"> – характеризується тенденцією до відчуження, емоційної відстороненості, тілесної напруги у верхній частині тіла. У військових може проявлятись як «вимкнення» емоцій, дистанціювання від почуттів або гіперконтроль.</w:t>
      </w:r>
    </w:p>
    <w:p w14:paraId="02029A8E" w14:textId="77777777" w:rsidR="00B51242" w:rsidRDefault="008E4E86">
      <w:pPr>
        <w:tabs>
          <w:tab w:val="left" w:pos="707"/>
        </w:tabs>
        <w:spacing w:line="360" w:lineRule="auto"/>
        <w:ind w:left="707" w:hanging="283"/>
        <w:jc w:val="both"/>
      </w:pPr>
      <w:r>
        <w:rPr>
          <w:rStyle w:val="StrongEmphasis"/>
          <w:color w:val="000000"/>
          <w:sz w:val="28"/>
          <w:szCs w:val="28"/>
        </w:rPr>
        <w:t>Оральна структура</w:t>
      </w:r>
      <w:r>
        <w:rPr>
          <w:color w:val="000000"/>
          <w:sz w:val="28"/>
          <w:szCs w:val="28"/>
        </w:rPr>
        <w:t xml:space="preserve"> – формується з досвіду дефіциту підтримки; проявляється через залежність, труднощі у саморегуляції, слабкість у тілі. У травмованих військових може посилюватися відчуттям «залишеності», зростанням потреби у зовнішній підтримці.</w:t>
      </w:r>
    </w:p>
    <w:p w14:paraId="167DB142" w14:textId="77777777" w:rsidR="00B51242" w:rsidRDefault="008E4E86">
      <w:pPr>
        <w:tabs>
          <w:tab w:val="left" w:pos="707"/>
        </w:tabs>
        <w:spacing w:line="360" w:lineRule="auto"/>
        <w:ind w:left="707" w:hanging="283"/>
        <w:jc w:val="both"/>
      </w:pPr>
      <w:r>
        <w:rPr>
          <w:rStyle w:val="StrongEmphasis"/>
          <w:color w:val="000000"/>
          <w:sz w:val="28"/>
          <w:szCs w:val="28"/>
        </w:rPr>
        <w:t>Мазохістична структура</w:t>
      </w:r>
      <w:r>
        <w:rPr>
          <w:color w:val="000000"/>
          <w:sz w:val="28"/>
          <w:szCs w:val="28"/>
        </w:rPr>
        <w:t xml:space="preserve"> – схильність до пригнічення власних емоцій, надмірної терпимості та утримування напруги у тілі (особливо у тазовій і діафрагмальній зонах). У бойових умовах це може трансформуватися у «витривалість за будь-яку ціну», але з ризиком соматизації.</w:t>
      </w:r>
    </w:p>
    <w:p w14:paraId="399D9FB6" w14:textId="77777777" w:rsidR="00B51242" w:rsidRDefault="008E4E86">
      <w:pPr>
        <w:tabs>
          <w:tab w:val="left" w:pos="707"/>
        </w:tabs>
        <w:spacing w:line="360" w:lineRule="auto"/>
        <w:ind w:left="707" w:hanging="283"/>
        <w:jc w:val="both"/>
      </w:pPr>
      <w:r>
        <w:rPr>
          <w:rStyle w:val="StrongEmphasis"/>
          <w:color w:val="000000"/>
          <w:sz w:val="28"/>
          <w:szCs w:val="28"/>
        </w:rPr>
        <w:t>Психопатична структура</w:t>
      </w:r>
      <w:r>
        <w:rPr>
          <w:color w:val="000000"/>
          <w:sz w:val="28"/>
          <w:szCs w:val="28"/>
        </w:rPr>
        <w:t xml:space="preserve"> – захист через контроль, демонстративність і дистанціювання від вразливості; напруга концентрується у верхній частині тіла, особливо у плечах та грудях. У військовому контексті може проявлятися як прагнення до влади, домінування або уникання власної слабкості.</w:t>
      </w:r>
    </w:p>
    <w:p w14:paraId="6FB11908" w14:textId="77777777" w:rsidR="00B51242" w:rsidRDefault="008E4E86">
      <w:pPr>
        <w:tabs>
          <w:tab w:val="left" w:pos="707"/>
        </w:tabs>
        <w:spacing w:line="360" w:lineRule="auto"/>
        <w:ind w:left="707" w:hanging="283"/>
        <w:jc w:val="both"/>
      </w:pPr>
      <w:r>
        <w:rPr>
          <w:rStyle w:val="StrongEmphasis"/>
          <w:color w:val="000000"/>
          <w:sz w:val="28"/>
          <w:szCs w:val="28"/>
        </w:rPr>
        <w:t>Ригідна структура</w:t>
      </w:r>
      <w:r>
        <w:rPr>
          <w:color w:val="000000"/>
          <w:sz w:val="28"/>
          <w:szCs w:val="28"/>
        </w:rPr>
        <w:t xml:space="preserve"> – орієнтація на контроль, силу волі, зовнішні стандарти; тілесно проявляється у надмірній напрузі м’язів ніг і таза. У військових часто резонує з образом «ідеального воїна», здатного пригнічувати біль і продовжувати діяти, що водночас ускладнює доступ до автентичних емоцій.                                                                                                                                                 </w:t>
      </w:r>
    </w:p>
    <w:p w14:paraId="1DBCFCF0" w14:textId="77777777" w:rsidR="00B51242" w:rsidRDefault="008E4E86">
      <w:pPr>
        <w:spacing w:line="360" w:lineRule="auto"/>
        <w:ind w:firstLine="737"/>
        <w:jc w:val="both"/>
        <w:rPr>
          <w:sz w:val="28"/>
          <w:szCs w:val="28"/>
        </w:rPr>
      </w:pPr>
      <w:r>
        <w:rPr>
          <w:color w:val="000000"/>
          <w:sz w:val="28"/>
          <w:szCs w:val="28"/>
        </w:rPr>
        <w:t xml:space="preserve">Розуміння цих структур дозволяє психологу точніше інтерпретувати невербальні прояви клієнта під час виконання психометричних опитувальників (зокрема PCL-5) і враховувати їх при плануванні терапії. </w:t>
      </w:r>
    </w:p>
    <w:p w14:paraId="0E2CFAF1" w14:textId="77777777" w:rsidR="00B51242" w:rsidRDefault="008E4E86">
      <w:pPr>
        <w:spacing w:line="360" w:lineRule="auto"/>
        <w:ind w:firstLine="737"/>
        <w:jc w:val="both"/>
        <w:rPr>
          <w:sz w:val="28"/>
          <w:szCs w:val="28"/>
        </w:rPr>
      </w:pPr>
      <w:r>
        <w:rPr>
          <w:color w:val="000000"/>
          <w:sz w:val="28"/>
          <w:szCs w:val="28"/>
        </w:rPr>
        <w:t>Для військовослужбовців та осіб із травматичним досвідом цей підхід має особливе значення, оскільки їхня здатність до вербалізації емоційного стану може бути обмеженою внаслідок психотравми, підвищеного рівня гіперактивації чи тенденції до уникання. Спостереження за тілесними проявами допомагає психологу виявити приховані форми напруги, схильність до соматизації або специфічні патерни взаємодії з оточенням, які не завжди усвідомлюються клієнтом.</w:t>
      </w:r>
    </w:p>
    <w:p w14:paraId="1E6C49D9" w14:textId="77777777" w:rsidR="00B51242" w:rsidRDefault="008E4E86">
      <w:pPr>
        <w:spacing w:line="360" w:lineRule="auto"/>
        <w:ind w:firstLine="737"/>
        <w:jc w:val="both"/>
        <w:rPr>
          <w:sz w:val="28"/>
          <w:szCs w:val="28"/>
        </w:rPr>
      </w:pPr>
      <w:r>
        <w:rPr>
          <w:color w:val="000000"/>
          <w:sz w:val="28"/>
          <w:szCs w:val="28"/>
        </w:rPr>
        <w:t xml:space="preserve">Це створює підґрунтя для глибшого терапевтичного альянсу, адже фахівець може «читати» не лише слова клієнта, але й його тілесні захисти та патерни реагування. І уже на цьому етапі, в залежності від потреб тілесної деформації надавати індивідуальні рекомендації щодо виконання вправ. </w:t>
      </w:r>
    </w:p>
    <w:p w14:paraId="1BAAB3C1" w14:textId="77777777" w:rsidR="00B51242" w:rsidRDefault="008E4E86">
      <w:pPr>
        <w:spacing w:line="360" w:lineRule="auto"/>
        <w:ind w:firstLine="737"/>
        <w:jc w:val="both"/>
      </w:pPr>
      <w:r>
        <w:rPr>
          <w:rStyle w:val="InternetLink"/>
          <w:rFonts w:eastAsia="Times New Roman" w:cs="Times New Roman"/>
          <w:b/>
          <w:bCs/>
          <w:color w:val="000000"/>
          <w:sz w:val="28"/>
          <w:szCs w:val="28"/>
          <w:u w:val="none"/>
          <w:lang w:eastAsia="ru-RU"/>
        </w:rPr>
        <w:t xml:space="preserve"> Домашнє завдання.</w:t>
      </w:r>
    </w:p>
    <w:p w14:paraId="3A24E239" w14:textId="77777777" w:rsidR="00B51242" w:rsidRDefault="008E4E86">
      <w:pPr>
        <w:spacing w:line="360" w:lineRule="auto"/>
        <w:ind w:firstLine="737"/>
        <w:jc w:val="both"/>
      </w:pPr>
      <w:r>
        <w:rPr>
          <w:rStyle w:val="InternetLink"/>
          <w:rFonts w:eastAsia="Times New Roman" w:cs="Times New Roman"/>
          <w:color w:val="000000"/>
          <w:sz w:val="28"/>
          <w:szCs w:val="28"/>
          <w:u w:val="none"/>
          <w:lang w:eastAsia="ru-RU"/>
        </w:rPr>
        <w:t xml:space="preserve">Уже на першій зустрічі доцільним є надання отримувачу послуг домашнього завдання у вигляді тренувальних вправ. Нерідко клієнти висловлюють думку: «я вже це знаю», однак після уточнення виявляється, що знання обмежуються лише інформаційним рівнем (читанням чи прослуховуванням пояснень), тоді як практичне застосування не виходило за межі одноразових спроб. У цьому контексті важливо підкреслити, що психотерапевтичні техніки слід розглядати як </w:t>
      </w:r>
      <w:r>
        <w:rPr>
          <w:rStyle w:val="StrongEmphasis"/>
          <w:rFonts w:eastAsia="Times New Roman" w:cs="Times New Roman"/>
          <w:b w:val="0"/>
          <w:bCs w:val="0"/>
          <w:color w:val="000000"/>
          <w:sz w:val="28"/>
          <w:szCs w:val="28"/>
          <w:lang w:eastAsia="ru-RU"/>
        </w:rPr>
        <w:t>навички</w:t>
      </w:r>
      <w:r>
        <w:rPr>
          <w:rStyle w:val="InternetLink"/>
          <w:rFonts w:eastAsia="Times New Roman" w:cs="Times New Roman"/>
          <w:color w:val="000000"/>
          <w:sz w:val="28"/>
          <w:szCs w:val="28"/>
          <w:u w:val="none"/>
          <w:lang w:eastAsia="ru-RU"/>
        </w:rPr>
        <w:t xml:space="preserve">, які потребують систематичного відпрацювання. Аналогічно до формування будь-якої іншої навички, організму необхідний час для вироблення відповідної реакції та інтеграції нового способу поведінки у звичну практику. Таким чином, акцент робиться на поступовості та регулярності, що забезпечує стійкий терапевтичний ефект. </w:t>
      </w:r>
    </w:p>
    <w:p w14:paraId="331659D0" w14:textId="77777777" w:rsidR="00B51242" w:rsidRDefault="008E4E86">
      <w:pPr>
        <w:spacing w:line="360" w:lineRule="auto"/>
        <w:ind w:firstLine="737"/>
        <w:jc w:val="both"/>
      </w:pPr>
      <w:r>
        <w:rPr>
          <w:rStyle w:val="InternetLink"/>
          <w:rFonts w:eastAsia="Times New Roman" w:cs="Times New Roman"/>
          <w:b/>
          <w:bCs/>
          <w:color w:val="000000"/>
          <w:sz w:val="28"/>
          <w:szCs w:val="28"/>
          <w:u w:val="none"/>
          <w:lang w:eastAsia="ru-RU"/>
        </w:rPr>
        <w:t>1. Антистресове дихання.</w:t>
      </w:r>
    </w:p>
    <w:p w14:paraId="766DEC10" w14:textId="77777777" w:rsidR="00B51242" w:rsidRDefault="008E4E86">
      <w:pPr>
        <w:spacing w:line="360" w:lineRule="auto"/>
        <w:ind w:firstLine="737"/>
        <w:jc w:val="both"/>
      </w:pPr>
      <w:r>
        <w:rPr>
          <w:rStyle w:val="InternetLink"/>
          <w:rFonts w:eastAsia="Times New Roman" w:cs="Times New Roman"/>
          <w:color w:val="000000"/>
          <w:sz w:val="28"/>
          <w:szCs w:val="28"/>
          <w:u w:val="none"/>
          <w:lang w:eastAsia="ru-RU"/>
        </w:rPr>
        <w:t>Перше правило всіх заспокійливих технік дихання — розпочинати з видиху (тривалий видих запускає парасимпатичну нервову систему, яка відповідає за стан спокою, виводить вуглекислий газ та сприяє розслабленню м'язів)..   Тож ТОТ техніка антистресове дихання, розпочинається з глибокого видиху, потім виконується повільний глибокий вдих через ніс; на висоті вдиху на мить затримується дихання, після чого робиться видих як можна повільніше. Це заспокійливе дихання. Воно полягає у відносному вкороченні вдиху, подовженні видиху і паузи після нього. Постарайтеся уявити собі, що з кожним глибоким вдихом і тривалим видихом Ви частково позбавляєтеся від стресового напруження.  Головне правило видих повинен бути в два рази довшим, затримка дихання довша за видих. Дихання комфортне, без напруження. Такий варіант дихання рекомендований Наказом МОЗ № 1265 від 19 липня 2024.</w:t>
      </w:r>
    </w:p>
    <w:p w14:paraId="5B820A40"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Мобільний телефон займає значне місце у повсякденному житті сучасної людини. Крім того від хвилювання та тривожних думок військовослужбовці часто ховаються за соціальними мережами, тому було прийнято рішення використати цю звичку з користю для психоемоційного стану. Запропонований підхід полягає у поєднанні візуального контакту з формою телефону та технік дихальної регуляції: під час вдиху погляд спрямовується вздовж короткої сторони, під час видиху — вздовж довшої сторони, після чого здійснюється затримка дихання та рух поглядом по колу до початкової позиції. Такий метод інтегрує знайомий предмет у щоденну практику та сприяє більш регулярному виконанню вправ з антистресового дихання. </w:t>
      </w:r>
    </w:p>
    <w:p w14:paraId="0DD17777" w14:textId="77777777" w:rsidR="00B51242" w:rsidRDefault="008E4E86">
      <w:pPr>
        <w:spacing w:line="360" w:lineRule="auto"/>
        <w:jc w:val="both"/>
      </w:pPr>
      <w:r>
        <w:rPr>
          <w:color w:val="000000"/>
          <w:sz w:val="28"/>
          <w:szCs w:val="28"/>
        </w:rPr>
        <w:t xml:space="preserve">Наказ МОЗ № 1265 від 19 липня 2024 </w:t>
      </w:r>
    </w:p>
    <w:p w14:paraId="502AF065" w14:textId="77777777" w:rsidR="00B51242" w:rsidRDefault="008E4E86">
      <w:pPr>
        <w:spacing w:line="360" w:lineRule="auto"/>
        <w:ind w:firstLine="737"/>
        <w:jc w:val="both"/>
      </w:pPr>
      <w:r>
        <w:rPr>
          <w:rStyle w:val="InternetLink"/>
          <w:rFonts w:eastAsia="Times New Roman" w:cs="Times New Roman"/>
          <w:b/>
          <w:bCs/>
          <w:color w:val="000000"/>
          <w:sz w:val="28"/>
          <w:szCs w:val="28"/>
          <w:u w:val="none"/>
          <w:lang w:eastAsia="ru-RU"/>
        </w:rPr>
        <w:t>2. М'язова релаксація</w:t>
      </w:r>
    </w:p>
    <w:p w14:paraId="27B81C92" w14:textId="77777777" w:rsidR="00B51242" w:rsidRDefault="008E4E86">
      <w:pPr>
        <w:spacing w:line="360" w:lineRule="auto"/>
        <w:ind w:firstLine="737"/>
        <w:jc w:val="both"/>
      </w:pPr>
      <w:r>
        <w:rPr>
          <w:rStyle w:val="StrongEmphasis"/>
          <w:rFonts w:eastAsia="Times New Roman" w:cs="Times New Roman"/>
          <w:b w:val="0"/>
          <w:bCs w:val="0"/>
          <w:color w:val="000000"/>
          <w:sz w:val="28"/>
          <w:szCs w:val="28"/>
          <w:lang w:eastAsia="ru-RU"/>
        </w:rPr>
        <w:t>ТОТ техніка м’язова релаксація</w:t>
      </w:r>
      <w:r>
        <w:rPr>
          <w:rStyle w:val="InternetLink"/>
          <w:rFonts w:eastAsia="Times New Roman" w:cs="Times New Roman"/>
          <w:color w:val="000000"/>
          <w:sz w:val="28"/>
          <w:szCs w:val="28"/>
          <w:u w:val="none"/>
          <w:lang w:eastAsia="ru-RU"/>
        </w:rPr>
        <w:t xml:space="preserve"> розглядається як психофізіологічна техніка, спрямована на зниження напруги в організмі шляхом послідовного скорочення та подальшого розслаблення окремих груп м’язів. Завдяки фокусуванню уваги на тілесних відчуттях («поверненню в тіло») знижується рівень фізіологічного збудження симпатичної нервової системи з подальшим переходом у парасимпатичний стан, що супроводжується процесами відновлення організму. У процесі регулярного тренування формуються навички керованого розслаблення («релаксації за запитом»), що загалом сприяє зменшенню тривоги, стресу, а також проявів психосоматичних симптомів, пов’язаних із гіперзбудженням та гіперчутливістю.</w:t>
      </w:r>
    </w:p>
    <w:p w14:paraId="165B6A88" w14:textId="77777777" w:rsidR="00B51242" w:rsidRDefault="008E4E86">
      <w:pPr>
        <w:spacing w:line="360" w:lineRule="auto"/>
        <w:jc w:val="both"/>
        <w:rPr>
          <w:sz w:val="28"/>
          <w:szCs w:val="28"/>
        </w:rPr>
      </w:pPr>
      <w:r>
        <w:rPr>
          <w:color w:val="000000"/>
          <w:sz w:val="28"/>
          <w:szCs w:val="28"/>
        </w:rPr>
        <w:t>У контексті надання психологічної підтримки військовослужбовцям необхідно враховувати індивідуальні особливості їхнього фізичного стану та бути готовими до використання адаптованих варіантів техніки. Зокрема, у прогресивній м’язовій релаксації Джекобсона рекомендованою є симетрична робота з парними групами м’язів, що забезпечує відчуття тілесного балансу. Проте за наявності ампутацій або обмежень рухливості кінцівок доцільно застосовувати асиметричний підхід.</w:t>
      </w:r>
    </w:p>
    <w:p w14:paraId="1530CEF0" w14:textId="77777777" w:rsidR="00B51242" w:rsidRDefault="008E4E86">
      <w:pPr>
        <w:spacing w:line="360" w:lineRule="auto"/>
        <w:jc w:val="both"/>
        <w:rPr>
          <w:sz w:val="28"/>
          <w:szCs w:val="28"/>
        </w:rPr>
      </w:pPr>
      <w:r>
        <w:rPr>
          <w:color w:val="000000"/>
          <w:sz w:val="28"/>
          <w:szCs w:val="28"/>
        </w:rPr>
        <w:t>У межах даного дослідження військовослужбовці відбиратимуться без ускладнень опорно-рухового апарату, тому використовуватиметься класичний варіант симетричної м’язової релаксації. Вправа виконується у положенні стоячи, з постановкою ніг на ширину плечей та концентрацією уваги на стопах (заземлення). Поєднання техніки м'язової релаксації з антистресовим диханням, із яким отримувачі послуг вже ознайомлені, передбачає дотримання сталої частоти вдиху та видиху. Поступово додається симетричне напруження парних груп м’язів: на вдиху відбувається розслаблення, на видиху — напруження, а на затримці дихання досягається максимальний рівень м’язової напруги без виникнення дискомфорту. Використання симетричного варіанта доцільне на етапі первинного знайомства з технікою.</w:t>
      </w:r>
    </w:p>
    <w:p w14:paraId="68E89740" w14:textId="77777777" w:rsidR="00B51242" w:rsidRDefault="008E4E86">
      <w:pPr>
        <w:spacing w:line="360" w:lineRule="auto"/>
        <w:jc w:val="both"/>
        <w:rPr>
          <w:sz w:val="28"/>
          <w:szCs w:val="28"/>
        </w:rPr>
      </w:pPr>
      <w:r>
        <w:rPr>
          <w:color w:val="000000"/>
          <w:sz w:val="28"/>
          <w:szCs w:val="28"/>
        </w:rPr>
        <w:t>Надалі вправи можуть виконуватися у більш гнучкому форматі, відповідно до індивідуальних запитів отримувача психологічних послуг. Зокрема, увага може зосереджуватися на ділянках тіла з неприємними відчуттями, де застосовується локальна м’язова релаксація. Основним принципом залишається відсутність дискомфорту: вправи мають викликати відчуття полегшення та приємності.</w:t>
      </w:r>
    </w:p>
    <w:p w14:paraId="4C9A1821" w14:textId="77777777" w:rsidR="00B51242" w:rsidRDefault="008E4E86">
      <w:pPr>
        <w:spacing w:line="360" w:lineRule="auto"/>
        <w:jc w:val="both"/>
      </w:pPr>
      <w:r>
        <w:rPr>
          <w:rStyle w:val="StrongEmphasis"/>
          <w:rFonts w:eastAsia="Times New Roman" w:cs="Times New Roman"/>
          <w:color w:val="000000"/>
          <w:sz w:val="28"/>
          <w:szCs w:val="28"/>
          <w:lang w:eastAsia="ru-RU"/>
        </w:rPr>
        <w:t>3. Створення “безпечного місця”.</w:t>
      </w:r>
    </w:p>
    <w:p w14:paraId="6B3FF02F" w14:textId="77777777" w:rsidR="00B51242" w:rsidRDefault="008E4E86">
      <w:pPr>
        <w:spacing w:line="360" w:lineRule="auto"/>
        <w:jc w:val="both"/>
      </w:pPr>
      <w:r>
        <w:rPr>
          <w:rStyle w:val="StrongEmphasis"/>
          <w:rFonts w:eastAsia="Times New Roman" w:cs="Times New Roman"/>
          <w:color w:val="000000"/>
          <w:sz w:val="28"/>
          <w:szCs w:val="28"/>
          <w:lang w:eastAsia="ru-RU"/>
        </w:rPr>
        <w:t xml:space="preserve">  </w:t>
      </w:r>
      <w:r>
        <w:rPr>
          <w:rStyle w:val="StrongEmphasis"/>
          <w:rFonts w:eastAsia="Times New Roman" w:cs="Times New Roman"/>
          <w:b w:val="0"/>
          <w:bCs w:val="0"/>
          <w:color w:val="000000"/>
          <w:sz w:val="28"/>
          <w:szCs w:val="28"/>
          <w:lang w:eastAsia="ru-RU"/>
        </w:rPr>
        <w:t>Техніка «створення безпечного місця» належить до стабілізаційних та ресурсних методів психотерапії й активно застосовується в EMDR-терапії, когнітивно-поведінкових підходах до роботи з травмою, методах релаксації та при лікуванні посттравматичного стресового розладу (ПТСР). Її ефективність також проявляється у зниженні рівня тривожності, зокрема перед сном. Досвід клінічної практики свідчить, що вже впродовж перших хвилин уявлення безпечного простору у більшості клієнтів спостерігається розслаблення м’язів обличчя та поява легкої посмішки, що відображає тілесний відгук нервової системи.</w:t>
      </w:r>
    </w:p>
    <w:p w14:paraId="4A63E16B" w14:textId="77777777" w:rsidR="00B51242" w:rsidRDefault="008E4E86">
      <w:pPr>
        <w:spacing w:line="360" w:lineRule="auto"/>
        <w:jc w:val="both"/>
      </w:pPr>
      <w:r>
        <w:rPr>
          <w:rStyle w:val="StrongEmphasis"/>
          <w:b w:val="0"/>
          <w:bCs w:val="0"/>
          <w:color w:val="000000"/>
          <w:sz w:val="28"/>
          <w:szCs w:val="28"/>
        </w:rPr>
        <w:t>Алгоритм виконання вправи.</w:t>
      </w:r>
      <w:r>
        <w:rPr>
          <w:color w:val="000000"/>
          <w:sz w:val="28"/>
          <w:szCs w:val="28"/>
        </w:rPr>
        <w:t xml:space="preserve"> Отримувачу послуги пропонується зайняти зручне положення та звернути увагу на дихання, яке має залишатися спокійним і ненапруженим. Важливо інтегрувати елемент якірення, наприклад, покласти долоні горизонтально одна на одну. Таке положення є непомітним тому  надалі може використовуватись як «перемикач» для швидкого повернення у стан внутрішньої безпеки навіть у людних місцяї. За допомогою візуалізації пропонується створити цілісне уявлення простору через образи, звуки, відчуття й запахи. Бажано використовувати повністю уявне місце, аби уникнути активації тригерів, пов’язаних із реальною ситуацією. Завдання терапевта полягає у тому, щоб допомогти клієнтові не лише побачити цей простір, але й «увійти» у нього, тілесно відчути захищеність, тепло, спокій та дистанцію від небезпеки.</w:t>
      </w:r>
    </w:p>
    <w:p w14:paraId="34E7D3D0" w14:textId="77777777" w:rsidR="00B51242" w:rsidRDefault="008E4E86">
      <w:pPr>
        <w:spacing w:line="360" w:lineRule="auto"/>
        <w:jc w:val="both"/>
      </w:pPr>
      <w:r>
        <w:rPr>
          <w:rStyle w:val="StrongEmphasis"/>
          <w:b w:val="0"/>
          <w:bCs w:val="0"/>
          <w:color w:val="000000"/>
          <w:sz w:val="28"/>
          <w:szCs w:val="28"/>
        </w:rPr>
        <w:t>Терапевтичний ефект.</w:t>
      </w:r>
      <w:r>
        <w:rPr>
          <w:color w:val="000000"/>
          <w:sz w:val="28"/>
          <w:szCs w:val="28"/>
        </w:rPr>
        <w:t xml:space="preserve"> Застосування техніки сприяє формуванню внутрішнього механізму регуляції, що забезпечує перехід із стану гіперактивації у стан спокою. При цьому варто підкреслити, що техніка не усуває травматичний досвід, але надає людині ресурс і навички контролю за власним станом. У клінічній практиці вона використовується як підготовчий етап перед безпосереднім опрацюванням травматичних спогадів, а також для стабілізації після інтенсивної роботи з травмою.</w:t>
      </w:r>
    </w:p>
    <w:p w14:paraId="6C4553AA" w14:textId="77777777" w:rsidR="00B51242" w:rsidRDefault="008E4E86">
      <w:pPr>
        <w:spacing w:line="360" w:lineRule="auto"/>
        <w:jc w:val="both"/>
      </w:pPr>
      <w:r>
        <w:rPr>
          <w:rStyle w:val="StrongEmphasis"/>
          <w:rFonts w:eastAsia="Times New Roman" w:cs="Times New Roman"/>
          <w:b w:val="0"/>
          <w:bCs w:val="0"/>
          <w:color w:val="000000"/>
          <w:sz w:val="28"/>
          <w:szCs w:val="28"/>
          <w:lang w:eastAsia="ru-RU"/>
        </w:rPr>
        <w:t xml:space="preserve">Техніка ефективна але на етапі засвоєння, потребує зусиль від отримувача послуги, тому важливо доступно пояснити важливість освоєння цієї техніки. </w:t>
      </w:r>
    </w:p>
    <w:p w14:paraId="7EF90EE0" w14:textId="77777777" w:rsidR="00B51242" w:rsidRDefault="008E4E86">
      <w:pPr>
        <w:spacing w:line="360" w:lineRule="auto"/>
        <w:jc w:val="both"/>
      </w:pPr>
      <w:r>
        <w:rPr>
          <w:rStyle w:val="StrongEmphasis"/>
          <w:rFonts w:eastAsia="Times New Roman" w:cs="Times New Roman"/>
          <w:b w:val="0"/>
          <w:bCs w:val="0"/>
          <w:color w:val="000000"/>
          <w:sz w:val="28"/>
          <w:szCs w:val="28"/>
          <w:lang w:eastAsia="ru-RU"/>
        </w:rPr>
        <w:t>Пояснити, що д</w:t>
      </w:r>
      <w:r>
        <w:rPr>
          <w:color w:val="000000"/>
          <w:sz w:val="28"/>
          <w:szCs w:val="28"/>
        </w:rPr>
        <w:t>ля нервової системи не важливо подія відбувається насправді чи в уявленні, вона буде це сприймати однаково. Якщо ви в безпеці, але будете знову перепрацьовувати в уяві спогади небезпеки, нервова система буде це сприймати наче ви знаходитесь знову в тих небезпечних умовах. Чому так відбувається? Це спричинено дією гормонів: наприклад кортизол — гормон стресу. Він збільшує рівень енергії та надає тривожний стан для підготовки організму до можливих небезпек. Він дуже корисний, в стресових ситуаціях він допомагає ефективно діяти, але якщо протягом тривалого часу він буде діяти на організм це призведе до постійної тривоги, роздратування, агресії чи депресії; тому для організму в противагу потрібен серотонін — гормон радості та щастя. Він відповідальний за розслаблення, гарний настрій,  регулює сон, апетит та інше. Тому уява безпечного простору запускає асоціативні нейронні мережі, що пов’язані з почуттям захищеності. Це активує парасимпатичну нервову систему, знижується рівень фізіологічного збудження, зменшується тривожність.</w:t>
      </w:r>
    </w:p>
    <w:p w14:paraId="04338875" w14:textId="77777777" w:rsidR="00B51242" w:rsidRDefault="00B51242">
      <w:pPr>
        <w:spacing w:line="360" w:lineRule="auto"/>
        <w:jc w:val="both"/>
        <w:rPr>
          <w:rStyle w:val="InternetLink"/>
          <w:rFonts w:eastAsia="Times New Roman" w:cs="Times New Roman"/>
          <w:sz w:val="28"/>
          <w:szCs w:val="28"/>
        </w:rPr>
      </w:pPr>
    </w:p>
    <w:p w14:paraId="51699FE8" w14:textId="77777777" w:rsidR="00B51242" w:rsidRDefault="008E4E86">
      <w:pPr>
        <w:spacing w:line="360" w:lineRule="auto"/>
        <w:ind w:firstLine="737"/>
        <w:jc w:val="both"/>
      </w:pPr>
      <w:r>
        <w:rPr>
          <w:rStyle w:val="InternetLink"/>
          <w:rFonts w:eastAsia="Times New Roman" w:cs="Times New Roman"/>
          <w:b/>
          <w:bCs/>
          <w:color w:val="000000"/>
          <w:sz w:val="28"/>
          <w:szCs w:val="28"/>
          <w:u w:val="none"/>
          <w:lang w:eastAsia="ru-RU"/>
        </w:rPr>
        <w:t xml:space="preserve">Заняття 2-3.  Тренування уваги та мислення. Емоційна регуляція. </w:t>
      </w:r>
    </w:p>
    <w:p w14:paraId="2D464452"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1. Фіксація стану на початку заняття.</w:t>
      </w:r>
    </w:p>
    <w:p w14:paraId="5793A341"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 xml:space="preserve">2. Перевірка домашнього завдання. </w:t>
      </w:r>
    </w:p>
    <w:p w14:paraId="4F5B2F73"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3. Психоосвіта (зміна відношення до ПТСР через історію, заглиблення в метод історія КПТ)</w:t>
      </w:r>
    </w:p>
    <w:p w14:paraId="389719FE"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 xml:space="preserve">4. Діагностика. (тест  </w:t>
      </w:r>
      <w:r>
        <w:rPr>
          <w:rStyle w:val="StrongEmphasis"/>
          <w:rFonts w:eastAsia="Times New Roman" w:cs="Times New Roman"/>
          <w:color w:val="000000"/>
          <w:sz w:val="28"/>
          <w:szCs w:val="28"/>
          <w:lang w:eastAsia="ru-RU"/>
        </w:rPr>
        <w:t xml:space="preserve">DASS-21- </w:t>
      </w:r>
      <w:r>
        <w:rPr>
          <w:rStyle w:val="StrongEmphasis"/>
          <w:rFonts w:eastAsia="Times New Roman" w:cs="Times New Roman"/>
          <w:b w:val="0"/>
          <w:bCs w:val="0"/>
          <w:color w:val="000000"/>
          <w:sz w:val="28"/>
          <w:szCs w:val="28"/>
          <w:lang w:eastAsia="ru-RU"/>
        </w:rPr>
        <w:t>оцінка рівня депресії, тривоги та стресу</w:t>
      </w:r>
      <w:r>
        <w:rPr>
          <w:rStyle w:val="StrongEmphasis"/>
          <w:rFonts w:eastAsia="Times New Roman" w:cs="Times New Roman"/>
          <w:color w:val="000000"/>
          <w:sz w:val="28"/>
          <w:szCs w:val="28"/>
          <w:lang w:eastAsia="ru-RU"/>
        </w:rPr>
        <w:t>)</w:t>
      </w:r>
    </w:p>
    <w:p w14:paraId="6325A2AC"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 xml:space="preserve">5. Автоматичні думки (практика).                                                              </w:t>
      </w:r>
    </w:p>
    <w:p w14:paraId="1FE575E0"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6. Надання домашнього завдання (техніка уповільнення думок тарухів, т</w:t>
      </w:r>
      <w:r>
        <w:rPr>
          <w:rStyle w:val="StrongEmphasis"/>
          <w:rFonts w:eastAsia="Times New Roman" w:cs="Times New Roman"/>
          <w:color w:val="000000"/>
          <w:sz w:val="28"/>
          <w:szCs w:val="28"/>
          <w:lang w:eastAsia="ru-RU"/>
        </w:rPr>
        <w:t>ехніка заземлення 5-4-3-2-1,</w:t>
      </w:r>
      <w:r>
        <w:rPr>
          <w:rStyle w:val="InternetLink"/>
          <w:rFonts w:eastAsia="Times New Roman" w:cs="Times New Roman"/>
          <w:b/>
          <w:bCs/>
          <w:color w:val="000000"/>
          <w:sz w:val="28"/>
          <w:szCs w:val="28"/>
          <w:u w:val="none"/>
          <w:lang w:eastAsia="ru-RU"/>
        </w:rPr>
        <w:t xml:space="preserve"> робота з автоматичними думками).                                                                                                        </w:t>
      </w:r>
    </w:p>
    <w:p w14:paraId="1623449A" w14:textId="77777777" w:rsidR="00B51242" w:rsidRDefault="008E4E86">
      <w:pPr>
        <w:spacing w:line="360" w:lineRule="auto"/>
        <w:jc w:val="both"/>
      </w:pPr>
      <w:bookmarkStart w:id="22" w:name="__DdeLink__5876_23008836672"/>
      <w:r>
        <w:rPr>
          <w:rStyle w:val="InternetLink"/>
          <w:rFonts w:eastAsia="Times New Roman" w:cs="Times New Roman"/>
          <w:b/>
          <w:bCs/>
          <w:color w:val="000000"/>
          <w:sz w:val="28"/>
          <w:szCs w:val="28"/>
          <w:u w:val="none"/>
          <w:lang w:eastAsia="ru-RU"/>
        </w:rPr>
        <w:t>7. Фіксація стану по завершенню занять.</w:t>
      </w:r>
      <w:bookmarkEnd w:id="22"/>
    </w:p>
    <w:p w14:paraId="2CCB938B" w14:textId="77777777" w:rsidR="00B51242" w:rsidRDefault="00B51242">
      <w:pPr>
        <w:spacing w:line="360" w:lineRule="auto"/>
        <w:jc w:val="both"/>
        <w:rPr>
          <w:rStyle w:val="InternetLink"/>
          <w:sz w:val="28"/>
          <w:szCs w:val="28"/>
        </w:rPr>
      </w:pPr>
    </w:p>
    <w:p w14:paraId="19405D03" w14:textId="77777777" w:rsidR="00B51242" w:rsidRDefault="008E4E86">
      <w:pPr>
        <w:spacing w:line="360" w:lineRule="auto"/>
        <w:ind w:firstLine="794"/>
        <w:jc w:val="both"/>
      </w:pPr>
      <w:r>
        <w:rPr>
          <w:rStyle w:val="InternetLink"/>
          <w:rFonts w:eastAsia="Times New Roman" w:cs="Times New Roman"/>
          <w:b/>
          <w:bCs/>
          <w:color w:val="000000"/>
          <w:sz w:val="28"/>
          <w:szCs w:val="28"/>
          <w:u w:val="none"/>
          <w:lang w:eastAsia="ru-RU"/>
        </w:rPr>
        <w:t xml:space="preserve">Психоосвіта. </w:t>
      </w:r>
      <w:r>
        <w:rPr>
          <w:rStyle w:val="InternetLink"/>
          <w:rFonts w:eastAsia="Times New Roman" w:cs="Times New Roman"/>
          <w:color w:val="000000"/>
          <w:sz w:val="28"/>
          <w:szCs w:val="28"/>
          <w:u w:val="none"/>
          <w:lang w:eastAsia="ru-RU"/>
        </w:rPr>
        <w:t>У психоосвіті важливим є не лише пояснення симптомів посттравматичного стресового розладу (ПТСР), але й ознайомлення отримувача послуг із історією формування самого поняття та його розвитку у клінічній практиці.</w:t>
      </w:r>
    </w:p>
    <w:p w14:paraId="796B98D5" w14:textId="77777777" w:rsidR="00B51242" w:rsidRDefault="00B51242">
      <w:pPr>
        <w:spacing w:line="360" w:lineRule="auto"/>
        <w:jc w:val="both"/>
        <w:rPr>
          <w:color w:val="000000"/>
          <w:sz w:val="28"/>
          <w:szCs w:val="28"/>
        </w:rPr>
      </w:pPr>
    </w:p>
    <w:p w14:paraId="5D3A9A8E" w14:textId="77777777" w:rsidR="00B51242" w:rsidRDefault="008E4E86">
      <w:pPr>
        <w:spacing w:line="360" w:lineRule="auto"/>
        <w:ind w:firstLine="794"/>
        <w:jc w:val="both"/>
      </w:pPr>
      <w:r>
        <w:rPr>
          <w:color w:val="000000"/>
          <w:sz w:val="28"/>
          <w:szCs w:val="28"/>
        </w:rPr>
        <w:t xml:space="preserve">Розуміння того, що симптоми ПТСР описувалися у військових ще з часів античності, допомагає військовослужбовцю усвідомити, що її досвід не є унікальним чи «аномальним».   </w:t>
      </w:r>
      <w:r>
        <w:rPr>
          <w:b/>
          <w:bCs/>
          <w:color w:val="000000"/>
          <w:sz w:val="28"/>
          <w:szCs w:val="28"/>
        </w:rPr>
        <w:t>Зниження відчуття ізольованості та сорому</w:t>
      </w:r>
      <w:r>
        <w:rPr>
          <w:color w:val="000000"/>
          <w:sz w:val="28"/>
          <w:szCs w:val="28"/>
        </w:rPr>
        <w:t xml:space="preserve"> відкриває можливості, підвищуючи ефективність терапевтичного процесу.</w:t>
      </w:r>
    </w:p>
    <w:p w14:paraId="764FB967" w14:textId="77777777" w:rsidR="00B51242" w:rsidRDefault="008E4E86">
      <w:pPr>
        <w:spacing w:line="360" w:lineRule="auto"/>
        <w:ind w:firstLine="737"/>
        <w:jc w:val="both"/>
        <w:rPr>
          <w:sz w:val="28"/>
          <w:szCs w:val="28"/>
        </w:rPr>
      </w:pPr>
      <w:r>
        <w:rPr>
          <w:color w:val="000000"/>
          <w:sz w:val="28"/>
          <w:szCs w:val="28"/>
        </w:rPr>
        <w:t>Історичний контекст показує, що ПТСР є закономірною психофізіологічною реакцією на екстремальні події, а не «слабкістю» чи «невмінням впоратися з труднощами». Усвідомлення цього сприяє формуванню більш прийнятного ставлення до власних симптомів та зниження стигматизації.</w:t>
      </w:r>
    </w:p>
    <w:p w14:paraId="24AF7AEB" w14:textId="77777777" w:rsidR="00B51242" w:rsidRDefault="008E4E86">
      <w:pPr>
        <w:spacing w:line="360" w:lineRule="auto"/>
        <w:ind w:firstLine="737"/>
        <w:jc w:val="both"/>
      </w:pPr>
      <w:r>
        <w:rPr>
          <w:color w:val="000000"/>
          <w:sz w:val="28"/>
          <w:szCs w:val="28"/>
        </w:rPr>
        <w:t>Демонстрація того, як із часом змінювалось розуміння ПТСР — від суто соматичних інтерпретацій до сучасної біопсихосоціальної моделі — допомагає клієнтам побачити, що існуючі терапевтичні методи мають наукове підґрунтя, перевірені практикою та постійно вдосконалюються. Це підвищує мотивацію до участі в терапії та підвищує довіру до лікування.</w:t>
      </w:r>
    </w:p>
    <w:p w14:paraId="2AAB51C7" w14:textId="77777777" w:rsidR="00B51242" w:rsidRDefault="008E4E86">
      <w:pPr>
        <w:spacing w:line="360" w:lineRule="auto"/>
        <w:ind w:firstLine="737"/>
        <w:jc w:val="both"/>
      </w:pPr>
      <w:r>
        <w:rPr>
          <w:rStyle w:val="InternetLink"/>
          <w:rFonts w:eastAsia="Times New Roman" w:cs="Times New Roman"/>
          <w:color w:val="000000"/>
          <w:sz w:val="28"/>
          <w:szCs w:val="28"/>
          <w:u w:val="none"/>
          <w:lang w:eastAsia="ru-RU"/>
        </w:rPr>
        <w:t xml:space="preserve">Наступним етапом психоосвітньої роботи доцільно визначити поглиблене ознайомлення отримувача послуг із самим методом когнітивно-поведінкової терапії (КПТ), що передбачає не лише розкриття його основних принципів і механізмів дії, але й формування довіри до обраного підходу шляхом звернення до його історичного розвитку та сучасних наукових даних. Представлення історичного контексту КПТ дозволяє підкреслити, що даний метод має глибокі наукові корені, сформувався на перетині когнітивної психології та поведінкових теорій середини ХХ століття та поступово еволюціонував від роботи з депресивними і тривожними розладами до широкого спектра психічних порушень. У рамках психоосвіти корисним є підкреслення того, що саме КПТ визнана міжнародними клінічними настановами як один із провідних доказових методів лікування посттравматичного стресового розладу. Звернення до історичного минулого формує у клієнта уявлення про наукову спадкоємність та обґрунтованість терапевтичного підходу, що підвищує довіру до процесу лікування. Одночасно важливо представити сучасні погляди КПТ на ПТСР, які виходять із моделі взаємодії травматичних спогадів, дисфункціональних переконань та поведінкових стратегій уникнення. Такий підхід пояснює, як симптоми ПТСР підтримуються через когнітивні викривлення та фізіологічні реакції, і як систематична робота над думками, емоціями та поведінкою може сприяти поступовому відновленню. Таким чином, інтеграція історичного та сучасного вимірів КПТ у психоосвітній процес не лише поглиблює знання отримувача послуг, але й підвищує його готовність до співпраці та зміцнює терапевтичний альянс, що призведе до зменшення уникнення та відсіву. </w:t>
      </w:r>
    </w:p>
    <w:p w14:paraId="344BE600" w14:textId="77777777" w:rsidR="00B51242" w:rsidRDefault="00B51242">
      <w:pPr>
        <w:spacing w:line="360" w:lineRule="auto"/>
        <w:jc w:val="both"/>
        <w:rPr>
          <w:rStyle w:val="InternetLink"/>
          <w:rFonts w:eastAsia="Times New Roman" w:cs="Times New Roman"/>
          <w:b/>
          <w:bCs/>
          <w:sz w:val="28"/>
          <w:szCs w:val="28"/>
        </w:rPr>
      </w:pPr>
    </w:p>
    <w:p w14:paraId="5FC553C9" w14:textId="77777777" w:rsidR="00B51242" w:rsidRDefault="008E4E86">
      <w:pPr>
        <w:spacing w:line="360" w:lineRule="auto"/>
        <w:ind w:firstLine="794"/>
        <w:jc w:val="both"/>
      </w:pPr>
      <w:r>
        <w:rPr>
          <w:rStyle w:val="InternetLink"/>
          <w:rFonts w:eastAsia="Times New Roman" w:cs="Times New Roman"/>
          <w:b/>
          <w:bCs/>
          <w:color w:val="000000"/>
          <w:sz w:val="28"/>
          <w:szCs w:val="28"/>
          <w:u w:val="none"/>
          <w:lang w:eastAsia="ru-RU"/>
        </w:rPr>
        <w:t xml:space="preserve">Діагностика.                                                                                      </w:t>
      </w:r>
    </w:p>
    <w:p w14:paraId="7F56ECB1" w14:textId="77777777" w:rsidR="00B51242" w:rsidRDefault="008E4E86">
      <w:pPr>
        <w:spacing w:line="360" w:lineRule="auto"/>
        <w:ind w:firstLine="737"/>
        <w:jc w:val="both"/>
      </w:pPr>
      <w:r>
        <w:rPr>
          <w:rStyle w:val="InternetLink"/>
          <w:rFonts w:eastAsia="Times New Roman" w:cs="Times New Roman"/>
          <w:color w:val="000000"/>
          <w:sz w:val="28"/>
          <w:szCs w:val="28"/>
          <w:u w:val="none"/>
          <w:lang w:eastAsia="ru-RU"/>
        </w:rPr>
        <w:t xml:space="preserve">Перш ніж визначитися з планом лікування, необхідно провести </w:t>
      </w:r>
      <w:r>
        <w:rPr>
          <w:rStyle w:val="StrongEmphasis"/>
          <w:rFonts w:eastAsia="Times New Roman" w:cs="Times New Roman"/>
          <w:b w:val="0"/>
          <w:bCs w:val="0"/>
          <w:color w:val="000000"/>
          <w:sz w:val="28"/>
          <w:szCs w:val="28"/>
          <w:lang w:eastAsia="ru-RU"/>
        </w:rPr>
        <w:t>диференційну діагностику</w:t>
      </w:r>
      <w:r>
        <w:rPr>
          <w:rStyle w:val="InternetLink"/>
          <w:rFonts w:eastAsia="Times New Roman" w:cs="Times New Roman"/>
          <w:color w:val="000000"/>
          <w:sz w:val="28"/>
          <w:szCs w:val="28"/>
          <w:u w:val="none"/>
          <w:lang w:eastAsia="ru-RU"/>
        </w:rPr>
        <w:t>. Диференційна діагностика являє собою процес порівняння наявних симптомів у пацієнта з симптоматикою інших можливих психічних розладів з метою встановлення точного діагнозу. У контексті посттравматичного стресового розладу (ПТСР) особливо важливо відмежувати його від таких станів, як депресивні розлади, тривожні розлади чи розлади адаптації, які можуть мати подібні прояви.</w:t>
      </w:r>
    </w:p>
    <w:p w14:paraId="0885A1C6" w14:textId="77777777" w:rsidR="00B51242" w:rsidRDefault="008E4E86">
      <w:pPr>
        <w:spacing w:line="360" w:lineRule="auto"/>
        <w:jc w:val="both"/>
      </w:pPr>
      <w:r>
        <w:rPr>
          <w:color w:val="000000"/>
          <w:sz w:val="28"/>
          <w:szCs w:val="28"/>
        </w:rPr>
        <w:t xml:space="preserve">Здійснення диференційної діагностики ґрунтується на комплексному підході, що включає </w:t>
      </w:r>
      <w:r>
        <w:rPr>
          <w:rStyle w:val="StrongEmphasis"/>
          <w:b w:val="0"/>
          <w:bCs w:val="0"/>
          <w:color w:val="000000"/>
          <w:sz w:val="28"/>
          <w:szCs w:val="28"/>
        </w:rPr>
        <w:t>клінічне інтерв’ю</w:t>
      </w:r>
      <w:r>
        <w:rPr>
          <w:color w:val="000000"/>
          <w:sz w:val="28"/>
          <w:szCs w:val="28"/>
        </w:rPr>
        <w:t xml:space="preserve"> та застосування </w:t>
      </w:r>
      <w:r>
        <w:rPr>
          <w:rStyle w:val="StrongEmphasis"/>
          <w:b w:val="0"/>
          <w:bCs w:val="0"/>
          <w:color w:val="000000"/>
          <w:sz w:val="28"/>
          <w:szCs w:val="28"/>
        </w:rPr>
        <w:t>психометричних інструментів</w:t>
      </w:r>
      <w:r>
        <w:rPr>
          <w:color w:val="000000"/>
          <w:sz w:val="28"/>
          <w:szCs w:val="28"/>
        </w:rPr>
        <w:t xml:space="preserve">. Згідно з </w:t>
      </w:r>
      <w:r>
        <w:rPr>
          <w:rStyle w:val="StrongEmphasis"/>
          <w:b w:val="0"/>
          <w:bCs w:val="0"/>
          <w:color w:val="000000"/>
          <w:sz w:val="28"/>
          <w:szCs w:val="28"/>
        </w:rPr>
        <w:t>Наказом МОЗ України № 1265 від 19 липня 2024 року</w:t>
      </w:r>
      <w:r>
        <w:rPr>
          <w:color w:val="000000"/>
          <w:sz w:val="28"/>
          <w:szCs w:val="28"/>
        </w:rPr>
        <w:t xml:space="preserve">, обов’язковим є використання тесту </w:t>
      </w:r>
      <w:r>
        <w:rPr>
          <w:rStyle w:val="StrongEmphasis"/>
          <w:b w:val="0"/>
          <w:bCs w:val="0"/>
          <w:color w:val="000000"/>
          <w:sz w:val="28"/>
          <w:szCs w:val="28"/>
        </w:rPr>
        <w:t>DASS-21</w:t>
      </w:r>
      <w:r>
        <w:rPr>
          <w:color w:val="000000"/>
          <w:sz w:val="28"/>
          <w:szCs w:val="28"/>
        </w:rPr>
        <w:t>, який дозволяє оцінити рівень депресії, тривоги та стресу, що має важливе значення для подальшого планування психотерапевтичної допомоги.</w:t>
      </w:r>
    </w:p>
    <w:p w14:paraId="7EE3B4B9" w14:textId="77777777" w:rsidR="00B51242" w:rsidRDefault="00B51242">
      <w:pPr>
        <w:spacing w:line="360" w:lineRule="auto"/>
        <w:jc w:val="both"/>
        <w:rPr>
          <w:color w:val="000000"/>
          <w:sz w:val="28"/>
          <w:szCs w:val="28"/>
        </w:rPr>
      </w:pPr>
    </w:p>
    <w:p w14:paraId="0C59DF05" w14:textId="77777777" w:rsidR="00B51242" w:rsidRDefault="008E4E86">
      <w:pPr>
        <w:pStyle w:val="2"/>
        <w:spacing w:before="0" w:after="0" w:line="360" w:lineRule="auto"/>
        <w:jc w:val="both"/>
        <w:rPr>
          <w:sz w:val="28"/>
          <w:szCs w:val="28"/>
        </w:rPr>
      </w:pPr>
      <w:r>
        <w:rPr>
          <w:b w:val="0"/>
          <w:bCs w:val="0"/>
          <w:color w:val="000000"/>
          <w:sz w:val="28"/>
          <w:szCs w:val="28"/>
        </w:rPr>
        <w:t xml:space="preserve">                                                                      Додаток 5 </w:t>
      </w:r>
    </w:p>
    <w:p w14:paraId="32594C6E"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до Уніфікованого клінічного </w:t>
      </w:r>
    </w:p>
    <w:p w14:paraId="6A79F3B8"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протоколу медичної допомоги </w:t>
      </w:r>
    </w:p>
    <w:p w14:paraId="2E94F406"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«Гостра реакція на стрес. </w:t>
      </w:r>
    </w:p>
    <w:p w14:paraId="3800C357"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Посттравматичний стресовий розлад. </w:t>
      </w:r>
    </w:p>
    <w:p w14:paraId="08168145"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Порушення адаптації» </w:t>
      </w:r>
    </w:p>
    <w:p w14:paraId="711DD6EF"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(підпункт 1 пункту 3 Розділу ІІІ) </w:t>
      </w:r>
      <w:r>
        <w:rPr>
          <w:color w:val="000000"/>
          <w:sz w:val="28"/>
          <w:szCs w:val="28"/>
        </w:rPr>
        <w:t xml:space="preserve">                                                       </w:t>
      </w:r>
    </w:p>
    <w:p w14:paraId="56D84086" w14:textId="77777777" w:rsidR="00B51242" w:rsidRDefault="008E4E86">
      <w:pPr>
        <w:pStyle w:val="2"/>
        <w:spacing w:before="0" w:after="0" w:line="360" w:lineRule="auto"/>
        <w:ind w:firstLine="737"/>
        <w:jc w:val="both"/>
        <w:rPr>
          <w:sz w:val="28"/>
          <w:szCs w:val="28"/>
        </w:rPr>
      </w:pPr>
      <w:r>
        <w:rPr>
          <w:color w:val="000000"/>
          <w:sz w:val="28"/>
          <w:szCs w:val="28"/>
        </w:rPr>
        <w:t xml:space="preserve"> </w:t>
      </w:r>
      <w:bookmarkStart w:id="23" w:name="__DdeLink__6791_288027833"/>
      <w:r>
        <w:rPr>
          <w:color w:val="000000"/>
          <w:sz w:val="28"/>
          <w:szCs w:val="28"/>
        </w:rPr>
        <w:t xml:space="preserve">Шкала депресії, тривоги та стресу (DASS-21) </w:t>
      </w:r>
      <w:bookmarkEnd w:id="23"/>
    </w:p>
    <w:p w14:paraId="63B3F10D" w14:textId="77777777" w:rsidR="00B51242" w:rsidRDefault="008E4E86">
      <w:pPr>
        <w:pStyle w:val="2"/>
        <w:spacing w:before="0" w:after="0" w:line="360" w:lineRule="auto"/>
        <w:ind w:firstLine="794"/>
        <w:jc w:val="both"/>
        <w:rPr>
          <w:sz w:val="28"/>
          <w:szCs w:val="28"/>
        </w:rPr>
      </w:pPr>
      <w:r>
        <w:rPr>
          <w:b w:val="0"/>
          <w:bCs w:val="0"/>
          <w:color w:val="000000"/>
          <w:sz w:val="28"/>
          <w:szCs w:val="28"/>
        </w:rPr>
        <w:t xml:space="preserve">Шкала депресії, тривоги та стресу (Depression Anxiety Stress Scales, DASS-21) призначена для вимірювання негативних емоційних станів депресії, тривоги та стресу. Шкала DASS-21 підходить для діагностики та моніторингу результатів в клінічних умовах, а також для скринінгу психічного здоров’я в неклінічних умовах.   </w:t>
      </w:r>
      <w:r>
        <w:rPr>
          <w:color w:val="000000"/>
          <w:sz w:val="28"/>
          <w:szCs w:val="28"/>
        </w:rPr>
        <w:t xml:space="preserve">                                  </w:t>
      </w:r>
    </w:p>
    <w:p w14:paraId="34EDC895" w14:textId="77777777" w:rsidR="00B51242" w:rsidRDefault="008E4E86">
      <w:pPr>
        <w:pStyle w:val="2"/>
        <w:spacing w:before="0" w:after="0" w:line="360" w:lineRule="auto"/>
        <w:ind w:firstLine="907"/>
        <w:jc w:val="both"/>
        <w:rPr>
          <w:sz w:val="28"/>
          <w:szCs w:val="28"/>
        </w:rPr>
      </w:pPr>
      <w:r>
        <w:rPr>
          <w:color w:val="000000"/>
          <w:sz w:val="28"/>
          <w:szCs w:val="28"/>
        </w:rPr>
        <w:t xml:space="preserve">Тест </w:t>
      </w:r>
    </w:p>
    <w:p w14:paraId="0A444991"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1. Мені було важко розслабитися. </w:t>
      </w:r>
    </w:p>
    <w:p w14:paraId="44F5FD4D"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6C6E4C2E"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06437932"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40F91E26"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204F87D4"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2. Я відчував сухість у роті. </w:t>
      </w:r>
    </w:p>
    <w:p w14:paraId="5A7CD600"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04FDD27B"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02151044"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4383ADFF"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3539BC74"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3. Я взагалі не міг відчувати жодних позитивних почуттів. </w:t>
      </w:r>
    </w:p>
    <w:p w14:paraId="1B0C86E8"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2E9961E1"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6A629EB1"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4D9220EA"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1AB2B296"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4. У мене виникли труднощі з диханням (наприклад, надмірно прискорене дихання, задишка за відсутності фізичного навантаження). </w:t>
      </w:r>
    </w:p>
    <w:p w14:paraId="5216EBCD"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33061038"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60D09AD1"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4217EA01"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3C336A1F"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5. Мені було важко проявити ініціативу, щоби щось зробити. </w:t>
      </w:r>
    </w:p>
    <w:p w14:paraId="40AAFD65"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3382C9A5"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5A4BDD2D"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131A5F19"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0B537099"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6. Я був схильний надмірно реагувати на ситуації. </w:t>
      </w:r>
    </w:p>
    <w:p w14:paraId="6FD4AF56"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4C50A9FB"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7A725FA5"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1CA86C2D"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036CB318"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7. Я відчував тремтіння (наприклад, в руках). </w:t>
      </w:r>
    </w:p>
    <w:p w14:paraId="20E12372"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4C36D209"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76D5F037"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327538D4"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7A910FF0"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8. Я відчував, що витрачаю багато нервової енергії. </w:t>
      </w:r>
    </w:p>
    <w:p w14:paraId="167201CA"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5DEFD102"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079AFE6E"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2FF7E81C"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15FE3EE9"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9. Мене непокоїли ситуації, в яких я міг би запанікувати і виставити себе дурнем. </w:t>
      </w:r>
    </w:p>
    <w:p w14:paraId="5D73667D"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2A88801D"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7D7E7D31"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50CE99F2"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5BDCD54C"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10. Я відчував, що мені нема чого чекати. </w:t>
      </w:r>
    </w:p>
    <w:p w14:paraId="475CB0BC"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7F1E0296"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4AC10E8F"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76A83572"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43CDF867"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11. Я почувався неспокійним.  </w:t>
      </w:r>
    </w:p>
    <w:p w14:paraId="3C566410"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3B226E40"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361FD729"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61B32D0B"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26040D63"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12. </w:t>
      </w:r>
    </w:p>
    <w:p w14:paraId="492BC76F"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Я відчував складнощі в процесі розслаблення. </w:t>
      </w:r>
    </w:p>
    <w:p w14:paraId="5EE0DF7D"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2BDB9BA7"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03CE9385"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562A408E"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4DC8E835"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13. Я почувався пригніченим і сумним. </w:t>
      </w:r>
    </w:p>
    <w:p w14:paraId="67655215"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400DEF26"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230E7EE1"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2ECB4FCE"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09B0CF89"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14. Я був нетерпимий до всього, що заважало мені продовжувати те, що я роблю. </w:t>
      </w:r>
    </w:p>
    <w:p w14:paraId="3D51A2AA"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6DD0DF07"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7EE96F5B"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135C8CED"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116620B8"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15. Я відчував, що був на межі паніки. </w:t>
      </w:r>
    </w:p>
    <w:p w14:paraId="4A0B8033"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4519C502"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78325703"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2FEAF225"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2F3E3FC0"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16. Я не міг нічим захопитися. </w:t>
      </w:r>
    </w:p>
    <w:p w14:paraId="631109C0"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455AD2F3"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5A5D4A69"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236993F1"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53A1173F"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17. Я відчував, що я нічого не вартий як особистість. </w:t>
      </w:r>
    </w:p>
    <w:p w14:paraId="38798DE4"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0C931470"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538A29E2"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30F1D23B"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4FE66D8F"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18. Я відчував себе досить образливим. </w:t>
      </w:r>
    </w:p>
    <w:p w14:paraId="22F86C3A"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Іноді Часто Майже завжди </w:t>
      </w:r>
    </w:p>
    <w:p w14:paraId="41AB8335"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19. Я усвідомлював роботу свого серця при відсутності фізичного навантаження (наприклад, відчуття прискореного пульсу). </w:t>
      </w:r>
    </w:p>
    <w:p w14:paraId="74B5F554"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1A038021"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341372F1"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5E23B955"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40B1D0EA"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20. Я відчував страх без будь-якої вагомої причини. </w:t>
      </w:r>
    </w:p>
    <w:p w14:paraId="35CBC749"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7A27D198"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73791F92"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35D962CB"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Майже завжди </w:t>
      </w:r>
    </w:p>
    <w:p w14:paraId="0529261B"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21. Я відчував, що життя позбавлене сенсу.                                                                                                            </w:t>
      </w:r>
    </w:p>
    <w:p w14:paraId="127FC035"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Ніколи </w:t>
      </w:r>
    </w:p>
    <w:p w14:paraId="5F267563"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Іноді </w:t>
      </w:r>
    </w:p>
    <w:p w14:paraId="70015ED7"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Часто </w:t>
      </w:r>
    </w:p>
    <w:p w14:paraId="2CACA8AF" w14:textId="77777777" w:rsidR="00B51242" w:rsidRDefault="008E4E86">
      <w:pPr>
        <w:pStyle w:val="2"/>
        <w:spacing w:before="0" w:after="0" w:line="360" w:lineRule="auto"/>
        <w:ind w:firstLine="907"/>
        <w:jc w:val="both"/>
        <w:rPr>
          <w:sz w:val="28"/>
          <w:szCs w:val="28"/>
        </w:rPr>
      </w:pPr>
      <w:r>
        <w:rPr>
          <w:b w:val="0"/>
          <w:bCs w:val="0"/>
          <w:color w:val="000000"/>
          <w:sz w:val="28"/>
          <w:szCs w:val="28"/>
        </w:rPr>
        <w:t>Майже завжди</w:t>
      </w:r>
      <w:r>
        <w:rPr>
          <w:color w:val="000000"/>
          <w:sz w:val="28"/>
          <w:szCs w:val="28"/>
        </w:rPr>
        <w:t xml:space="preserve"> </w:t>
      </w:r>
    </w:p>
    <w:p w14:paraId="7067DFD7" w14:textId="77777777" w:rsidR="00B51242" w:rsidRDefault="008E4E86">
      <w:pPr>
        <w:pStyle w:val="2"/>
        <w:spacing w:before="0" w:after="0" w:line="360" w:lineRule="auto"/>
        <w:ind w:firstLine="737"/>
        <w:jc w:val="both"/>
        <w:rPr>
          <w:sz w:val="28"/>
          <w:szCs w:val="28"/>
        </w:rPr>
      </w:pPr>
      <w:r>
        <w:rPr>
          <w:color w:val="000000"/>
          <w:sz w:val="28"/>
          <w:szCs w:val="28"/>
        </w:rPr>
        <w:t xml:space="preserve">Інтерпретація результатів </w:t>
      </w:r>
    </w:p>
    <w:p w14:paraId="5B11DEF1" w14:textId="77777777" w:rsidR="00B51242" w:rsidRDefault="008E4E86">
      <w:pPr>
        <w:pStyle w:val="2"/>
        <w:spacing w:before="0" w:after="0" w:line="360" w:lineRule="auto"/>
        <w:ind w:firstLine="737"/>
        <w:jc w:val="both"/>
        <w:rPr>
          <w:sz w:val="28"/>
          <w:szCs w:val="28"/>
        </w:rPr>
      </w:pPr>
      <w:r>
        <w:rPr>
          <w:b w:val="0"/>
          <w:bCs w:val="0"/>
          <w:color w:val="000000"/>
          <w:sz w:val="28"/>
          <w:szCs w:val="28"/>
        </w:rPr>
        <w:t xml:space="preserve">Опитувальник DASS-21 (україномовний варіант) дозволяє оцінити рівні депресії, тривоги та стресу. Опитувальник включає 21 питання і є модифікацією широкоформатного опитувальника DASS, що містить 42 питання. Методика DASS-21 - це комплекс із трьох шкал для вимірювання негативних емоційних станів, таких як депресія, тривога та стрес. Кожна з трьох шкал DASS-21 містить 7 питань Кожне питання опитувальника можна оцінити балами від 0 (не відноситься до мене взагалі, ні) до 3 (є типовим для мене). </w:t>
      </w:r>
    </w:p>
    <w:p w14:paraId="74B539D4"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Підрахунок балів за шкалами здійснюється шляхом сумування балів за питаннями: </w:t>
      </w:r>
    </w:p>
    <w:p w14:paraId="33785862"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Шкала D (депресія) 3, 5, 10, 13, 16, 17, 21. </w:t>
      </w:r>
    </w:p>
    <w:p w14:paraId="7BB9A0CE"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Шкала А (тривожність) 2, 4, 7, 9, 15, 19, 20. </w:t>
      </w:r>
    </w:p>
    <w:p w14:paraId="608500F6"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Шкала S (стрес) 1, 6, 8, 11, 12, 14, 18 </w:t>
      </w:r>
    </w:p>
    <w:p w14:paraId="6DAE8CF0"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Після підрахунку суми балів за різними шкалами, що оцінюють окремо депресію, тривогу та стрес, вони порівнюються зі стандартами, шо дозволяє оцінити рівень показників (таблиця 1). </w:t>
      </w:r>
    </w:p>
    <w:tbl>
      <w:tblPr>
        <w:tblW w:w="9355" w:type="dxa"/>
        <w:tblCellMar>
          <w:top w:w="55" w:type="dxa"/>
          <w:left w:w="55" w:type="dxa"/>
          <w:bottom w:w="55" w:type="dxa"/>
          <w:right w:w="55" w:type="dxa"/>
        </w:tblCellMar>
        <w:tblLook w:val="04A0" w:firstRow="1" w:lastRow="0" w:firstColumn="1" w:lastColumn="0" w:noHBand="0" w:noVBand="1"/>
      </w:tblPr>
      <w:tblGrid>
        <w:gridCol w:w="2408"/>
        <w:gridCol w:w="2407"/>
        <w:gridCol w:w="2369"/>
        <w:gridCol w:w="2171"/>
      </w:tblGrid>
      <w:tr w:rsidR="00B51242" w14:paraId="2AA53ADE" w14:textId="77777777">
        <w:tc>
          <w:tcPr>
            <w:tcW w:w="2407" w:type="dxa"/>
            <w:tcBorders>
              <w:top w:val="single" w:sz="2" w:space="0" w:color="000000"/>
              <w:left w:val="single" w:sz="2" w:space="0" w:color="000000"/>
              <w:bottom w:val="single" w:sz="2" w:space="0" w:color="000000"/>
            </w:tcBorders>
            <w:shd w:val="clear" w:color="auto" w:fill="auto"/>
          </w:tcPr>
          <w:p w14:paraId="24EA25AE" w14:textId="77777777" w:rsidR="00B51242" w:rsidRDefault="008E4E86">
            <w:pPr>
              <w:spacing w:line="360" w:lineRule="auto"/>
              <w:jc w:val="both"/>
              <w:rPr>
                <w:sz w:val="28"/>
                <w:szCs w:val="28"/>
              </w:rPr>
            </w:pPr>
            <w:r>
              <w:rPr>
                <w:color w:val="000000"/>
                <w:sz w:val="28"/>
                <w:szCs w:val="28"/>
              </w:rPr>
              <w:t>Рівень показника</w:t>
            </w:r>
          </w:p>
        </w:tc>
        <w:tc>
          <w:tcPr>
            <w:tcW w:w="2407" w:type="dxa"/>
            <w:tcBorders>
              <w:top w:val="single" w:sz="2" w:space="0" w:color="000000"/>
              <w:left w:val="single" w:sz="2" w:space="0" w:color="000000"/>
              <w:bottom w:val="single" w:sz="2" w:space="0" w:color="000000"/>
            </w:tcBorders>
            <w:shd w:val="clear" w:color="auto" w:fill="auto"/>
          </w:tcPr>
          <w:p w14:paraId="3D6E91C5" w14:textId="77777777" w:rsidR="00B51242" w:rsidRDefault="008E4E86">
            <w:pPr>
              <w:spacing w:line="360" w:lineRule="auto"/>
              <w:jc w:val="both"/>
              <w:rPr>
                <w:sz w:val="28"/>
                <w:szCs w:val="28"/>
              </w:rPr>
            </w:pPr>
            <w:r>
              <w:rPr>
                <w:color w:val="000000"/>
                <w:sz w:val="28"/>
                <w:szCs w:val="28"/>
              </w:rPr>
              <w:t>Депресія</w:t>
            </w:r>
          </w:p>
        </w:tc>
        <w:tc>
          <w:tcPr>
            <w:tcW w:w="2369" w:type="dxa"/>
            <w:tcBorders>
              <w:top w:val="single" w:sz="2" w:space="0" w:color="000000"/>
              <w:left w:val="single" w:sz="2" w:space="0" w:color="000000"/>
              <w:bottom w:val="single" w:sz="2" w:space="0" w:color="000000"/>
            </w:tcBorders>
            <w:shd w:val="clear" w:color="auto" w:fill="auto"/>
          </w:tcPr>
          <w:p w14:paraId="2FBB5E41" w14:textId="77777777" w:rsidR="00B51242" w:rsidRDefault="008E4E86">
            <w:pPr>
              <w:spacing w:line="360" w:lineRule="auto"/>
              <w:jc w:val="both"/>
              <w:rPr>
                <w:sz w:val="28"/>
                <w:szCs w:val="28"/>
              </w:rPr>
            </w:pPr>
            <w:r>
              <w:rPr>
                <w:color w:val="000000"/>
                <w:sz w:val="28"/>
                <w:szCs w:val="28"/>
              </w:rPr>
              <w:t>Тривога</w:t>
            </w:r>
          </w:p>
        </w:tc>
        <w:tc>
          <w:tcPr>
            <w:tcW w:w="2171" w:type="dxa"/>
            <w:tcBorders>
              <w:top w:val="single" w:sz="2" w:space="0" w:color="000000"/>
              <w:left w:val="single" w:sz="2" w:space="0" w:color="000000"/>
              <w:bottom w:val="single" w:sz="2" w:space="0" w:color="000000"/>
              <w:right w:val="single" w:sz="2" w:space="0" w:color="000000"/>
            </w:tcBorders>
            <w:shd w:val="clear" w:color="auto" w:fill="auto"/>
          </w:tcPr>
          <w:p w14:paraId="6C914CA6" w14:textId="77777777" w:rsidR="00B51242" w:rsidRDefault="008E4E86">
            <w:pPr>
              <w:spacing w:line="360" w:lineRule="auto"/>
              <w:jc w:val="both"/>
              <w:rPr>
                <w:sz w:val="28"/>
                <w:szCs w:val="28"/>
              </w:rPr>
            </w:pPr>
            <w:r>
              <w:rPr>
                <w:color w:val="000000"/>
                <w:sz w:val="28"/>
                <w:szCs w:val="28"/>
              </w:rPr>
              <w:t>Стрес</w:t>
            </w:r>
          </w:p>
        </w:tc>
      </w:tr>
      <w:tr w:rsidR="00B51242" w14:paraId="1596C22E" w14:textId="77777777">
        <w:tc>
          <w:tcPr>
            <w:tcW w:w="2407" w:type="dxa"/>
            <w:tcBorders>
              <w:left w:val="single" w:sz="2" w:space="0" w:color="000000"/>
              <w:bottom w:val="single" w:sz="2" w:space="0" w:color="000000"/>
            </w:tcBorders>
            <w:shd w:val="clear" w:color="auto" w:fill="auto"/>
          </w:tcPr>
          <w:p w14:paraId="6720A4D3" w14:textId="77777777" w:rsidR="00B51242" w:rsidRDefault="008E4E86">
            <w:pPr>
              <w:spacing w:line="360" w:lineRule="auto"/>
              <w:jc w:val="both"/>
              <w:rPr>
                <w:sz w:val="28"/>
                <w:szCs w:val="28"/>
              </w:rPr>
            </w:pPr>
            <w:r>
              <w:rPr>
                <w:color w:val="000000"/>
                <w:sz w:val="28"/>
                <w:szCs w:val="28"/>
              </w:rPr>
              <w:t>Нормальний</w:t>
            </w:r>
          </w:p>
        </w:tc>
        <w:tc>
          <w:tcPr>
            <w:tcW w:w="2407" w:type="dxa"/>
            <w:tcBorders>
              <w:left w:val="single" w:sz="2" w:space="0" w:color="000000"/>
              <w:bottom w:val="single" w:sz="2" w:space="0" w:color="000000"/>
            </w:tcBorders>
            <w:shd w:val="clear" w:color="auto" w:fill="auto"/>
          </w:tcPr>
          <w:p w14:paraId="4D4A862A" w14:textId="77777777" w:rsidR="00B51242" w:rsidRDefault="008E4E86">
            <w:pPr>
              <w:spacing w:line="360" w:lineRule="auto"/>
              <w:jc w:val="both"/>
              <w:rPr>
                <w:sz w:val="28"/>
                <w:szCs w:val="28"/>
              </w:rPr>
            </w:pPr>
            <w:r>
              <w:rPr>
                <w:color w:val="000000"/>
                <w:sz w:val="28"/>
                <w:szCs w:val="28"/>
              </w:rPr>
              <w:t xml:space="preserve">0-4 </w:t>
            </w:r>
          </w:p>
        </w:tc>
        <w:tc>
          <w:tcPr>
            <w:tcW w:w="2369" w:type="dxa"/>
            <w:tcBorders>
              <w:left w:val="single" w:sz="2" w:space="0" w:color="000000"/>
              <w:bottom w:val="single" w:sz="2" w:space="0" w:color="000000"/>
            </w:tcBorders>
            <w:shd w:val="clear" w:color="auto" w:fill="auto"/>
          </w:tcPr>
          <w:p w14:paraId="54116ACC" w14:textId="77777777" w:rsidR="00B51242" w:rsidRDefault="008E4E86">
            <w:pPr>
              <w:spacing w:line="360" w:lineRule="auto"/>
              <w:jc w:val="both"/>
              <w:rPr>
                <w:sz w:val="28"/>
                <w:szCs w:val="28"/>
              </w:rPr>
            </w:pPr>
            <w:r>
              <w:rPr>
                <w:color w:val="000000"/>
                <w:sz w:val="28"/>
                <w:szCs w:val="28"/>
              </w:rPr>
              <w:t xml:space="preserve">0-3 </w:t>
            </w:r>
          </w:p>
        </w:tc>
        <w:tc>
          <w:tcPr>
            <w:tcW w:w="2171" w:type="dxa"/>
            <w:tcBorders>
              <w:left w:val="single" w:sz="2" w:space="0" w:color="000000"/>
              <w:bottom w:val="single" w:sz="2" w:space="0" w:color="000000"/>
              <w:right w:val="single" w:sz="2" w:space="0" w:color="000000"/>
            </w:tcBorders>
            <w:shd w:val="clear" w:color="auto" w:fill="auto"/>
          </w:tcPr>
          <w:p w14:paraId="08BAF31D" w14:textId="77777777" w:rsidR="00B51242" w:rsidRDefault="008E4E86">
            <w:pPr>
              <w:spacing w:line="360" w:lineRule="auto"/>
              <w:jc w:val="both"/>
              <w:rPr>
                <w:sz w:val="28"/>
                <w:szCs w:val="28"/>
              </w:rPr>
            </w:pPr>
            <w:r>
              <w:rPr>
                <w:color w:val="000000"/>
                <w:sz w:val="28"/>
                <w:szCs w:val="28"/>
              </w:rPr>
              <w:t xml:space="preserve">0-7 </w:t>
            </w:r>
          </w:p>
        </w:tc>
      </w:tr>
      <w:tr w:rsidR="00B51242" w14:paraId="0CB94431" w14:textId="77777777">
        <w:tc>
          <w:tcPr>
            <w:tcW w:w="2407" w:type="dxa"/>
            <w:tcBorders>
              <w:left w:val="single" w:sz="2" w:space="0" w:color="000000"/>
              <w:bottom w:val="single" w:sz="2" w:space="0" w:color="000000"/>
            </w:tcBorders>
            <w:shd w:val="clear" w:color="auto" w:fill="auto"/>
          </w:tcPr>
          <w:p w14:paraId="7E3F81A8" w14:textId="77777777" w:rsidR="00B51242" w:rsidRDefault="008E4E86">
            <w:pPr>
              <w:spacing w:line="360" w:lineRule="auto"/>
              <w:jc w:val="both"/>
              <w:rPr>
                <w:sz w:val="28"/>
                <w:szCs w:val="28"/>
              </w:rPr>
            </w:pPr>
            <w:r>
              <w:rPr>
                <w:color w:val="000000"/>
                <w:sz w:val="28"/>
                <w:szCs w:val="28"/>
              </w:rPr>
              <w:t>Легкий</w:t>
            </w:r>
          </w:p>
        </w:tc>
        <w:tc>
          <w:tcPr>
            <w:tcW w:w="2407" w:type="dxa"/>
            <w:tcBorders>
              <w:left w:val="single" w:sz="2" w:space="0" w:color="000000"/>
              <w:bottom w:val="single" w:sz="2" w:space="0" w:color="000000"/>
            </w:tcBorders>
            <w:shd w:val="clear" w:color="auto" w:fill="auto"/>
          </w:tcPr>
          <w:p w14:paraId="5004C5D4" w14:textId="77777777" w:rsidR="00B51242" w:rsidRDefault="008E4E86">
            <w:pPr>
              <w:spacing w:line="360" w:lineRule="auto"/>
              <w:jc w:val="both"/>
              <w:rPr>
                <w:sz w:val="28"/>
                <w:szCs w:val="28"/>
              </w:rPr>
            </w:pPr>
            <w:r>
              <w:rPr>
                <w:color w:val="000000"/>
                <w:sz w:val="28"/>
                <w:szCs w:val="28"/>
              </w:rPr>
              <w:t xml:space="preserve">5-6 </w:t>
            </w:r>
          </w:p>
        </w:tc>
        <w:tc>
          <w:tcPr>
            <w:tcW w:w="2369" w:type="dxa"/>
            <w:tcBorders>
              <w:left w:val="single" w:sz="2" w:space="0" w:color="000000"/>
              <w:bottom w:val="single" w:sz="2" w:space="0" w:color="000000"/>
            </w:tcBorders>
            <w:shd w:val="clear" w:color="auto" w:fill="auto"/>
          </w:tcPr>
          <w:p w14:paraId="35D8CD12" w14:textId="77777777" w:rsidR="00B51242" w:rsidRDefault="008E4E86">
            <w:pPr>
              <w:spacing w:line="360" w:lineRule="auto"/>
              <w:jc w:val="both"/>
              <w:rPr>
                <w:sz w:val="28"/>
                <w:szCs w:val="28"/>
              </w:rPr>
            </w:pPr>
            <w:r>
              <w:rPr>
                <w:color w:val="000000"/>
                <w:sz w:val="28"/>
                <w:szCs w:val="28"/>
              </w:rPr>
              <w:t xml:space="preserve">4-5 </w:t>
            </w:r>
          </w:p>
        </w:tc>
        <w:tc>
          <w:tcPr>
            <w:tcW w:w="2171" w:type="dxa"/>
            <w:tcBorders>
              <w:left w:val="single" w:sz="2" w:space="0" w:color="000000"/>
              <w:bottom w:val="single" w:sz="2" w:space="0" w:color="000000"/>
              <w:right w:val="single" w:sz="2" w:space="0" w:color="000000"/>
            </w:tcBorders>
            <w:shd w:val="clear" w:color="auto" w:fill="auto"/>
          </w:tcPr>
          <w:p w14:paraId="6960692A" w14:textId="77777777" w:rsidR="00B51242" w:rsidRDefault="008E4E86">
            <w:pPr>
              <w:spacing w:line="360" w:lineRule="auto"/>
              <w:jc w:val="both"/>
              <w:rPr>
                <w:sz w:val="28"/>
                <w:szCs w:val="28"/>
              </w:rPr>
            </w:pPr>
            <w:r>
              <w:rPr>
                <w:color w:val="000000"/>
                <w:sz w:val="28"/>
                <w:szCs w:val="28"/>
              </w:rPr>
              <w:t xml:space="preserve">8-9 </w:t>
            </w:r>
          </w:p>
        </w:tc>
      </w:tr>
      <w:tr w:rsidR="00B51242" w14:paraId="72E15BA1" w14:textId="77777777">
        <w:tc>
          <w:tcPr>
            <w:tcW w:w="2407" w:type="dxa"/>
            <w:tcBorders>
              <w:left w:val="single" w:sz="2" w:space="0" w:color="000000"/>
              <w:bottom w:val="single" w:sz="2" w:space="0" w:color="000000"/>
            </w:tcBorders>
            <w:shd w:val="clear" w:color="auto" w:fill="auto"/>
          </w:tcPr>
          <w:p w14:paraId="1E2CB35F" w14:textId="77777777" w:rsidR="00B51242" w:rsidRDefault="008E4E86">
            <w:pPr>
              <w:spacing w:line="360" w:lineRule="auto"/>
              <w:jc w:val="both"/>
              <w:rPr>
                <w:sz w:val="28"/>
                <w:szCs w:val="28"/>
              </w:rPr>
            </w:pPr>
            <w:r>
              <w:rPr>
                <w:color w:val="000000"/>
                <w:sz w:val="28"/>
                <w:szCs w:val="28"/>
              </w:rPr>
              <w:t>Помірний</w:t>
            </w:r>
          </w:p>
        </w:tc>
        <w:tc>
          <w:tcPr>
            <w:tcW w:w="2407" w:type="dxa"/>
            <w:tcBorders>
              <w:left w:val="single" w:sz="2" w:space="0" w:color="000000"/>
              <w:bottom w:val="single" w:sz="2" w:space="0" w:color="000000"/>
            </w:tcBorders>
            <w:shd w:val="clear" w:color="auto" w:fill="auto"/>
          </w:tcPr>
          <w:p w14:paraId="40FA9C4D" w14:textId="77777777" w:rsidR="00B51242" w:rsidRDefault="008E4E86">
            <w:pPr>
              <w:spacing w:line="360" w:lineRule="auto"/>
              <w:jc w:val="both"/>
              <w:rPr>
                <w:sz w:val="28"/>
                <w:szCs w:val="28"/>
              </w:rPr>
            </w:pPr>
            <w:r>
              <w:rPr>
                <w:color w:val="000000"/>
                <w:sz w:val="28"/>
                <w:szCs w:val="28"/>
              </w:rPr>
              <w:t xml:space="preserve">7-10 </w:t>
            </w:r>
          </w:p>
        </w:tc>
        <w:tc>
          <w:tcPr>
            <w:tcW w:w="2369" w:type="dxa"/>
            <w:tcBorders>
              <w:left w:val="single" w:sz="2" w:space="0" w:color="000000"/>
              <w:bottom w:val="single" w:sz="2" w:space="0" w:color="000000"/>
            </w:tcBorders>
            <w:shd w:val="clear" w:color="auto" w:fill="auto"/>
          </w:tcPr>
          <w:p w14:paraId="0CF249D2" w14:textId="77777777" w:rsidR="00B51242" w:rsidRDefault="008E4E86">
            <w:pPr>
              <w:spacing w:line="360" w:lineRule="auto"/>
              <w:jc w:val="both"/>
              <w:rPr>
                <w:sz w:val="28"/>
                <w:szCs w:val="28"/>
              </w:rPr>
            </w:pPr>
            <w:r>
              <w:rPr>
                <w:color w:val="000000"/>
                <w:sz w:val="28"/>
                <w:szCs w:val="28"/>
              </w:rPr>
              <w:t xml:space="preserve">6-7 </w:t>
            </w:r>
          </w:p>
        </w:tc>
        <w:tc>
          <w:tcPr>
            <w:tcW w:w="2171" w:type="dxa"/>
            <w:tcBorders>
              <w:left w:val="single" w:sz="2" w:space="0" w:color="000000"/>
              <w:bottom w:val="single" w:sz="2" w:space="0" w:color="000000"/>
              <w:right w:val="single" w:sz="2" w:space="0" w:color="000000"/>
            </w:tcBorders>
            <w:shd w:val="clear" w:color="auto" w:fill="auto"/>
          </w:tcPr>
          <w:p w14:paraId="3026EE1C" w14:textId="77777777" w:rsidR="00B51242" w:rsidRDefault="008E4E86">
            <w:pPr>
              <w:spacing w:line="360" w:lineRule="auto"/>
              <w:jc w:val="both"/>
              <w:rPr>
                <w:sz w:val="28"/>
                <w:szCs w:val="28"/>
              </w:rPr>
            </w:pPr>
            <w:r>
              <w:rPr>
                <w:color w:val="000000"/>
                <w:sz w:val="28"/>
                <w:szCs w:val="28"/>
              </w:rPr>
              <w:t xml:space="preserve">10-12 </w:t>
            </w:r>
          </w:p>
        </w:tc>
      </w:tr>
      <w:tr w:rsidR="00B51242" w14:paraId="01419ECD" w14:textId="77777777">
        <w:tc>
          <w:tcPr>
            <w:tcW w:w="2407" w:type="dxa"/>
            <w:tcBorders>
              <w:left w:val="single" w:sz="2" w:space="0" w:color="000000"/>
              <w:bottom w:val="single" w:sz="2" w:space="0" w:color="000000"/>
            </w:tcBorders>
            <w:shd w:val="clear" w:color="auto" w:fill="auto"/>
          </w:tcPr>
          <w:p w14:paraId="24D6D56B" w14:textId="77777777" w:rsidR="00B51242" w:rsidRDefault="008E4E86">
            <w:pPr>
              <w:spacing w:line="360" w:lineRule="auto"/>
              <w:jc w:val="both"/>
              <w:rPr>
                <w:sz w:val="28"/>
                <w:szCs w:val="28"/>
              </w:rPr>
            </w:pPr>
            <w:r>
              <w:rPr>
                <w:color w:val="000000"/>
                <w:sz w:val="28"/>
                <w:szCs w:val="28"/>
              </w:rPr>
              <w:t>Важкий</w:t>
            </w:r>
          </w:p>
        </w:tc>
        <w:tc>
          <w:tcPr>
            <w:tcW w:w="2407" w:type="dxa"/>
            <w:tcBorders>
              <w:left w:val="single" w:sz="2" w:space="0" w:color="000000"/>
              <w:bottom w:val="single" w:sz="2" w:space="0" w:color="000000"/>
            </w:tcBorders>
            <w:shd w:val="clear" w:color="auto" w:fill="auto"/>
          </w:tcPr>
          <w:p w14:paraId="3230847B" w14:textId="77777777" w:rsidR="00B51242" w:rsidRDefault="008E4E86">
            <w:pPr>
              <w:spacing w:line="360" w:lineRule="auto"/>
              <w:jc w:val="both"/>
              <w:rPr>
                <w:sz w:val="28"/>
                <w:szCs w:val="28"/>
              </w:rPr>
            </w:pPr>
            <w:r>
              <w:rPr>
                <w:color w:val="000000"/>
                <w:sz w:val="28"/>
                <w:szCs w:val="28"/>
              </w:rPr>
              <w:t xml:space="preserve">11-13 </w:t>
            </w:r>
          </w:p>
        </w:tc>
        <w:tc>
          <w:tcPr>
            <w:tcW w:w="2369" w:type="dxa"/>
            <w:tcBorders>
              <w:left w:val="single" w:sz="2" w:space="0" w:color="000000"/>
              <w:bottom w:val="single" w:sz="2" w:space="0" w:color="000000"/>
            </w:tcBorders>
            <w:shd w:val="clear" w:color="auto" w:fill="auto"/>
          </w:tcPr>
          <w:p w14:paraId="19AD83C6" w14:textId="77777777" w:rsidR="00B51242" w:rsidRDefault="008E4E86">
            <w:pPr>
              <w:spacing w:line="360" w:lineRule="auto"/>
              <w:jc w:val="both"/>
              <w:rPr>
                <w:sz w:val="28"/>
                <w:szCs w:val="28"/>
              </w:rPr>
            </w:pPr>
            <w:r>
              <w:rPr>
                <w:color w:val="000000"/>
                <w:sz w:val="28"/>
                <w:szCs w:val="28"/>
              </w:rPr>
              <w:t xml:space="preserve">8-9 </w:t>
            </w:r>
          </w:p>
        </w:tc>
        <w:tc>
          <w:tcPr>
            <w:tcW w:w="2171" w:type="dxa"/>
            <w:tcBorders>
              <w:left w:val="single" w:sz="2" w:space="0" w:color="000000"/>
              <w:bottom w:val="single" w:sz="2" w:space="0" w:color="000000"/>
              <w:right w:val="single" w:sz="2" w:space="0" w:color="000000"/>
            </w:tcBorders>
            <w:shd w:val="clear" w:color="auto" w:fill="auto"/>
          </w:tcPr>
          <w:p w14:paraId="01349197" w14:textId="77777777" w:rsidR="00B51242" w:rsidRDefault="008E4E86">
            <w:pPr>
              <w:spacing w:line="360" w:lineRule="auto"/>
              <w:jc w:val="both"/>
              <w:rPr>
                <w:sz w:val="28"/>
                <w:szCs w:val="28"/>
              </w:rPr>
            </w:pPr>
            <w:r>
              <w:rPr>
                <w:color w:val="000000"/>
                <w:sz w:val="28"/>
                <w:szCs w:val="28"/>
              </w:rPr>
              <w:t xml:space="preserve">13-16 </w:t>
            </w:r>
          </w:p>
        </w:tc>
      </w:tr>
      <w:tr w:rsidR="00B51242" w14:paraId="2EE804CC" w14:textId="77777777">
        <w:tc>
          <w:tcPr>
            <w:tcW w:w="2407" w:type="dxa"/>
            <w:tcBorders>
              <w:left w:val="single" w:sz="2" w:space="0" w:color="000000"/>
              <w:bottom w:val="single" w:sz="2" w:space="0" w:color="000000"/>
            </w:tcBorders>
            <w:shd w:val="clear" w:color="auto" w:fill="auto"/>
          </w:tcPr>
          <w:p w14:paraId="5245AE92" w14:textId="77777777" w:rsidR="00B51242" w:rsidRDefault="008E4E86">
            <w:pPr>
              <w:spacing w:line="360" w:lineRule="auto"/>
              <w:jc w:val="both"/>
              <w:rPr>
                <w:sz w:val="28"/>
                <w:szCs w:val="28"/>
              </w:rPr>
            </w:pPr>
            <w:r>
              <w:rPr>
                <w:color w:val="000000"/>
                <w:sz w:val="28"/>
                <w:szCs w:val="28"/>
              </w:rPr>
              <w:t>Дуже важкий</w:t>
            </w:r>
          </w:p>
        </w:tc>
        <w:tc>
          <w:tcPr>
            <w:tcW w:w="2407" w:type="dxa"/>
            <w:tcBorders>
              <w:left w:val="single" w:sz="2" w:space="0" w:color="000000"/>
              <w:bottom w:val="single" w:sz="2" w:space="0" w:color="000000"/>
            </w:tcBorders>
            <w:shd w:val="clear" w:color="auto" w:fill="auto"/>
          </w:tcPr>
          <w:p w14:paraId="584D5030" w14:textId="77777777" w:rsidR="00B51242" w:rsidRDefault="008E4E86">
            <w:pPr>
              <w:spacing w:line="360" w:lineRule="auto"/>
              <w:jc w:val="both"/>
              <w:rPr>
                <w:sz w:val="28"/>
                <w:szCs w:val="28"/>
              </w:rPr>
            </w:pPr>
            <w:r>
              <w:rPr>
                <w:color w:val="000000"/>
                <w:sz w:val="28"/>
                <w:szCs w:val="28"/>
              </w:rPr>
              <w:t xml:space="preserve">&gt;14 </w:t>
            </w:r>
          </w:p>
        </w:tc>
        <w:tc>
          <w:tcPr>
            <w:tcW w:w="2369" w:type="dxa"/>
            <w:tcBorders>
              <w:left w:val="single" w:sz="2" w:space="0" w:color="000000"/>
              <w:bottom w:val="single" w:sz="2" w:space="0" w:color="000000"/>
            </w:tcBorders>
            <w:shd w:val="clear" w:color="auto" w:fill="auto"/>
          </w:tcPr>
          <w:p w14:paraId="075F0BFA" w14:textId="77777777" w:rsidR="00B51242" w:rsidRDefault="008E4E86">
            <w:pPr>
              <w:spacing w:line="360" w:lineRule="auto"/>
              <w:jc w:val="both"/>
              <w:rPr>
                <w:sz w:val="28"/>
                <w:szCs w:val="28"/>
              </w:rPr>
            </w:pPr>
            <w:r>
              <w:rPr>
                <w:color w:val="000000"/>
                <w:sz w:val="28"/>
                <w:szCs w:val="28"/>
              </w:rPr>
              <w:t xml:space="preserve">&gt;10 </w:t>
            </w:r>
          </w:p>
        </w:tc>
        <w:tc>
          <w:tcPr>
            <w:tcW w:w="2171" w:type="dxa"/>
            <w:tcBorders>
              <w:left w:val="single" w:sz="2" w:space="0" w:color="000000"/>
              <w:bottom w:val="single" w:sz="2" w:space="0" w:color="000000"/>
              <w:right w:val="single" w:sz="2" w:space="0" w:color="000000"/>
            </w:tcBorders>
            <w:shd w:val="clear" w:color="auto" w:fill="auto"/>
          </w:tcPr>
          <w:p w14:paraId="7F2BFF92" w14:textId="77777777" w:rsidR="00B51242" w:rsidRDefault="008E4E86">
            <w:pPr>
              <w:spacing w:line="360" w:lineRule="auto"/>
              <w:jc w:val="both"/>
              <w:rPr>
                <w:sz w:val="28"/>
                <w:szCs w:val="28"/>
              </w:rPr>
            </w:pPr>
            <w:r>
              <w:rPr>
                <w:color w:val="000000"/>
                <w:sz w:val="28"/>
                <w:szCs w:val="28"/>
              </w:rPr>
              <w:t xml:space="preserve">&gt;17 </w:t>
            </w:r>
          </w:p>
        </w:tc>
      </w:tr>
    </w:tbl>
    <w:p w14:paraId="17D63EA2" w14:textId="77777777" w:rsidR="00B51242" w:rsidRDefault="00B51242">
      <w:pPr>
        <w:pStyle w:val="2"/>
        <w:spacing w:before="0" w:after="0" w:line="360" w:lineRule="auto"/>
        <w:ind w:firstLine="907"/>
        <w:jc w:val="both"/>
        <w:rPr>
          <w:b w:val="0"/>
          <w:bCs w:val="0"/>
          <w:color w:val="000000"/>
          <w:sz w:val="28"/>
          <w:szCs w:val="28"/>
        </w:rPr>
      </w:pPr>
    </w:p>
    <w:p w14:paraId="52E608EF" w14:textId="77777777" w:rsidR="00B51242" w:rsidRDefault="00B51242">
      <w:pPr>
        <w:pStyle w:val="2"/>
        <w:spacing w:before="0" w:after="0" w:line="360" w:lineRule="auto"/>
        <w:ind w:firstLine="907"/>
        <w:jc w:val="both"/>
        <w:rPr>
          <w:b w:val="0"/>
          <w:bCs w:val="0"/>
          <w:color w:val="000000"/>
          <w:sz w:val="28"/>
          <w:szCs w:val="28"/>
        </w:rPr>
      </w:pPr>
    </w:p>
    <w:p w14:paraId="074E47F7" w14:textId="77777777" w:rsidR="00B51242" w:rsidRDefault="00B51242">
      <w:pPr>
        <w:pStyle w:val="2"/>
        <w:spacing w:before="0" w:after="0" w:line="360" w:lineRule="auto"/>
        <w:ind w:firstLine="907"/>
        <w:jc w:val="both"/>
        <w:rPr>
          <w:b w:val="0"/>
          <w:bCs w:val="0"/>
          <w:color w:val="000000"/>
          <w:sz w:val="28"/>
          <w:szCs w:val="28"/>
        </w:rPr>
      </w:pPr>
    </w:p>
    <w:p w14:paraId="4A852BA6" w14:textId="77777777" w:rsidR="00B51242" w:rsidRDefault="00B51242">
      <w:pPr>
        <w:pStyle w:val="2"/>
        <w:spacing w:before="0" w:after="0" w:line="360" w:lineRule="auto"/>
        <w:ind w:firstLine="907"/>
        <w:jc w:val="both"/>
        <w:rPr>
          <w:b w:val="0"/>
          <w:bCs w:val="0"/>
          <w:color w:val="000000"/>
          <w:sz w:val="28"/>
          <w:szCs w:val="28"/>
        </w:rPr>
      </w:pPr>
    </w:p>
    <w:p w14:paraId="07F2EAD1" w14:textId="77777777" w:rsidR="00B51242" w:rsidRDefault="008E4E86">
      <w:pPr>
        <w:pStyle w:val="2"/>
        <w:spacing w:before="0" w:after="0" w:line="360" w:lineRule="auto"/>
        <w:ind w:firstLine="907"/>
        <w:jc w:val="both"/>
        <w:rPr>
          <w:sz w:val="28"/>
          <w:szCs w:val="28"/>
        </w:rPr>
      </w:pPr>
      <w:r>
        <w:rPr>
          <w:color w:val="000000"/>
          <w:sz w:val="28"/>
          <w:szCs w:val="28"/>
        </w:rPr>
        <w:t xml:space="preserve"> </w:t>
      </w:r>
      <w:r>
        <w:rPr>
          <w:b w:val="0"/>
          <w:bCs w:val="0"/>
          <w:color w:val="000000"/>
          <w:sz w:val="28"/>
          <w:szCs w:val="28"/>
          <w:u w:val="single"/>
        </w:rPr>
        <w:t xml:space="preserve">Шкала депресії тесту DASS-21 оцінює: </w:t>
      </w:r>
    </w:p>
    <w:p w14:paraId="6771FF88"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самозневагу, </w:t>
      </w:r>
    </w:p>
    <w:p w14:paraId="20C492AD"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пригніченість, похмурість, </w:t>
      </w:r>
    </w:p>
    <w:p w14:paraId="0213EBE3"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переконаність у тому, що життя не має сенсу чи цінності, </w:t>
      </w:r>
    </w:p>
    <w:p w14:paraId="4209E82B"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песимістичний погляд у майбутнє, </w:t>
      </w:r>
    </w:p>
    <w:p w14:paraId="0A88368D"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нездатність відчувати насолоду чи задоволення, </w:t>
      </w:r>
    </w:p>
    <w:p w14:paraId="72BD9471"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нездатність зацікавитися чимось чи залучитись до чогось, </w:t>
      </w:r>
    </w:p>
    <w:p w14:paraId="5E98B913" w14:textId="77777777" w:rsidR="00B51242" w:rsidRDefault="008E4E86">
      <w:pPr>
        <w:pStyle w:val="2"/>
        <w:spacing w:before="0" w:after="0" w:line="360" w:lineRule="auto"/>
        <w:ind w:firstLine="907"/>
        <w:jc w:val="both"/>
        <w:rPr>
          <w:sz w:val="28"/>
          <w:szCs w:val="28"/>
        </w:rPr>
      </w:pPr>
      <w:r>
        <w:rPr>
          <w:b w:val="0"/>
          <w:bCs w:val="0"/>
          <w:color w:val="000000"/>
          <w:sz w:val="28"/>
          <w:szCs w:val="28"/>
        </w:rPr>
        <w:t>• безініціативність, повільність.</w:t>
      </w:r>
    </w:p>
    <w:p w14:paraId="07359E5D" w14:textId="77777777" w:rsidR="00B51242" w:rsidRDefault="008E4E86">
      <w:pPr>
        <w:pStyle w:val="2"/>
        <w:spacing w:before="0" w:after="0" w:line="360" w:lineRule="auto"/>
        <w:ind w:firstLine="907"/>
        <w:jc w:val="both"/>
        <w:rPr>
          <w:sz w:val="28"/>
          <w:szCs w:val="28"/>
        </w:rPr>
      </w:pPr>
      <w:r>
        <w:rPr>
          <w:b w:val="0"/>
          <w:bCs w:val="0"/>
          <w:color w:val="000000"/>
          <w:sz w:val="28"/>
          <w:szCs w:val="28"/>
          <w:u w:val="single"/>
        </w:rPr>
        <w:t>Шкала тривоги тесту DASS-21 оцінює:</w:t>
      </w:r>
      <w:r>
        <w:rPr>
          <w:b w:val="0"/>
          <w:bCs w:val="0"/>
          <w:color w:val="000000"/>
          <w:sz w:val="28"/>
          <w:szCs w:val="28"/>
        </w:rPr>
        <w:t xml:space="preserve"> </w:t>
      </w:r>
    </w:p>
    <w:p w14:paraId="5927C0C9"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тривожність, панічність, </w:t>
      </w:r>
    </w:p>
    <w:p w14:paraId="0C475922"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тремтіння, </w:t>
      </w:r>
    </w:p>
    <w:p w14:paraId="047CB40E"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відчуття сухості в роті, утруднення дихання, серцебиття, пітливість долонь, </w:t>
      </w:r>
    </w:p>
    <w:p w14:paraId="0F64A632"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занепокоєння щодо можливості втрати контролю та його продуктивності.  </w:t>
      </w:r>
    </w:p>
    <w:p w14:paraId="4B05350E"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w:t>
      </w:r>
      <w:r>
        <w:rPr>
          <w:b w:val="0"/>
          <w:bCs w:val="0"/>
          <w:color w:val="000000"/>
          <w:sz w:val="28"/>
          <w:szCs w:val="28"/>
          <w:u w:val="single"/>
        </w:rPr>
        <w:t xml:space="preserve">Шкала стресу DASS-21 оцінює: </w:t>
      </w:r>
    </w:p>
    <w:p w14:paraId="472BA52A"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перезбудження, напругу, </w:t>
      </w:r>
    </w:p>
    <w:p w14:paraId="473A07AB"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нездатність розслабитися, </w:t>
      </w:r>
    </w:p>
    <w:p w14:paraId="1FD17BAD"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образливість, легку засмучуваність, </w:t>
      </w:r>
    </w:p>
    <w:p w14:paraId="3DF1589A"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дратівливість, </w:t>
      </w:r>
    </w:p>
    <w:p w14:paraId="7F7B6C22"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лякливість, </w:t>
      </w:r>
    </w:p>
    <w:p w14:paraId="2C84709D"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нервовість, вередливість, </w:t>
      </w:r>
    </w:p>
    <w:p w14:paraId="34591FA6" w14:textId="77777777" w:rsidR="00B51242" w:rsidRDefault="008E4E86">
      <w:pPr>
        <w:pStyle w:val="2"/>
        <w:spacing w:before="0" w:after="0" w:line="360" w:lineRule="auto"/>
        <w:ind w:firstLine="907"/>
        <w:jc w:val="both"/>
        <w:rPr>
          <w:sz w:val="28"/>
          <w:szCs w:val="28"/>
        </w:rPr>
      </w:pPr>
      <w:r>
        <w:rPr>
          <w:b w:val="0"/>
          <w:bCs w:val="0"/>
          <w:color w:val="000000"/>
          <w:sz w:val="28"/>
          <w:szCs w:val="28"/>
        </w:rPr>
        <w:t xml:space="preserve">• нетерпимість до затримки чи переривання </w:t>
      </w:r>
    </w:p>
    <w:p w14:paraId="722F4568" w14:textId="77777777" w:rsidR="00B51242" w:rsidRDefault="008E4E86">
      <w:pPr>
        <w:pStyle w:val="2"/>
        <w:spacing w:before="0" w:after="0" w:line="360" w:lineRule="auto"/>
        <w:jc w:val="both"/>
        <w:rPr>
          <w:sz w:val="28"/>
          <w:szCs w:val="28"/>
        </w:rPr>
      </w:pPr>
      <w:r>
        <w:rPr>
          <w:rStyle w:val="StrongEmphasis"/>
          <w:rFonts w:eastAsia="Times New Roman" w:cs="Times New Roman"/>
          <w:color w:val="000000"/>
          <w:sz w:val="28"/>
          <w:szCs w:val="28"/>
          <w:lang w:eastAsia="ru-RU"/>
        </w:rPr>
        <w:t xml:space="preserve">  </w:t>
      </w:r>
      <w:r w:rsidRPr="00D3629B">
        <w:rPr>
          <w:rStyle w:val="StrongEmphasis"/>
          <w:rFonts w:eastAsia="Times New Roman" w:cs="Times New Roman"/>
          <w:color w:val="000000"/>
          <w:sz w:val="28"/>
          <w:szCs w:val="28"/>
          <w:lang w:eastAsia="ru-RU"/>
        </w:rPr>
        <w:t>[25]</w:t>
      </w:r>
    </w:p>
    <w:p w14:paraId="1299FC03" w14:textId="77777777" w:rsidR="00B51242" w:rsidRDefault="00B51242">
      <w:pPr>
        <w:spacing w:line="360" w:lineRule="auto"/>
        <w:jc w:val="both"/>
        <w:rPr>
          <w:rStyle w:val="InternetLink"/>
          <w:rFonts w:eastAsia="Times New Roman" w:cs="Times New Roman"/>
          <w:b/>
          <w:bCs/>
          <w:color w:val="000000"/>
          <w:sz w:val="28"/>
          <w:szCs w:val="28"/>
          <w:u w:val="none"/>
          <w:lang w:eastAsia="ru-RU"/>
        </w:rPr>
      </w:pPr>
    </w:p>
    <w:p w14:paraId="4F303C6A"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Автоматичні думки</w:t>
      </w:r>
    </w:p>
    <w:p w14:paraId="061D096D" w14:textId="77777777" w:rsidR="00B51242" w:rsidRDefault="008E4E86">
      <w:pPr>
        <w:spacing w:line="360" w:lineRule="auto"/>
        <w:jc w:val="both"/>
      </w:pPr>
      <w:r>
        <w:rPr>
          <w:rStyle w:val="InternetLink"/>
          <w:rFonts w:eastAsia="Times New Roman" w:cs="Times New Roman"/>
          <w:color w:val="000000"/>
          <w:sz w:val="28"/>
          <w:szCs w:val="28"/>
          <w:u w:val="none"/>
          <w:lang w:eastAsia="ru-RU"/>
        </w:rPr>
        <w:t>Автоматичні думки — це потік мисленевих образів, швидкі, мимовільні висловлювання у голові, не завжди прив'язані до подій.   Вони з’являються настільки швидко, що ми часто їх навіть не помічаємо, але вони впливають на емоції та поведінку.</w:t>
      </w:r>
    </w:p>
    <w:p w14:paraId="3A536832"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   Автоматичні думки є найбільш поверхневим рівнем когніцій. Вони визначаються змістом глибинних та проміжних переконань і спливають з глибин розуму в стресових ситуаціях. Такі думки істотно впливають на емоції й самопочуття людини. Хоча їх легко можна усвідомити, вони часто залишаються поза увагою і тому не підлягають критиці. Автоматичні думки зазвичай сприймаються як правдоподібні й правдиві, особливо в умовах сильних емоційних переживань, проте водночас вони легко піддаються змінам, на відміну від переконань. Для пояснення їх природи зручно використовувати метафори. Наприклад, автоматичні думки можна уявити як «окуляри», через які ми дивимося на світ: вони можуть бути прозорими й точними, а можуть спотворювати картину. Інша метафора — «фонова програма»: думки діють подібно до програми на телефоні, яка працює непомітно, але впливає на батарею; так само думки впливають на настрій і поведінку. Для кращого усвідомлення автоматичних думок у роботі з клієнтом можна використати вправу: запропонувати пригадати подію, яка викликала сильні емоції, та зосередитися на тому, що першим «пролетіло в голові» в цю мить — саме це і буде автоматичною думкою. У науково-практичному розумінні автоматичні думки розглядаються як когнітивні продукти, що формуються на основі життєвого досвіду та базових переконань. Вони мають три ключові ознаки: виникають мимоволі, є стислими й схематичними та викликають емоційну реакцію. Для ефективного подання цієї інформації клієнту доцільно комбінувати коротке визначення, приклад із його життя, візуалізацію або метафору, а також невелику вправу для усвідомлення. </w:t>
      </w:r>
    </w:p>
    <w:p w14:paraId="00BA5855" w14:textId="77777777" w:rsidR="00B51242" w:rsidRDefault="008E4E86">
      <w:pPr>
        <w:spacing w:line="360" w:lineRule="auto"/>
        <w:ind w:firstLine="737"/>
        <w:jc w:val="both"/>
      </w:pPr>
      <w:r>
        <w:rPr>
          <w:color w:val="000000"/>
          <w:sz w:val="28"/>
          <w:szCs w:val="28"/>
        </w:rPr>
        <w:t xml:space="preserve">У даному підході важливе значення мають думки (когніції). Вони бувають конструктивні або деструктивні.. Думки спонукають до дій, які також в свою чергу можуть бути деструктивними. </w:t>
      </w:r>
    </w:p>
    <w:p w14:paraId="5D0C0C5B" w14:textId="77777777" w:rsidR="00B51242" w:rsidRDefault="008E4E86">
      <w:pPr>
        <w:spacing w:line="360" w:lineRule="auto"/>
        <w:jc w:val="both"/>
        <w:rPr>
          <w:sz w:val="28"/>
          <w:szCs w:val="28"/>
        </w:rPr>
      </w:pPr>
      <w:r>
        <w:rPr>
          <w:color w:val="000000"/>
          <w:sz w:val="28"/>
          <w:szCs w:val="28"/>
        </w:rPr>
        <w:t>Отримувач послуг заповнює таблицю автоматичних  думок разом з психологом та оцінює їх конструктивність.  Техніка допомагає знизити рівень тривоги, оцінити реалістичність переживань та сформувати альтернативні копінг-стратегії поведінки.</w:t>
      </w:r>
    </w:p>
    <w:p w14:paraId="565FC5E8" w14:textId="77777777" w:rsidR="00B51242" w:rsidRDefault="008E4E86">
      <w:pPr>
        <w:spacing w:line="360" w:lineRule="auto"/>
        <w:jc w:val="center"/>
        <w:rPr>
          <w:color w:val="000000"/>
          <w:sz w:val="28"/>
          <w:szCs w:val="28"/>
        </w:rPr>
      </w:pPr>
      <w:r>
        <w:rPr>
          <w:rStyle w:val="InternetLink"/>
          <w:color w:val="000000"/>
          <w:sz w:val="28"/>
          <w:szCs w:val="28"/>
          <w:u w:val="none"/>
          <w:lang w:val="ru-RU"/>
        </w:rPr>
        <w:t>Таблиця автоматичних думок</w:t>
      </w:r>
    </w:p>
    <w:tbl>
      <w:tblPr>
        <w:tblW w:w="8636" w:type="dxa"/>
        <w:tblInd w:w="-108" w:type="dxa"/>
        <w:tblLook w:val="04A0" w:firstRow="1" w:lastRow="0" w:firstColumn="1" w:lastColumn="0" w:noHBand="0" w:noVBand="1"/>
      </w:tblPr>
      <w:tblGrid>
        <w:gridCol w:w="1777"/>
        <w:gridCol w:w="2016"/>
        <w:gridCol w:w="1220"/>
        <w:gridCol w:w="2008"/>
        <w:gridCol w:w="1616"/>
      </w:tblGrid>
      <w:tr w:rsidR="00B51242" w14:paraId="2F06F740" w14:textId="77777777">
        <w:tc>
          <w:tcPr>
            <w:tcW w:w="1888" w:type="dxa"/>
            <w:shd w:val="clear" w:color="auto" w:fill="auto"/>
          </w:tcPr>
          <w:p w14:paraId="742C4D95" w14:textId="77777777" w:rsidR="00B51242" w:rsidRDefault="008E4E86">
            <w:pPr>
              <w:spacing w:line="360" w:lineRule="auto"/>
              <w:jc w:val="both"/>
              <w:rPr>
                <w:sz w:val="28"/>
                <w:szCs w:val="28"/>
              </w:rPr>
            </w:pPr>
            <w:r>
              <w:rPr>
                <w:color w:val="000000"/>
                <w:sz w:val="28"/>
                <w:szCs w:val="28"/>
              </w:rPr>
              <w:t>Автоматична думка</w:t>
            </w:r>
          </w:p>
        </w:tc>
        <w:tc>
          <w:tcPr>
            <w:tcW w:w="1559" w:type="dxa"/>
            <w:shd w:val="clear" w:color="auto" w:fill="auto"/>
          </w:tcPr>
          <w:p w14:paraId="21D44224" w14:textId="77777777" w:rsidR="00B51242" w:rsidRDefault="008E4E86">
            <w:pPr>
              <w:spacing w:line="360" w:lineRule="auto"/>
              <w:jc w:val="both"/>
              <w:rPr>
                <w:sz w:val="28"/>
                <w:szCs w:val="28"/>
              </w:rPr>
            </w:pPr>
            <w:r>
              <w:rPr>
                <w:color w:val="000000"/>
                <w:sz w:val="28"/>
                <w:szCs w:val="28"/>
              </w:rPr>
              <w:t xml:space="preserve">Оцінка   думки                                                        </w:t>
            </w:r>
          </w:p>
        </w:tc>
        <w:tc>
          <w:tcPr>
            <w:tcW w:w="1560" w:type="dxa"/>
            <w:shd w:val="clear" w:color="auto" w:fill="auto"/>
          </w:tcPr>
          <w:p w14:paraId="26B65279" w14:textId="77777777" w:rsidR="00B51242" w:rsidRDefault="008E4E86">
            <w:pPr>
              <w:spacing w:line="360" w:lineRule="auto"/>
              <w:jc w:val="both"/>
              <w:rPr>
                <w:sz w:val="28"/>
                <w:szCs w:val="28"/>
              </w:rPr>
            </w:pPr>
            <w:r>
              <w:rPr>
                <w:color w:val="000000"/>
                <w:sz w:val="28"/>
                <w:szCs w:val="28"/>
              </w:rPr>
              <w:t>Емоція та відчуття в тілі</w:t>
            </w:r>
          </w:p>
        </w:tc>
        <w:tc>
          <w:tcPr>
            <w:tcW w:w="1742" w:type="dxa"/>
            <w:shd w:val="clear" w:color="auto" w:fill="auto"/>
          </w:tcPr>
          <w:p w14:paraId="648CBA48" w14:textId="77777777" w:rsidR="00B51242" w:rsidRDefault="008E4E86">
            <w:pPr>
              <w:spacing w:line="360" w:lineRule="auto"/>
              <w:jc w:val="both"/>
              <w:rPr>
                <w:sz w:val="28"/>
                <w:szCs w:val="28"/>
              </w:rPr>
            </w:pPr>
            <w:r>
              <w:rPr>
                <w:color w:val="000000"/>
                <w:sz w:val="28"/>
                <w:szCs w:val="28"/>
              </w:rPr>
              <w:t>Альтернативна думка</w:t>
            </w:r>
          </w:p>
        </w:tc>
        <w:tc>
          <w:tcPr>
            <w:tcW w:w="1887" w:type="dxa"/>
            <w:shd w:val="clear" w:color="auto" w:fill="auto"/>
          </w:tcPr>
          <w:p w14:paraId="031D284A" w14:textId="77777777" w:rsidR="00B51242" w:rsidRDefault="008E4E86">
            <w:pPr>
              <w:spacing w:line="360" w:lineRule="auto"/>
              <w:jc w:val="both"/>
              <w:rPr>
                <w:sz w:val="28"/>
                <w:szCs w:val="28"/>
              </w:rPr>
            </w:pPr>
            <w:r>
              <w:rPr>
                <w:color w:val="000000"/>
                <w:sz w:val="28"/>
                <w:szCs w:val="28"/>
              </w:rPr>
              <w:t>Порівняння еміції та відчуття в тілі до і після</w:t>
            </w:r>
          </w:p>
        </w:tc>
      </w:tr>
      <w:tr w:rsidR="00B51242" w14:paraId="12C5996A" w14:textId="77777777">
        <w:tc>
          <w:tcPr>
            <w:tcW w:w="1888" w:type="dxa"/>
            <w:shd w:val="clear" w:color="auto" w:fill="auto"/>
          </w:tcPr>
          <w:p w14:paraId="25223BB1" w14:textId="77777777" w:rsidR="00B51242" w:rsidRDefault="008E4E86">
            <w:pPr>
              <w:spacing w:line="360" w:lineRule="auto"/>
              <w:jc w:val="both"/>
              <w:rPr>
                <w:sz w:val="28"/>
                <w:szCs w:val="28"/>
              </w:rPr>
            </w:pPr>
            <w:r>
              <w:rPr>
                <w:color w:val="000000"/>
                <w:sz w:val="28"/>
                <w:szCs w:val="28"/>
              </w:rPr>
              <w:t>«У мене нічого не вийде»,</w:t>
            </w:r>
          </w:p>
          <w:p w14:paraId="27F3D19D" w14:textId="77777777" w:rsidR="00B51242" w:rsidRDefault="008E4E86">
            <w:pPr>
              <w:spacing w:line="360" w:lineRule="auto"/>
              <w:jc w:val="both"/>
              <w:rPr>
                <w:sz w:val="28"/>
                <w:szCs w:val="28"/>
              </w:rPr>
            </w:pPr>
            <w:r>
              <w:rPr>
                <w:color w:val="000000"/>
                <w:sz w:val="28"/>
                <w:szCs w:val="28"/>
              </w:rPr>
              <w:t xml:space="preserve"> «Вона на мене сердиться», «Я виглядаю смішно»</w:t>
            </w:r>
          </w:p>
        </w:tc>
        <w:tc>
          <w:tcPr>
            <w:tcW w:w="1559" w:type="dxa"/>
            <w:shd w:val="clear" w:color="auto" w:fill="auto"/>
          </w:tcPr>
          <w:p w14:paraId="45EB941D" w14:textId="77777777" w:rsidR="00B51242" w:rsidRDefault="008E4E86">
            <w:pPr>
              <w:spacing w:line="360" w:lineRule="auto"/>
              <w:jc w:val="both"/>
              <w:rPr>
                <w:sz w:val="28"/>
                <w:szCs w:val="28"/>
              </w:rPr>
            </w:pPr>
            <w:r>
              <w:rPr>
                <w:color w:val="000000"/>
                <w:sz w:val="28"/>
                <w:szCs w:val="28"/>
              </w:rPr>
              <w:t>Конструктивна або деструктивніа</w:t>
            </w:r>
          </w:p>
        </w:tc>
        <w:tc>
          <w:tcPr>
            <w:tcW w:w="1560" w:type="dxa"/>
            <w:shd w:val="clear" w:color="auto" w:fill="auto"/>
          </w:tcPr>
          <w:p w14:paraId="53508331" w14:textId="77777777" w:rsidR="00B51242" w:rsidRDefault="00B51242">
            <w:pPr>
              <w:spacing w:line="360" w:lineRule="auto"/>
              <w:jc w:val="both"/>
              <w:rPr>
                <w:color w:val="000000"/>
                <w:sz w:val="28"/>
                <w:szCs w:val="28"/>
              </w:rPr>
            </w:pPr>
          </w:p>
        </w:tc>
        <w:tc>
          <w:tcPr>
            <w:tcW w:w="1742" w:type="dxa"/>
            <w:shd w:val="clear" w:color="auto" w:fill="auto"/>
          </w:tcPr>
          <w:p w14:paraId="4C694B97" w14:textId="77777777" w:rsidR="00B51242" w:rsidRDefault="00B51242">
            <w:pPr>
              <w:spacing w:line="360" w:lineRule="auto"/>
              <w:jc w:val="both"/>
              <w:rPr>
                <w:color w:val="000000"/>
                <w:sz w:val="28"/>
                <w:szCs w:val="28"/>
              </w:rPr>
            </w:pPr>
          </w:p>
        </w:tc>
        <w:tc>
          <w:tcPr>
            <w:tcW w:w="1887" w:type="dxa"/>
            <w:shd w:val="clear" w:color="auto" w:fill="auto"/>
          </w:tcPr>
          <w:p w14:paraId="5EB26D91" w14:textId="77777777" w:rsidR="00B51242" w:rsidRDefault="00B51242">
            <w:pPr>
              <w:spacing w:line="360" w:lineRule="auto"/>
              <w:jc w:val="both"/>
              <w:rPr>
                <w:color w:val="000000"/>
                <w:sz w:val="28"/>
                <w:szCs w:val="28"/>
              </w:rPr>
            </w:pPr>
          </w:p>
        </w:tc>
      </w:tr>
    </w:tbl>
    <w:p w14:paraId="236B45BA"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 xml:space="preserve">                    </w:t>
      </w:r>
    </w:p>
    <w:p w14:paraId="21B73E4F" w14:textId="77777777" w:rsidR="00B51242" w:rsidRDefault="008E4E86">
      <w:pPr>
        <w:spacing w:line="360" w:lineRule="auto"/>
        <w:ind w:firstLine="737"/>
        <w:jc w:val="both"/>
      </w:pPr>
      <w:r>
        <w:rPr>
          <w:rStyle w:val="InternetLink"/>
          <w:rFonts w:eastAsia="Times New Roman" w:cs="Times New Roman"/>
          <w:b/>
          <w:bCs/>
          <w:color w:val="000000"/>
          <w:sz w:val="28"/>
          <w:szCs w:val="28"/>
          <w:u w:val="none"/>
          <w:lang w:eastAsia="ru-RU"/>
        </w:rPr>
        <w:t xml:space="preserve">Домашнє завдання:                                                                                                   </w:t>
      </w:r>
    </w:p>
    <w:p w14:paraId="01928481" w14:textId="77777777" w:rsidR="00B51242" w:rsidRDefault="008E4E86">
      <w:pPr>
        <w:spacing w:line="360" w:lineRule="auto"/>
        <w:ind w:firstLine="737"/>
        <w:jc w:val="both"/>
      </w:pPr>
      <w:r>
        <w:rPr>
          <w:rStyle w:val="InternetLink"/>
          <w:rFonts w:eastAsia="Times New Roman" w:cs="Times New Roman"/>
          <w:b/>
          <w:bCs/>
          <w:color w:val="000000"/>
          <w:sz w:val="28"/>
          <w:szCs w:val="28"/>
          <w:u w:val="none"/>
          <w:lang w:eastAsia="ru-RU"/>
        </w:rPr>
        <w:t>1. Уповільнення рухів та думок.</w:t>
      </w:r>
    </w:p>
    <w:p w14:paraId="550310BA" w14:textId="77777777" w:rsidR="00B51242" w:rsidRDefault="008E4E86">
      <w:pPr>
        <w:spacing w:line="360" w:lineRule="auto"/>
        <w:ind w:firstLine="737"/>
        <w:jc w:val="both"/>
      </w:pPr>
      <w:r>
        <w:rPr>
          <w:rStyle w:val="StrongEmphasis"/>
          <w:rFonts w:eastAsia="Times New Roman" w:cs="Times New Roman"/>
          <w:b w:val="0"/>
          <w:bCs w:val="0"/>
          <w:color w:val="000000"/>
          <w:sz w:val="28"/>
          <w:szCs w:val="28"/>
          <w:lang w:eastAsia="ru-RU"/>
        </w:rPr>
        <w:t>Військовослужбовці ЗСУ нерідко перебувають у стані тривалого впливу екстремальних умов, що призводить до надмірної активації симпатичної нервової системи. Саме цей механізм зумовлює збереження явищ гіперактивності та гіперчутливості навіть після завершення ефективного лікування ПТСР. Це зумовлює необхідність інтегративних методів психологічної підтримки, які передбачають навчання навичкам уповільнення вже на початкових етапах реабілітації.</w:t>
      </w:r>
    </w:p>
    <w:p w14:paraId="09D6A3B8" w14:textId="77777777" w:rsidR="00B51242" w:rsidRDefault="008E4E86">
      <w:pPr>
        <w:spacing w:line="360" w:lineRule="auto"/>
        <w:ind w:firstLine="737"/>
        <w:jc w:val="both"/>
      </w:pPr>
      <w:r>
        <w:rPr>
          <w:rStyle w:val="StrongEmphasis"/>
          <w:b w:val="0"/>
          <w:bCs w:val="0"/>
          <w:color w:val="000000"/>
          <w:sz w:val="28"/>
          <w:szCs w:val="28"/>
        </w:rPr>
        <w:t xml:space="preserve">Уповільнення можна тренувати як на фізіологічному, так і на когнітивному рівні. Його основна мета полягає у переведенні нервової системи з режиму симпатичного збудження у парасимпатичний стан. Практичний інструмент полягає у використанні умовного сигналу (наприклад, кодового слова «СТОП»), після чого виконується контрольоване уповільненню реакцій. Також можна  робити антистресове дихання, що сприяє відновленню контролю над уповільненням рухів та думок.                                                                                           </w:t>
      </w:r>
    </w:p>
    <w:p w14:paraId="74E4B365" w14:textId="77777777" w:rsidR="00B51242" w:rsidRDefault="008E4E86">
      <w:pPr>
        <w:spacing w:line="360" w:lineRule="auto"/>
        <w:ind w:firstLine="737"/>
        <w:jc w:val="both"/>
      </w:pPr>
      <w:r>
        <w:rPr>
          <w:rStyle w:val="StrongEmphasis"/>
          <w:b w:val="0"/>
          <w:bCs w:val="0"/>
          <w:color w:val="000000"/>
          <w:sz w:val="28"/>
          <w:szCs w:val="28"/>
        </w:rPr>
        <w:t xml:space="preserve">Уповільнення як функціональний режим можна розглядати крізь призму тілесно-орієнтованих підходів, зокрема </w:t>
      </w:r>
      <w:r>
        <w:rPr>
          <w:rStyle w:val="a3"/>
          <w:color w:val="000000"/>
          <w:sz w:val="28"/>
          <w:szCs w:val="28"/>
        </w:rPr>
        <w:t>Somatic Experiencing, Sensorimotor Psychotherapy, Bodynamic</w:t>
      </w:r>
      <w:r>
        <w:rPr>
          <w:rStyle w:val="StrongEmphasis"/>
          <w:b w:val="0"/>
          <w:bCs w:val="0"/>
          <w:color w:val="000000"/>
          <w:sz w:val="28"/>
          <w:szCs w:val="28"/>
        </w:rPr>
        <w:t>. Ці методи включають цілеспрямовані інтервенції, спрямовані на зниження темпу рухів, регуляцію дихання та контроль реакцій, що забезпечує поступове переключення нервової системи у стан відновлення та зниження стресового навантаження.</w:t>
      </w:r>
    </w:p>
    <w:p w14:paraId="153FAF1E" w14:textId="77777777" w:rsidR="00B51242" w:rsidRDefault="008E4E86">
      <w:pPr>
        <w:spacing w:line="360" w:lineRule="auto"/>
        <w:ind w:firstLine="737"/>
        <w:jc w:val="both"/>
      </w:pPr>
      <w:r>
        <w:rPr>
          <w:rStyle w:val="StrongEmphasis"/>
          <w:b w:val="0"/>
          <w:bCs w:val="0"/>
          <w:color w:val="000000"/>
          <w:sz w:val="28"/>
          <w:szCs w:val="28"/>
        </w:rPr>
        <w:t xml:space="preserve">Щодо феномену уповільнення мислення, доцільним є використання доступних популярно-наукових джерел для пояснення складних когнітивних процесів отримувачам психологічних послуг. Однією з найбільш відомих та науково обґрунтованих праць у цій сфері є книга Даніеля Канемана </w:t>
      </w:r>
      <w:r>
        <w:rPr>
          <w:rStyle w:val="a3"/>
          <w:color w:val="000000"/>
          <w:sz w:val="28"/>
          <w:szCs w:val="28"/>
        </w:rPr>
        <w:t>«Thinking, Fast and Slow»</w:t>
      </w:r>
      <w:r>
        <w:rPr>
          <w:rStyle w:val="StrongEmphasis"/>
          <w:b w:val="0"/>
          <w:bCs w:val="0"/>
          <w:color w:val="000000"/>
          <w:sz w:val="28"/>
          <w:szCs w:val="28"/>
        </w:rPr>
        <w:t xml:space="preserve"> (</w:t>
      </w:r>
      <w:r>
        <w:rPr>
          <w:rStyle w:val="a3"/>
          <w:color w:val="000000"/>
          <w:sz w:val="28"/>
          <w:szCs w:val="28"/>
        </w:rPr>
        <w:t>«Швидке і повільне мислення»</w:t>
      </w:r>
      <w:r>
        <w:rPr>
          <w:rStyle w:val="StrongEmphasis"/>
          <w:b w:val="0"/>
          <w:bCs w:val="0"/>
          <w:color w:val="000000"/>
          <w:sz w:val="28"/>
          <w:szCs w:val="28"/>
        </w:rPr>
        <w:t xml:space="preserve">). У ній автор, спираючись на багаторічні емпіричні дослідження у галузі когнітивної психології та поведінкової економіки, пропонує модель функціонування двох систем мислення: швидкої (інтуїтивної, автоматичної та емоційної) та повільної (раціональної, контрольованої та свідомої). Такий підхід дозволяє у зрозумілій формі ілюструвати, як відбувається переробка інформації, чому виникають когнітивні помилки та яким чином свідоме уповільнення мислення сприяє підвищенню точності суджень і рішень. Саме завдяки поєднанню наукової обґрунтованості та доступності викладу ця праця може бути корисним інструментом у психотерапевтичній практиці для покращення розуміння клієнтами власних когнітивних процесів. </w:t>
      </w:r>
    </w:p>
    <w:p w14:paraId="6B619119" w14:textId="77777777" w:rsidR="00B51242" w:rsidRDefault="008E4E86">
      <w:pPr>
        <w:spacing w:line="360" w:lineRule="auto"/>
        <w:ind w:firstLine="737"/>
        <w:jc w:val="both"/>
      </w:pPr>
      <w:r>
        <w:rPr>
          <w:rStyle w:val="StrongEmphasis"/>
          <w:b w:val="0"/>
          <w:bCs w:val="0"/>
          <w:color w:val="000000"/>
          <w:sz w:val="28"/>
          <w:szCs w:val="28"/>
        </w:rPr>
        <w:t>Так виглядають дві умовні системи:</w:t>
      </w:r>
    </w:p>
    <w:p w14:paraId="33870B08" w14:textId="77777777" w:rsidR="00B51242" w:rsidRDefault="008E4E86">
      <w:pPr>
        <w:tabs>
          <w:tab w:val="left" w:pos="707"/>
        </w:tabs>
        <w:spacing w:line="360" w:lineRule="auto"/>
        <w:ind w:left="707" w:hanging="283"/>
        <w:jc w:val="both"/>
      </w:pPr>
      <w:r>
        <w:rPr>
          <w:rStyle w:val="StrongEmphasis"/>
          <w:b w:val="0"/>
          <w:bCs w:val="0"/>
          <w:color w:val="000000"/>
          <w:sz w:val="28"/>
          <w:szCs w:val="28"/>
        </w:rPr>
        <w:t>Система 1</w:t>
      </w:r>
      <w:r>
        <w:rPr>
          <w:color w:val="000000"/>
          <w:sz w:val="28"/>
          <w:szCs w:val="28"/>
        </w:rPr>
        <w:t xml:space="preserve"> характеризується швидкістю, автоматизмом, інтуїтивністю та високим рівнем емоційної залученості. Вона працює без свідомого контролю, забезпечує миттєві реакції на подразники, спираючись на стереотипи, евристики та попередній досвід. Саме ця система домінує у повсякденному житті, оскільки дозволяє швидко орієнтуватися в ситуаціях, однак її обмеженням є схильність до когнітивних викривлень і помилок судження.</w:t>
      </w:r>
    </w:p>
    <w:p w14:paraId="0269088A" w14:textId="77777777" w:rsidR="00B51242" w:rsidRDefault="008E4E86">
      <w:pPr>
        <w:tabs>
          <w:tab w:val="left" w:pos="707"/>
        </w:tabs>
        <w:spacing w:line="360" w:lineRule="auto"/>
        <w:ind w:left="707" w:hanging="283"/>
        <w:jc w:val="both"/>
      </w:pPr>
      <w:r>
        <w:rPr>
          <w:rStyle w:val="StrongEmphasis"/>
          <w:b w:val="0"/>
          <w:bCs w:val="0"/>
          <w:color w:val="000000"/>
          <w:sz w:val="28"/>
          <w:szCs w:val="28"/>
        </w:rPr>
        <w:t>Система 2</w:t>
      </w:r>
      <w:r>
        <w:rPr>
          <w:color w:val="000000"/>
          <w:sz w:val="28"/>
          <w:szCs w:val="28"/>
        </w:rPr>
        <w:t xml:space="preserve"> є протилежною за характеристиками: вона функціонує повільно, потребує концентрації, раціонального аналізу та свідомого зусилля. Ця система відповідає за критичне мислення, перевірку гіпотез, контроль поведінки та корекцію рішень, які були імпульсивно сформовані Системою 1. Її активація потребує значних когнітивних ресурсів, тому вона не завжди залучається автоматично.</w:t>
      </w:r>
    </w:p>
    <w:p w14:paraId="513460C0" w14:textId="77777777" w:rsidR="00B51242" w:rsidRDefault="008E4E86">
      <w:pPr>
        <w:tabs>
          <w:tab w:val="left" w:pos="707"/>
        </w:tabs>
        <w:spacing w:line="360" w:lineRule="auto"/>
        <w:ind w:left="707" w:hanging="283"/>
        <w:jc w:val="both"/>
      </w:pPr>
      <w:r>
        <w:rPr>
          <w:color w:val="000000"/>
          <w:sz w:val="28"/>
          <w:szCs w:val="28"/>
        </w:rPr>
        <w:t>Канеман переконливо демонструє, що у багатьох випадках люди схильні переважно покладатися на швидке й інтуїтивне мислення яке призводить до систематичних помилок у судженнях та прийнятті рішень. Водночас потенціал Системи 2 полягає у можливості корекції цих помилок шляхом усвідомленого залучення раціонального аналізу але для цього потрібно прикладати зусилля.</w:t>
      </w:r>
    </w:p>
    <w:p w14:paraId="18035C3B" w14:textId="77777777" w:rsidR="00B51242" w:rsidRDefault="008E4E86">
      <w:pPr>
        <w:spacing w:line="360" w:lineRule="auto"/>
        <w:jc w:val="both"/>
      </w:pPr>
      <w:r>
        <w:rPr>
          <w:color w:val="000000"/>
          <w:sz w:val="28"/>
          <w:szCs w:val="28"/>
        </w:rPr>
        <w:t xml:space="preserve"> Якщо  інтегрувати головну ідею Данієля Канемана та ТОТ в “</w:t>
      </w:r>
      <w:r>
        <w:rPr>
          <w:rStyle w:val="StrongEmphasis"/>
          <w:b w:val="0"/>
          <w:bCs w:val="0"/>
          <w:color w:val="000000"/>
          <w:sz w:val="28"/>
          <w:szCs w:val="28"/>
        </w:rPr>
        <w:t>уповільнення в думках і рухах”</w:t>
      </w:r>
      <w:r>
        <w:rPr>
          <w:color w:val="000000"/>
          <w:sz w:val="28"/>
          <w:szCs w:val="28"/>
        </w:rPr>
        <w:t xml:space="preserve"> можна застосувати так:</w:t>
      </w:r>
    </w:p>
    <w:p w14:paraId="3DA9707C" w14:textId="77777777" w:rsidR="00B51242" w:rsidRDefault="008E4E86">
      <w:pPr>
        <w:tabs>
          <w:tab w:val="left" w:pos="455"/>
        </w:tabs>
        <w:spacing w:line="360" w:lineRule="auto"/>
        <w:ind w:firstLine="737"/>
        <w:jc w:val="both"/>
        <w:rPr>
          <w:sz w:val="28"/>
          <w:szCs w:val="28"/>
        </w:rPr>
      </w:pPr>
      <w:r>
        <w:rPr>
          <w:color w:val="000000"/>
          <w:sz w:val="28"/>
          <w:szCs w:val="28"/>
        </w:rPr>
        <w:t xml:space="preserve"> Через активацію симпатичної системи у людей з ПТСР домінує «Система1»  — гіперзбудження, автоматичні реакції, швидкі емоційні оцінки («fight-flight-freeze»). Це веде до імпульсивних рішень, уникання або надмірної реакції на тригери.</w:t>
      </w:r>
    </w:p>
    <w:p w14:paraId="650E2F29" w14:textId="77777777" w:rsidR="00B51242" w:rsidRDefault="008E4E86">
      <w:pPr>
        <w:tabs>
          <w:tab w:val="left" w:pos="707"/>
        </w:tabs>
        <w:spacing w:line="360" w:lineRule="auto"/>
        <w:ind w:firstLine="794"/>
        <w:jc w:val="both"/>
        <w:rPr>
          <w:sz w:val="28"/>
          <w:szCs w:val="28"/>
        </w:rPr>
      </w:pPr>
      <w:r>
        <w:rPr>
          <w:color w:val="000000"/>
          <w:sz w:val="28"/>
          <w:szCs w:val="28"/>
        </w:rPr>
        <w:t>Через КПТ, майндфулнес, тілесно-орієнтовані техніки або дихальні вправи — шляхом уповільнення як фізіологічнгого так і когнітивного «активувати Систему 2», щоб отримувач послуг почав:</w:t>
      </w:r>
    </w:p>
    <w:p w14:paraId="3E7C3DDF" w14:textId="77777777" w:rsidR="00B51242" w:rsidRDefault="008E4E86">
      <w:pPr>
        <w:tabs>
          <w:tab w:val="left" w:pos="1414"/>
        </w:tabs>
        <w:spacing w:line="360" w:lineRule="auto"/>
        <w:ind w:left="57"/>
        <w:jc w:val="both"/>
      </w:pPr>
      <w:r>
        <w:rPr>
          <w:rStyle w:val="StrongEmphasis"/>
          <w:b w:val="0"/>
          <w:bCs w:val="0"/>
          <w:color w:val="000000"/>
          <w:sz w:val="28"/>
          <w:szCs w:val="28"/>
        </w:rPr>
        <w:t>навчитись усвідомлювати автоматичні думки</w:t>
      </w:r>
      <w:r>
        <w:rPr>
          <w:color w:val="000000"/>
          <w:sz w:val="28"/>
          <w:szCs w:val="28"/>
        </w:rPr>
        <w:t xml:space="preserve"> перед дією (ведення щоденника думок);</w:t>
      </w:r>
    </w:p>
    <w:p w14:paraId="2D3294E8" w14:textId="77777777" w:rsidR="00B51242" w:rsidRDefault="008E4E86">
      <w:pPr>
        <w:tabs>
          <w:tab w:val="left" w:pos="1414"/>
        </w:tabs>
        <w:spacing w:line="360" w:lineRule="auto"/>
        <w:ind w:left="57"/>
        <w:jc w:val="both"/>
      </w:pPr>
      <w:r>
        <w:rPr>
          <w:rStyle w:val="StrongEmphasis"/>
          <w:b w:val="0"/>
          <w:bCs w:val="0"/>
          <w:color w:val="000000"/>
          <w:sz w:val="28"/>
          <w:szCs w:val="28"/>
        </w:rPr>
        <w:t>сповільнювати темп рухів та реакцій (зменшення гіперзбудження нервової системи)</w:t>
      </w:r>
      <w:r>
        <w:rPr>
          <w:color w:val="000000"/>
          <w:sz w:val="28"/>
          <w:szCs w:val="28"/>
        </w:rPr>
        <w:t xml:space="preserve">;                                                                                                                  </w:t>
      </w:r>
      <w:r>
        <w:rPr>
          <w:rStyle w:val="StrongEmphasis"/>
          <w:b w:val="0"/>
          <w:bCs w:val="0"/>
          <w:color w:val="000000"/>
          <w:sz w:val="28"/>
          <w:szCs w:val="28"/>
        </w:rPr>
        <w:t xml:space="preserve">переключатися з реактивного на усвідомлений стан </w:t>
      </w:r>
      <w:r>
        <w:rPr>
          <w:color w:val="000000"/>
          <w:sz w:val="28"/>
          <w:szCs w:val="28"/>
        </w:rPr>
        <w:t xml:space="preserve">(техніка «STOP» - </w:t>
      </w:r>
      <w:r>
        <w:rPr>
          <w:rStyle w:val="StrongEmphasis"/>
          <w:b w:val="0"/>
          <w:bCs w:val="0"/>
          <w:color w:val="000000"/>
          <w:sz w:val="28"/>
          <w:szCs w:val="28"/>
        </w:rPr>
        <w:t>паузи між стимулом і реакцією</w:t>
      </w:r>
      <w:r>
        <w:rPr>
          <w:color w:val="000000"/>
          <w:sz w:val="28"/>
          <w:szCs w:val="28"/>
        </w:rPr>
        <w:t xml:space="preserve">).                                                                                                                                </w:t>
      </w:r>
    </w:p>
    <w:p w14:paraId="514AE29D" w14:textId="77777777" w:rsidR="00B51242" w:rsidRDefault="008E4E86">
      <w:pPr>
        <w:spacing w:line="360" w:lineRule="auto"/>
        <w:jc w:val="both"/>
      </w:pPr>
      <w:r w:rsidRPr="00D3629B">
        <w:rPr>
          <w:rStyle w:val="InternetLink"/>
          <w:rFonts w:eastAsia="Times New Roman" w:cs="Times New Roman"/>
          <w:color w:val="000000"/>
          <w:sz w:val="28"/>
          <w:szCs w:val="28"/>
          <w:u w:val="none"/>
          <w:lang w:val="ru-RU" w:eastAsia="ru-RU"/>
        </w:rPr>
        <w:t>[8]</w:t>
      </w:r>
    </w:p>
    <w:p w14:paraId="2A368783"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                                                        </w:t>
      </w:r>
    </w:p>
    <w:p w14:paraId="713DFFF5" w14:textId="77777777" w:rsidR="00B51242" w:rsidRDefault="008E4E86">
      <w:pPr>
        <w:spacing w:line="360" w:lineRule="auto"/>
        <w:ind w:firstLine="794"/>
        <w:jc w:val="both"/>
      </w:pPr>
      <w:r>
        <w:rPr>
          <w:rStyle w:val="InternetLink"/>
          <w:rFonts w:eastAsia="Times New Roman" w:cs="Times New Roman"/>
          <w:b/>
          <w:bCs/>
          <w:color w:val="000000"/>
          <w:sz w:val="28"/>
          <w:szCs w:val="28"/>
          <w:u w:val="none"/>
          <w:lang w:eastAsia="ru-RU"/>
        </w:rPr>
        <w:t xml:space="preserve">2. </w:t>
      </w:r>
      <w:r>
        <w:rPr>
          <w:rStyle w:val="StrongEmphasis"/>
          <w:rFonts w:eastAsia="Times New Roman" w:cs="Times New Roman"/>
          <w:color w:val="000000"/>
          <w:sz w:val="28"/>
          <w:szCs w:val="28"/>
          <w:lang w:eastAsia="ru-RU"/>
        </w:rPr>
        <w:t>«Техніка заземлення 5-4-3-2-1»</w:t>
      </w:r>
    </w:p>
    <w:p w14:paraId="11FEE5A6" w14:textId="77777777" w:rsidR="00B51242" w:rsidRDefault="008E4E86">
      <w:pPr>
        <w:spacing w:line="360" w:lineRule="auto"/>
        <w:ind w:firstLine="737"/>
        <w:jc w:val="both"/>
      </w:pPr>
      <w:r>
        <w:rPr>
          <w:color w:val="000000"/>
          <w:sz w:val="28"/>
          <w:szCs w:val="28"/>
        </w:rPr>
        <w:t xml:space="preserve">Техніка заземлення 5-4-3-2-1 — це швидкий метод самодопомоги, що допомагає повернутися до теперішнього моменту та зменшити тривогу, використовуючи п'ять органів чуттів. Ця техніка відволікає розум від тривожних думок та фокусує увагу на реальності, допомагаючи впоратися з тривогою, панікою, страхом чи навіть флешбеками.                </w:t>
      </w:r>
    </w:p>
    <w:p w14:paraId="013C4D3E" w14:textId="77777777" w:rsidR="00B51242" w:rsidRDefault="008E4E86">
      <w:pPr>
        <w:spacing w:line="360" w:lineRule="auto"/>
        <w:ind w:firstLine="737"/>
        <w:jc w:val="both"/>
      </w:pPr>
      <w:r>
        <w:rPr>
          <w:color w:val="000000"/>
          <w:sz w:val="28"/>
          <w:szCs w:val="28"/>
        </w:rPr>
        <w:t>Класичний варіант  т</w:t>
      </w:r>
      <w:r>
        <w:rPr>
          <w:rStyle w:val="StrongEmphasis"/>
          <w:rFonts w:eastAsia="Times New Roman" w:cs="Times New Roman"/>
          <w:b w:val="0"/>
          <w:bCs w:val="0"/>
          <w:color w:val="000000"/>
          <w:sz w:val="28"/>
          <w:szCs w:val="28"/>
          <w:lang w:eastAsia="ru-RU"/>
        </w:rPr>
        <w:t>ехніки заземлення 5-4-3-2-1.</w:t>
      </w:r>
    </w:p>
    <w:p w14:paraId="7C5B32C9" w14:textId="77777777" w:rsidR="00B51242" w:rsidRDefault="008E4E86">
      <w:pPr>
        <w:spacing w:line="360" w:lineRule="auto"/>
        <w:jc w:val="both"/>
      </w:pPr>
      <w:r>
        <w:rPr>
          <w:rStyle w:val="InternetLink"/>
          <w:rFonts w:eastAsia="Times New Roman" w:cs="Times New Roman"/>
          <w:color w:val="000000"/>
          <w:sz w:val="28"/>
          <w:szCs w:val="28"/>
          <w:u w:val="none"/>
        </w:rPr>
        <w:t xml:space="preserve">1. </w:t>
      </w:r>
      <w:r>
        <w:rPr>
          <w:rStyle w:val="StrongEmphasis"/>
          <w:color w:val="000000"/>
          <w:sz w:val="28"/>
          <w:szCs w:val="28"/>
        </w:rPr>
        <w:t>5 речей, які ви бачите: о</w:t>
      </w:r>
      <w:r>
        <w:rPr>
          <w:color w:val="000000"/>
          <w:sz w:val="28"/>
          <w:szCs w:val="28"/>
        </w:rPr>
        <w:t>гляньтеся навколо та назвіть п'ять предметів, які ви бачите (наприклад, чашка, лампа, книга, стіл, кіт).</w:t>
      </w:r>
    </w:p>
    <w:p w14:paraId="0DAFE0DD" w14:textId="77777777" w:rsidR="00B51242" w:rsidRDefault="008E4E86">
      <w:pPr>
        <w:spacing w:line="360" w:lineRule="auto"/>
        <w:jc w:val="both"/>
      </w:pPr>
      <w:r>
        <w:rPr>
          <w:rStyle w:val="InternetLink"/>
          <w:rFonts w:eastAsia="Times New Roman" w:cs="Times New Roman"/>
          <w:color w:val="000000"/>
          <w:sz w:val="28"/>
          <w:szCs w:val="28"/>
          <w:u w:val="none"/>
        </w:rPr>
        <w:t xml:space="preserve">2. </w:t>
      </w:r>
      <w:r>
        <w:rPr>
          <w:rStyle w:val="StrongEmphasis"/>
          <w:color w:val="000000"/>
          <w:sz w:val="28"/>
          <w:szCs w:val="28"/>
        </w:rPr>
        <w:t>4 речі</w:t>
      </w:r>
      <w:r>
        <w:rPr>
          <w:rStyle w:val="StrongEmphasis"/>
          <w:b w:val="0"/>
          <w:color w:val="000000"/>
          <w:sz w:val="28"/>
          <w:szCs w:val="28"/>
        </w:rPr>
        <w:t>, до яких ви можете доторкнутися: з</w:t>
      </w:r>
      <w:r>
        <w:rPr>
          <w:color w:val="000000"/>
          <w:sz w:val="28"/>
          <w:szCs w:val="28"/>
        </w:rPr>
        <w:t>верніть увагу на текстуру предметів, яких ви можете торкнутися. Це може бути тканина одягу, прохолода повітря, поверхня столу чи підлога під ногами</w:t>
      </w:r>
    </w:p>
    <w:p w14:paraId="6BCD5521" w14:textId="77777777" w:rsidR="00B51242" w:rsidRDefault="008E4E86">
      <w:pPr>
        <w:spacing w:line="360" w:lineRule="auto"/>
        <w:jc w:val="both"/>
      </w:pPr>
      <w:r>
        <w:rPr>
          <w:rStyle w:val="InternetLink"/>
          <w:rFonts w:eastAsia="Times New Roman" w:cs="Times New Roman"/>
          <w:color w:val="000000"/>
          <w:sz w:val="28"/>
          <w:szCs w:val="28"/>
          <w:u w:val="none"/>
        </w:rPr>
        <w:t xml:space="preserve">3. </w:t>
      </w:r>
      <w:r>
        <w:rPr>
          <w:rStyle w:val="StrongEmphasis"/>
          <w:color w:val="000000"/>
          <w:sz w:val="28"/>
          <w:szCs w:val="28"/>
        </w:rPr>
        <w:t>3 звуки, які ви чуєте: п</w:t>
      </w:r>
      <w:r>
        <w:rPr>
          <w:color w:val="000000"/>
          <w:sz w:val="28"/>
          <w:szCs w:val="28"/>
        </w:rPr>
        <w:t>рислухайтеся і назвіть три різні звуки, які ви чуєте навколо себе (наприклад, шум транспорту, спів птахів, гудіння холодильника).</w:t>
      </w:r>
    </w:p>
    <w:p w14:paraId="77EF4199" w14:textId="77777777" w:rsidR="00B51242" w:rsidRDefault="008E4E86">
      <w:pPr>
        <w:spacing w:before="100" w:after="200" w:line="360" w:lineRule="auto"/>
        <w:jc w:val="both"/>
      </w:pPr>
      <w:r>
        <w:rPr>
          <w:color w:val="000000"/>
          <w:sz w:val="28"/>
          <w:szCs w:val="28"/>
        </w:rPr>
        <w:t xml:space="preserve">4. </w:t>
      </w:r>
      <w:r>
        <w:rPr>
          <w:rStyle w:val="StrongEmphasis"/>
          <w:color w:val="000000"/>
          <w:sz w:val="28"/>
          <w:szCs w:val="28"/>
        </w:rPr>
        <w:t>2 запахи, які ви відчуваєте: с</w:t>
      </w:r>
      <w:r>
        <w:rPr>
          <w:color w:val="000000"/>
          <w:sz w:val="28"/>
          <w:szCs w:val="28"/>
        </w:rPr>
        <w:t>пробуйте відчути два запахи навколо вас. Це може бути аромат кави, запах парфумів, свіжої випічки або навіть аромат деревини.</w:t>
      </w:r>
    </w:p>
    <w:p w14:paraId="3592AC4D" w14:textId="77777777" w:rsidR="00B51242" w:rsidRDefault="008E4E86">
      <w:pPr>
        <w:spacing w:before="100" w:after="200" w:line="360" w:lineRule="auto"/>
        <w:jc w:val="both"/>
      </w:pPr>
      <w:r>
        <w:rPr>
          <w:color w:val="000000"/>
          <w:sz w:val="28"/>
          <w:szCs w:val="28"/>
        </w:rPr>
        <w:t xml:space="preserve">5. </w:t>
      </w:r>
      <w:r>
        <w:rPr>
          <w:rStyle w:val="StrongEmphasis"/>
          <w:color w:val="000000"/>
          <w:sz w:val="28"/>
          <w:szCs w:val="28"/>
        </w:rPr>
        <w:t xml:space="preserve">1 смак, який ви можете скуштувати: </w:t>
      </w:r>
      <w:r>
        <w:rPr>
          <w:color w:val="000000"/>
          <w:sz w:val="28"/>
          <w:szCs w:val="28"/>
        </w:rPr>
        <w:t>найдіть щось просте, що ви можете скуштувати — це може бути льодяник, шматок цукерки або вода.</w:t>
      </w:r>
    </w:p>
    <w:p w14:paraId="3E52928E" w14:textId="77777777" w:rsidR="00B51242" w:rsidRDefault="008E4E86">
      <w:pPr>
        <w:spacing w:line="360" w:lineRule="auto"/>
        <w:jc w:val="both"/>
      </w:pPr>
      <w:r>
        <w:rPr>
          <w:color w:val="000000"/>
          <w:sz w:val="28"/>
          <w:szCs w:val="28"/>
        </w:rPr>
        <w:t xml:space="preserve">   </w:t>
      </w:r>
      <w:r>
        <w:rPr>
          <w:rStyle w:val="InternetLink"/>
          <w:rFonts w:eastAsia="Times New Roman" w:cs="Times New Roman"/>
          <w:color w:val="000000"/>
          <w:sz w:val="28"/>
          <w:szCs w:val="28"/>
          <w:u w:val="none"/>
        </w:rPr>
        <w:t>Адаптований варіант техніки може бути гнучко змінений залежно від індивідуальних потреб клієнта та цілей психологічної підтримки. Так, у роботі з військовослужбовцями, які можуть мати підвищену сенсорну чутливість або симптоми гіпервідчутливості, доцільним є використання модифікацій, що зосереджуються не лише на сенсорних каналах, а й на тілесних чи внутрішніх ресурсах. Наприклад, замість фіксації на запахах і смаках, вправу можна структурувати як «3 тілесні відчуття, 2 дихальні цикли  та 1 внутрішній ресурс».</w:t>
      </w:r>
    </w:p>
    <w:p w14:paraId="2A8B231B" w14:textId="77777777" w:rsidR="00B51242" w:rsidRDefault="008E4E86">
      <w:pPr>
        <w:spacing w:line="360" w:lineRule="auto"/>
        <w:ind w:firstLine="737"/>
        <w:jc w:val="both"/>
      </w:pPr>
      <w:r>
        <w:rPr>
          <w:color w:val="000000"/>
          <w:sz w:val="28"/>
          <w:szCs w:val="28"/>
        </w:rPr>
        <w:t>Введення елементів тілесного усвідомлення (наприклад, спостереження за м’язовою напругою, положенням тіла або ритмом дихання) сприяє розвитку навичок саморегуляції через активацію парасимпатичної нервової системи. Додавання компонента «внутрішній ресурс» (образ місця сили, згадка про людину, яка підтримує, або пригадування власної успішної дії) спрямоване на формування стійкості та підвищення рівня суб’єктивного контролю над власним станом.</w:t>
      </w:r>
    </w:p>
    <w:p w14:paraId="292B7AA4" w14:textId="77777777" w:rsidR="00B51242" w:rsidRDefault="008E4E86">
      <w:pPr>
        <w:spacing w:line="360" w:lineRule="auto"/>
        <w:ind w:firstLine="737"/>
        <w:jc w:val="both"/>
      </w:pPr>
      <w:r>
        <w:rPr>
          <w:rStyle w:val="InternetLink"/>
          <w:rFonts w:eastAsia="Times New Roman" w:cs="Times New Roman"/>
          <w:color w:val="000000"/>
          <w:sz w:val="28"/>
          <w:szCs w:val="28"/>
          <w:u w:val="none"/>
        </w:rPr>
        <w:t>Таким чином, адаптований варіант техніки «5-4-3-2-1» дозволяє не лише зменшувати інтенсивність тривожних реакцій, а й слугує інструментом розвитку цільових навичок: концентрації уваги, тілесної усвідомленості, доступу до внутрішніх ресурсів. Це робить метод більш функціональним у роботі з різними категоріями клієнтів, зокрема військовослужбовцями із симптомами посттравматичного стресового розладу, у яких ключовими завданнями є стабілізація, самоконтроль та формування стратегій подолання стресу.</w:t>
      </w:r>
    </w:p>
    <w:p w14:paraId="0E9A39C5"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3. Техніка роботи з автоматичними думками “факт чи думка”</w:t>
      </w:r>
    </w:p>
    <w:p w14:paraId="3402AF22" w14:textId="77777777" w:rsidR="00B51242" w:rsidRDefault="008E4E86">
      <w:pPr>
        <w:spacing w:line="360" w:lineRule="auto"/>
        <w:jc w:val="both"/>
      </w:pPr>
      <w:r>
        <w:rPr>
          <w:rStyle w:val="InternetLink"/>
          <w:rFonts w:eastAsia="Times New Roman" w:cs="Times New Roman"/>
          <w:bCs/>
          <w:color w:val="000000"/>
          <w:sz w:val="28"/>
          <w:szCs w:val="28"/>
          <w:u w:val="none"/>
          <w:lang w:eastAsia="ru-RU"/>
        </w:rPr>
        <w:t>Допомагає перенести фокус з емоційних висновків на об'єктивне спостереження.</w:t>
      </w:r>
      <w:r>
        <w:rPr>
          <w:rStyle w:val="InternetLink"/>
          <w:rFonts w:eastAsia="Times New Roman" w:cs="Times New Roman"/>
          <w:b/>
          <w:bCs/>
          <w:color w:val="000000"/>
          <w:sz w:val="28"/>
          <w:szCs w:val="28"/>
          <w:u w:val="none"/>
          <w:lang w:eastAsia="ru-RU"/>
        </w:rPr>
        <w:t xml:space="preserve"> </w:t>
      </w:r>
      <w:r>
        <w:rPr>
          <w:rStyle w:val="InternetLink"/>
          <w:rFonts w:eastAsia="Times New Roman" w:cs="Times New Roman"/>
          <w:bCs/>
          <w:color w:val="000000"/>
          <w:sz w:val="28"/>
          <w:szCs w:val="28"/>
          <w:u w:val="none"/>
          <w:lang w:eastAsia="ru-RU"/>
        </w:rPr>
        <w:t>Вправа на відстеження автоматичних думок, яка часто використовується в когнітивно-поведінковій терапії (КПТ), полягає в тому, щоб записувати думки та почуття, що виникли в певній ситуації, а потім аналізувати їхню правдивість і знаходити більш збалансовані альтернативні думки. Це допомагає зрозуміти зв'язок між подіями, думками, емоціями та поведінкою, а також виявити когнітивні викривлення.</w:t>
      </w:r>
    </w:p>
    <w:p w14:paraId="6EB60B39" w14:textId="77777777" w:rsidR="00B51242" w:rsidRDefault="008E4E86">
      <w:pPr>
        <w:spacing w:line="360" w:lineRule="auto"/>
        <w:ind w:firstLine="737"/>
        <w:jc w:val="both"/>
      </w:pPr>
      <w:r>
        <w:rPr>
          <w:b/>
          <w:color w:val="000000"/>
          <w:sz w:val="28"/>
          <w:szCs w:val="28"/>
        </w:rPr>
        <w:t>Як виконувати вправу:</w:t>
      </w:r>
    </w:p>
    <w:p w14:paraId="4EB15DD8" w14:textId="77777777" w:rsidR="00B51242" w:rsidRDefault="008E4E86">
      <w:pPr>
        <w:tabs>
          <w:tab w:val="left" w:pos="0"/>
        </w:tabs>
        <w:spacing w:line="360" w:lineRule="auto"/>
        <w:jc w:val="both"/>
      </w:pPr>
      <w:r>
        <w:rPr>
          <w:rStyle w:val="StrongEmphasis"/>
          <w:color w:val="000000"/>
          <w:sz w:val="28"/>
          <w:szCs w:val="28"/>
        </w:rPr>
        <w:t>1. Виявіть ситуацію та емоцію:</w:t>
      </w:r>
    </w:p>
    <w:p w14:paraId="0313C3B4" w14:textId="77777777" w:rsidR="00B51242" w:rsidRDefault="008E4E86">
      <w:pPr>
        <w:spacing w:line="360" w:lineRule="auto"/>
        <w:jc w:val="both"/>
        <w:rPr>
          <w:sz w:val="28"/>
          <w:szCs w:val="28"/>
        </w:rPr>
      </w:pPr>
      <w:r>
        <w:rPr>
          <w:color w:val="000000"/>
          <w:sz w:val="28"/>
          <w:szCs w:val="28"/>
        </w:rPr>
        <w:t>Згадайте ситуацію, яка викликала сильну емоцію, і запишіть її.</w:t>
      </w:r>
    </w:p>
    <w:p w14:paraId="3E8DCB65" w14:textId="77777777" w:rsidR="00B51242" w:rsidRDefault="008E4E86">
      <w:pPr>
        <w:tabs>
          <w:tab w:val="left" w:pos="0"/>
        </w:tabs>
        <w:spacing w:line="360" w:lineRule="auto"/>
        <w:jc w:val="both"/>
      </w:pPr>
      <w:r>
        <w:rPr>
          <w:rStyle w:val="StrongEmphasis"/>
          <w:color w:val="000000"/>
          <w:sz w:val="28"/>
          <w:szCs w:val="28"/>
        </w:rPr>
        <w:t>2. Запишіть автоматичну думку:</w:t>
      </w:r>
    </w:p>
    <w:p w14:paraId="67B4C00B" w14:textId="77777777" w:rsidR="00B51242" w:rsidRDefault="008E4E86">
      <w:pPr>
        <w:spacing w:line="360" w:lineRule="auto"/>
        <w:jc w:val="both"/>
        <w:rPr>
          <w:sz w:val="28"/>
          <w:szCs w:val="28"/>
        </w:rPr>
      </w:pPr>
      <w:r>
        <w:rPr>
          <w:color w:val="000000"/>
          <w:sz w:val="28"/>
          <w:szCs w:val="28"/>
        </w:rPr>
        <w:t>Визначте, яка думка або образ першими спали на думку в той момент, що ви сказали собі про цю ситуацію. Запишіть цю думку, навіть якщо вона здається неважливою або нелогічною.</w:t>
      </w:r>
    </w:p>
    <w:p w14:paraId="0D428A59" w14:textId="77777777" w:rsidR="00B51242" w:rsidRDefault="008E4E86">
      <w:pPr>
        <w:tabs>
          <w:tab w:val="left" w:pos="0"/>
        </w:tabs>
        <w:spacing w:line="360" w:lineRule="auto"/>
        <w:jc w:val="both"/>
      </w:pPr>
      <w:r>
        <w:rPr>
          <w:rStyle w:val="StrongEmphasis"/>
          <w:color w:val="000000"/>
          <w:sz w:val="28"/>
          <w:szCs w:val="28"/>
        </w:rPr>
        <w:t>3. Зв'яжіть думку з емоцією:</w:t>
      </w:r>
    </w:p>
    <w:p w14:paraId="541BCA11" w14:textId="77777777" w:rsidR="00B51242" w:rsidRDefault="008E4E86">
      <w:pPr>
        <w:spacing w:line="360" w:lineRule="auto"/>
        <w:jc w:val="both"/>
        <w:rPr>
          <w:sz w:val="28"/>
          <w:szCs w:val="28"/>
        </w:rPr>
      </w:pPr>
      <w:r>
        <w:rPr>
          <w:color w:val="000000"/>
          <w:sz w:val="28"/>
          <w:szCs w:val="28"/>
        </w:rPr>
        <w:t>Проаналізуйте, як ця автоматична думка пов'язана з вашими почуттями.</w:t>
      </w:r>
    </w:p>
    <w:p w14:paraId="08604E65" w14:textId="77777777" w:rsidR="00B51242" w:rsidRDefault="008E4E86">
      <w:pPr>
        <w:tabs>
          <w:tab w:val="left" w:pos="0"/>
        </w:tabs>
        <w:spacing w:line="360" w:lineRule="auto"/>
        <w:jc w:val="both"/>
      </w:pPr>
      <w:r>
        <w:rPr>
          <w:rStyle w:val="StrongEmphasis"/>
          <w:color w:val="000000"/>
          <w:sz w:val="28"/>
          <w:szCs w:val="28"/>
        </w:rPr>
        <w:t>4. Перевірте правдивість думки:</w:t>
      </w:r>
    </w:p>
    <w:p w14:paraId="6758A728" w14:textId="77777777" w:rsidR="00B51242" w:rsidRDefault="008E4E86">
      <w:pPr>
        <w:spacing w:line="360" w:lineRule="auto"/>
        <w:jc w:val="both"/>
        <w:rPr>
          <w:sz w:val="28"/>
          <w:szCs w:val="28"/>
        </w:rPr>
      </w:pPr>
      <w:r>
        <w:rPr>
          <w:color w:val="000000"/>
          <w:sz w:val="28"/>
          <w:szCs w:val="28"/>
        </w:rPr>
        <w:t>Поставте собі питання, щоб оцінити думку:</w:t>
      </w:r>
    </w:p>
    <w:p w14:paraId="1A2E2428" w14:textId="77777777" w:rsidR="00B51242" w:rsidRDefault="008E4E86">
      <w:pPr>
        <w:tabs>
          <w:tab w:val="left" w:pos="0"/>
        </w:tabs>
        <w:spacing w:line="360" w:lineRule="auto"/>
        <w:jc w:val="both"/>
        <w:rPr>
          <w:sz w:val="28"/>
          <w:szCs w:val="28"/>
        </w:rPr>
      </w:pPr>
      <w:r>
        <w:rPr>
          <w:color w:val="000000"/>
          <w:sz w:val="28"/>
          <w:szCs w:val="28"/>
        </w:rPr>
        <w:t>Чи є факти, які підтверджують цю думку?</w:t>
      </w:r>
    </w:p>
    <w:p w14:paraId="0AFA829B" w14:textId="77777777" w:rsidR="00B51242" w:rsidRDefault="008E4E86">
      <w:pPr>
        <w:tabs>
          <w:tab w:val="left" w:pos="0"/>
        </w:tabs>
        <w:spacing w:line="360" w:lineRule="auto"/>
        <w:jc w:val="both"/>
        <w:rPr>
          <w:sz w:val="28"/>
          <w:szCs w:val="28"/>
        </w:rPr>
      </w:pPr>
      <w:r>
        <w:rPr>
          <w:color w:val="000000"/>
          <w:sz w:val="28"/>
          <w:szCs w:val="28"/>
        </w:rPr>
        <w:t>Чи є це єдиний можливий погляд на ситуацію, чи лише одна з багатьох інтерпретацій?</w:t>
      </w:r>
    </w:p>
    <w:p w14:paraId="196FDA41" w14:textId="77777777" w:rsidR="00B51242" w:rsidRDefault="008E4E86">
      <w:pPr>
        <w:tabs>
          <w:tab w:val="left" w:pos="0"/>
        </w:tabs>
        <w:spacing w:line="360" w:lineRule="auto"/>
        <w:jc w:val="both"/>
        <w:rPr>
          <w:sz w:val="28"/>
          <w:szCs w:val="28"/>
        </w:rPr>
      </w:pPr>
      <w:r>
        <w:rPr>
          <w:color w:val="000000"/>
          <w:sz w:val="28"/>
          <w:szCs w:val="28"/>
        </w:rPr>
        <w:t>Що б я подумав/-ла, якби був/-ла спокійнішим/-ою?</w:t>
      </w:r>
    </w:p>
    <w:p w14:paraId="01947531" w14:textId="77777777" w:rsidR="00B51242" w:rsidRDefault="008E4E86">
      <w:pPr>
        <w:tabs>
          <w:tab w:val="left" w:pos="0"/>
        </w:tabs>
        <w:spacing w:line="360" w:lineRule="auto"/>
        <w:jc w:val="both"/>
      </w:pPr>
      <w:r>
        <w:rPr>
          <w:rStyle w:val="StrongEmphasis"/>
          <w:color w:val="000000"/>
          <w:sz w:val="28"/>
          <w:szCs w:val="28"/>
        </w:rPr>
        <w:t>5. Знайдіть альтернативу:</w:t>
      </w:r>
    </w:p>
    <w:p w14:paraId="181B7FA2" w14:textId="77777777" w:rsidR="00B51242" w:rsidRDefault="008E4E86">
      <w:pPr>
        <w:spacing w:after="80" w:line="360" w:lineRule="auto"/>
        <w:jc w:val="both"/>
        <w:rPr>
          <w:sz w:val="28"/>
          <w:szCs w:val="28"/>
        </w:rPr>
      </w:pPr>
      <w:r>
        <w:rPr>
          <w:color w:val="000000"/>
          <w:sz w:val="28"/>
          <w:szCs w:val="28"/>
        </w:rPr>
        <w:t>Спробуйте переформулювати думку, зробивши її більш чесною, але менш суворою до себе. Наприклад, замість "Я все зіпсував/-ла, і це жахливо" подумайте: "Я припустився/-лась помилки, і це нормально. Я можу щось змінити або спробувати ще раз".</w:t>
      </w:r>
    </w:p>
    <w:p w14:paraId="3E24BDE5" w14:textId="77777777" w:rsidR="00B51242" w:rsidRDefault="008E4E86">
      <w:pPr>
        <w:tabs>
          <w:tab w:val="left" w:pos="0"/>
        </w:tabs>
        <w:spacing w:line="360" w:lineRule="auto"/>
        <w:jc w:val="both"/>
      </w:pPr>
      <w:r>
        <w:rPr>
          <w:rStyle w:val="StrongEmphasis"/>
          <w:color w:val="000000"/>
          <w:sz w:val="28"/>
          <w:szCs w:val="28"/>
        </w:rPr>
        <w:t>6. Порівняйте стан до і після:</w:t>
      </w:r>
    </w:p>
    <w:p w14:paraId="050FB6AC" w14:textId="77777777" w:rsidR="00B51242" w:rsidRDefault="008E4E86">
      <w:pPr>
        <w:spacing w:line="360" w:lineRule="auto"/>
        <w:jc w:val="both"/>
        <w:rPr>
          <w:sz w:val="28"/>
          <w:szCs w:val="28"/>
        </w:rPr>
      </w:pPr>
      <w:r>
        <w:rPr>
          <w:color w:val="000000"/>
          <w:sz w:val="28"/>
          <w:szCs w:val="28"/>
        </w:rPr>
        <w:t>Відзначте, як змінився ваш емоційний стан після переосмислення думки.</w:t>
      </w:r>
    </w:p>
    <w:p w14:paraId="116D5B40" w14:textId="77777777" w:rsidR="00B51242" w:rsidRDefault="008E4E86">
      <w:pPr>
        <w:spacing w:line="360" w:lineRule="auto"/>
        <w:jc w:val="both"/>
        <w:rPr>
          <w:sz w:val="28"/>
          <w:szCs w:val="28"/>
        </w:rPr>
      </w:pPr>
      <w:r>
        <w:rPr>
          <w:b/>
          <w:color w:val="000000"/>
          <w:sz w:val="28"/>
          <w:szCs w:val="28"/>
        </w:rPr>
        <w:t>Для чого потрібна ця вправа:</w:t>
      </w:r>
    </w:p>
    <w:p w14:paraId="412D4E66" w14:textId="77777777" w:rsidR="00B51242" w:rsidRDefault="008E4E86">
      <w:pPr>
        <w:tabs>
          <w:tab w:val="left" w:pos="0"/>
        </w:tabs>
        <w:spacing w:line="360" w:lineRule="auto"/>
        <w:ind w:hanging="283"/>
        <w:jc w:val="both"/>
      </w:pPr>
      <w:r>
        <w:rPr>
          <w:rStyle w:val="StrongEmphasis"/>
          <w:color w:val="000000"/>
          <w:sz w:val="28"/>
          <w:szCs w:val="28"/>
        </w:rPr>
        <w:t xml:space="preserve">    Виявлення зв'язків:</w:t>
      </w:r>
    </w:p>
    <w:p w14:paraId="6C4D2031" w14:textId="77777777" w:rsidR="00B51242" w:rsidRDefault="008E4E86">
      <w:pPr>
        <w:spacing w:line="360" w:lineRule="auto"/>
        <w:jc w:val="both"/>
        <w:rPr>
          <w:sz w:val="28"/>
          <w:szCs w:val="28"/>
        </w:rPr>
      </w:pPr>
      <w:r>
        <w:rPr>
          <w:color w:val="000000"/>
          <w:sz w:val="28"/>
          <w:szCs w:val="28"/>
        </w:rPr>
        <w:t>Допомагає побачити зв'язок між подіями, автоматичними думками, емоціями та поведінкою.</w:t>
      </w:r>
    </w:p>
    <w:p w14:paraId="23B6587A" w14:textId="77777777" w:rsidR="00B51242" w:rsidRDefault="008E4E86">
      <w:pPr>
        <w:tabs>
          <w:tab w:val="left" w:pos="0"/>
        </w:tabs>
        <w:spacing w:line="360" w:lineRule="auto"/>
        <w:jc w:val="both"/>
      </w:pPr>
      <w:r>
        <w:rPr>
          <w:rStyle w:val="StrongEmphasis"/>
          <w:color w:val="000000"/>
          <w:sz w:val="28"/>
          <w:szCs w:val="28"/>
        </w:rPr>
        <w:t>Виявлення когнітивних викривлень:</w:t>
      </w:r>
    </w:p>
    <w:p w14:paraId="6D6DF235" w14:textId="77777777" w:rsidR="00B51242" w:rsidRDefault="008E4E86">
      <w:pPr>
        <w:spacing w:line="360" w:lineRule="auto"/>
        <w:jc w:val="both"/>
        <w:rPr>
          <w:sz w:val="28"/>
          <w:szCs w:val="28"/>
        </w:rPr>
      </w:pPr>
      <w:r>
        <w:rPr>
          <w:color w:val="000000"/>
          <w:sz w:val="28"/>
          <w:szCs w:val="28"/>
        </w:rPr>
        <w:t>Дозволяє помічати шаблони мислення, які підживлюють негативні емоції, як-от тривогу, провину, злість або сором.</w:t>
      </w:r>
    </w:p>
    <w:p w14:paraId="5251E594" w14:textId="77777777" w:rsidR="00B51242" w:rsidRDefault="008E4E86">
      <w:pPr>
        <w:tabs>
          <w:tab w:val="left" w:pos="0"/>
        </w:tabs>
        <w:spacing w:line="360" w:lineRule="auto"/>
        <w:jc w:val="both"/>
      </w:pPr>
      <w:r>
        <w:rPr>
          <w:rStyle w:val="StrongEmphasis"/>
          <w:color w:val="000000"/>
          <w:sz w:val="28"/>
          <w:szCs w:val="28"/>
        </w:rPr>
        <w:t>Зменшення інтенсивності негативних емоцій:</w:t>
      </w:r>
    </w:p>
    <w:p w14:paraId="4552BA7E" w14:textId="77777777" w:rsidR="00B51242" w:rsidRDefault="008E4E86">
      <w:pPr>
        <w:spacing w:line="360" w:lineRule="auto"/>
        <w:jc w:val="both"/>
        <w:rPr>
          <w:sz w:val="28"/>
          <w:szCs w:val="28"/>
        </w:rPr>
      </w:pPr>
      <w:r>
        <w:rPr>
          <w:color w:val="000000"/>
          <w:sz w:val="28"/>
          <w:szCs w:val="28"/>
        </w:rPr>
        <w:t>Знайшовши більш збалансовані думки, ви можете зменшити інтенсивність негативних емоцій.</w:t>
      </w:r>
    </w:p>
    <w:p w14:paraId="3BC8F9AD" w14:textId="77777777" w:rsidR="00B51242" w:rsidRDefault="00B51242">
      <w:pPr>
        <w:spacing w:line="360" w:lineRule="auto"/>
        <w:ind w:firstLine="737"/>
        <w:jc w:val="both"/>
        <w:rPr>
          <w:rStyle w:val="InternetLink"/>
          <w:rFonts w:eastAsia="Times New Roman" w:cs="Times New Roman"/>
          <w:b/>
          <w:bCs/>
          <w:color w:val="000000"/>
          <w:sz w:val="28"/>
          <w:szCs w:val="28"/>
          <w:u w:val="none"/>
        </w:rPr>
      </w:pPr>
    </w:p>
    <w:p w14:paraId="013D1957" w14:textId="77777777" w:rsidR="00B51242" w:rsidRDefault="008E4E86">
      <w:pPr>
        <w:spacing w:line="360" w:lineRule="auto"/>
        <w:ind w:firstLine="737"/>
        <w:jc w:val="both"/>
      </w:pPr>
      <w:r>
        <w:rPr>
          <w:rStyle w:val="InternetLink"/>
          <w:rFonts w:eastAsia="Times New Roman" w:cs="Times New Roman"/>
          <w:b/>
          <w:bCs/>
          <w:color w:val="000000"/>
          <w:sz w:val="28"/>
          <w:szCs w:val="28"/>
          <w:u w:val="none"/>
        </w:rPr>
        <w:t xml:space="preserve">Заняття 4-5. Робота з переконаннями. Когнітивна реструктуризація. </w:t>
      </w:r>
      <w:r>
        <w:rPr>
          <w:rStyle w:val="InternetLink"/>
          <w:rFonts w:eastAsia="Times New Roman" w:cs="Times New Roman"/>
          <w:bCs/>
          <w:color w:val="000000"/>
          <w:sz w:val="28"/>
          <w:szCs w:val="28"/>
          <w:u w:val="none"/>
        </w:rPr>
        <w:t xml:space="preserve"> </w:t>
      </w:r>
    </w:p>
    <w:p w14:paraId="78CE8424"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1. Фіксація стану на початку заняття.</w:t>
      </w:r>
    </w:p>
    <w:p w14:paraId="3889DEAA"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 xml:space="preserve">2. Перевірка домашнього завдання. </w:t>
      </w:r>
    </w:p>
    <w:p w14:paraId="6BDD7499"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 xml:space="preserve">3. Психоосвіта.  (формування переконань)                                                                                      </w:t>
      </w:r>
    </w:p>
    <w:p w14:paraId="625A3F39"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 xml:space="preserve">4. Техніка АВС  (практика)                                                                                                                                                                                                    </w:t>
      </w:r>
    </w:p>
    <w:p w14:paraId="096F7AF8"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5. Домашнє завдання  (щоденник думок, техніка АВС</w:t>
      </w:r>
      <w:r>
        <w:rPr>
          <w:rStyle w:val="InternetLink"/>
          <w:rFonts w:eastAsia="Times New Roman" w:cs="Times New Roman"/>
          <w:b/>
          <w:bCs/>
          <w:color w:val="000000"/>
          <w:sz w:val="28"/>
          <w:szCs w:val="28"/>
          <w:u w:val="none"/>
          <w:lang w:val="en-US" w:eastAsia="ru-RU"/>
        </w:rPr>
        <w:t>D</w:t>
      </w:r>
      <w:r>
        <w:rPr>
          <w:rStyle w:val="InternetLink"/>
          <w:rFonts w:eastAsia="Times New Roman" w:cs="Times New Roman"/>
          <w:b/>
          <w:bCs/>
          <w:color w:val="000000"/>
          <w:sz w:val="28"/>
          <w:szCs w:val="28"/>
          <w:u w:val="none"/>
          <w:lang w:eastAsia="ru-RU"/>
        </w:rPr>
        <w:t>Е )</w:t>
      </w:r>
      <w:r w:rsidRPr="00D3629B">
        <w:rPr>
          <w:rStyle w:val="InternetLink"/>
          <w:rFonts w:eastAsia="Times New Roman" w:cs="Times New Roman"/>
          <w:b/>
          <w:bCs/>
          <w:color w:val="000000"/>
          <w:sz w:val="28"/>
          <w:szCs w:val="28"/>
          <w:u w:val="none"/>
          <w:lang w:val="ru-RU" w:eastAsia="ru-RU"/>
        </w:rPr>
        <w:t xml:space="preserve"> </w:t>
      </w:r>
      <w:r>
        <w:rPr>
          <w:rStyle w:val="InternetLink"/>
          <w:rFonts w:eastAsia="Times New Roman" w:cs="Times New Roman"/>
          <w:b/>
          <w:bCs/>
          <w:color w:val="000000"/>
          <w:sz w:val="28"/>
          <w:szCs w:val="28"/>
          <w:u w:val="none"/>
          <w:lang w:eastAsia="ru-RU"/>
        </w:rPr>
        <w:t xml:space="preserve">                                                                                                        </w:t>
      </w:r>
    </w:p>
    <w:p w14:paraId="6E2C7C66"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 xml:space="preserve">6. Фіксація стану по завершенню занять.                                                                                                                                         </w:t>
      </w:r>
    </w:p>
    <w:p w14:paraId="556A32C3" w14:textId="77777777" w:rsidR="00B51242" w:rsidRDefault="008E4E86">
      <w:pPr>
        <w:spacing w:line="360" w:lineRule="auto"/>
        <w:ind w:firstLine="794"/>
        <w:jc w:val="both"/>
      </w:pPr>
      <w:r>
        <w:rPr>
          <w:rStyle w:val="InternetLink"/>
          <w:rFonts w:eastAsia="Times New Roman" w:cs="Times New Roman"/>
          <w:b/>
          <w:bCs/>
          <w:color w:val="000000"/>
          <w:sz w:val="28"/>
          <w:szCs w:val="28"/>
          <w:u w:val="none"/>
        </w:rPr>
        <w:t xml:space="preserve">Психоосвіта. Переконання. </w:t>
      </w:r>
    </w:p>
    <w:p w14:paraId="21C3E767" w14:textId="77777777" w:rsidR="00B51242" w:rsidRDefault="008E4E86">
      <w:pPr>
        <w:spacing w:line="360" w:lineRule="auto"/>
        <w:ind w:firstLine="794"/>
        <w:jc w:val="both"/>
      </w:pPr>
      <w:r>
        <w:rPr>
          <w:rStyle w:val="InternetLink"/>
          <w:rFonts w:eastAsia="Times New Roman" w:cs="Times New Roman"/>
          <w:color w:val="000000"/>
          <w:sz w:val="28"/>
          <w:szCs w:val="28"/>
          <w:u w:val="none"/>
        </w:rPr>
        <w:t>Переконання — це глибинні уявлення людини про себе, інших людей та світ, які формуються на основі досвіду, виховання, культурних норм та значущих життєвих подій. У дитинстві ми засвоюємо повідомлення від батьків та оточення, наприклад «ти маєш бути слухняним», «світ небезпечний», «любов треба заслужити». З часом цей досвід закріплюється через повторення та підтвердження у різних ситуаціях. Мозок прагне узгодженості, тому ми схильні помічати ті факти, які підтверджують уже наявні переконання, і це явище називається когнітивним упередженням підтвердження.</w:t>
      </w:r>
    </w:p>
    <w:p w14:paraId="4F800F31" w14:textId="77777777" w:rsidR="00B51242" w:rsidRDefault="008E4E86">
      <w:pPr>
        <w:spacing w:line="360" w:lineRule="auto"/>
        <w:ind w:firstLine="794"/>
        <w:jc w:val="both"/>
      </w:pPr>
      <w:r>
        <w:rPr>
          <w:color w:val="000000"/>
          <w:sz w:val="28"/>
          <w:szCs w:val="28"/>
        </w:rPr>
        <w:t>Переконання можуть бути раціональними, або адаптивними, які допомагають справлятися зі складностями, наприклад «я можу вчитися на помилках». Водночас існують ірраціональні, або дисфункціональні переконання, які обмежують і шкодять, наприклад «я завжди маю бути ідеальним, інакше мене не любитимуть». Вони впливають на автоматичні думки, що виникають у конкретних ситуаціях. Так, глибинне переконання «я недостатньо хороший» породжує думку «мені не вдасться», коли людина стикається з викликом. Ці думки напряму впливають на емоції: песимістичне переконання веде до тривоги, провини чи безнадії. Емоції, своєю чергою, впливають на поведінку — людина може уникати нових можливостей, якщо вірить, що успіх не для неї. У довготривалій перспективі переконання формують стосунки, кар’єру, здоров’я та самооцінку.</w:t>
      </w:r>
    </w:p>
    <w:p w14:paraId="1E12FF1C" w14:textId="77777777" w:rsidR="00B51242" w:rsidRDefault="008E4E86">
      <w:pPr>
        <w:spacing w:line="360" w:lineRule="auto"/>
        <w:ind w:firstLine="794"/>
        <w:jc w:val="both"/>
      </w:pPr>
      <w:r>
        <w:rPr>
          <w:color w:val="000000"/>
          <w:sz w:val="28"/>
          <w:szCs w:val="28"/>
        </w:rPr>
        <w:t>Усвідомлення переконань є важливим елементом психологічної роботи, адже воно відкриває можливість ставити їх під сумнів, змінювати ірраціональні на більш гнучкі та будувати нові, які підтримують розвиток і добробут. Для самостійної практики можна використати просту вправу: записати кілька власних стійких переконань про себе, людей і світ, а потім запитати себе, звідки вони взялися, чи допомагають вони чи заважають, та як би змінилося самопочуття, якби ці переконання були більш підтримуючими.</w:t>
      </w:r>
    </w:p>
    <w:p w14:paraId="42A2AC75" w14:textId="77777777" w:rsidR="00B51242" w:rsidRDefault="008E4E86">
      <w:pPr>
        <w:spacing w:line="360" w:lineRule="auto"/>
        <w:jc w:val="both"/>
        <w:rPr>
          <w:sz w:val="28"/>
          <w:szCs w:val="28"/>
        </w:rPr>
      </w:pPr>
      <w:r>
        <w:rPr>
          <w:color w:val="000000"/>
          <w:sz w:val="28"/>
          <w:szCs w:val="28"/>
        </w:rPr>
        <w:t>Перш ніж переходити до опрацювання переконань, необхідним є формування у отримувача послуг здатності розрізняти автоматичні думки та переконання. Такий підхід дозволяє уникнути когнітивного змішування та забезпечує чітке розуміння ієрархії когніцій. Використання практичних прикладів у процесі психоосвіти є доцільним, оскільки воно сприяє більш наочному поясненню різних рівнів когнітивних процесів, що, у свою чергу, підвищує ефективність подальшої терапевтичної роботи.</w:t>
      </w:r>
    </w:p>
    <w:p w14:paraId="18D160CB" w14:textId="77777777" w:rsidR="00B51242" w:rsidRDefault="00B51242">
      <w:pPr>
        <w:spacing w:line="360" w:lineRule="auto"/>
        <w:jc w:val="both"/>
        <w:rPr>
          <w:color w:val="000000"/>
          <w:sz w:val="28"/>
          <w:szCs w:val="28"/>
        </w:rPr>
      </w:pPr>
    </w:p>
    <w:p w14:paraId="20876B09" w14:textId="77777777" w:rsidR="00B51242" w:rsidRDefault="008E4E86">
      <w:pPr>
        <w:spacing w:line="360" w:lineRule="auto"/>
        <w:jc w:val="both"/>
        <w:rPr>
          <w:sz w:val="28"/>
          <w:szCs w:val="28"/>
        </w:rPr>
      </w:pPr>
      <w:r>
        <w:rPr>
          <w:color w:val="000000"/>
          <w:sz w:val="28"/>
          <w:szCs w:val="28"/>
        </w:rPr>
        <w:t xml:space="preserve"> </w:t>
      </w:r>
    </w:p>
    <w:p w14:paraId="2494AAA7" w14:textId="77777777" w:rsidR="00B51242" w:rsidRDefault="008E4E86">
      <w:pPr>
        <w:spacing w:line="360" w:lineRule="auto"/>
        <w:jc w:val="center"/>
        <w:rPr>
          <w:sz w:val="28"/>
          <w:szCs w:val="28"/>
        </w:rPr>
      </w:pPr>
      <w:r>
        <w:rPr>
          <w:color w:val="000000"/>
          <w:sz w:val="28"/>
          <w:szCs w:val="28"/>
        </w:rPr>
        <w:t xml:space="preserve"> </w:t>
      </w:r>
      <w:r>
        <w:rPr>
          <w:rStyle w:val="InternetLink"/>
          <w:rFonts w:eastAsia="Times New Roman" w:cs="Times New Roman"/>
          <w:bCs/>
          <w:color w:val="000000"/>
          <w:sz w:val="28"/>
          <w:szCs w:val="28"/>
          <w:u w:val="none"/>
        </w:rPr>
        <w:t xml:space="preserve"> Рівні конгіцій.</w:t>
      </w:r>
      <w:r>
        <w:rPr>
          <w:color w:val="000000"/>
          <w:sz w:val="28"/>
          <w:szCs w:val="28"/>
        </w:rPr>
        <w:t xml:space="preserve">                                                                                                                                                         </w:t>
      </w:r>
    </w:p>
    <w:tbl>
      <w:tblPr>
        <w:tblW w:w="8670" w:type="dxa"/>
        <w:tblInd w:w="-108" w:type="dxa"/>
        <w:tblLook w:val="04A0" w:firstRow="1" w:lastRow="0" w:firstColumn="1" w:lastColumn="0" w:noHBand="0" w:noVBand="1"/>
      </w:tblPr>
      <w:tblGrid>
        <w:gridCol w:w="2558"/>
        <w:gridCol w:w="2132"/>
        <w:gridCol w:w="1970"/>
        <w:gridCol w:w="2010"/>
      </w:tblGrid>
      <w:tr w:rsidR="00B51242" w14:paraId="79454DB2" w14:textId="77777777">
        <w:tc>
          <w:tcPr>
            <w:tcW w:w="2144" w:type="dxa"/>
            <w:shd w:val="clear" w:color="auto" w:fill="auto"/>
          </w:tcPr>
          <w:p w14:paraId="14CFDE4B" w14:textId="77777777" w:rsidR="00B51242" w:rsidRDefault="008E4E86">
            <w:pPr>
              <w:spacing w:line="360" w:lineRule="auto"/>
              <w:jc w:val="both"/>
              <w:rPr>
                <w:sz w:val="28"/>
                <w:szCs w:val="28"/>
              </w:rPr>
            </w:pPr>
            <w:r>
              <w:rPr>
                <w:color w:val="000000"/>
                <w:sz w:val="28"/>
                <w:szCs w:val="28"/>
              </w:rPr>
              <w:t>Рівень когніцій</w:t>
            </w:r>
          </w:p>
        </w:tc>
        <w:tc>
          <w:tcPr>
            <w:tcW w:w="2146" w:type="dxa"/>
            <w:shd w:val="clear" w:color="auto" w:fill="auto"/>
          </w:tcPr>
          <w:p w14:paraId="2EAAF2D6" w14:textId="77777777" w:rsidR="00B51242" w:rsidRDefault="008E4E86">
            <w:pPr>
              <w:spacing w:line="360" w:lineRule="auto"/>
              <w:jc w:val="both"/>
              <w:rPr>
                <w:sz w:val="28"/>
                <w:szCs w:val="28"/>
              </w:rPr>
            </w:pPr>
            <w:r>
              <w:rPr>
                <w:color w:val="000000"/>
                <w:sz w:val="28"/>
                <w:szCs w:val="28"/>
              </w:rPr>
              <w:t>Характеристика</w:t>
            </w:r>
          </w:p>
        </w:tc>
        <w:tc>
          <w:tcPr>
            <w:tcW w:w="2157" w:type="dxa"/>
            <w:shd w:val="clear" w:color="auto" w:fill="auto"/>
          </w:tcPr>
          <w:p w14:paraId="50F07C39" w14:textId="77777777" w:rsidR="00B51242" w:rsidRDefault="008E4E86">
            <w:pPr>
              <w:spacing w:line="360" w:lineRule="auto"/>
              <w:jc w:val="both"/>
              <w:rPr>
                <w:sz w:val="28"/>
                <w:szCs w:val="28"/>
              </w:rPr>
            </w:pPr>
            <w:r>
              <w:rPr>
                <w:color w:val="000000"/>
                <w:sz w:val="28"/>
                <w:szCs w:val="28"/>
              </w:rPr>
              <w:t>Приклади</w:t>
            </w:r>
          </w:p>
        </w:tc>
        <w:tc>
          <w:tcPr>
            <w:tcW w:w="2222" w:type="dxa"/>
            <w:shd w:val="clear" w:color="auto" w:fill="auto"/>
          </w:tcPr>
          <w:p w14:paraId="7B6FA567" w14:textId="77777777" w:rsidR="00B51242" w:rsidRDefault="008E4E86">
            <w:pPr>
              <w:spacing w:line="360" w:lineRule="auto"/>
              <w:jc w:val="both"/>
              <w:rPr>
                <w:sz w:val="28"/>
                <w:szCs w:val="28"/>
              </w:rPr>
            </w:pPr>
            <w:r>
              <w:rPr>
                <w:color w:val="000000"/>
                <w:sz w:val="28"/>
                <w:szCs w:val="28"/>
              </w:rPr>
              <w:t>Оцінка / класифікація</w:t>
            </w:r>
          </w:p>
        </w:tc>
      </w:tr>
      <w:tr w:rsidR="00B51242" w14:paraId="4F933F46" w14:textId="77777777">
        <w:tc>
          <w:tcPr>
            <w:tcW w:w="2144" w:type="dxa"/>
            <w:shd w:val="clear" w:color="auto" w:fill="auto"/>
          </w:tcPr>
          <w:p w14:paraId="046AECA0" w14:textId="77777777" w:rsidR="00B51242" w:rsidRDefault="008E4E86">
            <w:pPr>
              <w:spacing w:line="360" w:lineRule="auto"/>
              <w:jc w:val="both"/>
              <w:rPr>
                <w:sz w:val="28"/>
                <w:szCs w:val="28"/>
              </w:rPr>
            </w:pPr>
            <w:r>
              <w:rPr>
                <w:color w:val="000000"/>
                <w:sz w:val="28"/>
                <w:szCs w:val="28"/>
              </w:rPr>
              <w:t>Автоматичні думки (найповерхневіший рівень)</w:t>
            </w:r>
          </w:p>
        </w:tc>
        <w:tc>
          <w:tcPr>
            <w:tcW w:w="2146" w:type="dxa"/>
            <w:shd w:val="clear" w:color="auto" w:fill="auto"/>
          </w:tcPr>
          <w:p w14:paraId="3AA87210" w14:textId="77777777" w:rsidR="00B51242" w:rsidRDefault="008E4E86">
            <w:pPr>
              <w:spacing w:line="360" w:lineRule="auto"/>
              <w:jc w:val="both"/>
              <w:rPr>
                <w:sz w:val="28"/>
                <w:szCs w:val="28"/>
              </w:rPr>
            </w:pPr>
            <w:r>
              <w:rPr>
                <w:color w:val="000000"/>
                <w:sz w:val="28"/>
                <w:szCs w:val="28"/>
              </w:rPr>
              <w:t>Короткі, мимовільні, виникають у конкретній ситуації, впливають на емоції та поведінку</w:t>
            </w:r>
          </w:p>
        </w:tc>
        <w:tc>
          <w:tcPr>
            <w:tcW w:w="2157" w:type="dxa"/>
            <w:shd w:val="clear" w:color="auto" w:fill="auto"/>
          </w:tcPr>
          <w:p w14:paraId="0EBD1CB1" w14:textId="77777777" w:rsidR="00B51242" w:rsidRDefault="008E4E86">
            <w:pPr>
              <w:spacing w:line="360" w:lineRule="auto"/>
              <w:jc w:val="both"/>
              <w:rPr>
                <w:sz w:val="28"/>
                <w:szCs w:val="28"/>
              </w:rPr>
            </w:pPr>
            <w:r>
              <w:rPr>
                <w:color w:val="000000"/>
                <w:sz w:val="28"/>
                <w:szCs w:val="28"/>
              </w:rPr>
              <w:t>«У мене нічого не вийде», «Вона на мене сердиться», «Я виглядаю смішно»</w:t>
            </w:r>
          </w:p>
        </w:tc>
        <w:tc>
          <w:tcPr>
            <w:tcW w:w="2222" w:type="dxa"/>
            <w:shd w:val="clear" w:color="auto" w:fill="auto"/>
          </w:tcPr>
          <w:p w14:paraId="34068B59" w14:textId="77777777" w:rsidR="00B51242" w:rsidRDefault="008E4E86">
            <w:pPr>
              <w:spacing w:line="360" w:lineRule="auto"/>
              <w:jc w:val="both"/>
              <w:rPr>
                <w:sz w:val="28"/>
                <w:szCs w:val="28"/>
              </w:rPr>
            </w:pPr>
            <w:r>
              <w:rPr>
                <w:color w:val="000000"/>
                <w:sz w:val="28"/>
                <w:szCs w:val="28"/>
              </w:rPr>
              <w:t>Конструктивні ↔ деструктивні, адекватні ↔ викривлені</w:t>
            </w:r>
          </w:p>
        </w:tc>
      </w:tr>
      <w:tr w:rsidR="00B51242" w14:paraId="14436495" w14:textId="77777777">
        <w:tc>
          <w:tcPr>
            <w:tcW w:w="2144" w:type="dxa"/>
            <w:shd w:val="clear" w:color="auto" w:fill="auto"/>
          </w:tcPr>
          <w:p w14:paraId="0A06974E" w14:textId="77777777" w:rsidR="00B51242" w:rsidRDefault="008E4E86">
            <w:pPr>
              <w:spacing w:line="360" w:lineRule="auto"/>
              <w:jc w:val="both"/>
              <w:rPr>
                <w:sz w:val="28"/>
                <w:szCs w:val="28"/>
              </w:rPr>
            </w:pPr>
            <w:r>
              <w:rPr>
                <w:color w:val="000000"/>
                <w:sz w:val="28"/>
                <w:szCs w:val="28"/>
              </w:rPr>
              <w:t>Проміжні переконання (правила, установки, припущення)</w:t>
            </w:r>
          </w:p>
        </w:tc>
        <w:tc>
          <w:tcPr>
            <w:tcW w:w="2146" w:type="dxa"/>
            <w:shd w:val="clear" w:color="auto" w:fill="auto"/>
          </w:tcPr>
          <w:p w14:paraId="5AC57F4F" w14:textId="77777777" w:rsidR="00B51242" w:rsidRDefault="008E4E86">
            <w:pPr>
              <w:spacing w:line="360" w:lineRule="auto"/>
              <w:jc w:val="both"/>
              <w:rPr>
                <w:sz w:val="28"/>
                <w:szCs w:val="28"/>
              </w:rPr>
            </w:pPr>
            <w:r>
              <w:rPr>
                <w:color w:val="000000"/>
                <w:sz w:val="28"/>
                <w:szCs w:val="28"/>
              </w:rPr>
              <w:t>Менш очевидні, формують спосіб інтерпретації подій, ґрунтуються на базових переконаннях</w:t>
            </w:r>
          </w:p>
        </w:tc>
        <w:tc>
          <w:tcPr>
            <w:tcW w:w="2157" w:type="dxa"/>
            <w:shd w:val="clear" w:color="auto" w:fill="auto"/>
          </w:tcPr>
          <w:p w14:paraId="1FC2F00F" w14:textId="77777777" w:rsidR="00B51242" w:rsidRDefault="008E4E86">
            <w:pPr>
              <w:spacing w:line="360" w:lineRule="auto"/>
              <w:jc w:val="both"/>
              <w:rPr>
                <w:sz w:val="28"/>
                <w:szCs w:val="28"/>
              </w:rPr>
            </w:pPr>
            <w:r>
              <w:rPr>
                <w:color w:val="000000"/>
                <w:sz w:val="28"/>
                <w:szCs w:val="28"/>
              </w:rPr>
              <w:t>«Щоб мене цінували, я повинен догоджати іншим», «Не можна показувати слабкість»</w:t>
            </w:r>
          </w:p>
        </w:tc>
        <w:tc>
          <w:tcPr>
            <w:tcW w:w="2222" w:type="dxa"/>
            <w:shd w:val="clear" w:color="auto" w:fill="auto"/>
          </w:tcPr>
          <w:p w14:paraId="60EED462" w14:textId="77777777" w:rsidR="00B51242" w:rsidRDefault="008E4E86">
            <w:pPr>
              <w:spacing w:line="360" w:lineRule="auto"/>
              <w:jc w:val="both"/>
              <w:rPr>
                <w:sz w:val="28"/>
                <w:szCs w:val="28"/>
              </w:rPr>
            </w:pPr>
            <w:r>
              <w:rPr>
                <w:color w:val="000000"/>
                <w:sz w:val="28"/>
                <w:szCs w:val="28"/>
              </w:rPr>
              <w:t>Раціональні (адаптативні) ↔ ірраціональні, гнучкі ↔ негнучкі</w:t>
            </w:r>
          </w:p>
          <w:p w14:paraId="1C2E13AA" w14:textId="77777777" w:rsidR="00B51242" w:rsidRDefault="008E4E86">
            <w:pPr>
              <w:spacing w:line="360" w:lineRule="auto"/>
              <w:jc w:val="both"/>
              <w:rPr>
                <w:sz w:val="28"/>
                <w:szCs w:val="28"/>
              </w:rPr>
            </w:pPr>
            <w:r>
              <w:rPr>
                <w:color w:val="000000"/>
                <w:sz w:val="28"/>
                <w:szCs w:val="28"/>
              </w:rPr>
              <w:t xml:space="preserve">                       </w:t>
            </w:r>
          </w:p>
        </w:tc>
      </w:tr>
      <w:tr w:rsidR="00B51242" w14:paraId="4C743A42" w14:textId="77777777">
        <w:tc>
          <w:tcPr>
            <w:tcW w:w="2144" w:type="dxa"/>
            <w:shd w:val="clear" w:color="auto" w:fill="auto"/>
          </w:tcPr>
          <w:p w14:paraId="39B5195C" w14:textId="77777777" w:rsidR="00B51242" w:rsidRDefault="008E4E86">
            <w:pPr>
              <w:spacing w:line="360" w:lineRule="auto"/>
              <w:jc w:val="both"/>
              <w:rPr>
                <w:sz w:val="28"/>
                <w:szCs w:val="28"/>
              </w:rPr>
            </w:pPr>
            <w:r>
              <w:rPr>
                <w:color w:val="000000"/>
                <w:sz w:val="28"/>
                <w:szCs w:val="28"/>
              </w:rPr>
              <w:t>Базові переконання (ядро уявлень про себе, світ і інших)</w:t>
            </w:r>
          </w:p>
        </w:tc>
        <w:tc>
          <w:tcPr>
            <w:tcW w:w="2146" w:type="dxa"/>
            <w:shd w:val="clear" w:color="auto" w:fill="auto"/>
          </w:tcPr>
          <w:p w14:paraId="278D6295" w14:textId="77777777" w:rsidR="00B51242" w:rsidRDefault="008E4E86">
            <w:pPr>
              <w:spacing w:line="360" w:lineRule="auto"/>
              <w:jc w:val="both"/>
              <w:rPr>
                <w:sz w:val="28"/>
                <w:szCs w:val="28"/>
              </w:rPr>
            </w:pPr>
            <w:r>
              <w:rPr>
                <w:color w:val="000000"/>
                <w:sz w:val="28"/>
                <w:szCs w:val="28"/>
              </w:rPr>
              <w:t>Глибинні, відносно стабільні схеми, що визначають світогляд</w:t>
            </w:r>
          </w:p>
        </w:tc>
        <w:tc>
          <w:tcPr>
            <w:tcW w:w="2157" w:type="dxa"/>
            <w:shd w:val="clear" w:color="auto" w:fill="auto"/>
          </w:tcPr>
          <w:p w14:paraId="107E61A3" w14:textId="77777777" w:rsidR="00B51242" w:rsidRDefault="008E4E86">
            <w:pPr>
              <w:spacing w:line="360" w:lineRule="auto"/>
              <w:jc w:val="both"/>
              <w:rPr>
                <w:sz w:val="28"/>
                <w:szCs w:val="28"/>
              </w:rPr>
            </w:pPr>
            <w:r>
              <w:rPr>
                <w:color w:val="000000"/>
                <w:sz w:val="28"/>
                <w:szCs w:val="28"/>
              </w:rPr>
              <w:t>«Я нікчемний», «Світ небезпечний», «Людям не можна довіряти»</w:t>
            </w:r>
          </w:p>
        </w:tc>
        <w:tc>
          <w:tcPr>
            <w:tcW w:w="2222" w:type="dxa"/>
            <w:shd w:val="clear" w:color="auto" w:fill="auto"/>
          </w:tcPr>
          <w:p w14:paraId="21B1544B" w14:textId="77777777" w:rsidR="00B51242" w:rsidRDefault="008E4E86">
            <w:pPr>
              <w:spacing w:line="360" w:lineRule="auto"/>
              <w:jc w:val="both"/>
              <w:rPr>
                <w:sz w:val="28"/>
                <w:szCs w:val="28"/>
              </w:rPr>
            </w:pPr>
            <w:r>
              <w:rPr>
                <w:color w:val="000000"/>
                <w:sz w:val="28"/>
                <w:szCs w:val="28"/>
              </w:rPr>
              <w:t>Позитивні ↔ негативні, раціональні ↔ ірраціональні</w:t>
            </w:r>
          </w:p>
        </w:tc>
      </w:tr>
    </w:tbl>
    <w:p w14:paraId="61AC30FB" w14:textId="77777777" w:rsidR="00B51242" w:rsidRDefault="00B51242">
      <w:pPr>
        <w:tabs>
          <w:tab w:val="center" w:leader="dot" w:pos="9344"/>
        </w:tabs>
        <w:snapToGrid w:val="0"/>
        <w:spacing w:after="100" w:line="360" w:lineRule="auto"/>
        <w:jc w:val="both"/>
        <w:rPr>
          <w:rStyle w:val="InternetLink"/>
          <w:rFonts w:eastAsia="Times New Roman" w:cs="Times New Roman"/>
          <w:bCs/>
          <w:color w:val="000000"/>
          <w:sz w:val="28"/>
          <w:szCs w:val="28"/>
          <w:u w:val="none"/>
        </w:rPr>
      </w:pPr>
    </w:p>
    <w:p w14:paraId="132329F1" w14:textId="77777777" w:rsidR="00B51242" w:rsidRDefault="008E4E86">
      <w:pPr>
        <w:spacing w:line="360" w:lineRule="auto"/>
        <w:ind w:firstLine="737"/>
        <w:jc w:val="both"/>
      </w:pPr>
      <w:r>
        <w:rPr>
          <w:rStyle w:val="InternetLink"/>
          <w:rFonts w:eastAsia="Times New Roman" w:cs="Times New Roman"/>
          <w:bCs/>
          <w:color w:val="000000"/>
          <w:sz w:val="28"/>
          <w:szCs w:val="28"/>
          <w:u w:val="none"/>
        </w:rPr>
        <w:t xml:space="preserve">Робота з усталеними переконаннями та установками  через Сократівський діалог.  </w:t>
      </w:r>
    </w:p>
    <w:p w14:paraId="00B1D464" w14:textId="77777777" w:rsidR="00B51242" w:rsidRDefault="008E4E86">
      <w:pPr>
        <w:spacing w:line="360" w:lineRule="auto"/>
        <w:ind w:firstLine="737"/>
        <w:jc w:val="both"/>
      </w:pPr>
      <w:r>
        <w:rPr>
          <w:rStyle w:val="InternetLink"/>
          <w:rFonts w:eastAsia="Times New Roman" w:cs="Times New Roman"/>
          <w:color w:val="000000"/>
          <w:sz w:val="28"/>
          <w:szCs w:val="28"/>
          <w:u w:val="none"/>
        </w:rPr>
        <w:t xml:space="preserve">Психотерапевт допомагає пацієнту переосмислити базові переконання та установки, які могли зазнати змін через травму, такі як відчуття провини, сорому або безпорадності, а основне ті, перш за все, які будуть заважати процесу психологічної підтримки.  </w:t>
      </w:r>
    </w:p>
    <w:p w14:paraId="675672E7" w14:textId="77777777" w:rsidR="00B51242" w:rsidRDefault="008E4E86">
      <w:pPr>
        <w:spacing w:line="360" w:lineRule="auto"/>
        <w:ind w:firstLine="737"/>
        <w:jc w:val="both"/>
      </w:pPr>
      <w:r>
        <w:rPr>
          <w:rStyle w:val="InternetLink"/>
          <w:rFonts w:eastAsia="Times New Roman" w:cs="Times New Roman"/>
          <w:color w:val="000000"/>
          <w:sz w:val="28"/>
          <w:szCs w:val="28"/>
          <w:u w:val="none"/>
        </w:rPr>
        <w:t xml:space="preserve">Головним завданням психолога є трансформація жорстких, ригідних переконань клієнта у більш гнучкі та усвідомлені погляди. Такий процес передбачає перехід від абсолютних і категоричних установок до позицій, які розглядаються як одна з можливих точок зору. Це створює умови для когнітивної гнучкості, зниження деструктивного впливу ірраціональних переконань та формування більш адаптивних способів мислення й поведінки.                                                                                                             </w:t>
      </w:r>
    </w:p>
    <w:p w14:paraId="10099DFE" w14:textId="77777777" w:rsidR="00B51242" w:rsidRDefault="008E4E86">
      <w:pPr>
        <w:spacing w:line="360" w:lineRule="auto"/>
        <w:ind w:firstLine="737"/>
        <w:jc w:val="both"/>
      </w:pPr>
      <w:r>
        <w:rPr>
          <w:rStyle w:val="InternetLink"/>
          <w:rFonts w:eastAsia="Times New Roman" w:cs="Times New Roman"/>
          <w:b/>
          <w:bCs/>
          <w:color w:val="000000"/>
          <w:sz w:val="28"/>
          <w:szCs w:val="28"/>
          <w:u w:val="none"/>
        </w:rPr>
        <w:t>Техніна АБС</w:t>
      </w:r>
    </w:p>
    <w:p w14:paraId="41CB335B" w14:textId="77777777" w:rsidR="00B51242" w:rsidRDefault="008E4E86">
      <w:pPr>
        <w:spacing w:line="360" w:lineRule="auto"/>
        <w:ind w:firstLine="737"/>
        <w:jc w:val="both"/>
      </w:pPr>
      <w:r>
        <w:rPr>
          <w:rStyle w:val="InternetLink"/>
          <w:rFonts w:eastAsia="Times New Roman" w:cs="Times New Roman"/>
          <w:color w:val="000000"/>
          <w:sz w:val="28"/>
          <w:szCs w:val="28"/>
          <w:u w:val="none"/>
        </w:rPr>
        <w:t xml:space="preserve">Техніка АВС (ABC-аналіз) є базовим інструментом когнітивно-поведінкової терапії,  спрямований на виявлення взаємозв’язку між ситуацією, когнітивними процесами та емоційно-поведінковими наслідками. Вона ґрунтується на положенні, що емоційна реакція людини визначається не стільки самою подією, скільки її </w:t>
      </w:r>
      <w:r>
        <w:rPr>
          <w:rStyle w:val="InternetLink"/>
          <w:rFonts w:eastAsia="Times New Roman" w:cs="Times New Roman"/>
          <w:color w:val="000000"/>
          <w:sz w:val="28"/>
          <w:szCs w:val="28"/>
          <w:u w:val="none"/>
          <w:lang w:val="ru-RU"/>
        </w:rPr>
        <w:t>інтерпретацією.</w:t>
      </w:r>
    </w:p>
    <w:p w14:paraId="0F641FFD" w14:textId="77777777" w:rsidR="00B51242" w:rsidRDefault="008E4E86">
      <w:pPr>
        <w:spacing w:line="360" w:lineRule="auto"/>
        <w:ind w:firstLine="737"/>
        <w:jc w:val="both"/>
      </w:pPr>
      <w:r>
        <w:rPr>
          <w:color w:val="000000"/>
          <w:sz w:val="28"/>
          <w:szCs w:val="28"/>
          <w:lang w:val="ru-RU"/>
        </w:rPr>
        <w:t>Модель</w:t>
      </w:r>
      <w:r>
        <w:rPr>
          <w:color w:val="000000"/>
          <w:sz w:val="28"/>
          <w:szCs w:val="28"/>
        </w:rPr>
        <w:t xml:space="preserve"> передбачає три взаємопов’язані компоненти:</w:t>
      </w:r>
    </w:p>
    <w:p w14:paraId="6F99192A" w14:textId="77777777" w:rsidR="00B51242" w:rsidRDefault="008E4E86">
      <w:pPr>
        <w:tabs>
          <w:tab w:val="left" w:pos="707"/>
        </w:tabs>
        <w:spacing w:line="360" w:lineRule="auto"/>
        <w:ind w:left="707" w:hanging="283"/>
        <w:jc w:val="both"/>
      </w:pPr>
      <w:r>
        <w:rPr>
          <w:rStyle w:val="StrongEmphasis"/>
          <w:b w:val="0"/>
          <w:bCs w:val="0"/>
          <w:color w:val="000000"/>
          <w:sz w:val="28"/>
          <w:szCs w:val="28"/>
        </w:rPr>
        <w:t>A (Activation Event/ситуація, подія)</w:t>
      </w:r>
      <w:r>
        <w:rPr>
          <w:color w:val="000000"/>
          <w:sz w:val="28"/>
          <w:szCs w:val="28"/>
        </w:rPr>
        <w:t xml:space="preserve"> — зовнішній або внутрішній тригер, що активує психоемоційну реакцію;</w:t>
      </w:r>
    </w:p>
    <w:p w14:paraId="56D071CA" w14:textId="77777777" w:rsidR="00B51242" w:rsidRDefault="008E4E86">
      <w:pPr>
        <w:tabs>
          <w:tab w:val="left" w:pos="707"/>
        </w:tabs>
        <w:spacing w:line="360" w:lineRule="auto"/>
        <w:ind w:left="707" w:hanging="283"/>
        <w:jc w:val="both"/>
      </w:pPr>
      <w:r>
        <w:rPr>
          <w:rStyle w:val="StrongEmphasis"/>
          <w:b w:val="0"/>
          <w:bCs w:val="0"/>
          <w:color w:val="000000"/>
          <w:sz w:val="28"/>
          <w:szCs w:val="28"/>
        </w:rPr>
        <w:t>B (Beliefs/переконання, думки)</w:t>
      </w:r>
      <w:r>
        <w:rPr>
          <w:color w:val="000000"/>
          <w:sz w:val="28"/>
          <w:szCs w:val="28"/>
        </w:rPr>
        <w:t xml:space="preserve"> — когнітивні установки та інтерпретації, які виникають у відповідь на подію;</w:t>
      </w:r>
    </w:p>
    <w:p w14:paraId="757E765C" w14:textId="77777777" w:rsidR="00B51242" w:rsidRDefault="008E4E86">
      <w:pPr>
        <w:tabs>
          <w:tab w:val="left" w:pos="707"/>
        </w:tabs>
        <w:spacing w:line="360" w:lineRule="auto"/>
        <w:ind w:left="707" w:hanging="283"/>
        <w:jc w:val="both"/>
      </w:pPr>
      <w:r>
        <w:rPr>
          <w:rStyle w:val="StrongEmphasis"/>
          <w:b w:val="0"/>
          <w:bCs w:val="0"/>
          <w:color w:val="000000"/>
          <w:sz w:val="28"/>
          <w:szCs w:val="28"/>
        </w:rPr>
        <w:t>C (Consequences/наслідки)</w:t>
      </w:r>
      <w:r>
        <w:rPr>
          <w:color w:val="000000"/>
          <w:sz w:val="28"/>
          <w:szCs w:val="28"/>
        </w:rPr>
        <w:t xml:space="preserve"> — емоційні переживання та поведінкові реакції, що формуються під впливом інтерпретацій події.</w:t>
      </w:r>
    </w:p>
    <w:p w14:paraId="56C99114" w14:textId="77777777" w:rsidR="00B51242" w:rsidRDefault="008E4E86">
      <w:pPr>
        <w:spacing w:line="360" w:lineRule="auto"/>
        <w:jc w:val="both"/>
      </w:pPr>
      <w:r>
        <w:rPr>
          <w:color w:val="000000"/>
          <w:sz w:val="28"/>
          <w:szCs w:val="28"/>
        </w:rPr>
        <w:t xml:space="preserve">    Застосування техніки АВС передбачає послідовне описання ситуації, виявлення автоматичних думок і переконань, а також аналіз емоційних та поведінкових наслідків. На наступних етапах роботи відбувається оскарження дисфункціональних переконань та формування більш адаптивних установок, що сприяє зміні емоційних і поведінкових реакцій.</w:t>
      </w:r>
    </w:p>
    <w:p w14:paraId="1CFD380A" w14:textId="77777777" w:rsidR="00B51242" w:rsidRDefault="008E4E86">
      <w:pPr>
        <w:spacing w:line="360" w:lineRule="auto"/>
        <w:ind w:firstLine="737"/>
        <w:jc w:val="both"/>
      </w:pPr>
      <w:r>
        <w:rPr>
          <w:rStyle w:val="InternetLink"/>
          <w:rFonts w:eastAsia="Times New Roman" w:cs="Times New Roman"/>
          <w:color w:val="000000"/>
          <w:sz w:val="28"/>
          <w:szCs w:val="28"/>
          <w:u w:val="none"/>
        </w:rPr>
        <w:t xml:space="preserve">Тобто не сама подія визначає, як ми почуваємося, а те, </w:t>
      </w:r>
      <w:r>
        <w:rPr>
          <w:rStyle w:val="StrongEmphasis"/>
          <w:rFonts w:eastAsia="Times New Roman" w:cs="Times New Roman"/>
          <w:b w:val="0"/>
          <w:bCs w:val="0"/>
          <w:color w:val="000000"/>
          <w:sz w:val="28"/>
          <w:szCs w:val="28"/>
        </w:rPr>
        <w:t>як ми її пояснюємо собі</w:t>
      </w:r>
      <w:r>
        <w:rPr>
          <w:rStyle w:val="InternetLink"/>
          <w:rFonts w:eastAsia="Times New Roman" w:cs="Times New Roman"/>
          <w:color w:val="000000"/>
          <w:sz w:val="28"/>
          <w:szCs w:val="28"/>
          <w:u w:val="none"/>
        </w:rPr>
        <w:t>.</w:t>
      </w:r>
    </w:p>
    <w:p w14:paraId="594120B4" w14:textId="77777777" w:rsidR="00B51242" w:rsidRDefault="008E4E86">
      <w:pPr>
        <w:spacing w:line="360" w:lineRule="auto"/>
        <w:ind w:firstLine="737"/>
        <w:jc w:val="both"/>
      </w:pPr>
      <w:r>
        <w:rPr>
          <w:rStyle w:val="StrongEmphasis"/>
          <w:color w:val="000000"/>
          <w:sz w:val="28"/>
          <w:szCs w:val="28"/>
        </w:rPr>
        <w:t>Що ми робити з цим на практиці:</w:t>
      </w:r>
    </w:p>
    <w:p w14:paraId="63AE8F84" w14:textId="77777777" w:rsidR="00B51242" w:rsidRDefault="008E4E86">
      <w:pPr>
        <w:spacing w:line="360" w:lineRule="auto"/>
        <w:ind w:firstLine="737"/>
        <w:jc w:val="both"/>
      </w:pPr>
      <w:r>
        <w:rPr>
          <w:color w:val="000000"/>
          <w:sz w:val="28"/>
          <w:szCs w:val="28"/>
        </w:rPr>
        <w:t xml:space="preserve">Спершу отримувач послуг описуєте конкретну ситуацію, яка викликала та неприємні емоції.                                                                                                  </w:t>
      </w:r>
    </w:p>
    <w:p w14:paraId="3A0526E5" w14:textId="77777777" w:rsidR="00B51242" w:rsidRDefault="008E4E86">
      <w:pPr>
        <w:spacing w:line="360" w:lineRule="auto"/>
        <w:ind w:firstLine="737"/>
        <w:jc w:val="both"/>
      </w:pPr>
      <w:r>
        <w:rPr>
          <w:color w:val="000000"/>
          <w:sz w:val="28"/>
          <w:szCs w:val="28"/>
        </w:rPr>
        <w:t>Далі проходить робота з думками, які виникли в той момент і які переконання за ними стоять.</w:t>
      </w:r>
    </w:p>
    <w:p w14:paraId="70B95D5D" w14:textId="77777777" w:rsidR="00B51242" w:rsidRDefault="008E4E86">
      <w:pPr>
        <w:spacing w:line="360" w:lineRule="auto"/>
        <w:ind w:firstLine="737"/>
        <w:jc w:val="both"/>
      </w:pPr>
      <w:r>
        <w:rPr>
          <w:color w:val="000000"/>
          <w:sz w:val="28"/>
          <w:szCs w:val="28"/>
        </w:rPr>
        <w:t>Потім дивимось, до яких емоцій та дій це привело.</w:t>
      </w:r>
    </w:p>
    <w:p w14:paraId="3D89211F" w14:textId="77777777" w:rsidR="00B51242" w:rsidRDefault="008E4E86">
      <w:pPr>
        <w:spacing w:line="360" w:lineRule="auto"/>
        <w:ind w:firstLine="737"/>
        <w:jc w:val="both"/>
      </w:pPr>
      <w:r>
        <w:rPr>
          <w:color w:val="000000"/>
          <w:sz w:val="28"/>
          <w:szCs w:val="28"/>
        </w:rPr>
        <w:t>І вже на цьому етапі працюємо над тим, щоб знайти більш реалістичні та здорові переконання. Коли змінюються думки, змінюються і ваші емоційні та поведінкові реакції.</w:t>
      </w:r>
    </w:p>
    <w:p w14:paraId="5C008D3B" w14:textId="77777777" w:rsidR="00B51242" w:rsidRDefault="008E4E86">
      <w:pPr>
        <w:spacing w:line="360" w:lineRule="auto"/>
        <w:jc w:val="both"/>
      </w:pPr>
      <w:r>
        <w:rPr>
          <w:rStyle w:val="InternetLink"/>
          <w:rFonts w:eastAsia="Times New Roman" w:cs="Times New Roman"/>
          <w:color w:val="000000"/>
          <w:sz w:val="28"/>
          <w:szCs w:val="28"/>
          <w:u w:val="none"/>
          <w:lang w:eastAsia="ru-RU"/>
        </w:rPr>
        <w:t xml:space="preserve">                                                                                                                            </w:t>
      </w:r>
    </w:p>
    <w:p w14:paraId="17743A40"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Домашнє завдання.</w:t>
      </w:r>
    </w:p>
    <w:p w14:paraId="5CF9F362"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 xml:space="preserve"> </w:t>
      </w:r>
      <w:r>
        <w:rPr>
          <w:rStyle w:val="InternetLink"/>
          <w:rFonts w:eastAsia="Times New Roman" w:cs="Times New Roman"/>
          <w:color w:val="000000"/>
          <w:sz w:val="28"/>
          <w:szCs w:val="28"/>
          <w:u w:val="none"/>
          <w:lang w:eastAsia="ru-RU"/>
        </w:rPr>
        <w:t xml:space="preserve">  </w:t>
      </w:r>
    </w:p>
    <w:p w14:paraId="5EDB5141"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1. Щоденник думок.</w:t>
      </w:r>
      <w:r>
        <w:rPr>
          <w:rStyle w:val="InternetLink"/>
          <w:rFonts w:eastAsia="Times New Roman" w:cs="Times New Roman"/>
          <w:color w:val="000000"/>
          <w:sz w:val="28"/>
          <w:szCs w:val="28"/>
          <w:highlight w:val="yellow"/>
          <w:u w:val="none"/>
          <w:lang w:eastAsia="ru-RU"/>
        </w:rPr>
        <w:t xml:space="preserve">                                                                                               </w:t>
      </w:r>
    </w:p>
    <w:p w14:paraId="74266DD6"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2. Техніка А</w:t>
      </w:r>
      <w:r>
        <w:rPr>
          <w:rStyle w:val="InternetLink"/>
          <w:rFonts w:eastAsia="Times New Roman" w:cs="Times New Roman"/>
          <w:b/>
          <w:bCs/>
          <w:color w:val="000000"/>
          <w:sz w:val="28"/>
          <w:szCs w:val="28"/>
          <w:u w:val="none"/>
          <w:lang w:val="en-US" w:eastAsia="ru-RU"/>
        </w:rPr>
        <w:t>BCDE</w:t>
      </w:r>
    </w:p>
    <w:p w14:paraId="334BC294" w14:textId="77777777" w:rsidR="00B51242" w:rsidRDefault="008E4E86">
      <w:pPr>
        <w:spacing w:line="360" w:lineRule="auto"/>
        <w:jc w:val="both"/>
      </w:pPr>
      <w:r>
        <w:rPr>
          <w:color w:val="000000"/>
          <w:sz w:val="28"/>
          <w:szCs w:val="28"/>
        </w:rPr>
        <w:t xml:space="preserve">Є ще розширена версія АВС моделі — </w:t>
      </w:r>
      <w:r>
        <w:rPr>
          <w:rStyle w:val="StrongEmphasis"/>
          <w:color w:val="000000"/>
          <w:sz w:val="28"/>
          <w:szCs w:val="28"/>
        </w:rPr>
        <w:t>ABCDE</w:t>
      </w:r>
      <w:r>
        <w:rPr>
          <w:color w:val="000000"/>
          <w:sz w:val="28"/>
          <w:szCs w:val="28"/>
        </w:rPr>
        <w:t xml:space="preserve">. </w:t>
      </w:r>
    </w:p>
    <w:p w14:paraId="7018E434" w14:textId="77777777" w:rsidR="00B51242" w:rsidRDefault="008E4E86">
      <w:pPr>
        <w:spacing w:line="360" w:lineRule="auto"/>
        <w:jc w:val="both"/>
        <w:rPr>
          <w:sz w:val="28"/>
          <w:szCs w:val="28"/>
        </w:rPr>
      </w:pPr>
      <w:r>
        <w:rPr>
          <w:color w:val="000000"/>
          <w:sz w:val="28"/>
          <w:szCs w:val="28"/>
        </w:rPr>
        <w:t>Там додається два кроки:</w:t>
      </w:r>
    </w:p>
    <w:p w14:paraId="1987605E" w14:textId="77777777" w:rsidR="00B51242" w:rsidRDefault="008E4E86">
      <w:pPr>
        <w:tabs>
          <w:tab w:val="left" w:pos="707"/>
        </w:tabs>
        <w:spacing w:line="360" w:lineRule="auto"/>
        <w:ind w:left="707" w:hanging="283"/>
        <w:jc w:val="both"/>
      </w:pPr>
      <w:r>
        <w:rPr>
          <w:rStyle w:val="StrongEmphasis"/>
          <w:color w:val="000000"/>
          <w:sz w:val="28"/>
          <w:szCs w:val="28"/>
        </w:rPr>
        <w:t>D (диспут)</w:t>
      </w:r>
      <w:r>
        <w:rPr>
          <w:color w:val="000000"/>
          <w:sz w:val="28"/>
          <w:szCs w:val="28"/>
        </w:rPr>
        <w:t xml:space="preserve"> — ми ставимо під сумнів ірраціональні думки, перевіряємо їх на реалістичність.</w:t>
      </w:r>
    </w:p>
    <w:p w14:paraId="3C8BEF91" w14:textId="77777777" w:rsidR="00B51242" w:rsidRDefault="008E4E86">
      <w:pPr>
        <w:tabs>
          <w:tab w:val="left" w:pos="707"/>
        </w:tabs>
        <w:spacing w:line="360" w:lineRule="auto"/>
        <w:ind w:left="707" w:hanging="283"/>
        <w:jc w:val="both"/>
      </w:pPr>
      <w:r>
        <w:rPr>
          <w:rStyle w:val="StrongEmphasis"/>
          <w:color w:val="000000"/>
          <w:sz w:val="28"/>
          <w:szCs w:val="28"/>
        </w:rPr>
        <w:t>E (ефективні наслідки)</w:t>
      </w:r>
      <w:r>
        <w:rPr>
          <w:color w:val="000000"/>
          <w:sz w:val="28"/>
          <w:szCs w:val="28"/>
        </w:rPr>
        <w:t xml:space="preserve"> — формуємо нові реакції, які допомагають вам почуватись краще та діяти більш конструктивно.</w:t>
      </w:r>
    </w:p>
    <w:p w14:paraId="145B9F5C" w14:textId="77777777" w:rsidR="00B51242" w:rsidRDefault="008E4E86">
      <w:pPr>
        <w:tabs>
          <w:tab w:val="left" w:pos="707"/>
        </w:tabs>
        <w:spacing w:line="360" w:lineRule="auto"/>
        <w:jc w:val="both"/>
      </w:pPr>
      <w:r>
        <w:rPr>
          <w:rStyle w:val="InternetLink"/>
          <w:rFonts w:eastAsia="Times New Roman" w:cs="Times New Roman"/>
          <w:color w:val="000000"/>
          <w:sz w:val="28"/>
          <w:szCs w:val="28"/>
          <w:u w:val="none"/>
          <w:lang w:eastAsia="ru-RU"/>
        </w:rPr>
        <w:t xml:space="preserve">      Такий відносно простий, але водночас базовий інструмент когнітивно-поведінкової терапії поступово сприяє трансформації деструктивних когнітивних патернів. Техніка </w:t>
      </w:r>
      <w:r>
        <w:rPr>
          <w:rStyle w:val="StrongEmphasis"/>
          <w:rFonts w:eastAsia="Times New Roman" w:cs="Times New Roman"/>
          <w:b w:val="0"/>
          <w:bCs w:val="0"/>
          <w:color w:val="000000"/>
          <w:sz w:val="28"/>
          <w:szCs w:val="28"/>
          <w:lang w:eastAsia="ru-RU"/>
        </w:rPr>
        <w:t>ABCDE</w:t>
      </w:r>
      <w:r>
        <w:rPr>
          <w:rStyle w:val="InternetLink"/>
          <w:rFonts w:eastAsia="Times New Roman" w:cs="Times New Roman"/>
          <w:color w:val="000000"/>
          <w:sz w:val="28"/>
          <w:szCs w:val="28"/>
          <w:u w:val="none"/>
          <w:lang w:eastAsia="ru-RU"/>
        </w:rPr>
        <w:t xml:space="preserve"> розглядається як підготовчий етап до поведінкових змін, оскільки вона дозволяє клієнтові у когнітивній площині відпрацьовувати альтернативні варіанти інтерпретацій і дій, що створює умови для формування більш адаптивних стратегій реагування у реальних ситуаціях. </w:t>
      </w:r>
    </w:p>
    <w:p w14:paraId="31716900" w14:textId="77777777" w:rsidR="00B51242" w:rsidRDefault="008E4E86">
      <w:pPr>
        <w:spacing w:line="360" w:lineRule="auto"/>
        <w:ind w:firstLine="737"/>
        <w:jc w:val="both"/>
      </w:pPr>
      <w:r>
        <w:rPr>
          <w:rStyle w:val="InternetLink"/>
          <w:rFonts w:eastAsia="Times New Roman" w:cs="Times New Roman"/>
          <w:b/>
          <w:bCs/>
          <w:color w:val="000000"/>
          <w:sz w:val="28"/>
          <w:szCs w:val="28"/>
          <w:u w:val="none"/>
        </w:rPr>
        <w:t>3</w:t>
      </w:r>
      <w:r>
        <w:rPr>
          <w:rStyle w:val="InternetLink"/>
          <w:rFonts w:eastAsia="Times New Roman" w:cs="Times New Roman"/>
          <w:b/>
          <w:bCs/>
          <w:color w:val="000000"/>
          <w:sz w:val="28"/>
          <w:szCs w:val="28"/>
          <w:u w:val="none"/>
          <w:lang w:eastAsia="ru-RU"/>
        </w:rPr>
        <w:t xml:space="preserve">. Заспокоєння за допомогою елементів техніки </w:t>
      </w:r>
      <w:r>
        <w:rPr>
          <w:rStyle w:val="InternetLink"/>
          <w:rFonts w:eastAsia="Times New Roman" w:cs="Times New Roman"/>
          <w:b/>
          <w:bCs/>
          <w:color w:val="000000"/>
          <w:sz w:val="28"/>
          <w:szCs w:val="28"/>
          <w:u w:val="none"/>
          <w:lang w:val="en-US" w:eastAsia="ru-RU"/>
        </w:rPr>
        <w:t>EMDR</w:t>
      </w:r>
      <w:r w:rsidRPr="00D3629B">
        <w:rPr>
          <w:rStyle w:val="InternetLink"/>
          <w:rFonts w:eastAsia="Times New Roman" w:cs="Times New Roman"/>
          <w:b/>
          <w:bCs/>
          <w:color w:val="000000"/>
          <w:sz w:val="28"/>
          <w:szCs w:val="28"/>
          <w:u w:val="none"/>
          <w:lang w:val="ru-RU" w:eastAsia="ru-RU"/>
        </w:rPr>
        <w:t>.</w:t>
      </w:r>
    </w:p>
    <w:p w14:paraId="7F299064" w14:textId="77777777" w:rsidR="00B51242" w:rsidRDefault="008E4E86">
      <w:pPr>
        <w:spacing w:line="360" w:lineRule="auto"/>
        <w:ind w:firstLine="737"/>
        <w:jc w:val="both"/>
      </w:pPr>
      <w:r>
        <w:rPr>
          <w:rStyle w:val="InternetLink"/>
          <w:rFonts w:eastAsia="Times New Roman" w:cs="Times New Roman"/>
          <w:color w:val="000000"/>
          <w:sz w:val="28"/>
          <w:szCs w:val="28"/>
          <w:u w:val="none"/>
        </w:rPr>
        <w:t xml:space="preserve">Застосувуватись білатеральна стимуляція буде під час поведінкових експериментів, для відпрацювання навичок виконання вправи. Але основна ціль  навчитись використовувати вправу для зняття механізму заціпеніння перед роботою з травмою. Можливо використовувати для оперативного відновлення саморегуляції після або за необхідністю під час роботи з травмою, перед використанням інших стабілізаційних інструментів, зокрема техніки створення «безпечного місця». </w:t>
      </w:r>
    </w:p>
    <w:p w14:paraId="3DA4B2BC" w14:textId="77777777" w:rsidR="00B51242" w:rsidRDefault="008E4E86">
      <w:pPr>
        <w:spacing w:line="360" w:lineRule="auto"/>
        <w:ind w:firstLine="737"/>
        <w:jc w:val="center"/>
      </w:pPr>
      <w:r>
        <w:rPr>
          <w:rStyle w:val="InternetLink"/>
          <w:rFonts w:eastAsia="Times New Roman" w:cs="Times New Roman"/>
          <w:color w:val="000000"/>
          <w:sz w:val="28"/>
          <w:szCs w:val="28"/>
          <w:u w:val="none"/>
        </w:rPr>
        <w:t xml:space="preserve">Білатеральна стимуляція застосовуватиметься в межах поведінкових експериментів з метою відпрацювання навичок виконання відповідної вправи та формування автоматизованої реакції саморегуляції. Основним завданням є оволодіння технікою як інструментом для зниження або деактивації механізму емоційного заціпеніння, що часто передує роботі з травматичним досвідом. Доцільним буде використання білатеральної стимуляції для оперативного відновлення емоційної та фізіологічної саморегуляції після завершення або за необхідності під час опрацювання травматичних спогадів. Її також можна інтегрувати як попередній етап перед застосуванням інших стабілізаційних методів, зокрема техніки створення «безпечного місця», з метою підвищення ефективності загального процесу стабілізації. </w:t>
      </w:r>
    </w:p>
    <w:p w14:paraId="004CA078" w14:textId="77777777" w:rsidR="00B51242" w:rsidRDefault="008E4E86">
      <w:pPr>
        <w:pStyle w:val="2"/>
        <w:spacing w:before="0" w:after="0" w:line="360" w:lineRule="auto"/>
        <w:ind w:firstLine="737"/>
        <w:jc w:val="both"/>
        <w:rPr>
          <w:b w:val="0"/>
          <w:bCs w:val="0"/>
          <w:sz w:val="28"/>
          <w:szCs w:val="28"/>
        </w:rPr>
      </w:pPr>
      <w:r>
        <w:rPr>
          <w:b w:val="0"/>
          <w:bCs w:val="0"/>
          <w:color w:val="000000"/>
          <w:sz w:val="28"/>
          <w:szCs w:val="28"/>
        </w:rPr>
        <w:t>Освоєння вправи двостороння стимуляція</w:t>
      </w:r>
    </w:p>
    <w:p w14:paraId="1045B252" w14:textId="77777777" w:rsidR="00B51242" w:rsidRDefault="008E4E86">
      <w:pPr>
        <w:pStyle w:val="2"/>
        <w:spacing w:before="0" w:after="0" w:line="360" w:lineRule="auto"/>
        <w:ind w:firstLine="737"/>
        <w:jc w:val="both"/>
        <w:rPr>
          <w:b w:val="0"/>
          <w:bCs w:val="0"/>
          <w:sz w:val="28"/>
          <w:szCs w:val="28"/>
        </w:rPr>
      </w:pPr>
      <w:r>
        <w:rPr>
          <w:b w:val="0"/>
          <w:bCs w:val="0"/>
          <w:color w:val="000000"/>
          <w:sz w:val="28"/>
          <w:szCs w:val="28"/>
        </w:rPr>
        <w:t>Для зменшення інтенсивності неприємних спогадів виконувати вправу можна наступним чином:</w:t>
      </w:r>
    </w:p>
    <w:p w14:paraId="1E9BA648" w14:textId="77777777" w:rsidR="00B51242" w:rsidRDefault="008E4E86">
      <w:pPr>
        <w:pStyle w:val="2"/>
        <w:spacing w:before="0" w:after="0" w:line="360" w:lineRule="auto"/>
        <w:ind w:firstLine="737"/>
        <w:jc w:val="both"/>
        <w:rPr>
          <w:b w:val="0"/>
          <w:bCs w:val="0"/>
          <w:sz w:val="28"/>
          <w:szCs w:val="28"/>
        </w:rPr>
      </w:pPr>
      <w:r>
        <w:rPr>
          <w:b w:val="0"/>
          <w:bCs w:val="0"/>
          <w:color w:val="000000"/>
          <w:sz w:val="28"/>
          <w:szCs w:val="28"/>
        </w:rPr>
        <w:t xml:space="preserve">Виконати стабілізаційну вправу дихання.                                                                                                                  </w:t>
      </w:r>
    </w:p>
    <w:p w14:paraId="5786894F" w14:textId="77777777" w:rsidR="00B51242" w:rsidRDefault="008E4E86">
      <w:pPr>
        <w:pStyle w:val="2"/>
        <w:spacing w:before="0" w:after="0" w:line="360" w:lineRule="auto"/>
        <w:ind w:firstLine="737"/>
        <w:jc w:val="both"/>
        <w:rPr>
          <w:b w:val="0"/>
          <w:bCs w:val="0"/>
          <w:sz w:val="28"/>
          <w:szCs w:val="28"/>
        </w:rPr>
      </w:pPr>
      <w:r>
        <w:rPr>
          <w:b w:val="0"/>
          <w:bCs w:val="0"/>
          <w:color w:val="000000"/>
          <w:sz w:val="28"/>
          <w:szCs w:val="28"/>
        </w:rPr>
        <w:t>Обрати неприємний спогад, але не найтяжчий.</w:t>
      </w:r>
    </w:p>
    <w:p w14:paraId="72451488" w14:textId="77777777" w:rsidR="00B51242" w:rsidRDefault="008E4E86">
      <w:pPr>
        <w:pStyle w:val="2"/>
        <w:spacing w:before="0" w:after="0" w:line="360" w:lineRule="auto"/>
        <w:ind w:firstLine="737"/>
        <w:jc w:val="both"/>
        <w:rPr>
          <w:b w:val="0"/>
          <w:bCs w:val="0"/>
          <w:sz w:val="28"/>
          <w:szCs w:val="28"/>
        </w:rPr>
      </w:pPr>
      <w:r>
        <w:rPr>
          <w:b w:val="0"/>
          <w:bCs w:val="0"/>
          <w:color w:val="000000"/>
          <w:sz w:val="28"/>
          <w:szCs w:val="28"/>
        </w:rPr>
        <w:t xml:space="preserve">Сконцентруватися на тілесних відчуттях оцінити, в якій частині тіла найбільша напруга. Оцінити рівень напруги за шкалою 0–10. </w:t>
      </w:r>
    </w:p>
    <w:p w14:paraId="765BB855" w14:textId="77777777" w:rsidR="00B51242" w:rsidRDefault="008E4E86">
      <w:pPr>
        <w:pStyle w:val="2"/>
        <w:spacing w:before="0" w:after="0" w:line="360" w:lineRule="auto"/>
        <w:ind w:firstLine="737"/>
        <w:jc w:val="both"/>
        <w:rPr>
          <w:b w:val="0"/>
          <w:bCs w:val="0"/>
          <w:sz w:val="28"/>
          <w:szCs w:val="28"/>
        </w:rPr>
      </w:pPr>
      <w:r>
        <w:rPr>
          <w:b w:val="0"/>
          <w:bCs w:val="0"/>
          <w:color w:val="000000"/>
          <w:sz w:val="28"/>
          <w:szCs w:val="28"/>
        </w:rPr>
        <w:t>Водити очима вправо–вліво 20–30 разів та простукувати руками по колінах.</w:t>
      </w:r>
    </w:p>
    <w:p w14:paraId="595F7E78" w14:textId="77777777" w:rsidR="00B51242" w:rsidRDefault="008E4E86">
      <w:pPr>
        <w:pStyle w:val="2"/>
        <w:spacing w:before="0" w:after="0" w:line="360" w:lineRule="auto"/>
        <w:ind w:firstLine="737"/>
        <w:jc w:val="both"/>
        <w:rPr>
          <w:b w:val="0"/>
          <w:bCs w:val="0"/>
        </w:rPr>
      </w:pPr>
      <w:r>
        <w:rPr>
          <w:b w:val="0"/>
          <w:bCs w:val="0"/>
          <w:color w:val="000000"/>
          <w:sz w:val="28"/>
          <w:szCs w:val="28"/>
        </w:rPr>
        <w:t xml:space="preserve"> Оцінити рівень напруги за шкалою 0–10.    </w:t>
      </w:r>
    </w:p>
    <w:p w14:paraId="420479C1" w14:textId="77777777" w:rsidR="00B51242" w:rsidRDefault="008E4E86">
      <w:pPr>
        <w:pStyle w:val="2"/>
        <w:spacing w:before="0" w:after="0" w:line="360" w:lineRule="auto"/>
        <w:ind w:firstLine="737"/>
        <w:jc w:val="both"/>
      </w:pPr>
      <w:r>
        <w:rPr>
          <w:b w:val="0"/>
          <w:bCs w:val="0"/>
          <w:color w:val="000000"/>
          <w:sz w:val="28"/>
          <w:szCs w:val="28"/>
        </w:rPr>
        <w:t xml:space="preserve"> </w:t>
      </w:r>
      <w:r>
        <w:rPr>
          <w:rStyle w:val="InternetLink"/>
          <w:rFonts w:eastAsia="Times New Roman" w:cs="Times New Roman"/>
          <w:b w:val="0"/>
          <w:bCs w:val="0"/>
          <w:color w:val="000000"/>
          <w:sz w:val="28"/>
          <w:szCs w:val="28"/>
          <w:u w:val="none"/>
        </w:rPr>
        <w:t>Повторювати цикл, та відстежувати як змінюються відчуття в тілі.</w:t>
      </w:r>
      <w:r>
        <w:rPr>
          <w:color w:val="000000"/>
          <w:sz w:val="28"/>
          <w:szCs w:val="28"/>
        </w:rPr>
        <w:t xml:space="preserve">                                                                                         </w:t>
      </w:r>
    </w:p>
    <w:p w14:paraId="26B1A375" w14:textId="77777777" w:rsidR="00B51242" w:rsidRDefault="00B51242">
      <w:pPr>
        <w:tabs>
          <w:tab w:val="left" w:pos="1131"/>
        </w:tabs>
        <w:spacing w:line="360" w:lineRule="auto"/>
        <w:ind w:left="1131"/>
        <w:jc w:val="both"/>
        <w:rPr>
          <w:rStyle w:val="InternetLink"/>
          <w:sz w:val="28"/>
          <w:szCs w:val="28"/>
        </w:rPr>
      </w:pPr>
    </w:p>
    <w:p w14:paraId="1FE13F20" w14:textId="77777777" w:rsidR="00B51242" w:rsidRDefault="008E4E86">
      <w:pPr>
        <w:tabs>
          <w:tab w:val="left" w:pos="0"/>
        </w:tabs>
        <w:spacing w:line="360" w:lineRule="auto"/>
        <w:ind w:firstLine="850"/>
        <w:jc w:val="both"/>
      </w:pPr>
      <w:r>
        <w:rPr>
          <w:rStyle w:val="InternetLink"/>
          <w:rFonts w:eastAsia="Times New Roman" w:cs="Times New Roman"/>
          <w:color w:val="000000"/>
          <w:sz w:val="28"/>
          <w:szCs w:val="28"/>
          <w:u w:val="none"/>
        </w:rPr>
        <w:t>Після освоєння основного прийому, замість постукування по колінах робити вправу м’язова релаксація разом із рухами очима.</w:t>
      </w:r>
    </w:p>
    <w:p w14:paraId="6AC7CD46" w14:textId="77777777" w:rsidR="00B51242" w:rsidRDefault="008E4E86">
      <w:pPr>
        <w:spacing w:line="360" w:lineRule="auto"/>
        <w:ind w:firstLine="737"/>
        <w:jc w:val="both"/>
      </w:pPr>
      <w:r>
        <w:rPr>
          <w:rStyle w:val="InternetLink"/>
          <w:rFonts w:eastAsia="Times New Roman" w:cs="Times New Roman"/>
          <w:b/>
          <w:bCs/>
          <w:color w:val="000000"/>
          <w:sz w:val="28"/>
          <w:szCs w:val="28"/>
          <w:u w:val="none"/>
        </w:rPr>
        <w:t xml:space="preserve">Заняття 6-7.  Експозиційна терапія. Поведінкові експеременти.  Підготовка до роботи з травмою.                                                                                                           </w:t>
      </w:r>
      <w:r>
        <w:rPr>
          <w:rStyle w:val="InternetLink"/>
          <w:rFonts w:eastAsia="Times New Roman" w:cs="Times New Roman"/>
          <w:color w:val="000000"/>
          <w:sz w:val="28"/>
          <w:szCs w:val="28"/>
          <w:u w:val="none"/>
        </w:rPr>
        <w:t xml:space="preserve">                                                                 </w:t>
      </w:r>
    </w:p>
    <w:p w14:paraId="2E3991AF"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1. Фіксація стану на початку заняття.</w:t>
      </w:r>
    </w:p>
    <w:p w14:paraId="7B6C09F1"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 xml:space="preserve">2. Перевірка домашнього завдання.                                                                                                                                                               </w:t>
      </w:r>
    </w:p>
    <w:p w14:paraId="469A8077"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 xml:space="preserve">3.  Психоосвіта (Звички (навички), патери. Зміна поведінки. )                                                                                    </w:t>
      </w:r>
    </w:p>
    <w:p w14:paraId="004297F0"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 xml:space="preserve">4.  </w:t>
      </w:r>
      <w:r>
        <w:rPr>
          <w:rStyle w:val="InternetLink"/>
          <w:rFonts w:eastAsia="Times New Roman" w:cs="Times New Roman"/>
          <w:b/>
          <w:bCs/>
          <w:color w:val="000000"/>
          <w:sz w:val="28"/>
          <w:szCs w:val="28"/>
          <w:u w:val="none"/>
        </w:rPr>
        <w:t xml:space="preserve">Експозиційна терапія. </w:t>
      </w:r>
      <w:r>
        <w:rPr>
          <w:rStyle w:val="StrongEmphasis"/>
          <w:rFonts w:eastAsia="Times New Roman" w:cs="Times New Roman"/>
          <w:color w:val="000000"/>
          <w:sz w:val="28"/>
          <w:szCs w:val="28"/>
          <w:lang w:eastAsia="ru-RU"/>
        </w:rPr>
        <w:t xml:space="preserve"> (практика)</w:t>
      </w:r>
      <w:r>
        <w:rPr>
          <w:rStyle w:val="InternetLink"/>
          <w:rFonts w:eastAsia="Times New Roman" w:cs="Times New Roman"/>
          <w:b/>
          <w:bCs/>
          <w:color w:val="000000"/>
          <w:sz w:val="28"/>
          <w:szCs w:val="28"/>
          <w:u w:val="none"/>
          <w:lang w:eastAsia="ru-RU"/>
        </w:rPr>
        <w:t xml:space="preserve">                                                                                         </w:t>
      </w:r>
    </w:p>
    <w:p w14:paraId="78530AB5"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5. Домашнє завдання</w:t>
      </w:r>
      <w:r w:rsidRPr="00D3629B">
        <w:rPr>
          <w:rStyle w:val="InternetLink"/>
          <w:rFonts w:eastAsia="Times New Roman" w:cs="Times New Roman"/>
          <w:b/>
          <w:bCs/>
          <w:color w:val="000000"/>
          <w:sz w:val="28"/>
          <w:szCs w:val="28"/>
          <w:u w:val="none"/>
          <w:lang w:eastAsia="ru-RU"/>
        </w:rPr>
        <w:t xml:space="preserve"> (</w:t>
      </w:r>
      <w:r>
        <w:rPr>
          <w:rStyle w:val="InternetLink"/>
          <w:rFonts w:eastAsia="Times New Roman" w:cs="Times New Roman"/>
          <w:b/>
          <w:bCs/>
          <w:color w:val="000000"/>
          <w:sz w:val="28"/>
          <w:szCs w:val="28"/>
          <w:u w:val="none"/>
          <w:lang w:eastAsia="ru-RU"/>
        </w:rPr>
        <w:t>техніки експозиції, техніка</w:t>
      </w:r>
      <w:r w:rsidRPr="00D3629B">
        <w:rPr>
          <w:rStyle w:val="InternetLink"/>
          <w:rFonts w:eastAsia="Times New Roman" w:cs="Times New Roman"/>
          <w:b/>
          <w:bCs/>
          <w:color w:val="000000"/>
          <w:sz w:val="28"/>
          <w:szCs w:val="28"/>
          <w:u w:val="none"/>
          <w:lang w:eastAsia="ru-RU"/>
        </w:rPr>
        <w:t xml:space="preserve"> </w:t>
      </w:r>
      <w:r>
        <w:rPr>
          <w:rStyle w:val="InternetLink"/>
          <w:rFonts w:eastAsia="Times New Roman" w:cs="Times New Roman"/>
          <w:b/>
          <w:bCs/>
          <w:color w:val="000000"/>
          <w:sz w:val="28"/>
          <w:szCs w:val="28"/>
          <w:u w:val="none"/>
          <w:lang w:val="en-US" w:eastAsia="ru-RU"/>
        </w:rPr>
        <w:t>EMDR</w:t>
      </w:r>
      <w:r w:rsidRPr="00D3629B">
        <w:rPr>
          <w:rStyle w:val="InternetLink"/>
          <w:rFonts w:eastAsia="Times New Roman" w:cs="Times New Roman"/>
          <w:b/>
          <w:bCs/>
          <w:color w:val="000000"/>
          <w:sz w:val="28"/>
          <w:szCs w:val="28"/>
          <w:u w:val="none"/>
          <w:lang w:eastAsia="ru-RU"/>
        </w:rPr>
        <w:t xml:space="preserve">)                                                                                                    </w:t>
      </w:r>
    </w:p>
    <w:p w14:paraId="15B95973"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6. Фіксація стану по завершенню занять.</w:t>
      </w:r>
    </w:p>
    <w:p w14:paraId="66B407C6" w14:textId="77777777" w:rsidR="00B51242" w:rsidRDefault="008E4E86">
      <w:pPr>
        <w:spacing w:line="360" w:lineRule="auto"/>
        <w:jc w:val="both"/>
      </w:pPr>
      <w:r>
        <w:rPr>
          <w:rStyle w:val="InternetLink"/>
          <w:rFonts w:eastAsia="Times New Roman" w:cs="Times New Roman"/>
          <w:b/>
          <w:bCs/>
          <w:color w:val="000000"/>
          <w:sz w:val="28"/>
          <w:szCs w:val="28"/>
          <w:u w:val="none"/>
          <w:lang w:eastAsia="ru-RU"/>
        </w:rPr>
        <w:t xml:space="preserve">7. Перед роботою з травмою, на контрольному 8 занятті, повторне проходження тесту </w:t>
      </w:r>
      <w:r>
        <w:rPr>
          <w:rStyle w:val="InternetLink"/>
          <w:rFonts w:eastAsia="Times New Roman" w:cs="Times New Roman"/>
          <w:b/>
          <w:bCs/>
          <w:color w:val="000000"/>
          <w:sz w:val="28"/>
          <w:szCs w:val="28"/>
          <w:u w:val="none"/>
          <w:lang w:val="en-US" w:eastAsia="ru-RU"/>
        </w:rPr>
        <w:t>PCL</w:t>
      </w:r>
      <w:r w:rsidRPr="00D3629B">
        <w:rPr>
          <w:rStyle w:val="InternetLink"/>
          <w:rFonts w:eastAsia="Times New Roman" w:cs="Times New Roman"/>
          <w:b/>
          <w:bCs/>
          <w:color w:val="000000"/>
          <w:sz w:val="28"/>
          <w:szCs w:val="28"/>
          <w:u w:val="none"/>
          <w:lang w:val="ru-RU" w:eastAsia="ru-RU"/>
        </w:rPr>
        <w:t xml:space="preserve">-5, </w:t>
      </w:r>
      <w:r>
        <w:rPr>
          <w:rStyle w:val="InternetLink"/>
          <w:rFonts w:eastAsia="Times New Roman" w:cs="Times New Roman"/>
          <w:b/>
          <w:bCs/>
          <w:color w:val="000000"/>
          <w:sz w:val="28"/>
          <w:szCs w:val="28"/>
          <w:u w:val="none"/>
          <w:lang w:eastAsia="ru-RU"/>
        </w:rPr>
        <w:t xml:space="preserve">для контролю прогресу психологічної підтримки. </w:t>
      </w:r>
    </w:p>
    <w:p w14:paraId="211FC6EA" w14:textId="77777777" w:rsidR="00B51242" w:rsidRDefault="00B51242">
      <w:pPr>
        <w:spacing w:line="360" w:lineRule="auto"/>
        <w:jc w:val="both"/>
        <w:rPr>
          <w:rStyle w:val="InternetLink"/>
          <w:sz w:val="28"/>
          <w:szCs w:val="28"/>
        </w:rPr>
      </w:pPr>
    </w:p>
    <w:p w14:paraId="3F301458" w14:textId="77777777" w:rsidR="00B51242" w:rsidRDefault="008E4E86">
      <w:pPr>
        <w:spacing w:line="360" w:lineRule="auto"/>
        <w:ind w:firstLine="737"/>
        <w:jc w:val="both"/>
      </w:pPr>
      <w:r>
        <w:rPr>
          <w:rStyle w:val="InternetLink"/>
          <w:b/>
          <w:bCs/>
          <w:color w:val="000000"/>
          <w:sz w:val="28"/>
          <w:szCs w:val="28"/>
          <w:u w:val="none"/>
        </w:rPr>
        <w:t>Психоосвіта. (</w:t>
      </w:r>
      <w:r>
        <w:rPr>
          <w:rStyle w:val="InternetLink"/>
          <w:color w:val="000000"/>
          <w:sz w:val="28"/>
          <w:szCs w:val="28"/>
          <w:u w:val="none"/>
        </w:rPr>
        <w:t xml:space="preserve">Формування звичок та патерів поведінки з позиції КПТ та ТОТ. Зміна звичок та патерів поведінки з позиції КПТ).                                                                                            </w:t>
      </w:r>
    </w:p>
    <w:p w14:paraId="3A10B80A" w14:textId="77777777" w:rsidR="00B51242" w:rsidRDefault="008E4E86">
      <w:pPr>
        <w:spacing w:line="360" w:lineRule="auto"/>
        <w:ind w:firstLine="737"/>
        <w:jc w:val="both"/>
      </w:pPr>
      <w:r>
        <w:rPr>
          <w:rStyle w:val="InternetLink"/>
          <w:color w:val="000000"/>
          <w:sz w:val="28"/>
          <w:szCs w:val="28"/>
          <w:u w:val="none"/>
        </w:rPr>
        <w:t xml:space="preserve">Важливо продемонструвати взаємозв’язок когнітивних, емоційних та тілесних процесів, оскільки вони функціонують як єдина інтегрована система регуляції психічного стану. Під час експозиційних втручань цей зв’язок набуває особливого значення: когнітивний рівень забезпечує усвідомлення та переоцінку ситуації, емоційний — формує переживання та реакції, тоді як тілесний відображає ці процеси у фізіологічних змінах, зокрема у напруженні м’язів, диханні чи серцевому ритмі. Використання тілесно-орієнтованих практик у поєднанні з експозицією сприяє зниженню соматичного збудження та відновленню відчуття контролю над тілесними проявами тривоги. Це дозволяє отримувачу послуг більш повно зрозуміти спектр взаємодій між думками, емоціями та тілесними реакціями, а також навчитися ефективно застосовувати інтегровані стратегії саморегуляції у складних чи стресових ситуаціях. </w:t>
      </w:r>
    </w:p>
    <w:p w14:paraId="646E0EEB" w14:textId="77777777" w:rsidR="00B51242" w:rsidRDefault="008E4E86">
      <w:pPr>
        <w:spacing w:line="360" w:lineRule="auto"/>
        <w:ind w:firstLine="737"/>
        <w:jc w:val="both"/>
      </w:pPr>
      <w:r>
        <w:rPr>
          <w:rStyle w:val="InternetLink"/>
          <w:color w:val="000000"/>
          <w:sz w:val="28"/>
          <w:szCs w:val="28"/>
          <w:u w:val="none"/>
        </w:rPr>
        <w:t>Пояснити що, формування звичок та поведінкових патернів можна розглядати з позиції когнітивно-поведінкової терапії (КПТ) та тілесно-орієнтованої терапії (ТОТ). Це багаторівневий процес, що охоплює взаємодію когнітивних, емоційних, поведінкових та соматичних механізмів. У межах КПТ звички трактуються як автоматизовані способи реагування, які формуються через повторювані цикли взаємодії між думками, емоціями та поведінкою. Ключовим механізмом цього процесу є оперантне та класичне зумовлення: поведінка, яка призводить до зниження напруги або отримання винагороди, закріплюється і з часом перетворюється на стійкий патерн. Водночас автоматичні думки та когнітивні схеми виступають основою, яка спрямовує вибіркову увагу та визначає, які стимули сприймаються як значущі, а які ігноруються, що безпосередньо впливає на закріплення звичних реакцій.</w:t>
      </w:r>
    </w:p>
    <w:p w14:paraId="589C59F7" w14:textId="77777777" w:rsidR="00B51242" w:rsidRDefault="008E4E86">
      <w:pPr>
        <w:spacing w:line="360" w:lineRule="auto"/>
        <w:ind w:firstLine="737"/>
        <w:jc w:val="both"/>
      </w:pPr>
      <w:r>
        <w:rPr>
          <w:color w:val="000000"/>
          <w:sz w:val="28"/>
          <w:szCs w:val="28"/>
        </w:rPr>
        <w:t>З позиції ТОТ формування звичок тісно пов’язане з тілесним досвідом і тілесною пам’яттю. Соматичні реакції організму, що виникають у відповідь на стрес чи повторювані емоційні стани, фіксуються на рівні тілесних відчуттів і м’язових патернів. Наприклад, хронічне напруження в певних м’язових групах може стати неусвідомленим тілесним патерном, що супроводжує тривогу або страх. З часом ці тілесні прояви інтегруються з когнітивними та емоційними процесами, формуючи стійкі схеми реагування. У такий спосіб поведінкові звички постають не лише як результат когнітивної інтерпретації подій, але й як тілесно вкорінені автоматизми.</w:t>
      </w:r>
    </w:p>
    <w:p w14:paraId="446479DE" w14:textId="77777777" w:rsidR="00B51242" w:rsidRDefault="008E4E86">
      <w:pPr>
        <w:spacing w:line="360" w:lineRule="auto"/>
        <w:ind w:firstLine="737"/>
        <w:jc w:val="both"/>
      </w:pPr>
      <w:r>
        <w:rPr>
          <w:color w:val="000000"/>
          <w:sz w:val="28"/>
          <w:szCs w:val="28"/>
        </w:rPr>
        <w:t>Обидва підходи сходяться на тому, що зміна звичок можлива через поступове формування нових моделей поведінки і переживань. У КПТ це досягається шляхом когнітивної реструктуризації, експозиції, тренування нових навичок та поведінкових експериментів. У ТОТ ключовим є розвиток усвідомлення тілесних процесів, регуляція соматичних реакцій та інтеграція нових способів проживання емоцій через тілесний досвід. Таким чином, формування нових звичок у терапевтичному процесі ґрунтується на поєднанні когнітивної переоцінки та тілесної регуляції, що забезпечує більш глибоку й стабільну зміну поведінкових патернів.</w:t>
      </w:r>
    </w:p>
    <w:p w14:paraId="764ED501" w14:textId="77777777" w:rsidR="00B51242" w:rsidRDefault="00B51242">
      <w:pPr>
        <w:spacing w:line="360" w:lineRule="auto"/>
        <w:jc w:val="both"/>
        <w:rPr>
          <w:rStyle w:val="InternetLink"/>
          <w:sz w:val="28"/>
          <w:szCs w:val="28"/>
        </w:rPr>
      </w:pPr>
    </w:p>
    <w:p w14:paraId="10146664" w14:textId="77777777" w:rsidR="00B51242" w:rsidRDefault="008E4E86">
      <w:pPr>
        <w:spacing w:line="360" w:lineRule="auto"/>
        <w:jc w:val="both"/>
      </w:pPr>
      <w:r>
        <w:rPr>
          <w:rStyle w:val="InternetLink"/>
          <w:color w:val="000000"/>
          <w:sz w:val="28"/>
          <w:szCs w:val="28"/>
          <w:u w:val="none"/>
        </w:rPr>
        <w:t xml:space="preserve"> </w:t>
      </w:r>
    </w:p>
    <w:p w14:paraId="62D41D33" w14:textId="77777777" w:rsidR="00B51242" w:rsidRDefault="008E4E86">
      <w:pPr>
        <w:spacing w:line="360" w:lineRule="auto"/>
        <w:jc w:val="center"/>
      </w:pPr>
      <w:r>
        <w:rPr>
          <w:rStyle w:val="InternetLink"/>
          <w:color w:val="000000"/>
          <w:sz w:val="28"/>
          <w:szCs w:val="28"/>
          <w:u w:val="none"/>
        </w:rPr>
        <w:t>Формування звичок та патернів поведінки з позиції КПТ та ТОТ.</w:t>
      </w:r>
    </w:p>
    <w:tbl>
      <w:tblPr>
        <w:tblW w:w="8640" w:type="dxa"/>
        <w:tblInd w:w="-108" w:type="dxa"/>
        <w:tblLook w:val="04A0" w:firstRow="1" w:lastRow="0" w:firstColumn="1" w:lastColumn="0" w:noHBand="0" w:noVBand="1"/>
      </w:tblPr>
      <w:tblGrid>
        <w:gridCol w:w="2880"/>
        <w:gridCol w:w="2880"/>
        <w:gridCol w:w="2880"/>
      </w:tblGrid>
      <w:tr w:rsidR="00B51242" w14:paraId="4DE7834F" w14:textId="77777777">
        <w:tc>
          <w:tcPr>
            <w:tcW w:w="2880" w:type="dxa"/>
            <w:shd w:val="clear" w:color="auto" w:fill="auto"/>
          </w:tcPr>
          <w:p w14:paraId="7A2F1B63" w14:textId="77777777" w:rsidR="00B51242" w:rsidRDefault="008E4E86">
            <w:pPr>
              <w:spacing w:line="360" w:lineRule="auto"/>
              <w:jc w:val="both"/>
              <w:rPr>
                <w:sz w:val="28"/>
                <w:szCs w:val="28"/>
              </w:rPr>
            </w:pPr>
            <w:r>
              <w:rPr>
                <w:color w:val="000000"/>
                <w:sz w:val="28"/>
                <w:szCs w:val="28"/>
              </w:rPr>
              <w:t>Аспект</w:t>
            </w:r>
          </w:p>
        </w:tc>
        <w:tc>
          <w:tcPr>
            <w:tcW w:w="2880" w:type="dxa"/>
            <w:shd w:val="clear" w:color="auto" w:fill="auto"/>
          </w:tcPr>
          <w:p w14:paraId="6B013D45" w14:textId="77777777" w:rsidR="00B51242" w:rsidRDefault="008E4E86">
            <w:pPr>
              <w:spacing w:line="360" w:lineRule="auto"/>
              <w:jc w:val="both"/>
              <w:rPr>
                <w:sz w:val="28"/>
                <w:szCs w:val="28"/>
              </w:rPr>
            </w:pPr>
            <w:r>
              <w:rPr>
                <w:color w:val="000000"/>
                <w:sz w:val="28"/>
                <w:szCs w:val="28"/>
              </w:rPr>
              <w:t>КПТ</w:t>
            </w:r>
          </w:p>
        </w:tc>
        <w:tc>
          <w:tcPr>
            <w:tcW w:w="2880" w:type="dxa"/>
            <w:shd w:val="clear" w:color="auto" w:fill="auto"/>
          </w:tcPr>
          <w:p w14:paraId="64BEEA86" w14:textId="77777777" w:rsidR="00B51242" w:rsidRDefault="008E4E86">
            <w:pPr>
              <w:spacing w:line="360" w:lineRule="auto"/>
              <w:jc w:val="both"/>
              <w:rPr>
                <w:sz w:val="28"/>
                <w:szCs w:val="28"/>
              </w:rPr>
            </w:pPr>
            <w:r>
              <w:rPr>
                <w:color w:val="000000"/>
                <w:sz w:val="28"/>
                <w:szCs w:val="28"/>
              </w:rPr>
              <w:t>ТОТ</w:t>
            </w:r>
          </w:p>
        </w:tc>
      </w:tr>
      <w:tr w:rsidR="00B51242" w14:paraId="2E325EFE" w14:textId="77777777">
        <w:tc>
          <w:tcPr>
            <w:tcW w:w="2880" w:type="dxa"/>
            <w:shd w:val="clear" w:color="auto" w:fill="auto"/>
          </w:tcPr>
          <w:p w14:paraId="72850D95" w14:textId="77777777" w:rsidR="00B51242" w:rsidRDefault="008E4E86">
            <w:pPr>
              <w:spacing w:line="360" w:lineRule="auto"/>
              <w:jc w:val="both"/>
              <w:rPr>
                <w:sz w:val="28"/>
                <w:szCs w:val="28"/>
              </w:rPr>
            </w:pPr>
            <w:r>
              <w:rPr>
                <w:color w:val="000000"/>
                <w:sz w:val="28"/>
                <w:szCs w:val="28"/>
              </w:rPr>
              <w:t>Базовий механізм формування</w:t>
            </w:r>
          </w:p>
        </w:tc>
        <w:tc>
          <w:tcPr>
            <w:tcW w:w="2880" w:type="dxa"/>
            <w:shd w:val="clear" w:color="auto" w:fill="auto"/>
          </w:tcPr>
          <w:p w14:paraId="4CB58A50" w14:textId="77777777" w:rsidR="00B51242" w:rsidRDefault="008E4E86">
            <w:pPr>
              <w:spacing w:line="360" w:lineRule="auto"/>
              <w:jc w:val="both"/>
              <w:rPr>
                <w:sz w:val="28"/>
                <w:szCs w:val="28"/>
              </w:rPr>
            </w:pPr>
            <w:r>
              <w:rPr>
                <w:color w:val="000000"/>
                <w:sz w:val="28"/>
                <w:szCs w:val="28"/>
              </w:rPr>
              <w:t>Автоматизація через когнітивні схеми, оперантне і класичне зумовлення</w:t>
            </w:r>
          </w:p>
        </w:tc>
        <w:tc>
          <w:tcPr>
            <w:tcW w:w="2880" w:type="dxa"/>
            <w:shd w:val="clear" w:color="auto" w:fill="auto"/>
          </w:tcPr>
          <w:p w14:paraId="6825C262" w14:textId="77777777" w:rsidR="00B51242" w:rsidRDefault="008E4E86">
            <w:pPr>
              <w:spacing w:line="360" w:lineRule="auto"/>
              <w:jc w:val="both"/>
              <w:rPr>
                <w:sz w:val="28"/>
                <w:szCs w:val="28"/>
              </w:rPr>
            </w:pPr>
            <w:r>
              <w:rPr>
                <w:color w:val="000000"/>
                <w:sz w:val="28"/>
                <w:szCs w:val="28"/>
              </w:rPr>
              <w:t>Закріплення соматичних реакцій і тілесної пам’яті</w:t>
            </w:r>
          </w:p>
        </w:tc>
      </w:tr>
      <w:tr w:rsidR="00B51242" w14:paraId="58A8C3F6" w14:textId="77777777">
        <w:tc>
          <w:tcPr>
            <w:tcW w:w="2880" w:type="dxa"/>
            <w:shd w:val="clear" w:color="auto" w:fill="auto"/>
          </w:tcPr>
          <w:p w14:paraId="3CDCE39B" w14:textId="77777777" w:rsidR="00B51242" w:rsidRDefault="008E4E86">
            <w:pPr>
              <w:spacing w:line="360" w:lineRule="auto"/>
              <w:jc w:val="both"/>
              <w:rPr>
                <w:sz w:val="28"/>
                <w:szCs w:val="28"/>
              </w:rPr>
            </w:pPr>
            <w:r>
              <w:rPr>
                <w:color w:val="000000"/>
                <w:sz w:val="28"/>
                <w:szCs w:val="28"/>
              </w:rPr>
              <w:t>Роль мислення</w:t>
            </w:r>
          </w:p>
        </w:tc>
        <w:tc>
          <w:tcPr>
            <w:tcW w:w="2880" w:type="dxa"/>
            <w:shd w:val="clear" w:color="auto" w:fill="auto"/>
          </w:tcPr>
          <w:p w14:paraId="6AD209F7" w14:textId="77777777" w:rsidR="00B51242" w:rsidRDefault="008E4E86">
            <w:pPr>
              <w:spacing w:line="360" w:lineRule="auto"/>
              <w:jc w:val="both"/>
              <w:rPr>
                <w:sz w:val="28"/>
                <w:szCs w:val="28"/>
              </w:rPr>
            </w:pPr>
            <w:r>
              <w:rPr>
                <w:color w:val="000000"/>
                <w:sz w:val="28"/>
                <w:szCs w:val="28"/>
              </w:rPr>
              <w:t>Автоматичні думки, переконання та когнітивні викривлення формують звичні реакції</w:t>
            </w:r>
          </w:p>
        </w:tc>
        <w:tc>
          <w:tcPr>
            <w:tcW w:w="2880" w:type="dxa"/>
            <w:shd w:val="clear" w:color="auto" w:fill="auto"/>
          </w:tcPr>
          <w:p w14:paraId="3D8F5DCA" w14:textId="77777777" w:rsidR="00B51242" w:rsidRDefault="008E4E86">
            <w:pPr>
              <w:spacing w:line="360" w:lineRule="auto"/>
              <w:jc w:val="both"/>
              <w:rPr>
                <w:sz w:val="28"/>
                <w:szCs w:val="28"/>
              </w:rPr>
            </w:pPr>
            <w:r>
              <w:rPr>
                <w:color w:val="000000"/>
                <w:sz w:val="28"/>
                <w:szCs w:val="28"/>
              </w:rPr>
              <w:t>Мислення тісно пов’язане з тілесними відчуттями, але не є визначальним чинником</w:t>
            </w:r>
          </w:p>
        </w:tc>
      </w:tr>
      <w:tr w:rsidR="00B51242" w14:paraId="1C45A9AE" w14:textId="77777777">
        <w:tc>
          <w:tcPr>
            <w:tcW w:w="2880" w:type="dxa"/>
            <w:shd w:val="clear" w:color="auto" w:fill="auto"/>
          </w:tcPr>
          <w:p w14:paraId="7318868A" w14:textId="77777777" w:rsidR="00B51242" w:rsidRDefault="008E4E86">
            <w:pPr>
              <w:spacing w:line="360" w:lineRule="auto"/>
              <w:jc w:val="both"/>
              <w:rPr>
                <w:sz w:val="28"/>
                <w:szCs w:val="28"/>
              </w:rPr>
            </w:pPr>
            <w:r>
              <w:rPr>
                <w:color w:val="000000"/>
                <w:sz w:val="28"/>
                <w:szCs w:val="28"/>
              </w:rPr>
              <w:t>Роль тіла</w:t>
            </w:r>
          </w:p>
        </w:tc>
        <w:tc>
          <w:tcPr>
            <w:tcW w:w="2880" w:type="dxa"/>
            <w:shd w:val="clear" w:color="auto" w:fill="auto"/>
          </w:tcPr>
          <w:p w14:paraId="53898245" w14:textId="77777777" w:rsidR="00B51242" w:rsidRDefault="008E4E86">
            <w:pPr>
              <w:spacing w:line="360" w:lineRule="auto"/>
              <w:jc w:val="both"/>
              <w:rPr>
                <w:sz w:val="28"/>
                <w:szCs w:val="28"/>
              </w:rPr>
            </w:pPr>
            <w:r>
              <w:rPr>
                <w:color w:val="000000"/>
                <w:sz w:val="28"/>
                <w:szCs w:val="28"/>
              </w:rPr>
              <w:t>Тіло розглядається як компонент поведінкових реакцій, опосередкований когніціями</w:t>
            </w:r>
          </w:p>
        </w:tc>
        <w:tc>
          <w:tcPr>
            <w:tcW w:w="2880" w:type="dxa"/>
            <w:shd w:val="clear" w:color="auto" w:fill="auto"/>
          </w:tcPr>
          <w:p w14:paraId="030EA6BA" w14:textId="77777777" w:rsidR="00B51242" w:rsidRDefault="008E4E86">
            <w:pPr>
              <w:spacing w:line="360" w:lineRule="auto"/>
              <w:jc w:val="both"/>
              <w:rPr>
                <w:sz w:val="28"/>
                <w:szCs w:val="28"/>
              </w:rPr>
            </w:pPr>
            <w:r>
              <w:rPr>
                <w:color w:val="000000"/>
                <w:sz w:val="28"/>
                <w:szCs w:val="28"/>
              </w:rPr>
              <w:t>Тіло є первинним носієм досвіду; тілесні патерни формують основу поведінки</w:t>
            </w:r>
          </w:p>
        </w:tc>
      </w:tr>
      <w:tr w:rsidR="00B51242" w14:paraId="633CBEA5" w14:textId="77777777">
        <w:tc>
          <w:tcPr>
            <w:tcW w:w="2880" w:type="dxa"/>
            <w:shd w:val="clear" w:color="auto" w:fill="auto"/>
          </w:tcPr>
          <w:p w14:paraId="6FB41E4E" w14:textId="77777777" w:rsidR="00B51242" w:rsidRDefault="008E4E86">
            <w:pPr>
              <w:spacing w:line="360" w:lineRule="auto"/>
              <w:jc w:val="both"/>
              <w:rPr>
                <w:sz w:val="28"/>
                <w:szCs w:val="28"/>
              </w:rPr>
            </w:pPr>
            <w:r>
              <w:rPr>
                <w:color w:val="000000"/>
                <w:sz w:val="28"/>
                <w:szCs w:val="28"/>
              </w:rPr>
              <w:t>Методи зміни звичок</w:t>
            </w:r>
          </w:p>
        </w:tc>
        <w:tc>
          <w:tcPr>
            <w:tcW w:w="2880" w:type="dxa"/>
            <w:shd w:val="clear" w:color="auto" w:fill="auto"/>
          </w:tcPr>
          <w:p w14:paraId="638CEDD9" w14:textId="77777777" w:rsidR="00B51242" w:rsidRDefault="008E4E86">
            <w:pPr>
              <w:spacing w:line="360" w:lineRule="auto"/>
              <w:jc w:val="both"/>
              <w:rPr>
                <w:sz w:val="28"/>
                <w:szCs w:val="28"/>
              </w:rPr>
            </w:pPr>
            <w:r>
              <w:rPr>
                <w:color w:val="000000"/>
                <w:sz w:val="28"/>
                <w:szCs w:val="28"/>
              </w:rPr>
              <w:t>Когнітивна реструктуризація, експозиція, поведінкові експерименти, тренування нових навичок</w:t>
            </w:r>
          </w:p>
        </w:tc>
        <w:tc>
          <w:tcPr>
            <w:tcW w:w="2880" w:type="dxa"/>
            <w:shd w:val="clear" w:color="auto" w:fill="auto"/>
          </w:tcPr>
          <w:p w14:paraId="78425D48" w14:textId="77777777" w:rsidR="00B51242" w:rsidRDefault="008E4E86">
            <w:pPr>
              <w:spacing w:line="360" w:lineRule="auto"/>
              <w:jc w:val="both"/>
              <w:rPr>
                <w:sz w:val="28"/>
                <w:szCs w:val="28"/>
              </w:rPr>
            </w:pPr>
            <w:r>
              <w:rPr>
                <w:color w:val="000000"/>
                <w:sz w:val="28"/>
                <w:szCs w:val="28"/>
              </w:rPr>
              <w:t>Усвідомлення тілесних процесів, робота з напруженням, інтеграція нових соматичних реакцій</w:t>
            </w:r>
          </w:p>
        </w:tc>
      </w:tr>
      <w:tr w:rsidR="00B51242" w14:paraId="7CBD0304" w14:textId="77777777">
        <w:tc>
          <w:tcPr>
            <w:tcW w:w="2880" w:type="dxa"/>
            <w:shd w:val="clear" w:color="auto" w:fill="auto"/>
          </w:tcPr>
          <w:p w14:paraId="218CBFB8" w14:textId="77777777" w:rsidR="00B51242" w:rsidRDefault="008E4E86">
            <w:pPr>
              <w:spacing w:line="360" w:lineRule="auto"/>
              <w:jc w:val="both"/>
              <w:rPr>
                <w:sz w:val="28"/>
                <w:szCs w:val="28"/>
              </w:rPr>
            </w:pPr>
            <w:r>
              <w:rPr>
                <w:color w:val="000000"/>
                <w:sz w:val="28"/>
                <w:szCs w:val="28"/>
              </w:rPr>
              <w:t xml:space="preserve">Ціль </w:t>
            </w:r>
          </w:p>
        </w:tc>
        <w:tc>
          <w:tcPr>
            <w:tcW w:w="2880" w:type="dxa"/>
            <w:shd w:val="clear" w:color="auto" w:fill="auto"/>
          </w:tcPr>
          <w:p w14:paraId="18D34F2D" w14:textId="77777777" w:rsidR="00B51242" w:rsidRDefault="008E4E86">
            <w:pPr>
              <w:spacing w:line="360" w:lineRule="auto"/>
              <w:jc w:val="both"/>
              <w:rPr>
                <w:sz w:val="28"/>
                <w:szCs w:val="28"/>
              </w:rPr>
            </w:pPr>
            <w:r>
              <w:rPr>
                <w:color w:val="000000"/>
                <w:sz w:val="28"/>
                <w:szCs w:val="28"/>
              </w:rPr>
              <w:t>Формування більш адаптивних патернів мислення і поведінки</w:t>
            </w:r>
          </w:p>
        </w:tc>
        <w:tc>
          <w:tcPr>
            <w:tcW w:w="2880" w:type="dxa"/>
            <w:shd w:val="clear" w:color="auto" w:fill="auto"/>
          </w:tcPr>
          <w:p w14:paraId="495F711A" w14:textId="77777777" w:rsidR="00B51242" w:rsidRDefault="008E4E86">
            <w:pPr>
              <w:spacing w:line="360" w:lineRule="auto"/>
              <w:jc w:val="both"/>
              <w:rPr>
                <w:sz w:val="28"/>
                <w:szCs w:val="28"/>
              </w:rPr>
            </w:pPr>
            <w:r>
              <w:rPr>
                <w:color w:val="000000"/>
                <w:sz w:val="28"/>
                <w:szCs w:val="28"/>
              </w:rPr>
              <w:t>Відновлення тілесної регуляції та інтеграція емоційного досвіду</w:t>
            </w:r>
          </w:p>
        </w:tc>
      </w:tr>
    </w:tbl>
    <w:p w14:paraId="51CE94FC" w14:textId="77777777" w:rsidR="00B51242" w:rsidRDefault="008E4E86">
      <w:pPr>
        <w:spacing w:line="360" w:lineRule="auto"/>
        <w:ind w:firstLine="794"/>
        <w:jc w:val="both"/>
      </w:pPr>
      <w:r>
        <w:rPr>
          <w:rStyle w:val="InternetLink"/>
          <w:color w:val="000000"/>
          <w:sz w:val="28"/>
          <w:szCs w:val="28"/>
          <w:u w:val="none"/>
        </w:rPr>
        <w:t>Зміна звичок та поведінкових патернів з позиції когнітивно-поведінкової терапії (КПТ) та тілесно-орієнтованої терапії (ТОТ) розглядається як інтегрований процес, що охоплює когнітивні, емоційні, поведінкові та соматичні рівні функціонування людини. У межах КПТ акцент робиться на усвідомленні та трансформації автоматичних думок, дисфункціональних переконань і когнітивних викривлень, які підтримують неадаптивні звички. Ключовим механізмом виступає когнітивна реструктуризація, що поєднується з поведінковими експериментами, експозиційними методами та тренуванням нових навичок. Завдяки цьому відбувається поступове заміщення старих патернів новими моделями реагування, які закріплюються через досвід позитивного підкріплення та усвідомлення ефективності альтернативної поведінки.</w:t>
      </w:r>
    </w:p>
    <w:p w14:paraId="2DF161BB" w14:textId="77777777" w:rsidR="00B51242" w:rsidRDefault="008E4E86">
      <w:pPr>
        <w:spacing w:line="360" w:lineRule="auto"/>
        <w:ind w:firstLine="794"/>
        <w:jc w:val="both"/>
      </w:pPr>
      <w:r>
        <w:rPr>
          <w:color w:val="000000"/>
          <w:sz w:val="28"/>
          <w:szCs w:val="28"/>
        </w:rPr>
        <w:t>ТОТ, у свою чергу, підкреслює роль тіла як носія досвіду та пам’яті, де закріплюються емоційні та поведінкові автоматизми. Зміна звичок у цьому підході відбувається шляхом підвищення тілесної усвідомленості, роботи з хронічними напруженнями та тілесними блоками, а також через інтеграцію нових способів реагування, що дозволяють знижувати соматичне збудження та відновлювати відчуття контролю над власним тілом. Нові патерни формуються завдяки досвіду безпечного проживання емоцій та поступовій перебудові тілесної пам’яті.</w:t>
      </w:r>
    </w:p>
    <w:p w14:paraId="2788E730" w14:textId="77777777" w:rsidR="00B51242" w:rsidRDefault="008E4E86">
      <w:pPr>
        <w:spacing w:line="360" w:lineRule="auto"/>
        <w:ind w:firstLine="794"/>
        <w:jc w:val="both"/>
      </w:pPr>
      <w:r>
        <w:rPr>
          <w:color w:val="000000"/>
          <w:sz w:val="28"/>
          <w:szCs w:val="28"/>
        </w:rPr>
        <w:t>Таким чином, КПТ забезпечує когнітивно-поведінкову основу для зміни звичок через реструктуризацію мислення та тренування адаптивної поведінки, тоді як ТОТ зосереджується на тілесній регуляції та інтеграції нового емоційного досвіду. Поєднання цих підходів дозволяє досягати більш глибокої та стійкої зміни звичок і поведінкових патернів, оскільки трансформація відбувається одночасно на когнітивному, емоційному та тілесному рівнях.</w:t>
      </w:r>
    </w:p>
    <w:p w14:paraId="58075802" w14:textId="77777777" w:rsidR="00B51242" w:rsidRDefault="008E4E86">
      <w:pPr>
        <w:spacing w:line="360" w:lineRule="auto"/>
        <w:ind w:firstLine="794"/>
        <w:jc w:val="both"/>
      </w:pPr>
      <w:r>
        <w:rPr>
          <w:color w:val="000000"/>
          <w:sz w:val="28"/>
          <w:szCs w:val="28"/>
        </w:rPr>
        <w:t>З позиції психоосвіти важливо підкреслювати, що навички можуть бути розвинуті шляхом систематичних тренувань, вправ і поступового збільшення складності завдань. Формування нових звичок вимагає часу, послідовності та закріплення результатів через повторення. Таким чином, розвиток компетентності у будь-якій сфері є не лише питанням здібностей, але насамперед наслідком практики, що сприяє підвищенню адаптивності, стійкості та відчуття ефективності власних дій.</w:t>
      </w:r>
    </w:p>
    <w:p w14:paraId="06272F22" w14:textId="77777777" w:rsidR="00B51242" w:rsidRDefault="008E4E86">
      <w:pPr>
        <w:spacing w:line="360" w:lineRule="auto"/>
        <w:jc w:val="both"/>
      </w:pPr>
      <w:r>
        <w:rPr>
          <w:rStyle w:val="InternetLink"/>
          <w:rFonts w:eastAsia="Times New Roman" w:cs="Times New Roman"/>
          <w:b/>
          <w:bCs/>
          <w:color w:val="000000"/>
          <w:sz w:val="28"/>
          <w:szCs w:val="28"/>
          <w:u w:val="none"/>
        </w:rPr>
        <w:t xml:space="preserve">Експозиційна терапія. </w:t>
      </w:r>
      <w:r>
        <w:rPr>
          <w:rStyle w:val="StrongEmphasis"/>
          <w:rFonts w:eastAsia="Times New Roman" w:cs="Times New Roman"/>
          <w:color w:val="000000"/>
          <w:sz w:val="28"/>
          <w:szCs w:val="28"/>
          <w:lang w:eastAsia="ru-RU"/>
        </w:rPr>
        <w:t>Систематична Десенсибілізація (практична робота).</w:t>
      </w:r>
    </w:p>
    <w:p w14:paraId="0BDA537F" w14:textId="77777777" w:rsidR="00B51242" w:rsidRDefault="008E4E86">
      <w:pPr>
        <w:spacing w:line="360" w:lineRule="auto"/>
        <w:ind w:firstLine="737"/>
        <w:jc w:val="both"/>
      </w:pPr>
      <w:r>
        <w:rPr>
          <w:rStyle w:val="StrongEmphasis"/>
          <w:rFonts w:eastAsia="Times New Roman" w:cs="Times New Roman"/>
          <w:color w:val="000000"/>
          <w:sz w:val="28"/>
          <w:szCs w:val="28"/>
          <w:lang w:eastAsia="ru-RU"/>
        </w:rPr>
        <w:t xml:space="preserve"> </w:t>
      </w:r>
      <w:r>
        <w:rPr>
          <w:color w:val="000000"/>
          <w:sz w:val="28"/>
          <w:szCs w:val="28"/>
        </w:rPr>
        <w:t>Експозиційні методи у роботі з військовослужбовцями, які мають симптоми ПТСР, розглядаються не як «шокове» занурення у травматичний матеріал, а як структурований і безпечний терапевтичний процес. Основна мета цих підходів полягає у контрольованій переробці досвіду, який раніше викликав надмірну тривогу чи дезорганізацію, та у формуванні нового, більш адаптивного способу реагування. Для військових, які пережили бойові події, експозиційна терапія є важливою, оскільки дозволяє поступово знизити інтенсивність реакцій на тригерні стимули й повернути відчуття контролю над власним життям.</w:t>
      </w:r>
    </w:p>
    <w:p w14:paraId="3780FD5A" w14:textId="77777777" w:rsidR="00B51242" w:rsidRDefault="008E4E86">
      <w:pPr>
        <w:spacing w:line="360" w:lineRule="auto"/>
        <w:ind w:firstLine="737"/>
        <w:jc w:val="both"/>
      </w:pPr>
      <w:r>
        <w:rPr>
          <w:color w:val="000000"/>
          <w:sz w:val="28"/>
          <w:szCs w:val="28"/>
        </w:rPr>
        <w:t>Ключовим принципом є безпека. Робота з травматичними спогадами починається лише тоді, коли військовий має мінімальний набір навичок саморегуляції: техніки дихання, заземлення, методи зниження фізіологічного збудження. Це створює «опору» для роботи та зменшує ризик повторної травматизації. Важливо також, щоб експозиція відбувалася поступово. Стимул або спогад подається у дозованому вигляді — спершу на рівні менш тривожних деталей, а згодом переходить до більш інтенсивних аспектів. Така градація дає нервовій системі можливість адаптуватися, а клієнту — відчути контроль і власну силу у процесі зустрічі з травматичним досвідом.</w:t>
      </w:r>
    </w:p>
    <w:p w14:paraId="1336333B" w14:textId="77777777" w:rsidR="00B51242" w:rsidRDefault="008E4E86">
      <w:pPr>
        <w:spacing w:line="360" w:lineRule="auto"/>
        <w:ind w:firstLine="737"/>
        <w:jc w:val="both"/>
      </w:pPr>
      <w:r>
        <w:rPr>
          <w:color w:val="000000"/>
          <w:sz w:val="28"/>
          <w:szCs w:val="28"/>
        </w:rPr>
        <w:t xml:space="preserve">Важливою складовою є SUDs-моніторинг (Subjective Units of Distress Scale), що дозволяє клієнту відслідковувати власний рівень дискомфорту від 0 до 10. Це дає змогу вчасно знижувати інтенсивність або робити паузу в експозиції, не допускаючи перевантаження. Терапевт навчає військового не лише входити в експозиційний процес, але й залишатися у ньому контрольовано та повертатися до стану стабільності після завершення вправи. Така регуляція на всіх етапах допомагає уникнути дисоціації чи емоційного зриву, що особливо важливо для людей із бойовим досвідом. Бойовий досвід характеризується високим рівнем психотравмуючого впливу, що нерідко проявляється як повторна або кумулятивна травматизація, зумовлена багатократним зіткненням із загрозою життю, втратою побратимів, необхідністю здійснювати дії в умовах невизначеності та постійної небезпеки. Така багатовимірна травматизація формує складні симптомокомплекси посттравматичного стресового розладу, що супроводжуються підвищеним рівнем тривожності, гіперзбудженням та схильністю до уникнення травматичних нагадувань. У зв’язку з цим доцільним є застосування систематичної десенсибілізації як одного з терапевтичних підходів, здатних забезпечити поступове зниження інтенсивності патологічної емоційної реакції. </w:t>
      </w:r>
    </w:p>
    <w:p w14:paraId="577C2990" w14:textId="77777777" w:rsidR="00B51242" w:rsidRDefault="008E4E86">
      <w:pPr>
        <w:spacing w:line="360" w:lineRule="auto"/>
        <w:ind w:firstLine="737"/>
        <w:jc w:val="both"/>
      </w:pPr>
      <w:r>
        <w:rPr>
          <w:color w:val="000000"/>
          <w:sz w:val="28"/>
          <w:szCs w:val="28"/>
        </w:rPr>
        <w:t>Систематична десенсибілізація та експозиційна терапія, базуються на принципах класичного обумовлення: зниження страху досягається через повторне зіткнення зі стимулом у безпечних умовах, без негативних наслідків. Вони мають спільну мету — зменшити тривогу та уникальну поведінку, пов’язану зі страхом, і використовують ієрархію страхів від легкого до найсильнішого. Проте експозиція робить більший акцент на безпосередньому проживанні травматичного досвіду у контрольованих умовах, тоді як систематична десенсибілізація частіше поєднує поступове уявне чи реальне зіткнення зі стимулом із техніками релаксації.</w:t>
      </w:r>
    </w:p>
    <w:p w14:paraId="17F354B1" w14:textId="77777777" w:rsidR="00B51242" w:rsidRDefault="008E4E86">
      <w:pPr>
        <w:spacing w:line="360" w:lineRule="auto"/>
        <w:ind w:firstLine="737"/>
        <w:jc w:val="both"/>
      </w:pPr>
      <w:r>
        <w:rPr>
          <w:color w:val="000000"/>
          <w:sz w:val="28"/>
          <w:szCs w:val="28"/>
        </w:rPr>
        <w:t>Таким чином, експозиційні методи у роботі з військовими з ПТСР — це не примус до повторного болю, а поступовий, структурований процес навчання нервової системи новим реакціям. Він поєднує безпеку, поступовість і саморегуляцію, допомагаючи людині відновлювати відчуття контролю, знижувати силу тригерних реакцій і формувати більш стійкі адаптивні стратегії подолання.</w:t>
      </w:r>
    </w:p>
    <w:p w14:paraId="7D2D1BFC" w14:textId="77777777" w:rsidR="00B51242" w:rsidRDefault="008E4E86">
      <w:pPr>
        <w:spacing w:line="360" w:lineRule="auto"/>
        <w:ind w:firstLine="737"/>
        <w:jc w:val="center"/>
      </w:pPr>
      <w:r>
        <w:rPr>
          <w:color w:val="000000"/>
          <w:sz w:val="28"/>
          <w:szCs w:val="28"/>
        </w:rPr>
        <w:t xml:space="preserve">Відмінності експозиційної терапії та систематичної дисенсибілізації                                                </w:t>
      </w:r>
    </w:p>
    <w:tbl>
      <w:tblPr>
        <w:tblW w:w="9262" w:type="dxa"/>
        <w:tblCellMar>
          <w:top w:w="28" w:type="dxa"/>
          <w:left w:w="28" w:type="dxa"/>
          <w:bottom w:w="28" w:type="dxa"/>
          <w:right w:w="28" w:type="dxa"/>
        </w:tblCellMar>
        <w:tblLook w:val="04A0" w:firstRow="1" w:lastRow="0" w:firstColumn="1" w:lastColumn="0" w:noHBand="0" w:noVBand="1"/>
      </w:tblPr>
      <w:tblGrid>
        <w:gridCol w:w="1527"/>
        <w:gridCol w:w="3452"/>
        <w:gridCol w:w="4283"/>
      </w:tblGrid>
      <w:tr w:rsidR="00B51242" w14:paraId="24FE0979" w14:textId="77777777">
        <w:trPr>
          <w:tblHeader/>
        </w:trPr>
        <w:tc>
          <w:tcPr>
            <w:tcW w:w="1527" w:type="dxa"/>
            <w:shd w:val="clear" w:color="auto" w:fill="auto"/>
            <w:vAlign w:val="center"/>
          </w:tcPr>
          <w:p w14:paraId="08B35CDB" w14:textId="77777777" w:rsidR="00B51242" w:rsidRDefault="008E4E86">
            <w:pPr>
              <w:spacing w:line="360" w:lineRule="auto"/>
              <w:jc w:val="both"/>
              <w:rPr>
                <w:sz w:val="28"/>
                <w:szCs w:val="28"/>
              </w:rPr>
            </w:pPr>
            <w:r>
              <w:rPr>
                <w:color w:val="000000"/>
                <w:sz w:val="28"/>
                <w:szCs w:val="28"/>
              </w:rPr>
              <w:t>Ознака</w:t>
            </w:r>
          </w:p>
        </w:tc>
        <w:tc>
          <w:tcPr>
            <w:tcW w:w="3452" w:type="dxa"/>
            <w:shd w:val="clear" w:color="auto" w:fill="auto"/>
            <w:vAlign w:val="center"/>
          </w:tcPr>
          <w:p w14:paraId="54ED1201" w14:textId="77777777" w:rsidR="00B51242" w:rsidRDefault="008E4E86">
            <w:pPr>
              <w:spacing w:line="360" w:lineRule="auto"/>
              <w:jc w:val="both"/>
            </w:pPr>
            <w:r>
              <w:rPr>
                <w:rStyle w:val="StrongEmphasis"/>
                <w:color w:val="000000"/>
                <w:sz w:val="28"/>
                <w:szCs w:val="28"/>
              </w:rPr>
              <w:t>Експозиційна терапія</w:t>
            </w:r>
          </w:p>
        </w:tc>
        <w:tc>
          <w:tcPr>
            <w:tcW w:w="4283" w:type="dxa"/>
            <w:shd w:val="clear" w:color="auto" w:fill="auto"/>
            <w:vAlign w:val="center"/>
          </w:tcPr>
          <w:p w14:paraId="01B0ADA7" w14:textId="77777777" w:rsidR="00B51242" w:rsidRDefault="008E4E86">
            <w:pPr>
              <w:spacing w:line="360" w:lineRule="auto"/>
              <w:jc w:val="both"/>
            </w:pPr>
            <w:r>
              <w:rPr>
                <w:rStyle w:val="StrongEmphasis"/>
                <w:color w:val="000000"/>
                <w:sz w:val="28"/>
                <w:szCs w:val="28"/>
              </w:rPr>
              <w:t>Систематична десенсибілізація</w:t>
            </w:r>
          </w:p>
        </w:tc>
      </w:tr>
      <w:tr w:rsidR="00B51242" w14:paraId="1E416C18" w14:textId="77777777">
        <w:tc>
          <w:tcPr>
            <w:tcW w:w="1527" w:type="dxa"/>
            <w:shd w:val="clear" w:color="auto" w:fill="auto"/>
            <w:vAlign w:val="center"/>
          </w:tcPr>
          <w:p w14:paraId="6CD1103B" w14:textId="77777777" w:rsidR="00B51242" w:rsidRDefault="008E4E86">
            <w:pPr>
              <w:spacing w:line="360" w:lineRule="auto"/>
              <w:jc w:val="both"/>
              <w:rPr>
                <w:sz w:val="28"/>
                <w:szCs w:val="28"/>
              </w:rPr>
            </w:pPr>
            <w:r>
              <w:rPr>
                <w:color w:val="000000"/>
                <w:sz w:val="28"/>
                <w:szCs w:val="28"/>
              </w:rPr>
              <w:t>Основна ідея</w:t>
            </w:r>
          </w:p>
        </w:tc>
        <w:tc>
          <w:tcPr>
            <w:tcW w:w="3452" w:type="dxa"/>
            <w:shd w:val="clear" w:color="auto" w:fill="auto"/>
            <w:vAlign w:val="center"/>
          </w:tcPr>
          <w:p w14:paraId="31332A7C" w14:textId="77777777" w:rsidR="00B51242" w:rsidRDefault="008E4E86">
            <w:pPr>
              <w:spacing w:line="360" w:lineRule="auto"/>
              <w:jc w:val="both"/>
              <w:rPr>
                <w:sz w:val="28"/>
                <w:szCs w:val="28"/>
              </w:rPr>
            </w:pPr>
            <w:r>
              <w:rPr>
                <w:color w:val="000000"/>
                <w:sz w:val="28"/>
                <w:szCs w:val="28"/>
              </w:rPr>
              <w:t>Повторне і тривале зіткнення з об’єктом/ситуацією страху → звикання (habituation)</w:t>
            </w:r>
          </w:p>
        </w:tc>
        <w:tc>
          <w:tcPr>
            <w:tcW w:w="4283" w:type="dxa"/>
            <w:shd w:val="clear" w:color="auto" w:fill="auto"/>
            <w:vAlign w:val="center"/>
          </w:tcPr>
          <w:p w14:paraId="5A8CA791" w14:textId="77777777" w:rsidR="00B51242" w:rsidRDefault="008E4E86">
            <w:pPr>
              <w:spacing w:line="360" w:lineRule="auto"/>
              <w:jc w:val="both"/>
            </w:pPr>
            <w:r>
              <w:rPr>
                <w:color w:val="000000"/>
                <w:sz w:val="28"/>
                <w:szCs w:val="28"/>
              </w:rPr>
              <w:t xml:space="preserve">Поєднання поступового зіткнення зі страхом із </w:t>
            </w:r>
            <w:r>
              <w:rPr>
                <w:rStyle w:val="StrongEmphasis"/>
                <w:color w:val="000000"/>
                <w:sz w:val="28"/>
                <w:szCs w:val="28"/>
              </w:rPr>
              <w:t>релаксацією</w:t>
            </w:r>
            <w:r>
              <w:rPr>
                <w:color w:val="000000"/>
                <w:sz w:val="28"/>
                <w:szCs w:val="28"/>
              </w:rPr>
              <w:t xml:space="preserve"> → заміщення тривоги спокоєм</w:t>
            </w:r>
          </w:p>
        </w:tc>
      </w:tr>
      <w:tr w:rsidR="00B51242" w14:paraId="1FC9A194" w14:textId="77777777">
        <w:tc>
          <w:tcPr>
            <w:tcW w:w="1527" w:type="dxa"/>
            <w:shd w:val="clear" w:color="auto" w:fill="auto"/>
            <w:vAlign w:val="center"/>
          </w:tcPr>
          <w:p w14:paraId="6AE03BE4" w14:textId="77777777" w:rsidR="00B51242" w:rsidRDefault="008E4E86">
            <w:pPr>
              <w:spacing w:line="360" w:lineRule="auto"/>
              <w:jc w:val="both"/>
              <w:rPr>
                <w:sz w:val="28"/>
                <w:szCs w:val="28"/>
              </w:rPr>
            </w:pPr>
            <w:r>
              <w:rPr>
                <w:color w:val="000000"/>
                <w:sz w:val="28"/>
                <w:szCs w:val="28"/>
              </w:rPr>
              <w:t>Фокус</w:t>
            </w:r>
          </w:p>
        </w:tc>
        <w:tc>
          <w:tcPr>
            <w:tcW w:w="3452" w:type="dxa"/>
            <w:shd w:val="clear" w:color="auto" w:fill="auto"/>
            <w:vAlign w:val="center"/>
          </w:tcPr>
          <w:p w14:paraId="27A301D9" w14:textId="77777777" w:rsidR="00B51242" w:rsidRDefault="008E4E86">
            <w:pPr>
              <w:spacing w:line="360" w:lineRule="auto"/>
              <w:jc w:val="both"/>
              <w:rPr>
                <w:sz w:val="28"/>
                <w:szCs w:val="28"/>
              </w:rPr>
            </w:pPr>
            <w:r>
              <w:rPr>
                <w:color w:val="000000"/>
                <w:sz w:val="28"/>
                <w:szCs w:val="28"/>
              </w:rPr>
              <w:t>Звикання, толерантність до емоцій, навчання мозку «це безпечно»</w:t>
            </w:r>
          </w:p>
        </w:tc>
        <w:tc>
          <w:tcPr>
            <w:tcW w:w="4283" w:type="dxa"/>
            <w:shd w:val="clear" w:color="auto" w:fill="auto"/>
            <w:vAlign w:val="center"/>
          </w:tcPr>
          <w:p w14:paraId="7A855967" w14:textId="77777777" w:rsidR="00B51242" w:rsidRDefault="008E4E86">
            <w:pPr>
              <w:spacing w:line="360" w:lineRule="auto"/>
              <w:jc w:val="both"/>
              <w:rPr>
                <w:sz w:val="28"/>
                <w:szCs w:val="28"/>
              </w:rPr>
            </w:pPr>
            <w:r>
              <w:rPr>
                <w:color w:val="000000"/>
                <w:sz w:val="28"/>
                <w:szCs w:val="28"/>
              </w:rPr>
              <w:t>Класичне «протикондиціонування»: страх + релаксація не можуть існувати одночасно</w:t>
            </w:r>
          </w:p>
        </w:tc>
      </w:tr>
      <w:tr w:rsidR="00B51242" w14:paraId="4605B8FA" w14:textId="77777777">
        <w:tc>
          <w:tcPr>
            <w:tcW w:w="1527" w:type="dxa"/>
            <w:shd w:val="clear" w:color="auto" w:fill="auto"/>
            <w:vAlign w:val="center"/>
          </w:tcPr>
          <w:p w14:paraId="2E7956F5" w14:textId="77777777" w:rsidR="00B51242" w:rsidRDefault="008E4E86">
            <w:pPr>
              <w:spacing w:line="360" w:lineRule="auto"/>
              <w:jc w:val="both"/>
              <w:rPr>
                <w:sz w:val="28"/>
                <w:szCs w:val="28"/>
              </w:rPr>
            </w:pPr>
            <w:r>
              <w:rPr>
                <w:color w:val="000000"/>
                <w:sz w:val="28"/>
                <w:szCs w:val="28"/>
              </w:rPr>
              <w:t>Методи</w:t>
            </w:r>
          </w:p>
        </w:tc>
        <w:tc>
          <w:tcPr>
            <w:tcW w:w="3452" w:type="dxa"/>
            <w:shd w:val="clear" w:color="auto" w:fill="auto"/>
            <w:vAlign w:val="center"/>
          </w:tcPr>
          <w:p w14:paraId="2AEC6420" w14:textId="77777777" w:rsidR="00B51242" w:rsidRDefault="008E4E86">
            <w:pPr>
              <w:spacing w:line="360" w:lineRule="auto"/>
              <w:jc w:val="both"/>
            </w:pPr>
            <w:r>
              <w:rPr>
                <w:rStyle w:val="a3"/>
                <w:color w:val="000000"/>
                <w:sz w:val="28"/>
                <w:szCs w:val="28"/>
              </w:rPr>
              <w:t>in vivo</w:t>
            </w:r>
            <w:r>
              <w:rPr>
                <w:color w:val="000000"/>
                <w:sz w:val="28"/>
                <w:szCs w:val="28"/>
              </w:rPr>
              <w:t xml:space="preserve"> (у реальності), </w:t>
            </w:r>
            <w:r>
              <w:rPr>
                <w:rStyle w:val="a3"/>
                <w:color w:val="000000"/>
                <w:sz w:val="28"/>
                <w:szCs w:val="28"/>
              </w:rPr>
              <w:t>imaginal</w:t>
            </w:r>
            <w:r>
              <w:rPr>
                <w:color w:val="000000"/>
                <w:sz w:val="28"/>
                <w:szCs w:val="28"/>
              </w:rPr>
              <w:t xml:space="preserve"> (в уяві), VR, інтероцептивна (при паніці)</w:t>
            </w:r>
          </w:p>
        </w:tc>
        <w:tc>
          <w:tcPr>
            <w:tcW w:w="4283" w:type="dxa"/>
            <w:shd w:val="clear" w:color="auto" w:fill="auto"/>
            <w:vAlign w:val="center"/>
          </w:tcPr>
          <w:p w14:paraId="5CCD265A" w14:textId="77777777" w:rsidR="00B51242" w:rsidRDefault="008E4E86">
            <w:pPr>
              <w:spacing w:line="360" w:lineRule="auto"/>
              <w:jc w:val="both"/>
            </w:pPr>
            <w:r>
              <w:rPr>
                <w:color w:val="000000"/>
                <w:sz w:val="28"/>
                <w:szCs w:val="28"/>
              </w:rPr>
              <w:t xml:space="preserve">Зазвичай </w:t>
            </w:r>
            <w:r>
              <w:rPr>
                <w:rStyle w:val="a3"/>
                <w:color w:val="000000"/>
                <w:sz w:val="28"/>
                <w:szCs w:val="28"/>
              </w:rPr>
              <w:t>imaginal</w:t>
            </w:r>
            <w:r>
              <w:rPr>
                <w:color w:val="000000"/>
                <w:sz w:val="28"/>
                <w:szCs w:val="28"/>
              </w:rPr>
              <w:t xml:space="preserve"> або поступові кроки </w:t>
            </w:r>
            <w:r>
              <w:rPr>
                <w:rStyle w:val="a3"/>
                <w:color w:val="000000"/>
                <w:sz w:val="28"/>
                <w:szCs w:val="28"/>
              </w:rPr>
              <w:t>in vivo</w:t>
            </w:r>
            <w:r>
              <w:rPr>
                <w:color w:val="000000"/>
                <w:sz w:val="28"/>
                <w:szCs w:val="28"/>
              </w:rPr>
              <w:t xml:space="preserve"> + вправи релаксації</w:t>
            </w:r>
          </w:p>
        </w:tc>
      </w:tr>
      <w:tr w:rsidR="00B51242" w14:paraId="3CFE1160" w14:textId="77777777">
        <w:tc>
          <w:tcPr>
            <w:tcW w:w="1527" w:type="dxa"/>
            <w:shd w:val="clear" w:color="auto" w:fill="auto"/>
            <w:vAlign w:val="center"/>
          </w:tcPr>
          <w:p w14:paraId="35D4A4AD" w14:textId="77777777" w:rsidR="00B51242" w:rsidRDefault="008E4E86">
            <w:pPr>
              <w:spacing w:line="360" w:lineRule="auto"/>
              <w:jc w:val="both"/>
              <w:rPr>
                <w:sz w:val="28"/>
                <w:szCs w:val="28"/>
              </w:rPr>
            </w:pPr>
            <w:r>
              <w:rPr>
                <w:color w:val="000000"/>
                <w:sz w:val="28"/>
                <w:szCs w:val="28"/>
              </w:rPr>
              <w:t>Роль емоцій</w:t>
            </w:r>
          </w:p>
        </w:tc>
        <w:tc>
          <w:tcPr>
            <w:tcW w:w="3452" w:type="dxa"/>
            <w:shd w:val="clear" w:color="auto" w:fill="auto"/>
            <w:vAlign w:val="center"/>
          </w:tcPr>
          <w:p w14:paraId="1FAA54EB" w14:textId="77777777" w:rsidR="00B51242" w:rsidRDefault="008E4E86">
            <w:pPr>
              <w:spacing w:line="360" w:lineRule="auto"/>
              <w:jc w:val="both"/>
              <w:rPr>
                <w:sz w:val="28"/>
                <w:szCs w:val="28"/>
              </w:rPr>
            </w:pPr>
            <w:r>
              <w:rPr>
                <w:color w:val="000000"/>
                <w:sz w:val="28"/>
                <w:szCs w:val="28"/>
              </w:rPr>
              <w:t>Дозволяється відчувати тривогу → з часом вона зменшується</w:t>
            </w:r>
          </w:p>
        </w:tc>
        <w:tc>
          <w:tcPr>
            <w:tcW w:w="4283" w:type="dxa"/>
            <w:shd w:val="clear" w:color="auto" w:fill="auto"/>
            <w:vAlign w:val="center"/>
          </w:tcPr>
          <w:p w14:paraId="0AB93745" w14:textId="77777777" w:rsidR="00B51242" w:rsidRDefault="00B51242">
            <w:pPr>
              <w:spacing w:line="360" w:lineRule="auto"/>
              <w:jc w:val="both"/>
              <w:rPr>
                <w:color w:val="000000"/>
                <w:sz w:val="28"/>
                <w:szCs w:val="28"/>
              </w:rPr>
            </w:pPr>
          </w:p>
          <w:p w14:paraId="1C099D91" w14:textId="77777777" w:rsidR="00B51242" w:rsidRDefault="008E4E86">
            <w:pPr>
              <w:spacing w:line="360" w:lineRule="auto"/>
              <w:jc w:val="both"/>
              <w:rPr>
                <w:sz w:val="28"/>
                <w:szCs w:val="28"/>
              </w:rPr>
            </w:pPr>
            <w:r>
              <w:rPr>
                <w:color w:val="000000"/>
                <w:sz w:val="28"/>
                <w:szCs w:val="28"/>
              </w:rPr>
              <w:t>Тривога «гаситься» релаксацією</w:t>
            </w:r>
          </w:p>
        </w:tc>
      </w:tr>
    </w:tbl>
    <w:p w14:paraId="39B6B1D1" w14:textId="77777777" w:rsidR="00B51242" w:rsidRDefault="008E4E86">
      <w:pPr>
        <w:spacing w:line="360" w:lineRule="auto"/>
        <w:jc w:val="both"/>
        <w:rPr>
          <w:sz w:val="28"/>
          <w:szCs w:val="28"/>
        </w:rPr>
      </w:pPr>
      <w:r>
        <w:rPr>
          <w:color w:val="000000"/>
          <w:sz w:val="28"/>
          <w:szCs w:val="28"/>
        </w:rPr>
        <w:t xml:space="preserve">    </w:t>
      </w:r>
    </w:p>
    <w:p w14:paraId="4C3C9243" w14:textId="77777777" w:rsidR="00B51242" w:rsidRDefault="008E4E86">
      <w:pPr>
        <w:spacing w:line="360" w:lineRule="auto"/>
        <w:ind w:firstLine="737"/>
        <w:jc w:val="both"/>
        <w:rPr>
          <w:sz w:val="28"/>
          <w:szCs w:val="28"/>
        </w:rPr>
      </w:pPr>
      <w:r>
        <w:rPr>
          <w:color w:val="000000"/>
          <w:sz w:val="28"/>
          <w:szCs w:val="28"/>
        </w:rPr>
        <w:t>Систематична десенсибілізація, попри те що історично вважається попередником сучасної експозиційної терапії, залишається виправданим і корисним інструментом у психологічній допомозі військовим із ПТСР. У межах когнітивно-поведінкової терапії ключовим механізмом роботи зі страхом і травматичними спогадами є звикання та переосмислення загрози, тому сучасні протоколи експозиції здебільшого не передбачають «обов’язкової» релаксації на кожному етапі. Водночас досвід показує, що не всі клієнти готові одразу входити у процес прямої експозиції. Для військових, які перебувають у стані клінічного виснаження, мають високий рівень тривожності чи відчувають загрозу втрати контролю, систематична десенсибілізація може стати ефективним способом запобігти уникненню або відсіву з терапії.</w:t>
      </w:r>
    </w:p>
    <w:p w14:paraId="090F39C6" w14:textId="77777777" w:rsidR="00B51242" w:rsidRDefault="008E4E86">
      <w:pPr>
        <w:spacing w:line="360" w:lineRule="auto"/>
        <w:ind w:firstLine="737"/>
        <w:jc w:val="both"/>
        <w:rPr>
          <w:sz w:val="28"/>
          <w:szCs w:val="28"/>
        </w:rPr>
      </w:pPr>
      <w:r>
        <w:rPr>
          <w:color w:val="000000"/>
          <w:sz w:val="28"/>
          <w:szCs w:val="28"/>
        </w:rPr>
        <w:t>Цей метод полягає у поєднанні поступової градації страхів (від найлегших до найінтенсивніших стимулів) із техніками релаксації. Таким чином, клієнт отримує досвід зустрічі з тригером у стані відносного фізіологічного спокою, що зменшує ризик емоційного зриву чи повторної травматизації. Для військових це особливо важливо, адже багато хто з них має високий базовий рівень фізіологічної напруги, гіперзбудження або соматичні симптоми, які ускладнюють проходження експозиційних вправ.</w:t>
      </w:r>
    </w:p>
    <w:p w14:paraId="00FE538B" w14:textId="77777777" w:rsidR="00B51242" w:rsidRDefault="008E4E86">
      <w:pPr>
        <w:spacing w:line="360" w:lineRule="auto"/>
        <w:ind w:firstLine="737"/>
        <w:jc w:val="both"/>
        <w:rPr>
          <w:sz w:val="28"/>
          <w:szCs w:val="28"/>
        </w:rPr>
      </w:pPr>
      <w:r>
        <w:rPr>
          <w:color w:val="000000"/>
          <w:sz w:val="28"/>
          <w:szCs w:val="28"/>
        </w:rPr>
        <w:t>Використання елементів десенсибілізації на етапі стабілізації дозволяє створити відчуття безпеки, сформувати довіру до процесу терапії та поступово підготувати людину до більш інтенсивної експозиції.</w:t>
      </w:r>
    </w:p>
    <w:p w14:paraId="6EDC419C" w14:textId="77777777" w:rsidR="00B51242" w:rsidRDefault="008E4E86">
      <w:pPr>
        <w:spacing w:line="360" w:lineRule="auto"/>
        <w:ind w:firstLine="737"/>
        <w:jc w:val="both"/>
        <w:rPr>
          <w:sz w:val="28"/>
          <w:szCs w:val="28"/>
        </w:rPr>
      </w:pPr>
      <w:r>
        <w:rPr>
          <w:color w:val="000000"/>
          <w:sz w:val="28"/>
          <w:szCs w:val="28"/>
        </w:rPr>
        <w:t>Виправданість цього підходу полягає і в профілактиці уникання. Однією з найбільших проблем у роботі з військовими є схильність уникати нагадувань про травматичні події — як у повсякденному житті, так і в терапії. Якщо експозиційні завдання здаються надто складними чи виснажливими, існує ризик, що клієнт буде пропускати сесії, втратить мотивацію або достроково завершить терапію. Систематична десенсибілізація, завдяки більш м’якому входженню у процес, дає змогу знизити інтенсивність стресу та зробити роботу більш прийнятною. Це підвищує ймовірність того, що військовий залишиться у терапії достатньо довго, аби сформувати нові адаптивні навички подолання.</w:t>
      </w:r>
    </w:p>
    <w:p w14:paraId="1A3D5C18" w14:textId="77777777" w:rsidR="00B51242" w:rsidRDefault="008E4E86">
      <w:pPr>
        <w:spacing w:line="360" w:lineRule="auto"/>
        <w:ind w:firstLine="737"/>
        <w:jc w:val="both"/>
        <w:rPr>
          <w:sz w:val="28"/>
          <w:szCs w:val="28"/>
        </w:rPr>
      </w:pPr>
      <w:r>
        <w:rPr>
          <w:color w:val="000000"/>
          <w:sz w:val="28"/>
          <w:szCs w:val="28"/>
        </w:rPr>
        <w:t xml:space="preserve">Таким чином, хоча сучасні КПТ-протоколи в роботі з ПТСР роблять акцент на експозиційній терапії як основному методі подолання уникнення та зниження симптомів, інтеграція елементів систематичної десенсибілізації має важливу клінічну цінність особливо у реаліях досвіду військовослужбовців Збройних Сил України. Вона може виступати як «місток» між фазою стабілізації та повною експозицією, допомагаючи військовим безпечніше входити у процес терапевтичної роботи та зменшуючи ризик відмови від лікування.  </w:t>
      </w:r>
    </w:p>
    <w:p w14:paraId="7E50A293" w14:textId="77777777" w:rsidR="00B51242" w:rsidRDefault="008E4E86">
      <w:pPr>
        <w:tabs>
          <w:tab w:val="left" w:pos="0"/>
        </w:tabs>
        <w:spacing w:line="360" w:lineRule="auto"/>
        <w:ind w:firstLine="794"/>
        <w:jc w:val="both"/>
        <w:rPr>
          <w:sz w:val="28"/>
          <w:szCs w:val="28"/>
        </w:rPr>
      </w:pPr>
      <w:r>
        <w:rPr>
          <w:b/>
          <w:bCs/>
          <w:color w:val="000000"/>
          <w:sz w:val="28"/>
          <w:szCs w:val="28"/>
        </w:rPr>
        <w:t xml:space="preserve">Ведення щоденника експозицій </w:t>
      </w:r>
      <w:r>
        <w:rPr>
          <w:color w:val="000000"/>
          <w:sz w:val="28"/>
          <w:szCs w:val="28"/>
        </w:rPr>
        <w:t>є важливим елементом когнітивно-поведінкової терапії при роботі з посттравматичним стресовим розладом. Такий інструмент дозволяє систематизувати досвід клієнта, відслідковувати динаміку рівня тривоги та ефективність застосованих стратегій подолання. Заповнення щоденника сприяє формуванню усвідомленості, розвитку навичок самоспостереження та поступовому зниженню інтенсивності тривожних реакцій.</w:t>
      </w:r>
    </w:p>
    <w:p w14:paraId="72AF8D50" w14:textId="77777777" w:rsidR="00B51242" w:rsidRDefault="008E4E86">
      <w:pPr>
        <w:tabs>
          <w:tab w:val="left" w:pos="450"/>
        </w:tabs>
        <w:spacing w:line="360" w:lineRule="auto"/>
        <w:jc w:val="both"/>
        <w:rPr>
          <w:sz w:val="28"/>
          <w:szCs w:val="28"/>
        </w:rPr>
      </w:pPr>
      <w:r>
        <w:rPr>
          <w:color w:val="000000"/>
          <w:sz w:val="28"/>
          <w:szCs w:val="28"/>
        </w:rPr>
        <w:t>Під час заняття клієнту пропонується визначити ієрархію тривожних ситуацій, починаючи з тих, які викликають мінімальний рівень дискомфорту. Далі, у процесі експозиційної роботи, кожна ситуація фіксується у щоденнику, що забезпечує можливість порівняльного аналізу та об’єктивізації результатів терапії.</w:t>
      </w:r>
    </w:p>
    <w:p w14:paraId="56A13335" w14:textId="77777777" w:rsidR="00B51242" w:rsidRDefault="008E4E86">
      <w:pPr>
        <w:tabs>
          <w:tab w:val="left" w:pos="0"/>
        </w:tabs>
        <w:spacing w:line="360" w:lineRule="auto"/>
        <w:jc w:val="center"/>
        <w:rPr>
          <w:color w:val="000000"/>
          <w:sz w:val="28"/>
          <w:szCs w:val="28"/>
        </w:rPr>
      </w:pPr>
      <w:r>
        <w:rPr>
          <w:color w:val="000000"/>
          <w:sz w:val="28"/>
          <w:szCs w:val="28"/>
        </w:rPr>
        <w:t>Щоденник експозицій.</w:t>
      </w:r>
    </w:p>
    <w:tbl>
      <w:tblPr>
        <w:tblW w:w="8391" w:type="dxa"/>
        <w:tblInd w:w="141" w:type="dxa"/>
        <w:tblLook w:val="04A0" w:firstRow="1" w:lastRow="0" w:firstColumn="1" w:lastColumn="0" w:noHBand="0" w:noVBand="1"/>
      </w:tblPr>
      <w:tblGrid>
        <w:gridCol w:w="1485"/>
        <w:gridCol w:w="1723"/>
        <w:gridCol w:w="1730"/>
        <w:gridCol w:w="1731"/>
        <w:gridCol w:w="1722"/>
      </w:tblGrid>
      <w:tr w:rsidR="00B51242" w14:paraId="471A8E5B" w14:textId="77777777">
        <w:tc>
          <w:tcPr>
            <w:tcW w:w="1485" w:type="dxa"/>
            <w:shd w:val="clear" w:color="auto" w:fill="auto"/>
          </w:tcPr>
          <w:p w14:paraId="01BD5515" w14:textId="77777777" w:rsidR="00B51242" w:rsidRDefault="008E4E86">
            <w:pPr>
              <w:spacing w:line="360" w:lineRule="auto"/>
              <w:jc w:val="both"/>
              <w:rPr>
                <w:sz w:val="28"/>
                <w:szCs w:val="28"/>
              </w:rPr>
            </w:pPr>
            <w:r>
              <w:rPr>
                <w:color w:val="000000"/>
                <w:sz w:val="28"/>
                <w:szCs w:val="28"/>
              </w:rPr>
              <w:t>Ситуація</w:t>
            </w:r>
          </w:p>
        </w:tc>
        <w:tc>
          <w:tcPr>
            <w:tcW w:w="1723" w:type="dxa"/>
            <w:shd w:val="clear" w:color="auto" w:fill="auto"/>
          </w:tcPr>
          <w:p w14:paraId="637890A9" w14:textId="77777777" w:rsidR="00B51242" w:rsidRDefault="008E4E86">
            <w:pPr>
              <w:spacing w:line="360" w:lineRule="auto"/>
              <w:jc w:val="both"/>
              <w:rPr>
                <w:sz w:val="28"/>
                <w:szCs w:val="28"/>
              </w:rPr>
            </w:pPr>
            <w:r>
              <w:rPr>
                <w:color w:val="000000"/>
                <w:sz w:val="28"/>
                <w:szCs w:val="28"/>
              </w:rPr>
              <w:t>Рівень тривоги (0–100)</w:t>
            </w:r>
          </w:p>
        </w:tc>
        <w:tc>
          <w:tcPr>
            <w:tcW w:w="1730" w:type="dxa"/>
            <w:shd w:val="clear" w:color="auto" w:fill="auto"/>
          </w:tcPr>
          <w:p w14:paraId="0C2C9F79" w14:textId="77777777" w:rsidR="00B51242" w:rsidRDefault="008E4E86">
            <w:pPr>
              <w:spacing w:line="360" w:lineRule="auto"/>
              <w:jc w:val="both"/>
              <w:rPr>
                <w:sz w:val="28"/>
                <w:szCs w:val="28"/>
              </w:rPr>
            </w:pPr>
            <w:r>
              <w:rPr>
                <w:color w:val="000000"/>
                <w:sz w:val="28"/>
                <w:szCs w:val="28"/>
              </w:rPr>
              <w:t>Думки</w:t>
            </w:r>
          </w:p>
        </w:tc>
        <w:tc>
          <w:tcPr>
            <w:tcW w:w="1731" w:type="dxa"/>
            <w:shd w:val="clear" w:color="auto" w:fill="auto"/>
          </w:tcPr>
          <w:p w14:paraId="5074B30F" w14:textId="77777777" w:rsidR="00B51242" w:rsidRDefault="008E4E86">
            <w:pPr>
              <w:spacing w:line="360" w:lineRule="auto"/>
              <w:jc w:val="both"/>
              <w:rPr>
                <w:sz w:val="28"/>
                <w:szCs w:val="28"/>
              </w:rPr>
            </w:pPr>
            <w:r>
              <w:rPr>
                <w:color w:val="000000"/>
                <w:sz w:val="28"/>
                <w:szCs w:val="28"/>
              </w:rPr>
              <w:t>Дії</w:t>
            </w:r>
          </w:p>
        </w:tc>
        <w:tc>
          <w:tcPr>
            <w:tcW w:w="1722" w:type="dxa"/>
            <w:shd w:val="clear" w:color="auto" w:fill="auto"/>
          </w:tcPr>
          <w:p w14:paraId="00787CF3" w14:textId="77777777" w:rsidR="00B51242" w:rsidRDefault="008E4E86">
            <w:pPr>
              <w:spacing w:line="360" w:lineRule="auto"/>
              <w:jc w:val="both"/>
              <w:rPr>
                <w:sz w:val="28"/>
                <w:szCs w:val="28"/>
              </w:rPr>
            </w:pPr>
            <w:r>
              <w:rPr>
                <w:color w:val="000000"/>
                <w:sz w:val="28"/>
                <w:szCs w:val="28"/>
              </w:rPr>
              <w:t>Результат</w:t>
            </w:r>
          </w:p>
        </w:tc>
      </w:tr>
      <w:tr w:rsidR="00B51242" w14:paraId="49635555" w14:textId="77777777">
        <w:tc>
          <w:tcPr>
            <w:tcW w:w="1485" w:type="dxa"/>
            <w:shd w:val="clear" w:color="auto" w:fill="auto"/>
          </w:tcPr>
          <w:p w14:paraId="17A53FC6" w14:textId="77777777" w:rsidR="00B51242" w:rsidRDefault="00B51242">
            <w:pPr>
              <w:spacing w:line="360" w:lineRule="auto"/>
              <w:jc w:val="both"/>
              <w:rPr>
                <w:color w:val="000000"/>
                <w:sz w:val="28"/>
                <w:szCs w:val="28"/>
              </w:rPr>
            </w:pPr>
          </w:p>
        </w:tc>
        <w:tc>
          <w:tcPr>
            <w:tcW w:w="1723" w:type="dxa"/>
            <w:shd w:val="clear" w:color="auto" w:fill="auto"/>
          </w:tcPr>
          <w:p w14:paraId="1CDEAE01" w14:textId="77777777" w:rsidR="00B51242" w:rsidRDefault="00B51242">
            <w:pPr>
              <w:spacing w:line="360" w:lineRule="auto"/>
              <w:jc w:val="both"/>
              <w:rPr>
                <w:color w:val="000000"/>
                <w:sz w:val="28"/>
                <w:szCs w:val="28"/>
              </w:rPr>
            </w:pPr>
          </w:p>
        </w:tc>
        <w:tc>
          <w:tcPr>
            <w:tcW w:w="1730" w:type="dxa"/>
            <w:shd w:val="clear" w:color="auto" w:fill="auto"/>
          </w:tcPr>
          <w:p w14:paraId="50F07069" w14:textId="77777777" w:rsidR="00B51242" w:rsidRDefault="00B51242">
            <w:pPr>
              <w:spacing w:line="360" w:lineRule="auto"/>
              <w:jc w:val="both"/>
              <w:rPr>
                <w:color w:val="000000"/>
                <w:sz w:val="28"/>
                <w:szCs w:val="28"/>
              </w:rPr>
            </w:pPr>
          </w:p>
        </w:tc>
        <w:tc>
          <w:tcPr>
            <w:tcW w:w="1731" w:type="dxa"/>
            <w:shd w:val="clear" w:color="auto" w:fill="auto"/>
          </w:tcPr>
          <w:p w14:paraId="2FF85D32" w14:textId="77777777" w:rsidR="00B51242" w:rsidRDefault="00B51242">
            <w:pPr>
              <w:spacing w:line="360" w:lineRule="auto"/>
              <w:jc w:val="both"/>
              <w:rPr>
                <w:color w:val="000000"/>
                <w:sz w:val="28"/>
                <w:szCs w:val="28"/>
              </w:rPr>
            </w:pPr>
          </w:p>
        </w:tc>
        <w:tc>
          <w:tcPr>
            <w:tcW w:w="1722" w:type="dxa"/>
            <w:shd w:val="clear" w:color="auto" w:fill="auto"/>
          </w:tcPr>
          <w:p w14:paraId="1E954643" w14:textId="77777777" w:rsidR="00B51242" w:rsidRDefault="00B51242">
            <w:pPr>
              <w:spacing w:line="360" w:lineRule="auto"/>
              <w:jc w:val="both"/>
              <w:rPr>
                <w:color w:val="000000"/>
                <w:sz w:val="28"/>
                <w:szCs w:val="28"/>
              </w:rPr>
            </w:pPr>
          </w:p>
        </w:tc>
      </w:tr>
      <w:tr w:rsidR="00B51242" w14:paraId="627AA0AC" w14:textId="77777777">
        <w:tc>
          <w:tcPr>
            <w:tcW w:w="1485" w:type="dxa"/>
            <w:shd w:val="clear" w:color="auto" w:fill="auto"/>
          </w:tcPr>
          <w:p w14:paraId="5A7AF15D" w14:textId="77777777" w:rsidR="00B51242" w:rsidRDefault="00B51242">
            <w:pPr>
              <w:spacing w:line="360" w:lineRule="auto"/>
              <w:jc w:val="both"/>
              <w:rPr>
                <w:color w:val="000000"/>
                <w:sz w:val="28"/>
                <w:szCs w:val="28"/>
              </w:rPr>
            </w:pPr>
          </w:p>
        </w:tc>
        <w:tc>
          <w:tcPr>
            <w:tcW w:w="1723" w:type="dxa"/>
            <w:shd w:val="clear" w:color="auto" w:fill="auto"/>
          </w:tcPr>
          <w:p w14:paraId="06686FEF" w14:textId="77777777" w:rsidR="00B51242" w:rsidRDefault="00B51242">
            <w:pPr>
              <w:spacing w:line="360" w:lineRule="auto"/>
              <w:jc w:val="both"/>
              <w:rPr>
                <w:color w:val="000000"/>
                <w:sz w:val="28"/>
                <w:szCs w:val="28"/>
              </w:rPr>
            </w:pPr>
          </w:p>
        </w:tc>
        <w:tc>
          <w:tcPr>
            <w:tcW w:w="1730" w:type="dxa"/>
            <w:shd w:val="clear" w:color="auto" w:fill="auto"/>
          </w:tcPr>
          <w:p w14:paraId="401A7268" w14:textId="77777777" w:rsidR="00B51242" w:rsidRDefault="00B51242">
            <w:pPr>
              <w:spacing w:line="360" w:lineRule="auto"/>
              <w:jc w:val="both"/>
              <w:rPr>
                <w:color w:val="000000"/>
                <w:sz w:val="28"/>
                <w:szCs w:val="28"/>
              </w:rPr>
            </w:pPr>
          </w:p>
        </w:tc>
        <w:tc>
          <w:tcPr>
            <w:tcW w:w="1731" w:type="dxa"/>
            <w:shd w:val="clear" w:color="auto" w:fill="auto"/>
          </w:tcPr>
          <w:p w14:paraId="752F30A4" w14:textId="77777777" w:rsidR="00B51242" w:rsidRDefault="00B51242">
            <w:pPr>
              <w:spacing w:line="360" w:lineRule="auto"/>
              <w:jc w:val="both"/>
              <w:rPr>
                <w:color w:val="000000"/>
                <w:sz w:val="28"/>
                <w:szCs w:val="28"/>
              </w:rPr>
            </w:pPr>
          </w:p>
        </w:tc>
        <w:tc>
          <w:tcPr>
            <w:tcW w:w="1722" w:type="dxa"/>
            <w:shd w:val="clear" w:color="auto" w:fill="auto"/>
          </w:tcPr>
          <w:p w14:paraId="3048BA75" w14:textId="77777777" w:rsidR="00B51242" w:rsidRDefault="00B51242">
            <w:pPr>
              <w:spacing w:line="360" w:lineRule="auto"/>
              <w:jc w:val="both"/>
              <w:rPr>
                <w:color w:val="000000"/>
                <w:sz w:val="28"/>
                <w:szCs w:val="28"/>
              </w:rPr>
            </w:pPr>
          </w:p>
        </w:tc>
      </w:tr>
      <w:tr w:rsidR="00B51242" w14:paraId="3793568E" w14:textId="77777777">
        <w:tc>
          <w:tcPr>
            <w:tcW w:w="1485" w:type="dxa"/>
            <w:shd w:val="clear" w:color="auto" w:fill="auto"/>
          </w:tcPr>
          <w:p w14:paraId="081CEB47" w14:textId="77777777" w:rsidR="00B51242" w:rsidRDefault="00B51242">
            <w:pPr>
              <w:spacing w:line="360" w:lineRule="auto"/>
              <w:jc w:val="both"/>
              <w:rPr>
                <w:color w:val="000000"/>
                <w:sz w:val="28"/>
                <w:szCs w:val="28"/>
              </w:rPr>
            </w:pPr>
          </w:p>
        </w:tc>
        <w:tc>
          <w:tcPr>
            <w:tcW w:w="1723" w:type="dxa"/>
            <w:shd w:val="clear" w:color="auto" w:fill="auto"/>
          </w:tcPr>
          <w:p w14:paraId="54D4AFED" w14:textId="77777777" w:rsidR="00B51242" w:rsidRDefault="00B51242">
            <w:pPr>
              <w:spacing w:line="360" w:lineRule="auto"/>
              <w:jc w:val="both"/>
              <w:rPr>
                <w:color w:val="000000"/>
                <w:sz w:val="28"/>
                <w:szCs w:val="28"/>
              </w:rPr>
            </w:pPr>
          </w:p>
        </w:tc>
        <w:tc>
          <w:tcPr>
            <w:tcW w:w="1730" w:type="dxa"/>
            <w:shd w:val="clear" w:color="auto" w:fill="auto"/>
          </w:tcPr>
          <w:p w14:paraId="0FBA7733" w14:textId="77777777" w:rsidR="00B51242" w:rsidRDefault="00B51242">
            <w:pPr>
              <w:spacing w:line="360" w:lineRule="auto"/>
              <w:jc w:val="both"/>
              <w:rPr>
                <w:color w:val="000000"/>
                <w:sz w:val="28"/>
                <w:szCs w:val="28"/>
              </w:rPr>
            </w:pPr>
          </w:p>
        </w:tc>
        <w:tc>
          <w:tcPr>
            <w:tcW w:w="1731" w:type="dxa"/>
            <w:shd w:val="clear" w:color="auto" w:fill="auto"/>
          </w:tcPr>
          <w:p w14:paraId="506B019F" w14:textId="77777777" w:rsidR="00B51242" w:rsidRDefault="00B51242">
            <w:pPr>
              <w:spacing w:line="360" w:lineRule="auto"/>
              <w:jc w:val="both"/>
              <w:rPr>
                <w:color w:val="000000"/>
                <w:sz w:val="28"/>
                <w:szCs w:val="28"/>
              </w:rPr>
            </w:pPr>
          </w:p>
        </w:tc>
        <w:tc>
          <w:tcPr>
            <w:tcW w:w="1722" w:type="dxa"/>
            <w:shd w:val="clear" w:color="auto" w:fill="auto"/>
          </w:tcPr>
          <w:p w14:paraId="4F7836D1" w14:textId="77777777" w:rsidR="00B51242" w:rsidRDefault="00B51242">
            <w:pPr>
              <w:spacing w:line="360" w:lineRule="auto"/>
              <w:jc w:val="both"/>
              <w:rPr>
                <w:color w:val="000000"/>
                <w:sz w:val="28"/>
                <w:szCs w:val="28"/>
              </w:rPr>
            </w:pPr>
          </w:p>
        </w:tc>
      </w:tr>
    </w:tbl>
    <w:p w14:paraId="23FD6EC2" w14:textId="77777777" w:rsidR="00B51242" w:rsidRDefault="008E4E86">
      <w:pPr>
        <w:tabs>
          <w:tab w:val="left" w:pos="0"/>
        </w:tabs>
        <w:spacing w:line="360" w:lineRule="auto"/>
        <w:jc w:val="both"/>
      </w:pPr>
      <w:r>
        <w:rPr>
          <w:color w:val="000000"/>
          <w:sz w:val="28"/>
          <w:szCs w:val="28"/>
        </w:rPr>
        <w:t xml:space="preserve">                                                                                                    </w:t>
      </w:r>
    </w:p>
    <w:p w14:paraId="03E19624" w14:textId="77777777" w:rsidR="00B51242" w:rsidRDefault="008E4E86">
      <w:pPr>
        <w:tabs>
          <w:tab w:val="left" w:pos="0"/>
        </w:tabs>
        <w:spacing w:line="360" w:lineRule="auto"/>
        <w:ind w:firstLine="737"/>
        <w:jc w:val="both"/>
      </w:pPr>
      <w:r>
        <w:rPr>
          <w:rStyle w:val="InternetLink"/>
          <w:rFonts w:eastAsia="Times New Roman" w:cs="Times New Roman"/>
          <w:color w:val="000000"/>
          <w:sz w:val="28"/>
          <w:szCs w:val="28"/>
          <w:u w:val="none"/>
          <w:lang w:eastAsia="ru-RU"/>
        </w:rPr>
        <w:t xml:space="preserve">Після формування індивідуальної ієрархії тривожних ситуацій, що ґрунтується на суб’єктивній оцінці інтенсивності переживань, першим етапом експозиційної роботи є вибір ситуації з найнижчим рівнем викликаної тривоги. </w:t>
      </w:r>
      <w:r>
        <w:rPr>
          <w:rStyle w:val="StrongEmphasis"/>
          <w:rFonts w:eastAsia="Times New Roman" w:cs="Times New Roman"/>
          <w:b w:val="0"/>
          <w:bCs w:val="0"/>
          <w:color w:val="000000"/>
          <w:sz w:val="28"/>
          <w:szCs w:val="28"/>
          <w:lang w:eastAsia="ru-RU"/>
        </w:rPr>
        <w:t>Експозиція</w:t>
      </w:r>
      <w:r>
        <w:rPr>
          <w:rStyle w:val="InternetLink"/>
          <w:rFonts w:eastAsia="Times New Roman" w:cs="Times New Roman"/>
          <w:color w:val="000000"/>
          <w:sz w:val="28"/>
          <w:szCs w:val="28"/>
          <w:u w:val="none"/>
          <w:lang w:eastAsia="ru-RU"/>
        </w:rPr>
        <w:t xml:space="preserve"> виключно керована, з письмовим планом безпеки, навчанням зупинки/паузи, та «якорями» регуляції. Такий підхід забезпечує поступовість, створює для клієнта відчуття безпеки та дозволяє сформувати початковий досвід подолання, який у подальшому посилює мотивацію до опрацювання складніших стимулів. Наступним кроком є проведення уявної експозиції (imaginal exposure), під час якої клієнт детально відтворює у свідомості обрану ситуацію, намагаючись максимально точно описати її у письмовій формі, а потім регулярно перечитувати текст уголос. Центральним завданням цього процесу є залишатися у контакті з власними емоціями та тілесними відчуттями, що виникають у відповідь на уявний травматичний стимул, доти, доки рівень тривоги не зменшиться щонайменше удвічі порівняно з початковим показником. Така тривала й контрольована експозиція забезпечує поступове зниження інтенсивності афективної реакції, сприяє десенсибілізації та формуванню толерантності до неприємних емоційних станів. У результаті клієнт набуває досвіду подолання, що знижує схильність до уникання та формує більш адаптивні механізми реагування, які є критично важливими у терапії посттравматичного стресового розладу та інших тривожних розладів. </w:t>
      </w:r>
    </w:p>
    <w:p w14:paraId="225050E7" w14:textId="77777777" w:rsidR="00B51242" w:rsidRDefault="008E4E86">
      <w:pPr>
        <w:spacing w:line="360" w:lineRule="auto"/>
        <w:ind w:firstLine="737"/>
        <w:jc w:val="both"/>
      </w:pPr>
      <w:r>
        <w:rPr>
          <w:rStyle w:val="InternetLink"/>
          <w:rFonts w:eastAsia="Times New Roman" w:cs="Times New Roman"/>
          <w:b/>
          <w:bCs/>
          <w:color w:val="000000"/>
          <w:sz w:val="28"/>
          <w:szCs w:val="28"/>
          <w:u w:val="none"/>
          <w:lang w:eastAsia="ru-RU"/>
        </w:rPr>
        <w:t xml:space="preserve">Домашнє завдання. </w:t>
      </w:r>
    </w:p>
    <w:p w14:paraId="3465AA0D" w14:textId="77777777" w:rsidR="00B51242" w:rsidRDefault="008E4E86">
      <w:pPr>
        <w:spacing w:line="360" w:lineRule="auto"/>
        <w:ind w:firstLine="737"/>
        <w:jc w:val="both"/>
      </w:pPr>
      <w:r>
        <w:rPr>
          <w:rStyle w:val="InternetLink"/>
          <w:rFonts w:eastAsia="Times New Roman" w:cs="Times New Roman"/>
          <w:color w:val="000000"/>
          <w:sz w:val="28"/>
          <w:szCs w:val="28"/>
          <w:u w:val="none"/>
          <w:lang w:eastAsia="ru-RU"/>
        </w:rPr>
        <w:t xml:space="preserve">Ексозиційні вправи.  </w:t>
      </w:r>
    </w:p>
    <w:p w14:paraId="757638D0" w14:textId="77777777" w:rsidR="00B51242" w:rsidRDefault="008E4E86">
      <w:pPr>
        <w:spacing w:line="360" w:lineRule="auto"/>
        <w:ind w:firstLine="737"/>
        <w:jc w:val="both"/>
      </w:pPr>
      <w:r>
        <w:rPr>
          <w:color w:val="000000"/>
          <w:sz w:val="28"/>
          <w:szCs w:val="28"/>
        </w:rPr>
        <w:t xml:space="preserve">Отримувачу послуг вказати, що основним принципом побудови експозиційних вправ у когнітивно-поведінковій терапії є </w:t>
      </w:r>
      <w:r>
        <w:rPr>
          <w:rStyle w:val="StrongEmphasis"/>
          <w:b w:val="0"/>
          <w:bCs w:val="0"/>
          <w:color w:val="000000"/>
          <w:sz w:val="28"/>
          <w:szCs w:val="28"/>
        </w:rPr>
        <w:t>поступовість</w:t>
      </w:r>
      <w:r>
        <w:rPr>
          <w:color w:val="000000"/>
          <w:sz w:val="28"/>
          <w:szCs w:val="28"/>
        </w:rPr>
        <w:t xml:space="preserve"> та </w:t>
      </w:r>
      <w:r>
        <w:rPr>
          <w:rStyle w:val="StrongEmphasis"/>
          <w:b w:val="0"/>
          <w:bCs w:val="0"/>
          <w:color w:val="000000"/>
          <w:sz w:val="28"/>
          <w:szCs w:val="28"/>
        </w:rPr>
        <w:t>контрольованість</w:t>
      </w:r>
      <w:r>
        <w:rPr>
          <w:color w:val="000000"/>
          <w:sz w:val="28"/>
          <w:szCs w:val="28"/>
        </w:rPr>
        <w:t xml:space="preserve"> завдань.  Перед початком експозиційного завдання необхідно провести </w:t>
      </w:r>
      <w:r>
        <w:rPr>
          <w:rStyle w:val="StrongEmphasis"/>
          <w:b w:val="0"/>
          <w:bCs w:val="0"/>
          <w:color w:val="000000"/>
          <w:sz w:val="28"/>
          <w:szCs w:val="28"/>
        </w:rPr>
        <w:t>стабілізаційні техніки</w:t>
      </w:r>
      <w:r>
        <w:rPr>
          <w:color w:val="000000"/>
          <w:sz w:val="28"/>
          <w:szCs w:val="28"/>
        </w:rPr>
        <w:t xml:space="preserve">, що забезпечують відновлення відчуття безпеки та контроль над тілесними реакціями. У разі необхідності для зниження тривожності, застосувуєтья вже засвоєна інтегрована вправа з елементами </w:t>
      </w:r>
      <w:r>
        <w:rPr>
          <w:rStyle w:val="StrongEmphasis"/>
          <w:b w:val="0"/>
          <w:bCs w:val="0"/>
          <w:color w:val="000000"/>
          <w:sz w:val="28"/>
          <w:szCs w:val="28"/>
        </w:rPr>
        <w:t>білатеральної стимуляції (EMDR)</w:t>
      </w:r>
      <w:r>
        <w:rPr>
          <w:color w:val="000000"/>
          <w:sz w:val="28"/>
          <w:szCs w:val="28"/>
        </w:rPr>
        <w:t>.</w:t>
      </w:r>
    </w:p>
    <w:p w14:paraId="563CF9EF" w14:textId="77777777" w:rsidR="00B51242" w:rsidRDefault="008E4E86">
      <w:pPr>
        <w:pStyle w:val="4"/>
        <w:numPr>
          <w:ilvl w:val="3"/>
          <w:numId w:val="6"/>
        </w:numPr>
        <w:spacing w:before="0" w:after="0" w:line="360" w:lineRule="auto"/>
        <w:ind w:firstLine="737"/>
        <w:jc w:val="both"/>
      </w:pPr>
      <w:r>
        <w:rPr>
          <w:color w:val="000000"/>
          <w:sz w:val="28"/>
          <w:szCs w:val="28"/>
        </w:rPr>
        <w:t>1. Уявна експозиція (</w:t>
      </w:r>
      <w:r>
        <w:rPr>
          <w:rStyle w:val="a3"/>
          <w:color w:val="000000"/>
          <w:sz w:val="28"/>
          <w:szCs w:val="28"/>
        </w:rPr>
        <w:t>Imaginal Exposure</w:t>
      </w:r>
      <w:r>
        <w:rPr>
          <w:color w:val="000000"/>
          <w:sz w:val="28"/>
          <w:szCs w:val="28"/>
        </w:rPr>
        <w:t>)</w:t>
      </w:r>
    </w:p>
    <w:p w14:paraId="32899E66" w14:textId="77777777" w:rsidR="00B51242" w:rsidRDefault="008E4E86">
      <w:pPr>
        <w:spacing w:line="360" w:lineRule="auto"/>
        <w:jc w:val="both"/>
        <w:rPr>
          <w:sz w:val="28"/>
          <w:szCs w:val="28"/>
        </w:rPr>
      </w:pPr>
      <w:r>
        <w:rPr>
          <w:color w:val="000000"/>
          <w:sz w:val="28"/>
          <w:szCs w:val="28"/>
        </w:rPr>
        <w:t>Цей формат застосовується, коли безпечне або можливе відтворення ситуації в реальному середовищі є утрудненим або потрібно поступово підійти до ситуації з високим степенем тривожності. Військовослужбовець повинен детально уявити травматичну або тривожну подію, фокусуючись на тілесних і емоційних реакціях, поки інтенсивність тривоги поступово не знижується. Контролює рівень активації, застосовуючи методи заземлення чи короткі фази білатеральної стимуляції для підтримання толерантності до дистресу.</w:t>
      </w:r>
    </w:p>
    <w:p w14:paraId="7DFA972D" w14:textId="77777777" w:rsidR="00B51242" w:rsidRDefault="008E4E86">
      <w:pPr>
        <w:pStyle w:val="4"/>
        <w:numPr>
          <w:ilvl w:val="3"/>
          <w:numId w:val="6"/>
        </w:numPr>
        <w:spacing w:before="0" w:after="0" w:line="360" w:lineRule="auto"/>
        <w:ind w:firstLine="737"/>
        <w:jc w:val="both"/>
      </w:pPr>
      <w:r>
        <w:rPr>
          <w:color w:val="000000"/>
          <w:sz w:val="28"/>
          <w:szCs w:val="28"/>
        </w:rPr>
        <w:t>2. Поступова експозиція в реальному житті (</w:t>
      </w:r>
      <w:r>
        <w:rPr>
          <w:rStyle w:val="a3"/>
          <w:color w:val="000000"/>
          <w:sz w:val="28"/>
          <w:szCs w:val="28"/>
        </w:rPr>
        <w:t>In Vivo Exposure</w:t>
      </w:r>
      <w:r>
        <w:rPr>
          <w:color w:val="000000"/>
          <w:sz w:val="28"/>
          <w:szCs w:val="28"/>
        </w:rPr>
        <w:t>)</w:t>
      </w:r>
    </w:p>
    <w:p w14:paraId="6D11CD91" w14:textId="77777777" w:rsidR="00B51242" w:rsidRDefault="008E4E86">
      <w:pPr>
        <w:spacing w:line="360" w:lineRule="auto"/>
        <w:jc w:val="both"/>
      </w:pPr>
      <w:r>
        <w:rPr>
          <w:color w:val="000000"/>
          <w:sz w:val="28"/>
          <w:szCs w:val="28"/>
        </w:rPr>
        <w:t xml:space="preserve">Для реалізації цього етапу спільно з психологом складається </w:t>
      </w:r>
      <w:r>
        <w:rPr>
          <w:rStyle w:val="StrongEmphasis"/>
          <w:b w:val="0"/>
          <w:bCs w:val="0"/>
          <w:color w:val="000000"/>
          <w:sz w:val="28"/>
          <w:szCs w:val="28"/>
        </w:rPr>
        <w:t>ієрархія страхів</w:t>
      </w:r>
      <w:r>
        <w:rPr>
          <w:color w:val="000000"/>
          <w:sz w:val="28"/>
          <w:szCs w:val="28"/>
        </w:rPr>
        <w:t xml:space="preserve">, що відображає конкретні ситуації від найменш до найбільш викликаючих тривогу. Така градація дозволяє уникнути емоційного перевантаження та підтримує відчуття контролю над процесом. Військовослужбовець послідовно виконує завдання з нижчих рівнів ієрархії, щоденно практикуючи </w:t>
      </w:r>
      <w:r>
        <w:rPr>
          <w:rStyle w:val="StrongEmphasis"/>
          <w:b w:val="0"/>
          <w:bCs w:val="0"/>
          <w:color w:val="000000"/>
          <w:sz w:val="28"/>
          <w:szCs w:val="28"/>
        </w:rPr>
        <w:t>1–2 кроки</w:t>
      </w:r>
      <w:r>
        <w:rPr>
          <w:color w:val="000000"/>
          <w:sz w:val="28"/>
          <w:szCs w:val="28"/>
        </w:rPr>
        <w:t xml:space="preserve"> та поступово переходячи до складніших ситуацій. Успішне виконання завдання супроводжується позитивним підкріпленням, що сприяє формуванню нових асоціацій безпеки.</w:t>
      </w:r>
    </w:p>
    <w:p w14:paraId="40714CF1" w14:textId="77777777" w:rsidR="00B51242" w:rsidRDefault="008E4E86">
      <w:pPr>
        <w:pStyle w:val="4"/>
        <w:numPr>
          <w:ilvl w:val="3"/>
          <w:numId w:val="6"/>
        </w:numPr>
        <w:spacing w:before="0" w:after="0" w:line="360" w:lineRule="auto"/>
        <w:ind w:firstLine="737"/>
        <w:jc w:val="both"/>
        <w:rPr>
          <w:sz w:val="28"/>
          <w:szCs w:val="28"/>
        </w:rPr>
      </w:pPr>
      <w:r>
        <w:rPr>
          <w:color w:val="000000"/>
          <w:sz w:val="28"/>
          <w:szCs w:val="28"/>
        </w:rPr>
        <w:t>3. Повторення ключових ситуацій</w:t>
      </w:r>
    </w:p>
    <w:p w14:paraId="427F9114" w14:textId="77777777" w:rsidR="00B51242" w:rsidRDefault="008E4E86">
      <w:pPr>
        <w:spacing w:line="360" w:lineRule="auto"/>
        <w:jc w:val="both"/>
      </w:pPr>
      <w:r>
        <w:rPr>
          <w:color w:val="000000"/>
          <w:sz w:val="28"/>
          <w:szCs w:val="28"/>
        </w:rPr>
        <w:t>Після успішного опрацювання однієї експозиційної ситуації пропонується</w:t>
      </w:r>
      <w:r>
        <w:rPr>
          <w:rStyle w:val="StrongEmphasis"/>
          <w:b w:val="0"/>
          <w:bCs w:val="0"/>
          <w:color w:val="000000"/>
          <w:sz w:val="28"/>
          <w:szCs w:val="28"/>
        </w:rPr>
        <w:t xml:space="preserve"> повторення</w:t>
      </w:r>
      <w:r>
        <w:rPr>
          <w:color w:val="000000"/>
          <w:sz w:val="28"/>
          <w:szCs w:val="28"/>
        </w:rPr>
        <w:t xml:space="preserve"> цієї ситуації. Мета — закріпити ефект десенсибілізації та забезпечити генералізацію нових навичок на реальні контексти. Повторення може здійснюватися самостійно або з підтримкою членів сім’ї.</w:t>
      </w:r>
    </w:p>
    <w:p w14:paraId="2F74A8D8" w14:textId="77777777" w:rsidR="00B51242" w:rsidRDefault="008E4E86">
      <w:pPr>
        <w:pStyle w:val="4"/>
        <w:numPr>
          <w:ilvl w:val="3"/>
          <w:numId w:val="6"/>
        </w:numPr>
        <w:spacing w:before="0" w:after="0" w:line="360" w:lineRule="auto"/>
        <w:ind w:firstLine="737"/>
        <w:jc w:val="both"/>
        <w:rPr>
          <w:sz w:val="28"/>
          <w:szCs w:val="28"/>
        </w:rPr>
      </w:pPr>
      <w:r>
        <w:rPr>
          <w:color w:val="000000"/>
          <w:sz w:val="28"/>
          <w:szCs w:val="28"/>
        </w:rPr>
        <w:t>4. Поєднання експозиції з навичками емоційної регуляції</w:t>
      </w:r>
    </w:p>
    <w:p w14:paraId="7D6E5B53" w14:textId="77777777" w:rsidR="00B51242" w:rsidRDefault="008E4E86">
      <w:pPr>
        <w:spacing w:line="360" w:lineRule="auto"/>
        <w:jc w:val="both"/>
      </w:pPr>
      <w:r>
        <w:rPr>
          <w:color w:val="000000"/>
          <w:sz w:val="28"/>
          <w:szCs w:val="28"/>
        </w:rPr>
        <w:t xml:space="preserve">Під час експозиційної практики важливо </w:t>
      </w:r>
      <w:r>
        <w:rPr>
          <w:rStyle w:val="StrongEmphasis"/>
          <w:b w:val="0"/>
          <w:bCs w:val="0"/>
          <w:color w:val="000000"/>
          <w:sz w:val="28"/>
          <w:szCs w:val="28"/>
        </w:rPr>
        <w:t>не уникати емоцій</w:t>
      </w:r>
      <w:r>
        <w:rPr>
          <w:color w:val="000000"/>
          <w:sz w:val="28"/>
          <w:szCs w:val="28"/>
        </w:rPr>
        <w:t xml:space="preserve">, а навпаки — дозволити їм проявлятися у контрольованих умовах. При цьому військовослужбовець навчається застосовувати </w:t>
      </w:r>
      <w:r>
        <w:rPr>
          <w:rStyle w:val="StrongEmphasis"/>
          <w:b w:val="0"/>
          <w:bCs w:val="0"/>
          <w:color w:val="000000"/>
          <w:sz w:val="28"/>
          <w:szCs w:val="28"/>
        </w:rPr>
        <w:t>допоміжні техніки саморегуляції</w:t>
      </w:r>
      <w:r>
        <w:rPr>
          <w:color w:val="000000"/>
          <w:sz w:val="28"/>
          <w:szCs w:val="28"/>
        </w:rPr>
        <w:t xml:space="preserve">, такі як усвідомлене дихання, майндфулнес або тілесне заземлення. </w:t>
      </w:r>
    </w:p>
    <w:p w14:paraId="5684E73A" w14:textId="77777777" w:rsidR="00B51242" w:rsidRDefault="008E4E86">
      <w:pPr>
        <w:spacing w:line="360" w:lineRule="auto"/>
        <w:ind w:firstLine="737"/>
        <w:jc w:val="both"/>
      </w:pPr>
      <w:r>
        <w:rPr>
          <w:color w:val="000000"/>
          <w:sz w:val="28"/>
          <w:szCs w:val="28"/>
        </w:rPr>
        <w:t xml:space="preserve">Після кожної експозиції клієнт проводить коротку </w:t>
      </w:r>
      <w:r>
        <w:rPr>
          <w:rStyle w:val="StrongEmphasis"/>
          <w:color w:val="000000"/>
          <w:sz w:val="28"/>
          <w:szCs w:val="28"/>
        </w:rPr>
        <w:t>саморефлексію</w:t>
      </w:r>
      <w:r>
        <w:rPr>
          <w:color w:val="000000"/>
          <w:sz w:val="28"/>
          <w:szCs w:val="28"/>
        </w:rPr>
        <w:t>, у якій фіксує:</w:t>
      </w:r>
    </w:p>
    <w:p w14:paraId="4AE75D81" w14:textId="77777777" w:rsidR="00B51242" w:rsidRDefault="008E4E86">
      <w:pPr>
        <w:tabs>
          <w:tab w:val="left" w:pos="707"/>
        </w:tabs>
        <w:spacing w:line="360" w:lineRule="auto"/>
        <w:ind w:left="707" w:hanging="283"/>
        <w:jc w:val="both"/>
        <w:rPr>
          <w:sz w:val="28"/>
          <w:szCs w:val="28"/>
        </w:rPr>
      </w:pPr>
      <w:r>
        <w:rPr>
          <w:color w:val="000000"/>
          <w:sz w:val="28"/>
          <w:szCs w:val="28"/>
        </w:rPr>
        <w:t>- що вдалося виконати;</w:t>
      </w:r>
    </w:p>
    <w:p w14:paraId="71101DB7" w14:textId="77777777" w:rsidR="00B51242" w:rsidRDefault="008E4E86">
      <w:pPr>
        <w:tabs>
          <w:tab w:val="left" w:pos="707"/>
        </w:tabs>
        <w:spacing w:line="360" w:lineRule="auto"/>
        <w:ind w:left="707" w:hanging="283"/>
        <w:jc w:val="both"/>
        <w:rPr>
          <w:sz w:val="28"/>
          <w:szCs w:val="28"/>
        </w:rPr>
      </w:pPr>
      <w:r>
        <w:rPr>
          <w:color w:val="000000"/>
          <w:sz w:val="28"/>
          <w:szCs w:val="28"/>
        </w:rPr>
        <w:t>- які уроки або нові усвідомлення отримані;</w:t>
      </w:r>
    </w:p>
    <w:p w14:paraId="4959E0E2" w14:textId="77777777" w:rsidR="00B51242" w:rsidRDefault="008E4E86">
      <w:pPr>
        <w:tabs>
          <w:tab w:val="left" w:pos="707"/>
        </w:tabs>
        <w:spacing w:line="360" w:lineRule="auto"/>
        <w:ind w:left="707" w:hanging="283"/>
        <w:jc w:val="both"/>
        <w:rPr>
          <w:sz w:val="28"/>
          <w:szCs w:val="28"/>
        </w:rPr>
      </w:pPr>
      <w:r>
        <w:rPr>
          <w:color w:val="000000"/>
          <w:sz w:val="28"/>
          <w:szCs w:val="28"/>
        </w:rPr>
        <w:t>- як змінився рівень тривоги чи напруги.</w:t>
      </w:r>
    </w:p>
    <w:p w14:paraId="04575525" w14:textId="77777777" w:rsidR="00B51242" w:rsidRDefault="008E4E86">
      <w:pPr>
        <w:spacing w:line="360" w:lineRule="auto"/>
        <w:ind w:firstLine="737"/>
        <w:jc w:val="both"/>
      </w:pPr>
      <w:r>
        <w:rPr>
          <w:color w:val="000000"/>
          <w:sz w:val="28"/>
          <w:szCs w:val="28"/>
        </w:rPr>
        <w:t xml:space="preserve">Регулярне ведення </w:t>
      </w:r>
      <w:r>
        <w:rPr>
          <w:rStyle w:val="StrongEmphasis"/>
          <w:color w:val="000000"/>
          <w:sz w:val="28"/>
          <w:szCs w:val="28"/>
        </w:rPr>
        <w:t>щоденника експозицій</w:t>
      </w:r>
      <w:r>
        <w:rPr>
          <w:color w:val="000000"/>
          <w:sz w:val="28"/>
          <w:szCs w:val="28"/>
        </w:rPr>
        <w:t xml:space="preserve"> сприяє підвищенню мотивації, дозволяє відстежувати поступ і об’єктивізує терапевтичні зміни.</w:t>
      </w:r>
    </w:p>
    <w:p w14:paraId="478D7399" w14:textId="77777777" w:rsidR="00B51242" w:rsidRDefault="00B51242">
      <w:pPr>
        <w:tabs>
          <w:tab w:val="left" w:pos="424"/>
        </w:tabs>
        <w:spacing w:line="360" w:lineRule="auto"/>
        <w:ind w:left="424"/>
        <w:jc w:val="both"/>
        <w:rPr>
          <w:b/>
          <w:bCs/>
          <w:color w:val="000000"/>
        </w:rPr>
      </w:pPr>
    </w:p>
    <w:p w14:paraId="5A2D40FE" w14:textId="77777777" w:rsidR="00B51242" w:rsidRDefault="008E4E86">
      <w:pPr>
        <w:tabs>
          <w:tab w:val="left" w:pos="424"/>
        </w:tabs>
        <w:spacing w:line="360" w:lineRule="auto"/>
        <w:ind w:left="424"/>
        <w:jc w:val="both"/>
        <w:rPr>
          <w:sz w:val="28"/>
          <w:szCs w:val="28"/>
        </w:rPr>
      </w:pPr>
      <w:r>
        <w:rPr>
          <w:b/>
          <w:bCs/>
          <w:color w:val="000000"/>
          <w:sz w:val="28"/>
          <w:szCs w:val="28"/>
        </w:rPr>
        <w:t>Заняття 8-9-10. Робота з травмою (в колаборації з психотерапевтом в методі КПТ).</w:t>
      </w:r>
    </w:p>
    <w:p w14:paraId="1AB2B8F9" w14:textId="77777777" w:rsidR="00B51242" w:rsidRDefault="00B51242">
      <w:pPr>
        <w:tabs>
          <w:tab w:val="left" w:pos="424"/>
        </w:tabs>
        <w:spacing w:line="360" w:lineRule="auto"/>
        <w:ind w:left="424"/>
        <w:jc w:val="both"/>
        <w:rPr>
          <w:b/>
          <w:bCs/>
          <w:color w:val="000000"/>
        </w:rPr>
      </w:pPr>
    </w:p>
    <w:p w14:paraId="325633F1" w14:textId="77777777" w:rsidR="00B51242" w:rsidRDefault="008E4E86">
      <w:pPr>
        <w:tabs>
          <w:tab w:val="left" w:pos="424"/>
        </w:tabs>
        <w:spacing w:line="360" w:lineRule="auto"/>
        <w:ind w:left="424"/>
        <w:jc w:val="both"/>
        <w:rPr>
          <w:sz w:val="28"/>
          <w:szCs w:val="28"/>
        </w:rPr>
      </w:pPr>
      <w:r>
        <w:rPr>
          <w:b/>
          <w:bCs/>
          <w:color w:val="000000"/>
          <w:sz w:val="28"/>
          <w:szCs w:val="28"/>
        </w:rPr>
        <w:t xml:space="preserve">Заняття 11. - Підтримка та розвиток міжособистісних відносин. </w:t>
      </w:r>
    </w:p>
    <w:p w14:paraId="3FBF0C5E" w14:textId="77777777" w:rsidR="00B51242" w:rsidRDefault="00B51242">
      <w:pPr>
        <w:tabs>
          <w:tab w:val="left" w:pos="424"/>
        </w:tabs>
        <w:spacing w:line="360" w:lineRule="auto"/>
        <w:ind w:left="424"/>
        <w:jc w:val="both"/>
        <w:rPr>
          <w:b/>
          <w:bCs/>
          <w:color w:val="000000"/>
        </w:rPr>
      </w:pPr>
    </w:p>
    <w:p w14:paraId="64B11C10" w14:textId="77777777" w:rsidR="00B51242" w:rsidRDefault="008E4E86">
      <w:pPr>
        <w:tabs>
          <w:tab w:val="left" w:pos="424"/>
        </w:tabs>
        <w:spacing w:line="360" w:lineRule="auto"/>
        <w:ind w:left="424"/>
        <w:jc w:val="both"/>
        <w:rPr>
          <w:sz w:val="28"/>
          <w:szCs w:val="28"/>
        </w:rPr>
      </w:pPr>
      <w:r>
        <w:rPr>
          <w:b/>
          <w:bCs/>
          <w:color w:val="000000"/>
          <w:sz w:val="28"/>
          <w:szCs w:val="28"/>
        </w:rPr>
        <w:t xml:space="preserve">Заняття 12. Підготовка до майбутнього. </w:t>
      </w:r>
    </w:p>
    <w:p w14:paraId="7896E9D9" w14:textId="77777777" w:rsidR="00B51242" w:rsidRDefault="00B51242">
      <w:pPr>
        <w:tabs>
          <w:tab w:val="left" w:pos="424"/>
        </w:tabs>
        <w:spacing w:line="360" w:lineRule="auto"/>
        <w:ind w:left="424"/>
        <w:jc w:val="both"/>
        <w:rPr>
          <w:color w:val="000000"/>
          <w:sz w:val="28"/>
          <w:szCs w:val="28"/>
          <w:highlight w:val="yellow"/>
          <w:lang w:val="en-US"/>
        </w:rPr>
      </w:pPr>
    </w:p>
    <w:p w14:paraId="1B319C6E" w14:textId="77777777" w:rsidR="00B51242" w:rsidRDefault="00B51242"/>
    <w:p w14:paraId="1DCF0334" w14:textId="77777777" w:rsidR="00B51242" w:rsidRDefault="00B51242"/>
    <w:p w14:paraId="2E780729" w14:textId="77777777" w:rsidR="00B51242" w:rsidRDefault="00B51242"/>
    <w:p w14:paraId="7118DC78" w14:textId="77777777" w:rsidR="00B51242" w:rsidRDefault="00B51242"/>
    <w:p w14:paraId="7876FC12" w14:textId="77777777" w:rsidR="00B51242" w:rsidRDefault="00B51242"/>
    <w:p w14:paraId="35703EDE" w14:textId="77777777" w:rsidR="00B51242" w:rsidRDefault="00B51242"/>
    <w:p w14:paraId="5E86F948" w14:textId="77777777" w:rsidR="00B51242" w:rsidRDefault="00B51242"/>
    <w:p w14:paraId="1946BE5E" w14:textId="77777777" w:rsidR="00B51242" w:rsidRDefault="00B51242"/>
    <w:p w14:paraId="51C34A15" w14:textId="77777777" w:rsidR="00B51242" w:rsidRDefault="00B51242"/>
    <w:p w14:paraId="7E051CA8" w14:textId="77777777" w:rsidR="00B51242" w:rsidRDefault="00B51242"/>
    <w:p w14:paraId="126953D2" w14:textId="77777777" w:rsidR="00B51242" w:rsidRDefault="00B51242"/>
    <w:p w14:paraId="1E5BF58C" w14:textId="77777777" w:rsidR="00B51242" w:rsidRDefault="00B51242"/>
    <w:p w14:paraId="053A08E0" w14:textId="77777777" w:rsidR="00B51242" w:rsidRDefault="00B51242"/>
    <w:p w14:paraId="1674D195" w14:textId="77777777" w:rsidR="00B51242" w:rsidRDefault="00B51242"/>
    <w:p w14:paraId="3C72A837" w14:textId="77777777" w:rsidR="00B51242" w:rsidRDefault="00B51242"/>
    <w:p w14:paraId="7A9A139D" w14:textId="77777777" w:rsidR="00B51242" w:rsidRDefault="00B51242"/>
    <w:p w14:paraId="56A0069A" w14:textId="77777777" w:rsidR="00B51242" w:rsidRDefault="00B51242"/>
    <w:p w14:paraId="7DF6F7AA" w14:textId="77777777" w:rsidR="00B51242" w:rsidRDefault="00B51242"/>
    <w:p w14:paraId="320646EB" w14:textId="77777777" w:rsidR="00B51242" w:rsidRDefault="00B51242"/>
    <w:p w14:paraId="31ED7778" w14:textId="77777777" w:rsidR="00B51242" w:rsidRDefault="00B51242"/>
    <w:p w14:paraId="532070F0" w14:textId="77777777" w:rsidR="00B51242" w:rsidRDefault="00B51242"/>
    <w:p w14:paraId="1A9B60E1" w14:textId="77777777" w:rsidR="00B51242" w:rsidRDefault="00B51242"/>
    <w:p w14:paraId="3E190F5E" w14:textId="77777777" w:rsidR="00B51242" w:rsidRDefault="00B51242"/>
    <w:p w14:paraId="0FB76C7C" w14:textId="77777777" w:rsidR="00B51242" w:rsidRDefault="00B51242">
      <w:pPr>
        <w:jc w:val="right"/>
        <w:rPr>
          <w:b/>
          <w:bCs/>
          <w:lang w:val="ru-RU"/>
        </w:rPr>
      </w:pPr>
    </w:p>
    <w:p w14:paraId="00EE7A80" w14:textId="77777777" w:rsidR="00B51242" w:rsidRDefault="00B51242">
      <w:pPr>
        <w:jc w:val="center"/>
      </w:pPr>
    </w:p>
    <w:p w14:paraId="422050C3" w14:textId="77777777" w:rsidR="00B51242" w:rsidRDefault="00B51242">
      <w:pPr>
        <w:jc w:val="center"/>
      </w:pPr>
    </w:p>
    <w:p w14:paraId="1E8E47C2" w14:textId="77777777" w:rsidR="00B51242" w:rsidRDefault="00B51242">
      <w:pPr>
        <w:jc w:val="center"/>
      </w:pPr>
    </w:p>
    <w:p w14:paraId="52E12EC1" w14:textId="77777777" w:rsidR="00B51242" w:rsidRDefault="00B51242">
      <w:pPr>
        <w:jc w:val="center"/>
      </w:pPr>
    </w:p>
    <w:p w14:paraId="6A2BC471" w14:textId="77777777" w:rsidR="00B51242" w:rsidRDefault="00B51242">
      <w:pPr>
        <w:jc w:val="center"/>
      </w:pPr>
    </w:p>
    <w:p w14:paraId="4DCC6F47" w14:textId="77777777" w:rsidR="00B51242" w:rsidRDefault="00B51242">
      <w:pPr>
        <w:jc w:val="center"/>
      </w:pPr>
    </w:p>
    <w:p w14:paraId="1B5E47D9" w14:textId="77777777" w:rsidR="00B51242" w:rsidRDefault="00B51242">
      <w:pPr>
        <w:jc w:val="center"/>
      </w:pPr>
    </w:p>
    <w:p w14:paraId="25D6C40E" w14:textId="77777777" w:rsidR="00B51242" w:rsidRDefault="00B51242">
      <w:pPr>
        <w:jc w:val="center"/>
      </w:pPr>
    </w:p>
    <w:p w14:paraId="18E7D592" w14:textId="77777777" w:rsidR="00B51242" w:rsidRDefault="00B51242">
      <w:pPr>
        <w:jc w:val="center"/>
      </w:pPr>
    </w:p>
    <w:p w14:paraId="4CC8AA0D" w14:textId="77777777" w:rsidR="00B51242" w:rsidRDefault="00B51242">
      <w:pPr>
        <w:jc w:val="center"/>
      </w:pPr>
    </w:p>
    <w:p w14:paraId="0387D0D6" w14:textId="77777777" w:rsidR="00B51242" w:rsidRDefault="00B51242">
      <w:pPr>
        <w:jc w:val="center"/>
      </w:pPr>
    </w:p>
    <w:p w14:paraId="565BFF5B" w14:textId="77777777" w:rsidR="00B51242" w:rsidRDefault="00B51242">
      <w:pPr>
        <w:jc w:val="center"/>
      </w:pPr>
    </w:p>
    <w:p w14:paraId="34CDD9EB" w14:textId="2FD7E20E" w:rsidR="00B51242" w:rsidRDefault="00B51242">
      <w:pPr>
        <w:jc w:val="center"/>
      </w:pPr>
    </w:p>
    <w:p w14:paraId="7E5594C7" w14:textId="093790D7" w:rsidR="71544B07" w:rsidRDefault="71544B07" w:rsidP="71544B07">
      <w:pPr>
        <w:jc w:val="center"/>
      </w:pPr>
    </w:p>
    <w:p w14:paraId="3E962094" w14:textId="729E82A9" w:rsidR="71544B07" w:rsidRDefault="71544B07" w:rsidP="71544B07">
      <w:pPr>
        <w:jc w:val="center"/>
      </w:pPr>
    </w:p>
    <w:p w14:paraId="116EAA18" w14:textId="0F7333A9" w:rsidR="71544B07" w:rsidRDefault="71544B07" w:rsidP="71544B07">
      <w:pPr>
        <w:jc w:val="center"/>
      </w:pPr>
      <w:r>
        <w:rPr>
          <w:noProof/>
        </w:rPr>
        <w:drawing>
          <wp:anchor distT="0" distB="0" distL="114300" distR="114300" simplePos="0" relativeHeight="11" behindDoc="0" locked="0" layoutInCell="1" allowOverlap="1" wp14:anchorId="0D997D48" wp14:editId="74F40D66">
            <wp:simplePos x="0" y="0"/>
            <wp:positionH relativeFrom="column">
              <wp:posOffset>66675</wp:posOffset>
            </wp:positionH>
            <wp:positionV relativeFrom="paragraph">
              <wp:posOffset>9525</wp:posOffset>
            </wp:positionV>
            <wp:extent cx="5554980" cy="4143375"/>
            <wp:effectExtent l="0" t="0" r="0" b="0"/>
            <wp:wrapNone/>
            <wp:docPr id="8" name="Shape3"/>
            <wp:cNvGraphicFramePr/>
            <a:graphic xmlns:a="http://schemas.openxmlformats.org/drawingml/2006/main">
              <a:graphicData uri="http://schemas.openxmlformats.org/drawingml/2006/picture">
                <pic:pic xmlns:pic="http://schemas.openxmlformats.org/drawingml/2006/picture">
                  <pic:nvPicPr>
                    <pic:cNvPr id="0" name="Shape3"/>
                    <pic:cNvPicPr/>
                  </pic:nvPicPr>
                  <pic:blipFill>
                    <a:blip r:embed="rId56"/>
                    <a:stretch/>
                  </pic:blipFill>
                  <pic:spPr>
                    <a:xfrm>
                      <a:off x="0" y="0"/>
                      <a:ext cx="5554440" cy="4142880"/>
                    </a:xfrm>
                    <a:prstGeom prst="rect">
                      <a:avLst/>
                    </a:prstGeom>
                    <a:ln>
                      <a:noFill/>
                    </a:ln>
                  </pic:spPr>
                </pic:pic>
              </a:graphicData>
            </a:graphic>
            <wp14:sizeRelH relativeFrom="page">
              <wp14:pctWidth>0</wp14:pctWidth>
            </wp14:sizeRelH>
            <wp14:sizeRelV relativeFrom="page">
              <wp14:pctHeight>0</wp14:pctHeight>
            </wp14:sizeRelV>
          </wp:anchor>
        </w:drawing>
      </w:r>
    </w:p>
    <w:p w14:paraId="62C6AA71" w14:textId="3D15BFCC" w:rsidR="71544B07" w:rsidRDefault="71544B07" w:rsidP="71544B07">
      <w:pPr>
        <w:jc w:val="center"/>
      </w:pPr>
    </w:p>
    <w:p w14:paraId="4354E1F0" w14:textId="01B37068" w:rsidR="71544B07" w:rsidRDefault="71544B07" w:rsidP="71544B07">
      <w:pPr>
        <w:jc w:val="center"/>
      </w:pPr>
    </w:p>
    <w:p w14:paraId="77E8E48E" w14:textId="73FFE49E" w:rsidR="71544B07" w:rsidRDefault="71544B07" w:rsidP="71544B07">
      <w:pPr>
        <w:jc w:val="center"/>
      </w:pPr>
    </w:p>
    <w:p w14:paraId="56B45875" w14:textId="00F3B1E6" w:rsidR="71544B07" w:rsidRDefault="71544B07" w:rsidP="71544B07">
      <w:pPr>
        <w:jc w:val="center"/>
      </w:pPr>
    </w:p>
    <w:p w14:paraId="1E869BF1" w14:textId="08F54CF8" w:rsidR="71544B07" w:rsidRDefault="71544B07" w:rsidP="71544B07">
      <w:pPr>
        <w:jc w:val="center"/>
      </w:pPr>
    </w:p>
    <w:p w14:paraId="77D09D9B" w14:textId="21564853" w:rsidR="71544B07" w:rsidRDefault="71544B07" w:rsidP="71544B07">
      <w:pPr>
        <w:jc w:val="center"/>
      </w:pPr>
    </w:p>
    <w:p w14:paraId="33A4BC39" w14:textId="26B3B71E" w:rsidR="71544B07" w:rsidRDefault="71544B07" w:rsidP="71544B07">
      <w:pPr>
        <w:jc w:val="center"/>
      </w:pPr>
    </w:p>
    <w:p w14:paraId="4288A316" w14:textId="465C7183" w:rsidR="71544B07" w:rsidRDefault="71544B07" w:rsidP="71544B07">
      <w:pPr>
        <w:jc w:val="center"/>
      </w:pPr>
    </w:p>
    <w:p w14:paraId="47B24F5B" w14:textId="49864C53" w:rsidR="71544B07" w:rsidRDefault="71544B07" w:rsidP="71544B07">
      <w:pPr>
        <w:jc w:val="center"/>
      </w:pPr>
    </w:p>
    <w:p w14:paraId="1AA0095A" w14:textId="48A26F8F" w:rsidR="71544B07" w:rsidRDefault="71544B07" w:rsidP="71544B07">
      <w:pPr>
        <w:jc w:val="center"/>
      </w:pPr>
    </w:p>
    <w:p w14:paraId="422B29F6" w14:textId="507BB6A3" w:rsidR="71544B07" w:rsidRDefault="71544B07" w:rsidP="71544B07">
      <w:pPr>
        <w:jc w:val="center"/>
      </w:pPr>
    </w:p>
    <w:p w14:paraId="57205773" w14:textId="6093F6F0" w:rsidR="71544B07" w:rsidRDefault="71544B07" w:rsidP="71544B07">
      <w:pPr>
        <w:jc w:val="center"/>
      </w:pPr>
    </w:p>
    <w:p w14:paraId="460AE576" w14:textId="29C43F33" w:rsidR="71544B07" w:rsidRDefault="71544B07" w:rsidP="71544B07">
      <w:pPr>
        <w:jc w:val="center"/>
      </w:pPr>
    </w:p>
    <w:p w14:paraId="6289E04C" w14:textId="369B7700" w:rsidR="71544B07" w:rsidRDefault="71544B07" w:rsidP="71544B07">
      <w:pPr>
        <w:jc w:val="center"/>
      </w:pPr>
    </w:p>
    <w:p w14:paraId="611A81C1" w14:textId="77920FD1" w:rsidR="71544B07" w:rsidRDefault="71544B07" w:rsidP="71544B07">
      <w:pPr>
        <w:jc w:val="center"/>
      </w:pPr>
    </w:p>
    <w:p w14:paraId="0E651EB4" w14:textId="1F8CC7BD" w:rsidR="71544B07" w:rsidRDefault="71544B07" w:rsidP="71544B07">
      <w:pPr>
        <w:jc w:val="center"/>
      </w:pPr>
    </w:p>
    <w:p w14:paraId="634D6D2A" w14:textId="47FA7E15" w:rsidR="71544B07" w:rsidRDefault="71544B07" w:rsidP="71544B07">
      <w:pPr>
        <w:jc w:val="center"/>
      </w:pPr>
    </w:p>
    <w:p w14:paraId="7CAB1C18" w14:textId="5AEEA3C8" w:rsidR="71544B07" w:rsidRDefault="71544B07" w:rsidP="71544B07">
      <w:pPr>
        <w:jc w:val="center"/>
      </w:pPr>
    </w:p>
    <w:p w14:paraId="05238349" w14:textId="48A217F5" w:rsidR="71544B07" w:rsidRDefault="71544B07" w:rsidP="71544B07">
      <w:pPr>
        <w:jc w:val="center"/>
      </w:pPr>
    </w:p>
    <w:p w14:paraId="22A19274" w14:textId="6003C6A8" w:rsidR="71544B07" w:rsidRDefault="71544B07" w:rsidP="71544B07">
      <w:pPr>
        <w:jc w:val="center"/>
      </w:pPr>
    </w:p>
    <w:p w14:paraId="69B135A6" w14:textId="3E0C8614" w:rsidR="71544B07" w:rsidRDefault="71544B07" w:rsidP="71544B07">
      <w:pPr>
        <w:jc w:val="center"/>
      </w:pPr>
    </w:p>
    <w:p w14:paraId="44F87138" w14:textId="6C699928" w:rsidR="71544B07" w:rsidRDefault="71544B07" w:rsidP="71544B07">
      <w:pPr>
        <w:jc w:val="center"/>
      </w:pPr>
    </w:p>
    <w:p w14:paraId="0C38A1C5" w14:textId="24A91075" w:rsidR="71544B07" w:rsidRDefault="71544B07" w:rsidP="71544B07">
      <w:pPr>
        <w:jc w:val="center"/>
      </w:pPr>
    </w:p>
    <w:p w14:paraId="04CF6543" w14:textId="70C85366" w:rsidR="71544B07" w:rsidRDefault="71544B07" w:rsidP="71544B07">
      <w:pPr>
        <w:jc w:val="center"/>
      </w:pPr>
    </w:p>
    <w:p w14:paraId="6E3AC043" w14:textId="11FCA6DA" w:rsidR="71544B07" w:rsidRDefault="71544B07" w:rsidP="71544B07">
      <w:pPr>
        <w:jc w:val="center"/>
      </w:pPr>
    </w:p>
    <w:p w14:paraId="702DEAFA" w14:textId="72D6EAC3" w:rsidR="71544B07" w:rsidRDefault="71544B07" w:rsidP="71544B07">
      <w:pPr>
        <w:jc w:val="center"/>
      </w:pPr>
    </w:p>
    <w:p w14:paraId="12FDF9B3" w14:textId="0770521D" w:rsidR="71544B07" w:rsidRDefault="71544B07" w:rsidP="71544B07">
      <w:pPr>
        <w:jc w:val="center"/>
      </w:pPr>
    </w:p>
    <w:p w14:paraId="498AF0D8" w14:textId="77777777" w:rsidR="00B51242" w:rsidRDefault="00B51242">
      <w:pPr>
        <w:jc w:val="center"/>
      </w:pPr>
    </w:p>
    <w:p w14:paraId="263F3B9E" w14:textId="77777777" w:rsidR="00B51242" w:rsidRDefault="00B51242">
      <w:pPr>
        <w:jc w:val="center"/>
      </w:pPr>
    </w:p>
    <w:p w14:paraId="16E5E008" w14:textId="77777777" w:rsidR="00B51242" w:rsidRDefault="00B51242">
      <w:pPr>
        <w:jc w:val="center"/>
      </w:pPr>
    </w:p>
    <w:p w14:paraId="40D2860B" w14:textId="77777777" w:rsidR="00B51242" w:rsidRDefault="00B51242">
      <w:pPr>
        <w:jc w:val="center"/>
      </w:pPr>
    </w:p>
    <w:p w14:paraId="42050CB3" w14:textId="77777777" w:rsidR="00B51242" w:rsidRDefault="00B51242">
      <w:pPr>
        <w:jc w:val="center"/>
      </w:pPr>
    </w:p>
    <w:p w14:paraId="130CC4CD" w14:textId="77777777" w:rsidR="00B51242" w:rsidRDefault="00B51242">
      <w:pPr>
        <w:jc w:val="center"/>
      </w:pPr>
    </w:p>
    <w:p w14:paraId="055BFDB1" w14:textId="77777777" w:rsidR="00B51242" w:rsidRDefault="00B51242">
      <w:pPr>
        <w:jc w:val="center"/>
      </w:pPr>
    </w:p>
    <w:p w14:paraId="38E78751" w14:textId="77777777" w:rsidR="00B51242" w:rsidRDefault="00B51242">
      <w:pPr>
        <w:jc w:val="center"/>
      </w:pPr>
    </w:p>
    <w:p w14:paraId="62A75F99" w14:textId="77777777" w:rsidR="00B51242" w:rsidRDefault="00B51242">
      <w:pPr>
        <w:jc w:val="center"/>
      </w:pPr>
    </w:p>
    <w:p w14:paraId="2ECAA31B" w14:textId="77777777" w:rsidR="00B51242" w:rsidRDefault="00B51242">
      <w:pPr>
        <w:jc w:val="center"/>
      </w:pPr>
    </w:p>
    <w:p w14:paraId="2FBD1CFD" w14:textId="77777777" w:rsidR="00B51242" w:rsidRDefault="00B51242">
      <w:pPr>
        <w:jc w:val="center"/>
      </w:pPr>
    </w:p>
    <w:p w14:paraId="3FDCE676" w14:textId="77777777" w:rsidR="00B51242" w:rsidRDefault="00B51242">
      <w:pPr>
        <w:jc w:val="center"/>
      </w:pPr>
    </w:p>
    <w:p w14:paraId="2FC0A1CB" w14:textId="77777777" w:rsidR="00B51242" w:rsidRDefault="00B51242">
      <w:pPr>
        <w:jc w:val="center"/>
      </w:pPr>
    </w:p>
    <w:p w14:paraId="3A2BAADD" w14:textId="77777777" w:rsidR="00B51242" w:rsidRDefault="00B51242">
      <w:pPr>
        <w:jc w:val="center"/>
      </w:pPr>
    </w:p>
    <w:p w14:paraId="2E4B6A3E" w14:textId="77777777" w:rsidR="00B51242" w:rsidRDefault="00B51242">
      <w:pPr>
        <w:jc w:val="center"/>
      </w:pPr>
    </w:p>
    <w:p w14:paraId="7EF37AA3" w14:textId="77777777" w:rsidR="00B51242" w:rsidRDefault="00B51242">
      <w:pPr>
        <w:jc w:val="center"/>
      </w:pPr>
    </w:p>
    <w:p w14:paraId="3C7576EC" w14:textId="77777777" w:rsidR="00B51242" w:rsidRDefault="00B51242">
      <w:pPr>
        <w:jc w:val="center"/>
      </w:pPr>
    </w:p>
    <w:p w14:paraId="6000547E" w14:textId="77777777" w:rsidR="00B51242" w:rsidRDefault="00B51242">
      <w:pPr>
        <w:jc w:val="center"/>
      </w:pPr>
    </w:p>
    <w:p w14:paraId="71F798A8" w14:textId="77777777" w:rsidR="00B51242" w:rsidRDefault="00B51242">
      <w:pPr>
        <w:jc w:val="center"/>
      </w:pPr>
    </w:p>
    <w:p w14:paraId="5BC294DE" w14:textId="77777777" w:rsidR="00B51242" w:rsidRDefault="71544B07">
      <w:pPr>
        <w:jc w:val="center"/>
      </w:pPr>
      <w:r>
        <w:rPr>
          <w:noProof/>
        </w:rPr>
        <w:drawing>
          <wp:anchor distT="0" distB="0" distL="114300" distR="114300" simplePos="0" relativeHeight="10" behindDoc="0" locked="0" layoutInCell="1" allowOverlap="1" wp14:anchorId="5908BF0A" wp14:editId="492681CA">
            <wp:simplePos x="0" y="0"/>
            <wp:positionH relativeFrom="column">
              <wp:posOffset>161925</wp:posOffset>
            </wp:positionH>
            <wp:positionV relativeFrom="paragraph">
              <wp:posOffset>171450</wp:posOffset>
            </wp:positionV>
            <wp:extent cx="5168900" cy="7417435"/>
            <wp:effectExtent l="0" t="0" r="0" b="0"/>
            <wp:wrapNone/>
            <wp:docPr id="9" name="Shape2"/>
            <wp:cNvGraphicFramePr/>
            <a:graphic xmlns:a="http://schemas.openxmlformats.org/drawingml/2006/main">
              <a:graphicData uri="http://schemas.openxmlformats.org/drawingml/2006/picture">
                <pic:pic xmlns:pic="http://schemas.openxmlformats.org/drawingml/2006/picture">
                  <pic:nvPicPr>
                    <pic:cNvPr id="1" name="Shape2"/>
                    <pic:cNvPicPr/>
                  </pic:nvPicPr>
                  <pic:blipFill>
                    <a:blip r:embed="rId57"/>
                    <a:stretch/>
                  </pic:blipFill>
                  <pic:spPr>
                    <a:xfrm>
                      <a:off x="0" y="0"/>
                      <a:ext cx="5168160" cy="7416720"/>
                    </a:xfrm>
                    <a:prstGeom prst="rect">
                      <a:avLst/>
                    </a:prstGeom>
                    <a:ln>
                      <a:noFill/>
                    </a:ln>
                  </pic:spPr>
                </pic:pic>
              </a:graphicData>
            </a:graphic>
            <wp14:sizeRelH relativeFrom="page">
              <wp14:pctWidth>0</wp14:pctWidth>
            </wp14:sizeRelH>
            <wp14:sizeRelV relativeFrom="page">
              <wp14:pctHeight>0</wp14:pctHeight>
            </wp14:sizeRelV>
          </wp:anchor>
        </w:drawing>
      </w:r>
    </w:p>
    <w:p w14:paraId="7D36B6E2" w14:textId="77777777" w:rsidR="00B51242" w:rsidRDefault="00B51242">
      <w:pPr>
        <w:jc w:val="center"/>
      </w:pPr>
    </w:p>
    <w:p w14:paraId="43A65479" w14:textId="77777777" w:rsidR="00B51242" w:rsidRDefault="00B51242">
      <w:pPr>
        <w:jc w:val="center"/>
      </w:pPr>
    </w:p>
    <w:p w14:paraId="70648378" w14:textId="77777777" w:rsidR="00B51242" w:rsidRDefault="00B51242">
      <w:pPr>
        <w:jc w:val="center"/>
      </w:pPr>
    </w:p>
    <w:p w14:paraId="50040504" w14:textId="77777777" w:rsidR="00B51242" w:rsidRDefault="00B51242">
      <w:pPr>
        <w:jc w:val="center"/>
      </w:pPr>
    </w:p>
    <w:p w14:paraId="1F28F27C" w14:textId="77777777" w:rsidR="00B51242" w:rsidRDefault="00B51242">
      <w:pPr>
        <w:jc w:val="center"/>
      </w:pPr>
    </w:p>
    <w:p w14:paraId="4A87C363" w14:textId="77777777" w:rsidR="00B51242" w:rsidRDefault="00B51242">
      <w:pPr>
        <w:jc w:val="center"/>
      </w:pPr>
    </w:p>
    <w:p w14:paraId="4DF9E10C" w14:textId="77777777" w:rsidR="00B51242" w:rsidRDefault="00B51242">
      <w:pPr>
        <w:jc w:val="center"/>
      </w:pPr>
    </w:p>
    <w:p w14:paraId="2A243E61" w14:textId="77777777" w:rsidR="00B51242" w:rsidRDefault="00B51242">
      <w:pPr>
        <w:jc w:val="center"/>
      </w:pPr>
    </w:p>
    <w:p w14:paraId="43D98CF8" w14:textId="77777777" w:rsidR="00B51242" w:rsidRDefault="00B51242">
      <w:pPr>
        <w:jc w:val="center"/>
      </w:pPr>
    </w:p>
    <w:p w14:paraId="75C32BFB" w14:textId="77777777" w:rsidR="00B51242" w:rsidRDefault="00B51242">
      <w:pPr>
        <w:jc w:val="center"/>
      </w:pPr>
    </w:p>
    <w:p w14:paraId="0662AD45" w14:textId="77777777" w:rsidR="00B51242" w:rsidRDefault="00B51242">
      <w:pPr>
        <w:jc w:val="center"/>
      </w:pPr>
    </w:p>
    <w:p w14:paraId="757622BD" w14:textId="77777777" w:rsidR="00B51242" w:rsidRDefault="00B51242">
      <w:pPr>
        <w:jc w:val="center"/>
      </w:pPr>
    </w:p>
    <w:p w14:paraId="6D72DC9D" w14:textId="77777777" w:rsidR="00B51242" w:rsidRDefault="00B51242">
      <w:pPr>
        <w:jc w:val="center"/>
      </w:pPr>
    </w:p>
    <w:p w14:paraId="477AB001" w14:textId="77777777" w:rsidR="00B51242" w:rsidRDefault="00B51242">
      <w:pPr>
        <w:jc w:val="center"/>
      </w:pPr>
    </w:p>
    <w:p w14:paraId="369B25BB" w14:textId="77777777" w:rsidR="00B51242" w:rsidRDefault="00B51242">
      <w:pPr>
        <w:jc w:val="center"/>
      </w:pPr>
    </w:p>
    <w:p w14:paraId="3DACA320" w14:textId="77777777" w:rsidR="00B51242" w:rsidRDefault="00B51242">
      <w:pPr>
        <w:jc w:val="center"/>
      </w:pPr>
    </w:p>
    <w:p w14:paraId="53DBAC7D" w14:textId="77777777" w:rsidR="00B51242" w:rsidRDefault="00B51242">
      <w:pPr>
        <w:jc w:val="center"/>
      </w:pPr>
    </w:p>
    <w:p w14:paraId="6A1B5C7B" w14:textId="77777777" w:rsidR="00B51242" w:rsidRDefault="00B51242">
      <w:pPr>
        <w:jc w:val="center"/>
      </w:pPr>
    </w:p>
    <w:p w14:paraId="4D35CF86" w14:textId="77777777" w:rsidR="00B51242" w:rsidRDefault="00B51242">
      <w:pPr>
        <w:jc w:val="center"/>
      </w:pPr>
    </w:p>
    <w:p w14:paraId="0B09DA9F" w14:textId="77777777" w:rsidR="00B51242" w:rsidRDefault="00B51242">
      <w:pPr>
        <w:jc w:val="center"/>
      </w:pPr>
    </w:p>
    <w:p w14:paraId="0C36D25E" w14:textId="77777777" w:rsidR="00B51242" w:rsidRDefault="00B51242">
      <w:pPr>
        <w:jc w:val="center"/>
      </w:pPr>
    </w:p>
    <w:p w14:paraId="18CEC12B" w14:textId="77777777" w:rsidR="00B51242" w:rsidRDefault="00B51242">
      <w:pPr>
        <w:jc w:val="center"/>
      </w:pPr>
    </w:p>
    <w:p w14:paraId="0ADD416C" w14:textId="77777777" w:rsidR="00B51242" w:rsidRDefault="00B51242">
      <w:pPr>
        <w:jc w:val="center"/>
      </w:pPr>
    </w:p>
    <w:p w14:paraId="78C0D4CB" w14:textId="77777777" w:rsidR="00B51242" w:rsidRDefault="00B51242">
      <w:pPr>
        <w:jc w:val="center"/>
      </w:pPr>
    </w:p>
    <w:p w14:paraId="55482F3C" w14:textId="77777777" w:rsidR="00B51242" w:rsidRDefault="00B51242">
      <w:pPr>
        <w:jc w:val="center"/>
      </w:pPr>
    </w:p>
    <w:p w14:paraId="075937F9" w14:textId="77777777" w:rsidR="00B51242" w:rsidRDefault="00B51242">
      <w:pPr>
        <w:jc w:val="center"/>
      </w:pPr>
    </w:p>
    <w:p w14:paraId="30FAE3EA" w14:textId="77777777" w:rsidR="00B51242" w:rsidRDefault="00B51242">
      <w:pPr>
        <w:jc w:val="center"/>
      </w:pPr>
    </w:p>
    <w:p w14:paraId="31282F13" w14:textId="77777777" w:rsidR="00B51242" w:rsidRDefault="00B51242">
      <w:pPr>
        <w:jc w:val="center"/>
      </w:pPr>
    </w:p>
    <w:p w14:paraId="77AF947F" w14:textId="77777777" w:rsidR="00B51242" w:rsidRDefault="00B51242">
      <w:pPr>
        <w:jc w:val="center"/>
      </w:pPr>
    </w:p>
    <w:p w14:paraId="38ECD459" w14:textId="77777777" w:rsidR="00B51242" w:rsidRDefault="00B51242">
      <w:pPr>
        <w:jc w:val="center"/>
      </w:pPr>
    </w:p>
    <w:p w14:paraId="6EC59BF1" w14:textId="77777777" w:rsidR="00B51242" w:rsidRDefault="00B51242">
      <w:pPr>
        <w:jc w:val="center"/>
      </w:pPr>
    </w:p>
    <w:p w14:paraId="66962885" w14:textId="77777777" w:rsidR="00B51242" w:rsidRDefault="00B51242">
      <w:pPr>
        <w:jc w:val="center"/>
      </w:pPr>
    </w:p>
    <w:p w14:paraId="569D64D9" w14:textId="77777777" w:rsidR="00B51242" w:rsidRDefault="00B51242">
      <w:pPr>
        <w:jc w:val="center"/>
      </w:pPr>
    </w:p>
    <w:p w14:paraId="39E0584D" w14:textId="77777777" w:rsidR="00B51242" w:rsidRDefault="00B51242">
      <w:pPr>
        <w:jc w:val="center"/>
      </w:pPr>
    </w:p>
    <w:p w14:paraId="0BB1A27E" w14:textId="77777777" w:rsidR="00B51242" w:rsidRDefault="00B51242">
      <w:pPr>
        <w:jc w:val="center"/>
      </w:pPr>
    </w:p>
    <w:p w14:paraId="0F8B125C" w14:textId="77777777" w:rsidR="00B51242" w:rsidRDefault="00B51242">
      <w:pPr>
        <w:jc w:val="center"/>
      </w:pPr>
    </w:p>
    <w:p w14:paraId="41C60458" w14:textId="77777777" w:rsidR="00B51242" w:rsidRDefault="00B51242">
      <w:pPr>
        <w:jc w:val="center"/>
      </w:pPr>
    </w:p>
    <w:p w14:paraId="4267F419" w14:textId="77777777" w:rsidR="00B51242" w:rsidRDefault="00B51242">
      <w:pPr>
        <w:jc w:val="center"/>
      </w:pPr>
    </w:p>
    <w:p w14:paraId="2307325F" w14:textId="77777777" w:rsidR="00B51242" w:rsidRDefault="00B51242">
      <w:pPr>
        <w:jc w:val="center"/>
      </w:pPr>
    </w:p>
    <w:p w14:paraId="313AE7F5" w14:textId="77777777" w:rsidR="00B51242" w:rsidRDefault="00B51242">
      <w:pPr>
        <w:jc w:val="center"/>
      </w:pPr>
    </w:p>
    <w:p w14:paraId="168F65D8" w14:textId="77777777" w:rsidR="00B51242" w:rsidRDefault="00B51242">
      <w:pPr>
        <w:jc w:val="center"/>
      </w:pPr>
    </w:p>
    <w:p w14:paraId="2647A633" w14:textId="2508CD69" w:rsidR="7DB5F3C8" w:rsidRDefault="7DB5F3C8" w:rsidP="7DB5F3C8">
      <w:pPr>
        <w:jc w:val="center"/>
      </w:pPr>
    </w:p>
    <w:p w14:paraId="5E6D0F7C" w14:textId="69D88F09" w:rsidR="7DB5F3C8" w:rsidRDefault="7DB5F3C8" w:rsidP="7DB5F3C8">
      <w:pPr>
        <w:jc w:val="center"/>
      </w:pPr>
    </w:p>
    <w:p w14:paraId="0A17054A" w14:textId="7BD43A6E" w:rsidR="7DB5F3C8" w:rsidRDefault="7DB5F3C8" w:rsidP="7DB5F3C8">
      <w:pPr>
        <w:jc w:val="center"/>
      </w:pPr>
    </w:p>
    <w:p w14:paraId="44776EA7" w14:textId="07CDDA2C" w:rsidR="7DB5F3C8" w:rsidRDefault="7DB5F3C8" w:rsidP="7DB5F3C8">
      <w:pPr>
        <w:jc w:val="center"/>
      </w:pPr>
    </w:p>
    <w:p w14:paraId="20A7725C" w14:textId="7C1A8F00" w:rsidR="7DB5F3C8" w:rsidRDefault="7DB5F3C8" w:rsidP="7DB5F3C8">
      <w:pPr>
        <w:jc w:val="center"/>
      </w:pPr>
    </w:p>
    <w:p w14:paraId="4426013B" w14:textId="0CCA39EF" w:rsidR="7DB5F3C8" w:rsidRDefault="7DB5F3C8" w:rsidP="7DB5F3C8">
      <w:pPr>
        <w:jc w:val="center"/>
      </w:pPr>
    </w:p>
    <w:p w14:paraId="033D0B8D" w14:textId="20BE46E8" w:rsidR="7DB5F3C8" w:rsidRDefault="7DB5F3C8" w:rsidP="7DB5F3C8">
      <w:pPr>
        <w:jc w:val="center"/>
      </w:pPr>
    </w:p>
    <w:p w14:paraId="70EC90D8" w14:textId="6BDBF35F" w:rsidR="7DB5F3C8" w:rsidRDefault="7DB5F3C8" w:rsidP="7DB5F3C8">
      <w:pPr>
        <w:jc w:val="center"/>
      </w:pPr>
    </w:p>
    <w:p w14:paraId="160A5547" w14:textId="5A4D54A9" w:rsidR="7DB5F3C8" w:rsidRDefault="7DB5F3C8" w:rsidP="7DB5F3C8">
      <w:pPr>
        <w:jc w:val="center"/>
      </w:pPr>
    </w:p>
    <w:p w14:paraId="42744895" w14:textId="3EC53ED4" w:rsidR="7DB5F3C8" w:rsidRDefault="7DB5F3C8" w:rsidP="7DB5F3C8">
      <w:pPr>
        <w:jc w:val="center"/>
      </w:pPr>
    </w:p>
    <w:p w14:paraId="74C7A683" w14:textId="0FF1FDD7" w:rsidR="7DB5F3C8" w:rsidRDefault="7DB5F3C8" w:rsidP="7DB5F3C8">
      <w:pPr>
        <w:jc w:val="center"/>
      </w:pPr>
    </w:p>
    <w:p w14:paraId="26A737D2" w14:textId="3C780220" w:rsidR="7DB5F3C8" w:rsidRDefault="7DB5F3C8" w:rsidP="7DB5F3C8">
      <w:pPr>
        <w:jc w:val="center"/>
      </w:pPr>
    </w:p>
    <w:p w14:paraId="11628DF5" w14:textId="04983E8F" w:rsidR="7DB5F3C8" w:rsidRDefault="7DB5F3C8" w:rsidP="7DB5F3C8">
      <w:pPr>
        <w:jc w:val="center"/>
      </w:pPr>
    </w:p>
    <w:p w14:paraId="4962F366" w14:textId="0B3F5577" w:rsidR="7DB5F3C8" w:rsidRDefault="6ED13D8E" w:rsidP="7DB5F3C8">
      <w:pPr>
        <w:jc w:val="center"/>
      </w:pPr>
      <w:r>
        <w:rPr>
          <w:noProof/>
        </w:rPr>
        <w:drawing>
          <wp:anchor distT="0" distB="0" distL="114300" distR="114300" simplePos="0" relativeHeight="9" behindDoc="0" locked="0" layoutInCell="1" allowOverlap="1" wp14:anchorId="2974C4EB" wp14:editId="47E0858B">
            <wp:simplePos x="0" y="0"/>
            <wp:positionH relativeFrom="column">
              <wp:posOffset>-133350</wp:posOffset>
            </wp:positionH>
            <wp:positionV relativeFrom="paragraph">
              <wp:posOffset>114300</wp:posOffset>
            </wp:positionV>
            <wp:extent cx="5603240" cy="4710430"/>
            <wp:effectExtent l="0" t="0" r="0" b="0"/>
            <wp:wrapNone/>
            <wp:docPr id="10" name="Shape1"/>
            <wp:cNvGraphicFramePr/>
            <a:graphic xmlns:a="http://schemas.openxmlformats.org/drawingml/2006/main">
              <a:graphicData uri="http://schemas.openxmlformats.org/drawingml/2006/picture">
                <pic:pic xmlns:pic="http://schemas.openxmlformats.org/drawingml/2006/picture">
                  <pic:nvPicPr>
                    <pic:cNvPr id="2" name="Shape1"/>
                    <pic:cNvPicPr/>
                  </pic:nvPicPr>
                  <pic:blipFill>
                    <a:blip r:embed="rId58"/>
                    <a:stretch/>
                  </pic:blipFill>
                  <pic:spPr>
                    <a:xfrm>
                      <a:off x="0" y="0"/>
                      <a:ext cx="5602680" cy="4709880"/>
                    </a:xfrm>
                    <a:prstGeom prst="rect">
                      <a:avLst/>
                    </a:prstGeom>
                    <a:ln>
                      <a:noFill/>
                    </a:ln>
                  </pic:spPr>
                </pic:pic>
              </a:graphicData>
            </a:graphic>
            <wp14:sizeRelH relativeFrom="page">
              <wp14:pctWidth>0</wp14:pctWidth>
            </wp14:sizeRelH>
            <wp14:sizeRelV relativeFrom="page">
              <wp14:pctHeight>0</wp14:pctHeight>
            </wp14:sizeRelV>
          </wp:anchor>
        </w:drawing>
      </w:r>
    </w:p>
    <w:p w14:paraId="3C9F12EC" w14:textId="4A5E8C0F" w:rsidR="7DB5F3C8" w:rsidRDefault="7DB5F3C8" w:rsidP="7DB5F3C8">
      <w:pPr>
        <w:jc w:val="center"/>
      </w:pPr>
    </w:p>
    <w:p w14:paraId="5D18EF0D" w14:textId="380FB7B5" w:rsidR="7DB5F3C8" w:rsidRDefault="7DB5F3C8" w:rsidP="7DB5F3C8">
      <w:pPr>
        <w:jc w:val="center"/>
      </w:pPr>
    </w:p>
    <w:p w14:paraId="44B92335" w14:textId="1596F452" w:rsidR="7DB5F3C8" w:rsidRDefault="7DB5F3C8" w:rsidP="7DB5F3C8">
      <w:pPr>
        <w:jc w:val="center"/>
      </w:pPr>
    </w:p>
    <w:p w14:paraId="460FA7C8" w14:textId="77777777" w:rsidR="00B51242" w:rsidRDefault="00B51242">
      <w:pPr>
        <w:jc w:val="center"/>
      </w:pPr>
    </w:p>
    <w:p w14:paraId="76A5953D" w14:textId="77777777" w:rsidR="00B51242" w:rsidRDefault="00B51242">
      <w:pPr>
        <w:jc w:val="center"/>
      </w:pPr>
    </w:p>
    <w:p w14:paraId="3C07BD89" w14:textId="77777777" w:rsidR="00B51242" w:rsidRDefault="00B51242">
      <w:pPr>
        <w:jc w:val="center"/>
      </w:pPr>
    </w:p>
    <w:p w14:paraId="63FE3489" w14:textId="77777777" w:rsidR="00B51242" w:rsidRDefault="00B51242">
      <w:pPr>
        <w:jc w:val="center"/>
      </w:pPr>
    </w:p>
    <w:p w14:paraId="52B8818E" w14:textId="77777777" w:rsidR="00B51242" w:rsidRDefault="00B51242">
      <w:pPr>
        <w:jc w:val="center"/>
      </w:pPr>
    </w:p>
    <w:p w14:paraId="2A3FBCD1" w14:textId="77777777" w:rsidR="00B51242" w:rsidRDefault="00B51242">
      <w:pPr>
        <w:jc w:val="center"/>
      </w:pPr>
    </w:p>
    <w:p w14:paraId="7EB1873D" w14:textId="77777777" w:rsidR="00B51242" w:rsidRDefault="00B51242">
      <w:pPr>
        <w:jc w:val="center"/>
      </w:pPr>
    </w:p>
    <w:p w14:paraId="4A4A9837" w14:textId="77777777" w:rsidR="00B51242" w:rsidRDefault="00B51242">
      <w:pPr>
        <w:jc w:val="center"/>
      </w:pPr>
    </w:p>
    <w:p w14:paraId="5624F43B" w14:textId="77777777" w:rsidR="00B51242" w:rsidRDefault="00B51242">
      <w:pPr>
        <w:jc w:val="center"/>
      </w:pPr>
    </w:p>
    <w:p w14:paraId="2A9F3CD3" w14:textId="77777777" w:rsidR="00B51242" w:rsidRDefault="00B51242">
      <w:pPr>
        <w:jc w:val="center"/>
      </w:pPr>
    </w:p>
    <w:p w14:paraId="6C71870F" w14:textId="77777777" w:rsidR="00B51242" w:rsidRDefault="00B51242">
      <w:pPr>
        <w:jc w:val="center"/>
      </w:pPr>
    </w:p>
    <w:p w14:paraId="7C11E962" w14:textId="77777777" w:rsidR="00B51242" w:rsidRDefault="00B51242">
      <w:pPr>
        <w:jc w:val="center"/>
      </w:pPr>
    </w:p>
    <w:p w14:paraId="575AB783" w14:textId="77777777" w:rsidR="00B51242" w:rsidRDefault="00B51242">
      <w:pPr>
        <w:jc w:val="center"/>
      </w:pPr>
    </w:p>
    <w:p w14:paraId="246C2908" w14:textId="77777777" w:rsidR="00B51242" w:rsidRDefault="00B51242">
      <w:pPr>
        <w:jc w:val="center"/>
      </w:pPr>
    </w:p>
    <w:p w14:paraId="1AA19132" w14:textId="77777777" w:rsidR="00B51242" w:rsidRDefault="00B51242">
      <w:pPr>
        <w:jc w:val="center"/>
      </w:pPr>
    </w:p>
    <w:p w14:paraId="5BC88503" w14:textId="77777777" w:rsidR="00B51242" w:rsidRDefault="00B51242">
      <w:pPr>
        <w:jc w:val="center"/>
      </w:pPr>
    </w:p>
    <w:p w14:paraId="5775F54F" w14:textId="77777777" w:rsidR="00B51242" w:rsidRDefault="00B51242">
      <w:pPr>
        <w:jc w:val="center"/>
      </w:pPr>
    </w:p>
    <w:p w14:paraId="6F6C9D5F" w14:textId="77777777" w:rsidR="00B51242" w:rsidRDefault="00B51242">
      <w:pPr>
        <w:jc w:val="center"/>
      </w:pPr>
    </w:p>
    <w:p w14:paraId="3A3644DA" w14:textId="77777777" w:rsidR="00B51242" w:rsidRDefault="00B51242">
      <w:pPr>
        <w:jc w:val="center"/>
      </w:pPr>
    </w:p>
    <w:p w14:paraId="3B4902DB" w14:textId="77777777" w:rsidR="00B51242" w:rsidRDefault="00B51242">
      <w:pPr>
        <w:jc w:val="center"/>
      </w:pPr>
    </w:p>
    <w:p w14:paraId="32842F1D" w14:textId="77777777" w:rsidR="00B51242" w:rsidRDefault="00B51242">
      <w:pPr>
        <w:jc w:val="center"/>
      </w:pPr>
    </w:p>
    <w:p w14:paraId="711CDE5E" w14:textId="77777777" w:rsidR="00B51242" w:rsidRDefault="00B51242">
      <w:pPr>
        <w:jc w:val="center"/>
      </w:pPr>
    </w:p>
    <w:p w14:paraId="6A2BC585" w14:textId="77777777" w:rsidR="00B51242" w:rsidRDefault="00B51242">
      <w:pPr>
        <w:jc w:val="center"/>
      </w:pPr>
    </w:p>
    <w:p w14:paraId="49A616B1" w14:textId="77777777" w:rsidR="00B51242" w:rsidRDefault="00B51242">
      <w:pPr>
        <w:jc w:val="center"/>
      </w:pPr>
    </w:p>
    <w:p w14:paraId="3B4B52B0" w14:textId="77777777" w:rsidR="00B51242" w:rsidRDefault="00B51242">
      <w:pPr>
        <w:jc w:val="center"/>
      </w:pPr>
    </w:p>
    <w:p w14:paraId="6A8F822E" w14:textId="77777777" w:rsidR="00B51242" w:rsidRDefault="00B51242">
      <w:pPr>
        <w:jc w:val="center"/>
      </w:pPr>
    </w:p>
    <w:p w14:paraId="2EA75E83" w14:textId="77777777" w:rsidR="00B51242" w:rsidRDefault="00B51242">
      <w:pPr>
        <w:jc w:val="center"/>
      </w:pPr>
    </w:p>
    <w:p w14:paraId="4AC4FE2F" w14:textId="77777777" w:rsidR="00B51242" w:rsidRDefault="00B51242">
      <w:pPr>
        <w:jc w:val="center"/>
      </w:pPr>
    </w:p>
    <w:p w14:paraId="5B09ED56" w14:textId="77777777" w:rsidR="00B51242" w:rsidRDefault="00B51242">
      <w:pPr>
        <w:jc w:val="center"/>
      </w:pPr>
    </w:p>
    <w:p w14:paraId="5812E170" w14:textId="77777777" w:rsidR="00B51242" w:rsidRDefault="00B51242">
      <w:pPr>
        <w:jc w:val="center"/>
      </w:pPr>
    </w:p>
    <w:p w14:paraId="278AFD40" w14:textId="77777777" w:rsidR="00B51242" w:rsidRDefault="00B51242">
      <w:pPr>
        <w:jc w:val="center"/>
      </w:pPr>
    </w:p>
    <w:p w14:paraId="29DB5971" w14:textId="77777777" w:rsidR="00B51242" w:rsidRDefault="00B51242">
      <w:pPr>
        <w:jc w:val="center"/>
      </w:pPr>
    </w:p>
    <w:p w14:paraId="0D85ACE2" w14:textId="77777777" w:rsidR="00B51242" w:rsidRDefault="00B51242">
      <w:pPr>
        <w:jc w:val="center"/>
      </w:pPr>
    </w:p>
    <w:p w14:paraId="70F35735" w14:textId="77777777" w:rsidR="00B51242" w:rsidRDefault="00B51242">
      <w:pPr>
        <w:jc w:val="center"/>
      </w:pPr>
    </w:p>
    <w:p w14:paraId="5D255343" w14:textId="77777777" w:rsidR="00B51242" w:rsidRDefault="00B51242">
      <w:pPr>
        <w:jc w:val="center"/>
      </w:pPr>
    </w:p>
    <w:p w14:paraId="552C276D" w14:textId="77777777" w:rsidR="00B51242" w:rsidRDefault="00B51242">
      <w:pPr>
        <w:jc w:val="center"/>
      </w:pPr>
    </w:p>
    <w:p w14:paraId="1F8AFB83" w14:textId="77777777" w:rsidR="00B51242" w:rsidRDefault="00B51242">
      <w:pPr>
        <w:jc w:val="center"/>
      </w:pPr>
    </w:p>
    <w:p w14:paraId="68342FE7" w14:textId="77777777" w:rsidR="00B51242" w:rsidRDefault="00B51242">
      <w:pPr>
        <w:jc w:val="center"/>
      </w:pPr>
    </w:p>
    <w:p w14:paraId="40776332" w14:textId="77777777" w:rsidR="00B51242" w:rsidRDefault="00B51242">
      <w:pPr>
        <w:jc w:val="center"/>
      </w:pPr>
    </w:p>
    <w:p w14:paraId="107E9FD5" w14:textId="77777777" w:rsidR="00B51242" w:rsidRDefault="00B51242">
      <w:pPr>
        <w:jc w:val="center"/>
      </w:pPr>
    </w:p>
    <w:p w14:paraId="564A82CB" w14:textId="77777777" w:rsidR="00B51242" w:rsidRDefault="00B51242">
      <w:pPr>
        <w:jc w:val="center"/>
      </w:pPr>
    </w:p>
    <w:p w14:paraId="3CE28D4A" w14:textId="77777777" w:rsidR="00B51242" w:rsidRDefault="00B51242">
      <w:pPr>
        <w:jc w:val="center"/>
      </w:pPr>
    </w:p>
    <w:p w14:paraId="03E60B2D" w14:textId="77777777" w:rsidR="00B51242" w:rsidRDefault="00B51242">
      <w:pPr>
        <w:jc w:val="center"/>
      </w:pPr>
    </w:p>
    <w:p w14:paraId="41A1092D" w14:textId="77777777" w:rsidR="00B51242" w:rsidRDefault="00B51242">
      <w:pPr>
        <w:jc w:val="center"/>
      </w:pPr>
    </w:p>
    <w:p w14:paraId="03CC5A65" w14:textId="77777777" w:rsidR="00B51242" w:rsidRDefault="00B51242">
      <w:pPr>
        <w:jc w:val="center"/>
      </w:pPr>
    </w:p>
    <w:p w14:paraId="63ACB6A2" w14:textId="77777777" w:rsidR="00B51242" w:rsidRDefault="00B51242">
      <w:pPr>
        <w:jc w:val="center"/>
      </w:pPr>
    </w:p>
    <w:p w14:paraId="2C8D472F" w14:textId="77777777" w:rsidR="00B51242" w:rsidRDefault="00B51242">
      <w:pPr>
        <w:jc w:val="center"/>
      </w:pPr>
    </w:p>
    <w:p w14:paraId="4EE55097" w14:textId="77777777" w:rsidR="00B51242" w:rsidRDefault="00B51242">
      <w:pPr>
        <w:jc w:val="center"/>
      </w:pPr>
    </w:p>
    <w:p w14:paraId="68AE7378" w14:textId="77777777" w:rsidR="00B51242" w:rsidRDefault="00B51242">
      <w:pPr>
        <w:jc w:val="center"/>
      </w:pPr>
    </w:p>
    <w:p w14:paraId="33CE2273" w14:textId="77777777" w:rsidR="00B51242" w:rsidRDefault="00B51242">
      <w:pPr>
        <w:jc w:val="center"/>
      </w:pPr>
    </w:p>
    <w:p w14:paraId="59CA3B16" w14:textId="77777777" w:rsidR="00B51242" w:rsidRDefault="00B51242">
      <w:pPr>
        <w:jc w:val="center"/>
      </w:pPr>
    </w:p>
    <w:p w14:paraId="5CF92296" w14:textId="77777777" w:rsidR="00B51242" w:rsidRDefault="00B51242">
      <w:pPr>
        <w:jc w:val="center"/>
      </w:pPr>
    </w:p>
    <w:p w14:paraId="3BCBCB4C" w14:textId="77777777" w:rsidR="00B51242" w:rsidRDefault="00B51242">
      <w:pPr>
        <w:jc w:val="center"/>
      </w:pPr>
    </w:p>
    <w:p w14:paraId="5B48A671" w14:textId="77777777" w:rsidR="00B51242" w:rsidRDefault="00B51242">
      <w:pPr>
        <w:jc w:val="center"/>
      </w:pPr>
    </w:p>
    <w:p w14:paraId="675380AA" w14:textId="77777777" w:rsidR="00B51242" w:rsidRDefault="00B51242">
      <w:pPr>
        <w:jc w:val="center"/>
      </w:pPr>
    </w:p>
    <w:p w14:paraId="2D830042" w14:textId="77777777" w:rsidR="00B51242" w:rsidRDefault="00B51242">
      <w:pPr>
        <w:jc w:val="center"/>
      </w:pPr>
    </w:p>
    <w:p w14:paraId="46CCE917" w14:textId="77777777" w:rsidR="00B51242" w:rsidRDefault="00B51242">
      <w:pPr>
        <w:jc w:val="center"/>
      </w:pPr>
    </w:p>
    <w:p w14:paraId="70D96B49" w14:textId="77777777" w:rsidR="00B51242" w:rsidRDefault="00B51242">
      <w:pPr>
        <w:jc w:val="center"/>
      </w:pPr>
    </w:p>
    <w:p w14:paraId="162343FA" w14:textId="77777777" w:rsidR="00B51242" w:rsidRDefault="00B51242">
      <w:pPr>
        <w:jc w:val="center"/>
      </w:pPr>
    </w:p>
    <w:p w14:paraId="44CD0D84" w14:textId="77777777" w:rsidR="00B51242" w:rsidRDefault="00B51242">
      <w:pPr>
        <w:jc w:val="center"/>
      </w:pPr>
    </w:p>
    <w:p w14:paraId="0E5EEF3F" w14:textId="77777777" w:rsidR="00B51242" w:rsidRDefault="00B51242"/>
    <w:sectPr w:rsidR="00B51242">
      <w:headerReference w:type="default" r:id="rId59"/>
      <w:pgSz w:w="11906" w:h="16838"/>
      <w:pgMar w:top="895" w:right="908" w:bottom="1092" w:left="1736" w:header="838" w:footer="0" w:gutter="0"/>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7079048" w14:textId="77777777" w:rsidR="00454211" w:rsidRDefault="00454211">
      <w:r>
        <w:separator/>
      </w:r>
    </w:p>
  </w:endnote>
  <w:endnote w:type="continuationSeparator" w:id="0">
    <w:p w14:paraId="5043C369" w14:textId="77777777" w:rsidR="00454211" w:rsidRDefault="004542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font>
  <w:font w:name="Times New Roman">
    <w:panose1 w:val="02020603050405020304"/>
    <w:charset w:val="00"/>
    <w:family w:val="roman"/>
    <w:pitch w:val="variable"/>
    <w:sig w:usb0="E0002AFF" w:usb1="C0007843" w:usb2="00000009" w:usb3="00000000" w:csb0="000001FF" w:csb1="00000000"/>
  </w:font>
  <w:font w:name="OpenSymbol">
    <w:altName w:val="Cambria"/>
    <w:charset w:val="CC"/>
    <w:family w:val="roman"/>
    <w:pitch w:val="variable"/>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CC"/>
    <w:family w:val="roman"/>
    <w:pitch w:val="variable"/>
  </w:font>
  <w:font w:name="Calibri">
    <w:panose1 w:val="020F0502020204030204"/>
    <w:charset w:val="00"/>
    <w:family w:val="swiss"/>
    <w:pitch w:val="variable"/>
    <w:sig w:usb0="E00002FF" w:usb1="4000ACFF" w:usb2="00000001" w:usb3="00000000" w:csb0="0000019F" w:csb1="00000000"/>
  </w:font>
  <w:font w:name="Gentona;Myriad Pro;sans-serif">
    <w:panose1 w:val="00000000000000000000"/>
    <w:charset w:val="00"/>
    <w:family w:val="roman"/>
    <w:notTrueType/>
    <w:pitch w:val="default"/>
  </w:font>
  <w:font w:name="Source Sans Pro Web;Helvetica N">
    <w:panose1 w:val="00000000000000000000"/>
    <w:charset w:val="00"/>
    <w:family w:val="roman"/>
    <w:notTrueType/>
    <w:pitch w:val="default"/>
  </w:font>
  <w:font w:name="Mangal">
    <w:panose1 w:val="00000400000000000000"/>
    <w:charset w:val="00"/>
    <w:family w:val="roman"/>
    <w:pitch w:val="variable"/>
    <w:sig w:usb0="00008003" w:usb1="00000000" w:usb2="00000000" w:usb3="00000000" w:csb0="00000001" w:csb1="00000000"/>
  </w:font>
  <w:font w:name="TimesNewRomanPSMT">
    <w:panose1 w:val="00000000000000000000"/>
    <w:charset w:val="00"/>
    <w:family w:val="roman"/>
    <w:notTrueType/>
    <w:pitch w:val="default"/>
  </w:font>
  <w:font w:name="Calibri Light">
    <w:panose1 w:val="020F0302020204030204"/>
    <w:charset w:val="CC"/>
    <w:family w:val="roman"/>
    <w:pitch w:val="variable"/>
  </w:font>
  <w:font w:name="Noto Sans;Helvetica;Roboto;Aria">
    <w:altName w:val="Cambria"/>
    <w:panose1 w:val="00000000000000000000"/>
    <w:charset w:val="00"/>
    <w:family w:val="roman"/>
    <w:notTrueType/>
    <w:pitch w:val="default"/>
  </w:font>
  <w:font w:name="Merriweather;Georgia;Cambria;Ti">
    <w:altName w:val="Cambria"/>
    <w:panose1 w:val="00000000000000000000"/>
    <w:charset w:val="00"/>
    <w:family w:val="roman"/>
    <w:notTrueType/>
    <w:pitch w:val="default"/>
  </w:font>
  <w:font w:name="Linux Libertine;Georgia;Times;S">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77707B" w14:textId="77777777" w:rsidR="00454211" w:rsidRDefault="00454211">
      <w:r>
        <w:separator/>
      </w:r>
    </w:p>
  </w:footnote>
  <w:footnote w:type="continuationSeparator" w:id="0">
    <w:p w14:paraId="50DDF93C" w14:textId="77777777" w:rsidR="00454211" w:rsidRDefault="004542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B39E3B" w14:textId="77777777" w:rsidR="00B51242" w:rsidRDefault="008E4E86">
    <w:pPr>
      <w:jc w:val="right"/>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4B6D8C" w14:textId="77777777" w:rsidR="00B51242" w:rsidRDefault="008E4E86">
    <w:pPr>
      <w:jc w:val="right"/>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DC364FE"/>
    <w:multiLevelType w:val="multilevel"/>
    <w:tmpl w:val="82FA110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4F25AA9"/>
    <w:multiLevelType w:val="multilevel"/>
    <w:tmpl w:val="EAA8DEF8"/>
    <w:lvl w:ilvl="0">
      <w:start w:val="1"/>
      <w:numFmt w:val="bullet"/>
      <w:lvlText w:val=""/>
      <w:lvlJc w:val="left"/>
      <w:pPr>
        <w:tabs>
          <w:tab w:val="num" w:pos="707"/>
        </w:tabs>
        <w:ind w:left="707" w:hanging="283"/>
      </w:pPr>
      <w:rPr>
        <w:rFonts w:ascii="Symbol" w:hAnsi="Symbol" w:cs="OpenSymbol" w:hint="default"/>
        <w:sz w:val="28"/>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2" w15:restartNumberingAfterBreak="0">
    <w:nsid w:val="2D0A9F4E"/>
    <w:multiLevelType w:val="multilevel"/>
    <w:tmpl w:val="D25A680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pStyle w:val="4"/>
      <w:suff w:val="nothing"/>
      <w:lvlText w:val=""/>
      <w:lvlJc w:val="left"/>
      <w:pPr>
        <w:ind w:left="0" w:firstLine="0"/>
      </w:pPr>
    </w:lvl>
    <w:lvl w:ilvl="4">
      <w:start w:val="1"/>
      <w:numFmt w:val="none"/>
      <w:pStyle w:val="5"/>
      <w:suff w:val="nothing"/>
      <w:lvlText w:val=""/>
      <w:lvlJc w:val="left"/>
      <w:pPr>
        <w:ind w:left="0" w:firstLine="0"/>
      </w:pPr>
    </w:lvl>
    <w:lvl w:ilvl="5">
      <w:start w:val="1"/>
      <w:numFmt w:val="none"/>
      <w:pStyle w:val="6"/>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15:restartNumberingAfterBreak="0">
    <w:nsid w:val="338BBE96"/>
    <w:multiLevelType w:val="multilevel"/>
    <w:tmpl w:val="86A85994"/>
    <w:lvl w:ilvl="0">
      <w:start w:val="1"/>
      <w:numFmt w:val="bullet"/>
      <w:lvlText w:val=""/>
      <w:lvlJc w:val="left"/>
      <w:pPr>
        <w:tabs>
          <w:tab w:val="num" w:pos="707"/>
        </w:tabs>
        <w:ind w:left="707" w:hanging="283"/>
      </w:pPr>
      <w:rPr>
        <w:rFonts w:ascii="Symbol" w:hAnsi="Symbol" w:cs="OpenSymbol" w:hint="default"/>
        <w:sz w:val="28"/>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4" w15:restartNumberingAfterBreak="0">
    <w:nsid w:val="58F6B814"/>
    <w:multiLevelType w:val="multilevel"/>
    <w:tmpl w:val="514A08C4"/>
    <w:lvl w:ilvl="0">
      <w:start w:val="1"/>
      <w:numFmt w:val="decimal"/>
      <w:lvlText w:val="%1."/>
      <w:lvlJc w:val="left"/>
      <w:pPr>
        <w:tabs>
          <w:tab w:val="num" w:pos="707"/>
        </w:tabs>
        <w:ind w:left="707" w:hanging="283"/>
      </w:pPr>
      <w:rPr>
        <w:b/>
        <w:bCs/>
        <w:sz w:val="28"/>
        <w:szCs w:val="28"/>
      </w:rPr>
    </w:lvl>
    <w:lvl w:ilvl="1">
      <w:start w:val="1"/>
      <w:numFmt w:val="decimal"/>
      <w:lvlText w:val="%2."/>
      <w:lvlJc w:val="left"/>
      <w:pPr>
        <w:tabs>
          <w:tab w:val="num" w:pos="1414"/>
        </w:tabs>
        <w:ind w:left="1414" w:hanging="283"/>
      </w:pPr>
      <w:rPr>
        <w:b/>
        <w:bCs/>
        <w:sz w:val="28"/>
        <w:szCs w:val="28"/>
      </w:rPr>
    </w:lvl>
    <w:lvl w:ilvl="2">
      <w:start w:val="1"/>
      <w:numFmt w:val="decimal"/>
      <w:lvlText w:val="%3."/>
      <w:lvlJc w:val="left"/>
      <w:pPr>
        <w:tabs>
          <w:tab w:val="num" w:pos="2121"/>
        </w:tabs>
        <w:ind w:left="2121" w:hanging="283"/>
      </w:pPr>
      <w:rPr>
        <w:b/>
        <w:bCs/>
        <w:sz w:val="28"/>
        <w:szCs w:val="28"/>
      </w:rPr>
    </w:lvl>
    <w:lvl w:ilvl="3">
      <w:start w:val="1"/>
      <w:numFmt w:val="decimal"/>
      <w:lvlText w:val="%4."/>
      <w:lvlJc w:val="left"/>
      <w:pPr>
        <w:tabs>
          <w:tab w:val="num" w:pos="2828"/>
        </w:tabs>
        <w:ind w:left="2828" w:hanging="283"/>
      </w:pPr>
      <w:rPr>
        <w:b/>
        <w:bCs/>
        <w:sz w:val="28"/>
        <w:szCs w:val="28"/>
      </w:rPr>
    </w:lvl>
    <w:lvl w:ilvl="4">
      <w:start w:val="1"/>
      <w:numFmt w:val="decimal"/>
      <w:lvlText w:val="%5."/>
      <w:lvlJc w:val="left"/>
      <w:pPr>
        <w:tabs>
          <w:tab w:val="num" w:pos="3535"/>
        </w:tabs>
        <w:ind w:left="3535" w:hanging="283"/>
      </w:pPr>
      <w:rPr>
        <w:b/>
        <w:bCs/>
        <w:sz w:val="28"/>
        <w:szCs w:val="28"/>
      </w:rPr>
    </w:lvl>
    <w:lvl w:ilvl="5">
      <w:start w:val="1"/>
      <w:numFmt w:val="decimal"/>
      <w:lvlText w:val="%6."/>
      <w:lvlJc w:val="left"/>
      <w:pPr>
        <w:tabs>
          <w:tab w:val="num" w:pos="4242"/>
        </w:tabs>
        <w:ind w:left="4242" w:hanging="283"/>
      </w:pPr>
      <w:rPr>
        <w:b/>
        <w:bCs/>
        <w:sz w:val="28"/>
        <w:szCs w:val="28"/>
      </w:rPr>
    </w:lvl>
    <w:lvl w:ilvl="6">
      <w:start w:val="1"/>
      <w:numFmt w:val="decimal"/>
      <w:lvlText w:val="%7."/>
      <w:lvlJc w:val="left"/>
      <w:pPr>
        <w:tabs>
          <w:tab w:val="num" w:pos="4949"/>
        </w:tabs>
        <w:ind w:left="4949" w:hanging="283"/>
      </w:pPr>
      <w:rPr>
        <w:b/>
        <w:bCs/>
        <w:sz w:val="28"/>
        <w:szCs w:val="28"/>
      </w:rPr>
    </w:lvl>
    <w:lvl w:ilvl="7">
      <w:start w:val="1"/>
      <w:numFmt w:val="decimal"/>
      <w:lvlText w:val="%8."/>
      <w:lvlJc w:val="left"/>
      <w:pPr>
        <w:tabs>
          <w:tab w:val="num" w:pos="5656"/>
        </w:tabs>
        <w:ind w:left="5656" w:hanging="283"/>
      </w:pPr>
      <w:rPr>
        <w:b/>
        <w:bCs/>
        <w:sz w:val="28"/>
        <w:szCs w:val="28"/>
      </w:rPr>
    </w:lvl>
    <w:lvl w:ilvl="8">
      <w:start w:val="1"/>
      <w:numFmt w:val="decimal"/>
      <w:lvlText w:val="%9."/>
      <w:lvlJc w:val="left"/>
      <w:pPr>
        <w:tabs>
          <w:tab w:val="num" w:pos="6363"/>
        </w:tabs>
        <w:ind w:left="6363" w:hanging="283"/>
      </w:pPr>
      <w:rPr>
        <w:b/>
        <w:bCs/>
        <w:sz w:val="28"/>
        <w:szCs w:val="28"/>
      </w:rPr>
    </w:lvl>
  </w:abstractNum>
  <w:abstractNum w:abstractNumId="5" w15:restartNumberingAfterBreak="0">
    <w:nsid w:val="5BFB219C"/>
    <w:multiLevelType w:val="multilevel"/>
    <w:tmpl w:val="B01CCAB8"/>
    <w:lvl w:ilvl="0">
      <w:start w:val="1"/>
      <w:numFmt w:val="bullet"/>
      <w:lvlText w:val=""/>
      <w:lvlJc w:val="left"/>
      <w:pPr>
        <w:tabs>
          <w:tab w:val="num" w:pos="707"/>
        </w:tabs>
        <w:ind w:left="707" w:hanging="283"/>
      </w:pPr>
      <w:rPr>
        <w:rFonts w:ascii="Symbol" w:hAnsi="Symbol" w:cs="OpenSymbol" w:hint="default"/>
        <w:sz w:val="28"/>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6" w15:restartNumberingAfterBreak="0">
    <w:nsid w:val="6E6F9099"/>
    <w:multiLevelType w:val="multilevel"/>
    <w:tmpl w:val="73E0C9E8"/>
    <w:lvl w:ilvl="0">
      <w:start w:val="1"/>
      <w:numFmt w:val="decimal"/>
      <w:lvlText w:val="%1."/>
      <w:lvlJc w:val="left"/>
      <w:pPr>
        <w:tabs>
          <w:tab w:val="num" w:pos="720"/>
        </w:tabs>
        <w:ind w:left="720" w:hanging="360"/>
      </w:pPr>
      <w:rPr>
        <w:b/>
        <w:bCs/>
        <w:sz w:val="28"/>
        <w:szCs w:val="28"/>
      </w:rPr>
    </w:lvl>
    <w:lvl w:ilvl="1">
      <w:start w:val="1"/>
      <w:numFmt w:val="decimal"/>
      <w:lvlText w:val="%2."/>
      <w:lvlJc w:val="left"/>
      <w:pPr>
        <w:tabs>
          <w:tab w:val="num" w:pos="1080"/>
        </w:tabs>
        <w:ind w:left="1080" w:hanging="360"/>
      </w:pPr>
      <w:rPr>
        <w:b/>
        <w:bCs/>
        <w:sz w:val="28"/>
        <w:szCs w:val="28"/>
      </w:rPr>
    </w:lvl>
    <w:lvl w:ilvl="2">
      <w:start w:val="1"/>
      <w:numFmt w:val="decimal"/>
      <w:lvlText w:val="%3."/>
      <w:lvlJc w:val="left"/>
      <w:pPr>
        <w:tabs>
          <w:tab w:val="num" w:pos="1440"/>
        </w:tabs>
        <w:ind w:left="1440" w:hanging="360"/>
      </w:pPr>
      <w:rPr>
        <w:b/>
        <w:bCs/>
        <w:sz w:val="28"/>
        <w:szCs w:val="28"/>
      </w:rPr>
    </w:lvl>
    <w:lvl w:ilvl="3">
      <w:start w:val="1"/>
      <w:numFmt w:val="decimal"/>
      <w:lvlText w:val="%4."/>
      <w:lvlJc w:val="left"/>
      <w:pPr>
        <w:tabs>
          <w:tab w:val="num" w:pos="1800"/>
        </w:tabs>
        <w:ind w:left="1800" w:hanging="360"/>
      </w:pPr>
      <w:rPr>
        <w:b/>
        <w:bCs/>
        <w:sz w:val="28"/>
        <w:szCs w:val="28"/>
      </w:rPr>
    </w:lvl>
    <w:lvl w:ilvl="4">
      <w:start w:val="1"/>
      <w:numFmt w:val="decimal"/>
      <w:lvlText w:val="%5."/>
      <w:lvlJc w:val="left"/>
      <w:pPr>
        <w:tabs>
          <w:tab w:val="num" w:pos="2160"/>
        </w:tabs>
        <w:ind w:left="2160" w:hanging="360"/>
      </w:pPr>
      <w:rPr>
        <w:b/>
        <w:bCs/>
        <w:sz w:val="28"/>
        <w:szCs w:val="28"/>
      </w:rPr>
    </w:lvl>
    <w:lvl w:ilvl="5">
      <w:start w:val="1"/>
      <w:numFmt w:val="decimal"/>
      <w:lvlText w:val="%6."/>
      <w:lvlJc w:val="left"/>
      <w:pPr>
        <w:tabs>
          <w:tab w:val="num" w:pos="2520"/>
        </w:tabs>
        <w:ind w:left="2520" w:hanging="360"/>
      </w:pPr>
      <w:rPr>
        <w:b/>
        <w:bCs/>
        <w:sz w:val="28"/>
        <w:szCs w:val="28"/>
      </w:rPr>
    </w:lvl>
    <w:lvl w:ilvl="6">
      <w:start w:val="1"/>
      <w:numFmt w:val="decimal"/>
      <w:lvlText w:val="%7."/>
      <w:lvlJc w:val="left"/>
      <w:pPr>
        <w:tabs>
          <w:tab w:val="num" w:pos="2880"/>
        </w:tabs>
        <w:ind w:left="2880" w:hanging="360"/>
      </w:pPr>
      <w:rPr>
        <w:b/>
        <w:bCs/>
        <w:sz w:val="28"/>
        <w:szCs w:val="28"/>
      </w:rPr>
    </w:lvl>
    <w:lvl w:ilvl="7">
      <w:start w:val="1"/>
      <w:numFmt w:val="decimal"/>
      <w:lvlText w:val="%8."/>
      <w:lvlJc w:val="left"/>
      <w:pPr>
        <w:tabs>
          <w:tab w:val="num" w:pos="3240"/>
        </w:tabs>
        <w:ind w:left="3240" w:hanging="360"/>
      </w:pPr>
      <w:rPr>
        <w:b/>
        <w:bCs/>
        <w:sz w:val="28"/>
        <w:szCs w:val="28"/>
      </w:rPr>
    </w:lvl>
    <w:lvl w:ilvl="8">
      <w:start w:val="1"/>
      <w:numFmt w:val="decimal"/>
      <w:lvlText w:val="%9."/>
      <w:lvlJc w:val="left"/>
      <w:pPr>
        <w:tabs>
          <w:tab w:val="num" w:pos="3600"/>
        </w:tabs>
        <w:ind w:left="3600" w:hanging="360"/>
      </w:pPr>
      <w:rPr>
        <w:b/>
        <w:bCs/>
        <w:sz w:val="28"/>
        <w:szCs w:val="28"/>
      </w:rPr>
    </w:lvl>
  </w:abstractNum>
  <w:num w:numId="1">
    <w:abstractNumId w:val="2"/>
  </w:num>
  <w:num w:numId="2">
    <w:abstractNumId w:val="5"/>
  </w:num>
  <w:num w:numId="3">
    <w:abstractNumId w:val="3"/>
  </w:num>
  <w:num w:numId="4">
    <w:abstractNumId w:val="1"/>
  </w:num>
  <w:num w:numId="5">
    <w:abstractNumId w:val="4"/>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5E59440"/>
    <w:rsid w:val="00454211"/>
    <w:rsid w:val="008E4E86"/>
    <w:rsid w:val="00B51242"/>
    <w:rsid w:val="00D3629B"/>
    <w:rsid w:val="00F127A9"/>
    <w:rsid w:val="04645F91"/>
    <w:rsid w:val="057B164F"/>
    <w:rsid w:val="05E59440"/>
    <w:rsid w:val="14B07848"/>
    <w:rsid w:val="1E610DEF"/>
    <w:rsid w:val="2F4748B8"/>
    <w:rsid w:val="30A08BF1"/>
    <w:rsid w:val="3357E7C4"/>
    <w:rsid w:val="44175096"/>
    <w:rsid w:val="5329414A"/>
    <w:rsid w:val="59C05C6E"/>
    <w:rsid w:val="600E650D"/>
    <w:rsid w:val="64D0C595"/>
    <w:rsid w:val="6A736FF5"/>
    <w:rsid w:val="6B213432"/>
    <w:rsid w:val="6C75FCA4"/>
    <w:rsid w:val="6ED13D8E"/>
    <w:rsid w:val="71544B07"/>
    <w:rsid w:val="744D0AF5"/>
    <w:rsid w:val="76F4FFF7"/>
    <w:rsid w:val="7CC053F2"/>
    <w:rsid w:val="7DB5F3C8"/>
    <w:rsid w:val="7EF0E09B"/>
    <w:rsid w:val="7FFDFE06"/>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3998F"/>
  <w15:docId w15:val="{AFBF329A-0D00-4261-B2E0-FE85700A5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NSimSun" w:hAnsi="Times New Roman" w:cs="Arial"/>
        <w:kern w:val="2"/>
        <w:szCs w:val="24"/>
        <w:lang w:val="uk-UA"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sz w:val="24"/>
    </w:rPr>
  </w:style>
  <w:style w:type="paragraph" w:styleId="1">
    <w:name w:val="heading 1"/>
    <w:uiPriority w:val="9"/>
    <w:qFormat/>
    <w:pPr>
      <w:overflowPunct w:val="0"/>
      <w:spacing w:before="240" w:after="120"/>
      <w:outlineLvl w:val="0"/>
    </w:pPr>
    <w:rPr>
      <w:b/>
      <w:bCs/>
      <w:sz w:val="48"/>
      <w:szCs w:val="48"/>
    </w:rPr>
  </w:style>
  <w:style w:type="paragraph" w:styleId="2">
    <w:name w:val="heading 2"/>
    <w:uiPriority w:val="9"/>
    <w:unhideWhenUsed/>
    <w:qFormat/>
    <w:pPr>
      <w:overflowPunct w:val="0"/>
      <w:spacing w:before="200" w:after="120"/>
      <w:outlineLvl w:val="1"/>
    </w:pPr>
    <w:rPr>
      <w:b/>
      <w:bCs/>
      <w:sz w:val="36"/>
      <w:szCs w:val="36"/>
    </w:rPr>
  </w:style>
  <w:style w:type="paragraph" w:styleId="3">
    <w:name w:val="heading 3"/>
    <w:uiPriority w:val="9"/>
    <w:unhideWhenUsed/>
    <w:qFormat/>
    <w:pPr>
      <w:overflowPunct w:val="0"/>
      <w:spacing w:before="140" w:after="120"/>
      <w:outlineLvl w:val="2"/>
    </w:pPr>
    <w:rPr>
      <w:b/>
      <w:bCs/>
      <w:sz w:val="28"/>
      <w:szCs w:val="28"/>
    </w:rPr>
  </w:style>
  <w:style w:type="paragraph" w:styleId="4">
    <w:name w:val="heading 4"/>
    <w:uiPriority w:val="9"/>
    <w:unhideWhenUsed/>
    <w:qFormat/>
    <w:pPr>
      <w:numPr>
        <w:ilvl w:val="3"/>
        <w:numId w:val="1"/>
      </w:numPr>
      <w:overflowPunct w:val="0"/>
      <w:spacing w:before="120" w:after="120"/>
      <w:outlineLvl w:val="3"/>
    </w:pPr>
    <w:rPr>
      <w:b/>
      <w:bCs/>
      <w:sz w:val="24"/>
    </w:rPr>
  </w:style>
  <w:style w:type="paragraph" w:styleId="5">
    <w:name w:val="heading 5"/>
    <w:uiPriority w:val="9"/>
    <w:semiHidden/>
    <w:unhideWhenUsed/>
    <w:qFormat/>
    <w:pPr>
      <w:numPr>
        <w:ilvl w:val="4"/>
        <w:numId w:val="1"/>
      </w:numPr>
      <w:overflowPunct w:val="0"/>
      <w:spacing w:before="120" w:after="60"/>
      <w:outlineLvl w:val="4"/>
    </w:pPr>
    <w:rPr>
      <w:b/>
      <w:bCs/>
      <w:szCs w:val="20"/>
    </w:rPr>
  </w:style>
  <w:style w:type="paragraph" w:styleId="6">
    <w:name w:val="heading 6"/>
    <w:uiPriority w:val="9"/>
    <w:semiHidden/>
    <w:unhideWhenUsed/>
    <w:qFormat/>
    <w:pPr>
      <w:numPr>
        <w:ilvl w:val="5"/>
        <w:numId w:val="1"/>
      </w:numPr>
      <w:spacing w:before="60" w:after="60"/>
      <w:outlineLvl w:val="5"/>
    </w:pPr>
    <w:rPr>
      <w:b/>
      <w:bCs/>
      <w:sz w:val="14"/>
      <w:szCs w:val="1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InternetLink">
    <w:name w:val="Internet Link"/>
    <w:rPr>
      <w:color w:val="000080"/>
      <w:u w:val="single"/>
    </w:rPr>
  </w:style>
  <w:style w:type="character" w:customStyle="1" w:styleId="VisitedInternetLink">
    <w:name w:val="Visited Internet Link"/>
    <w:rPr>
      <w:color w:val="800000"/>
      <w:u w:val="single"/>
    </w:rPr>
  </w:style>
  <w:style w:type="character" w:customStyle="1" w:styleId="Bullets">
    <w:name w:val="Bullets"/>
    <w:qFormat/>
    <w:rPr>
      <w:rFonts w:ascii="OpenSymbol" w:eastAsia="OpenSymbol" w:hAnsi="OpenSymbol" w:cs="OpenSymbol"/>
    </w:rPr>
  </w:style>
  <w:style w:type="character" w:customStyle="1" w:styleId="ListLabel1">
    <w:name w:val="ListLabel 1"/>
    <w:qFormat/>
    <w:rPr>
      <w:rFonts w:ascii="Trebuchet MS" w:hAnsi="Trebuchet MS"/>
      <w:b w:val="0"/>
      <w:bCs/>
      <w:i w:val="0"/>
      <w:caps w:val="0"/>
      <w:smallCaps w:val="0"/>
      <w:strike w:val="0"/>
      <w:dstrike w:val="0"/>
      <w:color w:val="158466"/>
      <w:spacing w:val="0"/>
      <w:sz w:val="28"/>
      <w:szCs w:val="28"/>
      <w:u w:val="none"/>
      <w:effect w:val="none"/>
      <w:lang w:val="en-US"/>
    </w:rPr>
  </w:style>
  <w:style w:type="character" w:customStyle="1" w:styleId="ListLabel2">
    <w:name w:val="ListLabel 2"/>
    <w:qFormat/>
    <w:rPr>
      <w:rFonts w:ascii="Trebuchet MS" w:hAnsi="Trebuchet MS"/>
      <w:b w:val="0"/>
      <w:i w:val="0"/>
      <w:caps w:val="0"/>
      <w:smallCaps w:val="0"/>
      <w:strike w:val="0"/>
      <w:dstrike w:val="0"/>
      <w:color w:val="158466"/>
      <w:spacing w:val="0"/>
      <w:sz w:val="28"/>
      <w:szCs w:val="28"/>
      <w:u w:val="none"/>
      <w:effect w:val="none"/>
    </w:rPr>
  </w:style>
  <w:style w:type="character" w:customStyle="1" w:styleId="ListLabel3">
    <w:name w:val="ListLabel 3"/>
    <w:qFormat/>
    <w:rPr>
      <w:rFonts w:ascii="Times New Roman" w:hAnsi="Times New Roman"/>
      <w:b w:val="0"/>
      <w:i w:val="0"/>
      <w:caps w:val="0"/>
      <w:smallCaps w:val="0"/>
      <w:color w:val="158466"/>
      <w:spacing w:val="0"/>
      <w:sz w:val="28"/>
      <w:szCs w:val="28"/>
      <w:u w:val="none"/>
      <w:bdr w:val="single" w:sz="2" w:space="1" w:color="000000"/>
    </w:rPr>
  </w:style>
  <w:style w:type="character" w:customStyle="1" w:styleId="ListLabel4">
    <w:name w:val="ListLabel 4"/>
    <w:qFormat/>
    <w:rPr>
      <w:rFonts w:ascii="Times New Roman" w:hAnsi="Times New Roman"/>
      <w:b w:val="0"/>
      <w:i w:val="0"/>
      <w:caps w:val="0"/>
      <w:smallCaps w:val="0"/>
      <w:color w:val="158466"/>
      <w:spacing w:val="0"/>
      <w:sz w:val="28"/>
      <w:szCs w:val="28"/>
      <w:u w:val="none"/>
    </w:rPr>
  </w:style>
  <w:style w:type="character" w:customStyle="1" w:styleId="ListLabel5">
    <w:name w:val="ListLabel 5"/>
    <w:qFormat/>
    <w:rPr>
      <w:rFonts w:ascii="Times New Roman" w:hAnsi="Times New Roman"/>
      <w:b w:val="0"/>
      <w:i w:val="0"/>
      <w:caps w:val="0"/>
      <w:smallCaps w:val="0"/>
      <w:strike w:val="0"/>
      <w:dstrike w:val="0"/>
      <w:color w:val="158466"/>
      <w:spacing w:val="0"/>
      <w:sz w:val="28"/>
      <w:szCs w:val="28"/>
      <w:u w:val="none"/>
      <w:bdr w:val="single" w:sz="2" w:space="1" w:color="000000"/>
    </w:rPr>
  </w:style>
  <w:style w:type="character" w:customStyle="1" w:styleId="ListLabel6">
    <w:name w:val="ListLabel 6"/>
    <w:qFormat/>
    <w:rPr>
      <w:rFonts w:ascii="Times New Roman" w:hAnsi="Times New Roman"/>
      <w:b w:val="0"/>
      <w:bCs/>
      <w:i w:val="0"/>
      <w:caps w:val="0"/>
      <w:smallCaps w:val="0"/>
      <w:strike w:val="0"/>
      <w:dstrike w:val="0"/>
      <w:color w:val="158466"/>
      <w:spacing w:val="0"/>
      <w:sz w:val="28"/>
      <w:szCs w:val="28"/>
      <w:highlight w:val="yellow"/>
      <w:u w:val="none"/>
      <w:effect w:val="none"/>
      <w:lang w:val="uk-UA"/>
    </w:rPr>
  </w:style>
  <w:style w:type="character" w:customStyle="1" w:styleId="ListLabel7">
    <w:name w:val="ListLabel 7"/>
    <w:qFormat/>
    <w:rPr>
      <w:color w:val="158466"/>
      <w:highlight w:val="yellow"/>
    </w:rPr>
  </w:style>
  <w:style w:type="character" w:customStyle="1" w:styleId="ListLabel8">
    <w:name w:val="ListLabel 8"/>
    <w:qFormat/>
    <w:rPr>
      <w:b w:val="0"/>
      <w:bCs w:val="0"/>
      <w:color w:val="158466"/>
      <w:sz w:val="28"/>
      <w:szCs w:val="28"/>
      <w:highlight w:val="yellow"/>
      <w:lang w:val="ru-RU"/>
    </w:rPr>
  </w:style>
  <w:style w:type="character" w:customStyle="1" w:styleId="ListLabel9">
    <w:name w:val="ListLabel 9"/>
    <w:qFormat/>
    <w:rPr>
      <w:b/>
      <w:bCs/>
      <w:sz w:val="28"/>
      <w:szCs w:val="28"/>
      <w:highlight w:val="yellow"/>
      <w:lang w:val="uk-UA"/>
    </w:rPr>
  </w:style>
  <w:style w:type="character" w:customStyle="1" w:styleId="ListLabel10">
    <w:name w:val="ListLabel 10"/>
    <w:qFormat/>
    <w:rPr>
      <w:rFonts w:ascii="Trebuchet MS" w:hAnsi="Trebuchet MS"/>
      <w:b w:val="0"/>
      <w:bCs/>
      <w:i w:val="0"/>
      <w:caps w:val="0"/>
      <w:smallCaps w:val="0"/>
      <w:strike w:val="0"/>
      <w:dstrike w:val="0"/>
      <w:color w:val="158466"/>
      <w:spacing w:val="0"/>
      <w:sz w:val="28"/>
      <w:szCs w:val="28"/>
      <w:u w:val="none"/>
      <w:effect w:val="none"/>
      <w:lang w:val="en-US"/>
    </w:rPr>
  </w:style>
  <w:style w:type="character" w:customStyle="1" w:styleId="ListLabel11">
    <w:name w:val="ListLabel 11"/>
    <w:qFormat/>
    <w:rPr>
      <w:rFonts w:ascii="Trebuchet MS" w:hAnsi="Trebuchet MS"/>
      <w:b w:val="0"/>
      <w:i w:val="0"/>
      <w:caps w:val="0"/>
      <w:smallCaps w:val="0"/>
      <w:strike w:val="0"/>
      <w:dstrike w:val="0"/>
      <w:color w:val="158466"/>
      <w:spacing w:val="0"/>
      <w:sz w:val="28"/>
      <w:szCs w:val="28"/>
      <w:u w:val="none"/>
      <w:effect w:val="none"/>
    </w:rPr>
  </w:style>
  <w:style w:type="character" w:customStyle="1" w:styleId="ListLabel12">
    <w:name w:val="ListLabel 12"/>
    <w:qFormat/>
    <w:rPr>
      <w:b w:val="0"/>
      <w:i w:val="0"/>
      <w:caps w:val="0"/>
      <w:smallCaps w:val="0"/>
      <w:color w:val="158466"/>
      <w:spacing w:val="0"/>
      <w:sz w:val="28"/>
      <w:szCs w:val="28"/>
      <w:u w:val="none"/>
      <w:bdr w:val="single" w:sz="2" w:space="1" w:color="000000"/>
    </w:rPr>
  </w:style>
  <w:style w:type="character" w:customStyle="1" w:styleId="ListLabel13">
    <w:name w:val="ListLabel 13"/>
    <w:qFormat/>
    <w:rPr>
      <w:b w:val="0"/>
      <w:i w:val="0"/>
      <w:caps w:val="0"/>
      <w:smallCaps w:val="0"/>
      <w:color w:val="158466"/>
      <w:spacing w:val="0"/>
      <w:sz w:val="28"/>
      <w:szCs w:val="28"/>
      <w:u w:val="none"/>
    </w:rPr>
  </w:style>
  <w:style w:type="character" w:customStyle="1" w:styleId="ListLabel14">
    <w:name w:val="ListLabel 14"/>
    <w:qFormat/>
    <w:rPr>
      <w:b w:val="0"/>
      <w:i w:val="0"/>
      <w:caps w:val="0"/>
      <w:smallCaps w:val="0"/>
      <w:strike w:val="0"/>
      <w:dstrike w:val="0"/>
      <w:color w:val="158466"/>
      <w:spacing w:val="0"/>
      <w:sz w:val="28"/>
      <w:szCs w:val="28"/>
      <w:u w:val="none"/>
      <w:bdr w:val="single" w:sz="2" w:space="1" w:color="000000"/>
    </w:rPr>
  </w:style>
  <w:style w:type="character" w:customStyle="1" w:styleId="ListLabel15">
    <w:name w:val="ListLabel 15"/>
    <w:qFormat/>
    <w:rPr>
      <w:b w:val="0"/>
      <w:bCs/>
      <w:i w:val="0"/>
      <w:caps w:val="0"/>
      <w:smallCaps w:val="0"/>
      <w:strike w:val="0"/>
      <w:dstrike w:val="0"/>
      <w:color w:val="158466"/>
      <w:spacing w:val="0"/>
      <w:sz w:val="28"/>
      <w:szCs w:val="28"/>
      <w:highlight w:val="yellow"/>
      <w:u w:val="none"/>
      <w:effect w:val="none"/>
      <w:lang w:val="uk-UA"/>
    </w:rPr>
  </w:style>
  <w:style w:type="character" w:customStyle="1" w:styleId="ListLabel16">
    <w:name w:val="ListLabel 16"/>
    <w:qFormat/>
    <w:rPr>
      <w:color w:val="158466"/>
      <w:highlight w:val="yellow"/>
    </w:rPr>
  </w:style>
  <w:style w:type="character" w:customStyle="1" w:styleId="ListLabel17">
    <w:name w:val="ListLabel 17"/>
    <w:qFormat/>
    <w:rPr>
      <w:b w:val="0"/>
      <w:bCs w:val="0"/>
      <w:color w:val="158466"/>
      <w:sz w:val="28"/>
      <w:szCs w:val="28"/>
      <w:highlight w:val="yellow"/>
      <w:lang w:val="ru-RU"/>
    </w:rPr>
  </w:style>
  <w:style w:type="character" w:customStyle="1" w:styleId="ListLabel18">
    <w:name w:val="ListLabel 18"/>
    <w:qFormat/>
    <w:rPr>
      <w:b/>
      <w:bCs/>
      <w:sz w:val="28"/>
      <w:szCs w:val="28"/>
      <w:highlight w:val="yellow"/>
      <w:lang w:val="uk-UA"/>
    </w:rPr>
  </w:style>
  <w:style w:type="character" w:customStyle="1" w:styleId="ListLabel19">
    <w:name w:val="ListLabel 19"/>
    <w:qFormat/>
    <w:rPr>
      <w:rFonts w:ascii="Trebuchet MS" w:hAnsi="Trebuchet MS"/>
      <w:b w:val="0"/>
      <w:bCs/>
      <w:i w:val="0"/>
      <w:caps w:val="0"/>
      <w:smallCaps w:val="0"/>
      <w:strike w:val="0"/>
      <w:dstrike w:val="0"/>
      <w:color w:val="158466"/>
      <w:spacing w:val="0"/>
      <w:sz w:val="28"/>
      <w:szCs w:val="28"/>
      <w:u w:val="none"/>
      <w:effect w:val="none"/>
    </w:rPr>
  </w:style>
  <w:style w:type="character" w:customStyle="1" w:styleId="ListLabel20">
    <w:name w:val="ListLabel 20"/>
    <w:qFormat/>
    <w:rPr>
      <w:rFonts w:ascii="Trebuchet MS" w:hAnsi="Trebuchet MS"/>
      <w:b w:val="0"/>
      <w:bCs/>
      <w:i w:val="0"/>
      <w:caps w:val="0"/>
      <w:smallCaps w:val="0"/>
      <w:strike w:val="0"/>
      <w:dstrike w:val="0"/>
      <w:color w:val="158466"/>
      <w:spacing w:val="0"/>
      <w:sz w:val="28"/>
      <w:szCs w:val="28"/>
      <w:u w:val="none"/>
      <w:effect w:val="none"/>
      <w:lang w:val="en-US"/>
    </w:rPr>
  </w:style>
  <w:style w:type="character" w:customStyle="1" w:styleId="ListLabel21">
    <w:name w:val="ListLabel 21"/>
    <w:qFormat/>
    <w:rPr>
      <w:b w:val="0"/>
      <w:i w:val="0"/>
      <w:caps w:val="0"/>
      <w:smallCaps w:val="0"/>
      <w:color w:val="158466"/>
      <w:spacing w:val="0"/>
      <w:sz w:val="28"/>
      <w:szCs w:val="28"/>
      <w:u w:val="none"/>
      <w:bdr w:val="single" w:sz="2" w:space="1" w:color="000000"/>
    </w:rPr>
  </w:style>
  <w:style w:type="character" w:customStyle="1" w:styleId="ListLabel22">
    <w:name w:val="ListLabel 22"/>
    <w:qFormat/>
    <w:rPr>
      <w:b w:val="0"/>
      <w:i w:val="0"/>
      <w:caps w:val="0"/>
      <w:smallCaps w:val="0"/>
      <w:color w:val="158466"/>
      <w:spacing w:val="0"/>
      <w:sz w:val="28"/>
      <w:szCs w:val="28"/>
      <w:u w:val="none"/>
    </w:rPr>
  </w:style>
  <w:style w:type="character" w:customStyle="1" w:styleId="ListLabel23">
    <w:name w:val="ListLabel 23"/>
    <w:qFormat/>
    <w:rPr>
      <w:b w:val="0"/>
      <w:i w:val="0"/>
      <w:caps w:val="0"/>
      <w:smallCaps w:val="0"/>
      <w:strike w:val="0"/>
      <w:dstrike w:val="0"/>
      <w:color w:val="158466"/>
      <w:spacing w:val="0"/>
      <w:sz w:val="28"/>
      <w:szCs w:val="28"/>
      <w:u w:val="none"/>
      <w:bdr w:val="single" w:sz="2" w:space="1" w:color="000000"/>
    </w:rPr>
  </w:style>
  <w:style w:type="character" w:customStyle="1" w:styleId="ListLabel24">
    <w:name w:val="ListLabel 24"/>
    <w:qFormat/>
    <w:rPr>
      <w:b w:val="0"/>
      <w:bCs/>
      <w:i w:val="0"/>
      <w:caps w:val="0"/>
      <w:smallCaps w:val="0"/>
      <w:strike w:val="0"/>
      <w:dstrike w:val="0"/>
      <w:color w:val="158466"/>
      <w:spacing w:val="0"/>
      <w:sz w:val="28"/>
      <w:szCs w:val="28"/>
      <w:highlight w:val="yellow"/>
      <w:u w:val="none"/>
      <w:effect w:val="none"/>
      <w:lang w:val="uk-UA"/>
    </w:rPr>
  </w:style>
  <w:style w:type="character" w:customStyle="1" w:styleId="ListLabel25">
    <w:name w:val="ListLabel 25"/>
    <w:qFormat/>
    <w:rPr>
      <w:color w:val="158466"/>
      <w:highlight w:val="yellow"/>
    </w:rPr>
  </w:style>
  <w:style w:type="character" w:customStyle="1" w:styleId="ListLabel26">
    <w:name w:val="ListLabel 26"/>
    <w:qFormat/>
    <w:rPr>
      <w:b w:val="0"/>
      <w:bCs w:val="0"/>
      <w:color w:val="158466"/>
      <w:sz w:val="28"/>
      <w:szCs w:val="28"/>
      <w:highlight w:val="yellow"/>
      <w:lang w:val="ru-RU"/>
    </w:rPr>
  </w:style>
  <w:style w:type="character" w:customStyle="1" w:styleId="ListLabel27">
    <w:name w:val="ListLabel 27"/>
    <w:qFormat/>
    <w:rPr>
      <w:b/>
      <w:bCs/>
      <w:sz w:val="28"/>
      <w:szCs w:val="28"/>
      <w:highlight w:val="yellow"/>
      <w:lang w:val="uk-UA"/>
    </w:rPr>
  </w:style>
  <w:style w:type="character" w:customStyle="1" w:styleId="ListLabel28">
    <w:name w:val="ListLabel 28"/>
    <w:qFormat/>
    <w:rPr>
      <w:b w:val="0"/>
      <w:i w:val="0"/>
      <w:caps w:val="0"/>
      <w:smallCaps w:val="0"/>
      <w:color w:val="158466"/>
      <w:spacing w:val="0"/>
      <w:sz w:val="28"/>
      <w:szCs w:val="28"/>
      <w:u w:val="none"/>
      <w:bdr w:val="single" w:sz="2" w:space="1" w:color="000000"/>
    </w:rPr>
  </w:style>
  <w:style w:type="character" w:customStyle="1" w:styleId="ListLabel29">
    <w:name w:val="ListLabel 29"/>
    <w:qFormat/>
    <w:rPr>
      <w:b w:val="0"/>
      <w:i w:val="0"/>
      <w:caps w:val="0"/>
      <w:smallCaps w:val="0"/>
      <w:color w:val="158466"/>
      <w:spacing w:val="0"/>
      <w:sz w:val="28"/>
      <w:szCs w:val="28"/>
      <w:u w:val="none"/>
    </w:rPr>
  </w:style>
  <w:style w:type="character" w:customStyle="1" w:styleId="ListLabel30">
    <w:name w:val="ListLabel 30"/>
    <w:qFormat/>
    <w:rPr>
      <w:b w:val="0"/>
      <w:i w:val="0"/>
      <w:caps w:val="0"/>
      <w:smallCaps w:val="0"/>
      <w:strike w:val="0"/>
      <w:dstrike w:val="0"/>
      <w:color w:val="158466"/>
      <w:spacing w:val="0"/>
      <w:sz w:val="28"/>
      <w:szCs w:val="28"/>
      <w:u w:val="none"/>
      <w:bdr w:val="single" w:sz="2" w:space="1" w:color="000000"/>
    </w:rPr>
  </w:style>
  <w:style w:type="character" w:customStyle="1" w:styleId="ListLabel31">
    <w:name w:val="ListLabel 31"/>
    <w:qFormat/>
    <w:rPr>
      <w:b w:val="0"/>
      <w:bCs/>
      <w:i w:val="0"/>
      <w:caps w:val="0"/>
      <w:smallCaps w:val="0"/>
      <w:strike w:val="0"/>
      <w:dstrike w:val="0"/>
      <w:color w:val="158466"/>
      <w:spacing w:val="0"/>
      <w:sz w:val="28"/>
      <w:szCs w:val="28"/>
      <w:highlight w:val="yellow"/>
      <w:u w:val="none"/>
      <w:effect w:val="none"/>
      <w:lang w:val="uk-UA"/>
    </w:rPr>
  </w:style>
  <w:style w:type="character" w:customStyle="1" w:styleId="ListLabel32">
    <w:name w:val="ListLabel 32"/>
    <w:qFormat/>
    <w:rPr>
      <w:color w:val="158466"/>
      <w:highlight w:val="yellow"/>
    </w:rPr>
  </w:style>
  <w:style w:type="character" w:customStyle="1" w:styleId="ListLabel33">
    <w:name w:val="ListLabel 33"/>
    <w:qFormat/>
    <w:rPr>
      <w:b w:val="0"/>
      <w:bCs w:val="0"/>
      <w:color w:val="158466"/>
      <w:sz w:val="28"/>
      <w:szCs w:val="28"/>
      <w:highlight w:val="yellow"/>
      <w:lang w:val="ru-RU"/>
    </w:rPr>
  </w:style>
  <w:style w:type="character" w:customStyle="1" w:styleId="ListLabel34">
    <w:name w:val="ListLabel 34"/>
    <w:qFormat/>
    <w:rPr>
      <w:b/>
      <w:bCs/>
      <w:sz w:val="28"/>
      <w:szCs w:val="28"/>
      <w:highlight w:val="yellow"/>
      <w:lang w:val="uk-UA"/>
    </w:rPr>
  </w:style>
  <w:style w:type="character" w:customStyle="1" w:styleId="NumberingSymbols">
    <w:name w:val="Numbering Symbols"/>
    <w:qFormat/>
    <w:rPr>
      <w:b/>
      <w:bCs/>
      <w:sz w:val="28"/>
      <w:szCs w:val="28"/>
    </w:rPr>
  </w:style>
  <w:style w:type="character" w:styleId="a3">
    <w:name w:val="Emphasis"/>
    <w:qFormat/>
    <w:rPr>
      <w:i/>
      <w:iCs/>
    </w:rPr>
  </w:style>
  <w:style w:type="character" w:customStyle="1" w:styleId="ListLabel35">
    <w:name w:val="ListLabel 35"/>
    <w:qFormat/>
    <w:rPr>
      <w:rFonts w:eastAsia="Calibri"/>
      <w:color w:val="000000"/>
      <w:sz w:val="28"/>
      <w:u w:val="none"/>
    </w:rPr>
  </w:style>
  <w:style w:type="character" w:customStyle="1" w:styleId="ListLabel36">
    <w:name w:val="ListLabel 36"/>
    <w:qFormat/>
    <w:rPr>
      <w:rFonts w:eastAsia="Calibri"/>
      <w:color w:val="000000"/>
      <w:sz w:val="28"/>
      <w:u w:val="none"/>
      <w:lang w:val="en-US"/>
    </w:rPr>
  </w:style>
  <w:style w:type="character" w:customStyle="1" w:styleId="ListLabel37">
    <w:name w:val="ListLabel 37"/>
    <w:qFormat/>
    <w:rPr>
      <w:color w:val="000000"/>
      <w:sz w:val="28"/>
      <w:u w:val="none"/>
      <w:lang w:val="uk-UA"/>
    </w:rPr>
  </w:style>
  <w:style w:type="character" w:customStyle="1" w:styleId="ListLabel38">
    <w:name w:val="ListLabel 38"/>
    <w:qFormat/>
    <w:rPr>
      <w:sz w:val="28"/>
      <w:u w:val="none"/>
      <w:lang w:val="en-US"/>
    </w:rPr>
  </w:style>
  <w:style w:type="character" w:customStyle="1" w:styleId="ListLabel39">
    <w:name w:val="ListLabel 39"/>
    <w:qFormat/>
    <w:rPr>
      <w:sz w:val="28"/>
      <w:u w:val="none"/>
      <w:lang w:val="uk-UA"/>
    </w:rPr>
  </w:style>
  <w:style w:type="character" w:customStyle="1" w:styleId="ListLabel40">
    <w:name w:val="ListLabel 40"/>
    <w:qFormat/>
    <w:rPr>
      <w:color w:val="000000"/>
      <w:sz w:val="28"/>
      <w:u w:val="none"/>
    </w:rPr>
  </w:style>
  <w:style w:type="character" w:customStyle="1" w:styleId="ListLabel41">
    <w:name w:val="ListLabel 41"/>
    <w:qFormat/>
    <w:rPr>
      <w:rFonts w:eastAsia="Calibri"/>
      <w:sz w:val="28"/>
    </w:rPr>
  </w:style>
  <w:style w:type="character" w:customStyle="1" w:styleId="ListLabel42">
    <w:name w:val="ListLabel 42"/>
    <w:qFormat/>
    <w:rPr>
      <w:sz w:val="28"/>
      <w:lang w:val="uk-UA"/>
    </w:rPr>
  </w:style>
  <w:style w:type="character" w:customStyle="1" w:styleId="ListLabel43">
    <w:name w:val="ListLabel 43"/>
    <w:qFormat/>
    <w:rPr>
      <w:sz w:val="28"/>
    </w:rPr>
  </w:style>
  <w:style w:type="character" w:customStyle="1" w:styleId="ListLabel44">
    <w:name w:val="ListLabel 44"/>
    <w:qFormat/>
    <w:rPr>
      <w:rFonts w:eastAsia="Calibri" w:cs="Times New Roman"/>
      <w:b/>
      <w:bCs/>
      <w:kern w:val="2"/>
      <w:sz w:val="28"/>
      <w:szCs w:val="28"/>
      <w:lang w:val="uk-UA" w:eastAsia="ru-RU"/>
    </w:rPr>
  </w:style>
  <w:style w:type="character" w:customStyle="1" w:styleId="ListLabel45">
    <w:name w:val="ListLabel 45"/>
    <w:qFormat/>
    <w:rPr>
      <w:rFonts w:eastAsia="Calibri"/>
      <w:b/>
      <w:bCs/>
      <w:color w:val="000000"/>
      <w:sz w:val="28"/>
      <w:u w:val="none"/>
      <w:lang w:val="en-US"/>
    </w:rPr>
  </w:style>
  <w:style w:type="character" w:customStyle="1" w:styleId="ListLabel46">
    <w:name w:val="ListLabel 46"/>
    <w:qFormat/>
    <w:rPr>
      <w:rFonts w:ascii="Gentona;Myriad Pro;sans-serif" w:hAnsi="Gentona;Myriad Pro;sans-serif"/>
      <w:b w:val="0"/>
      <w:bCs/>
      <w:i w:val="0"/>
      <w:caps w:val="0"/>
      <w:smallCaps w:val="0"/>
      <w:strike w:val="0"/>
      <w:dstrike w:val="0"/>
      <w:color w:val="158466"/>
      <w:spacing w:val="0"/>
      <w:sz w:val="20"/>
      <w:szCs w:val="28"/>
      <w:highlight w:val="yellow"/>
      <w:effect w:val="none"/>
    </w:rPr>
  </w:style>
  <w:style w:type="character" w:customStyle="1" w:styleId="ListLabel47">
    <w:name w:val="ListLabel 47"/>
    <w:qFormat/>
    <w:rPr>
      <w:rFonts w:ascii="Gentona;Myriad Pro;sans-serif" w:hAnsi="Gentona;Myriad Pro;sans-serif"/>
      <w:b/>
      <w:bCs/>
      <w:i w:val="0"/>
      <w:caps w:val="0"/>
      <w:smallCaps w:val="0"/>
      <w:strike w:val="0"/>
      <w:dstrike w:val="0"/>
      <w:spacing w:val="0"/>
      <w:sz w:val="28"/>
      <w:szCs w:val="28"/>
      <w:highlight w:val="yellow"/>
      <w:effect w:val="none"/>
      <w:lang w:val="uk-UA"/>
    </w:rPr>
  </w:style>
  <w:style w:type="character" w:customStyle="1" w:styleId="ListLabel48">
    <w:name w:val="ListLabel 48"/>
    <w:qFormat/>
    <w:rPr>
      <w:color w:val="158466"/>
      <w:sz w:val="28"/>
      <w:szCs w:val="28"/>
    </w:rPr>
  </w:style>
  <w:style w:type="character" w:customStyle="1" w:styleId="ListLabel49">
    <w:name w:val="ListLabel 49"/>
    <w:qFormat/>
    <w:rPr>
      <w:sz w:val="28"/>
      <w:szCs w:val="28"/>
      <w:lang w:val="uk-UA"/>
    </w:rPr>
  </w:style>
  <w:style w:type="character" w:customStyle="1" w:styleId="ListLabel50">
    <w:name w:val="ListLabel 50"/>
    <w:qFormat/>
    <w:rPr>
      <w:b w:val="0"/>
      <w:i w:val="0"/>
      <w:caps w:val="0"/>
      <w:smallCaps w:val="0"/>
      <w:color w:val="158466"/>
      <w:spacing w:val="0"/>
      <w:sz w:val="28"/>
      <w:szCs w:val="28"/>
      <w:u w:val="none"/>
    </w:rPr>
  </w:style>
  <w:style w:type="character" w:customStyle="1" w:styleId="ListLabel51">
    <w:name w:val="ListLabel 51"/>
    <w:qFormat/>
    <w:rPr>
      <w:b w:val="0"/>
      <w:i w:val="0"/>
      <w:caps w:val="0"/>
      <w:smallCaps w:val="0"/>
      <w:color w:val="81D41A"/>
      <w:spacing w:val="0"/>
      <w:sz w:val="28"/>
      <w:szCs w:val="28"/>
      <w:u w:val="none"/>
    </w:rPr>
  </w:style>
  <w:style w:type="character" w:customStyle="1" w:styleId="ListLabel52">
    <w:name w:val="ListLabel 52"/>
    <w:qFormat/>
    <w:rPr>
      <w:b w:val="0"/>
      <w:i w:val="0"/>
      <w:caps w:val="0"/>
      <w:smallCaps w:val="0"/>
      <w:strike w:val="0"/>
      <w:dstrike w:val="0"/>
      <w:color w:val="158466"/>
      <w:spacing w:val="0"/>
      <w:sz w:val="28"/>
      <w:szCs w:val="28"/>
      <w:u w:val="none"/>
      <w:bdr w:val="single" w:sz="2" w:space="1" w:color="000000"/>
    </w:rPr>
  </w:style>
  <w:style w:type="character" w:customStyle="1" w:styleId="ListLabel53">
    <w:name w:val="ListLabel 53"/>
    <w:qFormat/>
    <w:rPr>
      <w:b w:val="0"/>
      <w:i w:val="0"/>
      <w:caps w:val="0"/>
      <w:smallCaps w:val="0"/>
      <w:color w:val="158466"/>
      <w:spacing w:val="0"/>
      <w:sz w:val="28"/>
      <w:szCs w:val="28"/>
      <w:u w:val="none"/>
      <w:bdr w:val="single" w:sz="2" w:space="1" w:color="000000"/>
    </w:rPr>
  </w:style>
  <w:style w:type="character" w:customStyle="1" w:styleId="ListLabel54">
    <w:name w:val="ListLabel 54"/>
    <w:qFormat/>
    <w:rPr>
      <w:b w:val="0"/>
      <w:bCs/>
      <w:i w:val="0"/>
      <w:caps w:val="0"/>
      <w:smallCaps w:val="0"/>
      <w:strike w:val="0"/>
      <w:dstrike w:val="0"/>
      <w:color w:val="158466"/>
      <w:spacing w:val="0"/>
      <w:sz w:val="28"/>
      <w:szCs w:val="28"/>
      <w:highlight w:val="yellow"/>
      <w:u w:val="none"/>
      <w:effect w:val="none"/>
      <w:lang w:val="uk-UA"/>
    </w:rPr>
  </w:style>
  <w:style w:type="character" w:customStyle="1" w:styleId="ListLabel55">
    <w:name w:val="ListLabel 55"/>
    <w:qFormat/>
    <w:rPr>
      <w:b w:val="0"/>
      <w:bCs w:val="0"/>
      <w:color w:val="158466"/>
      <w:sz w:val="28"/>
      <w:szCs w:val="28"/>
      <w:highlight w:val="yellow"/>
      <w:lang w:val="ru-RU"/>
    </w:rPr>
  </w:style>
  <w:style w:type="character" w:customStyle="1" w:styleId="ListLabel56">
    <w:name w:val="ListLabel 56"/>
    <w:qFormat/>
    <w:rPr>
      <w:rFonts w:eastAsia="Calibri"/>
      <w:color w:val="000000"/>
      <w:sz w:val="28"/>
      <w:u w:val="none"/>
    </w:rPr>
  </w:style>
  <w:style w:type="character" w:customStyle="1" w:styleId="ListLabel57">
    <w:name w:val="ListLabel 57"/>
    <w:qFormat/>
    <w:rPr>
      <w:rFonts w:eastAsia="Calibri"/>
      <w:color w:val="000000"/>
      <w:sz w:val="28"/>
      <w:u w:val="none"/>
      <w:lang w:val="en-US"/>
    </w:rPr>
  </w:style>
  <w:style w:type="character" w:customStyle="1" w:styleId="ListLabel58">
    <w:name w:val="ListLabel 58"/>
    <w:qFormat/>
    <w:rPr>
      <w:color w:val="000000"/>
      <w:sz w:val="28"/>
      <w:u w:val="none"/>
      <w:lang w:val="uk-UA"/>
    </w:rPr>
  </w:style>
  <w:style w:type="character" w:customStyle="1" w:styleId="ListLabel59">
    <w:name w:val="ListLabel 59"/>
    <w:qFormat/>
    <w:rPr>
      <w:sz w:val="28"/>
      <w:u w:val="none"/>
      <w:lang w:val="en-US"/>
    </w:rPr>
  </w:style>
  <w:style w:type="character" w:customStyle="1" w:styleId="ListLabel60">
    <w:name w:val="ListLabel 60"/>
    <w:qFormat/>
    <w:rPr>
      <w:sz w:val="28"/>
      <w:u w:val="none"/>
      <w:lang w:val="uk-UA"/>
    </w:rPr>
  </w:style>
  <w:style w:type="character" w:customStyle="1" w:styleId="ListLabel61">
    <w:name w:val="ListLabel 61"/>
    <w:qFormat/>
    <w:rPr>
      <w:color w:val="000000"/>
      <w:sz w:val="28"/>
      <w:u w:val="none"/>
    </w:rPr>
  </w:style>
  <w:style w:type="character" w:customStyle="1" w:styleId="ListLabel62">
    <w:name w:val="ListLabel 62"/>
    <w:qFormat/>
    <w:rPr>
      <w:rFonts w:eastAsia="Calibri"/>
      <w:sz w:val="28"/>
    </w:rPr>
  </w:style>
  <w:style w:type="character" w:customStyle="1" w:styleId="ListLabel63">
    <w:name w:val="ListLabel 63"/>
    <w:qFormat/>
    <w:rPr>
      <w:sz w:val="28"/>
      <w:lang w:val="uk-UA"/>
    </w:rPr>
  </w:style>
  <w:style w:type="character" w:customStyle="1" w:styleId="ListLabel64">
    <w:name w:val="ListLabel 64"/>
    <w:qFormat/>
    <w:rPr>
      <w:sz w:val="28"/>
    </w:rPr>
  </w:style>
  <w:style w:type="character" w:customStyle="1" w:styleId="ListLabel65">
    <w:name w:val="ListLabel 65"/>
    <w:qFormat/>
    <w:rPr>
      <w:rFonts w:eastAsia="Calibri" w:cs="Times New Roman"/>
      <w:b/>
      <w:bCs/>
      <w:kern w:val="2"/>
      <w:sz w:val="28"/>
      <w:szCs w:val="28"/>
      <w:lang w:val="uk-UA" w:eastAsia="ru-RU"/>
    </w:rPr>
  </w:style>
  <w:style w:type="character" w:customStyle="1" w:styleId="ListLabel66">
    <w:name w:val="ListLabel 66"/>
    <w:qFormat/>
    <w:rPr>
      <w:rFonts w:eastAsia="Calibri"/>
      <w:b/>
      <w:bCs/>
      <w:color w:val="000000"/>
      <w:sz w:val="28"/>
      <w:u w:val="none"/>
      <w:lang w:val="en-US"/>
    </w:rPr>
  </w:style>
  <w:style w:type="character" w:customStyle="1" w:styleId="ListLabel67">
    <w:name w:val="ListLabel 67"/>
    <w:qFormat/>
    <w:rPr>
      <w:rFonts w:ascii="Gentona;Myriad Pro;sans-serif" w:hAnsi="Gentona;Myriad Pro;sans-serif"/>
      <w:b w:val="0"/>
      <w:bCs/>
      <w:i w:val="0"/>
      <w:caps w:val="0"/>
      <w:smallCaps w:val="0"/>
      <w:strike w:val="0"/>
      <w:dstrike w:val="0"/>
      <w:color w:val="158466"/>
      <w:spacing w:val="0"/>
      <w:sz w:val="20"/>
      <w:szCs w:val="28"/>
      <w:highlight w:val="yellow"/>
      <w:effect w:val="none"/>
    </w:rPr>
  </w:style>
  <w:style w:type="character" w:customStyle="1" w:styleId="ListLabel68">
    <w:name w:val="ListLabel 68"/>
    <w:qFormat/>
    <w:rPr>
      <w:rFonts w:ascii="Gentona;Myriad Pro;sans-serif" w:hAnsi="Gentona;Myriad Pro;sans-serif"/>
      <w:b/>
      <w:bCs/>
      <w:i w:val="0"/>
      <w:caps w:val="0"/>
      <w:smallCaps w:val="0"/>
      <w:strike w:val="0"/>
      <w:dstrike w:val="0"/>
      <w:spacing w:val="0"/>
      <w:sz w:val="28"/>
      <w:szCs w:val="28"/>
      <w:highlight w:val="yellow"/>
      <w:effect w:val="none"/>
      <w:lang w:val="uk-UA"/>
    </w:rPr>
  </w:style>
  <w:style w:type="character" w:customStyle="1" w:styleId="ListLabel69">
    <w:name w:val="ListLabel 69"/>
    <w:qFormat/>
    <w:rPr>
      <w:color w:val="158466"/>
      <w:sz w:val="28"/>
      <w:szCs w:val="28"/>
    </w:rPr>
  </w:style>
  <w:style w:type="character" w:customStyle="1" w:styleId="ListLabel70">
    <w:name w:val="ListLabel 70"/>
    <w:qFormat/>
    <w:rPr>
      <w:sz w:val="28"/>
      <w:szCs w:val="28"/>
      <w:lang w:val="uk-UA"/>
    </w:rPr>
  </w:style>
  <w:style w:type="character" w:customStyle="1" w:styleId="ListLabel71">
    <w:name w:val="ListLabel 71"/>
    <w:qFormat/>
    <w:rPr>
      <w:b w:val="0"/>
      <w:i w:val="0"/>
      <w:caps w:val="0"/>
      <w:smallCaps w:val="0"/>
      <w:color w:val="158466"/>
      <w:spacing w:val="0"/>
      <w:sz w:val="28"/>
      <w:szCs w:val="28"/>
      <w:u w:val="none"/>
    </w:rPr>
  </w:style>
  <w:style w:type="character" w:customStyle="1" w:styleId="ListLabel72">
    <w:name w:val="ListLabel 72"/>
    <w:qFormat/>
    <w:rPr>
      <w:b w:val="0"/>
      <w:i w:val="0"/>
      <w:caps w:val="0"/>
      <w:smallCaps w:val="0"/>
      <w:color w:val="81D41A"/>
      <w:spacing w:val="0"/>
      <w:sz w:val="28"/>
      <w:szCs w:val="28"/>
      <w:u w:val="none"/>
    </w:rPr>
  </w:style>
  <w:style w:type="character" w:customStyle="1" w:styleId="ListLabel73">
    <w:name w:val="ListLabel 73"/>
    <w:qFormat/>
    <w:rPr>
      <w:b w:val="0"/>
      <w:i w:val="0"/>
      <w:caps w:val="0"/>
      <w:smallCaps w:val="0"/>
      <w:strike w:val="0"/>
      <w:dstrike w:val="0"/>
      <w:color w:val="158466"/>
      <w:spacing w:val="0"/>
      <w:sz w:val="28"/>
      <w:szCs w:val="28"/>
      <w:u w:val="none"/>
      <w:bdr w:val="single" w:sz="2" w:space="1" w:color="000000"/>
    </w:rPr>
  </w:style>
  <w:style w:type="character" w:customStyle="1" w:styleId="ListLabel74">
    <w:name w:val="ListLabel 74"/>
    <w:qFormat/>
    <w:rPr>
      <w:b w:val="0"/>
      <w:i w:val="0"/>
      <w:caps w:val="0"/>
      <w:smallCaps w:val="0"/>
      <w:color w:val="158466"/>
      <w:spacing w:val="0"/>
      <w:sz w:val="28"/>
      <w:szCs w:val="28"/>
      <w:u w:val="none"/>
      <w:bdr w:val="single" w:sz="2" w:space="1" w:color="000000"/>
    </w:rPr>
  </w:style>
  <w:style w:type="character" w:customStyle="1" w:styleId="ListLabel75">
    <w:name w:val="ListLabel 75"/>
    <w:qFormat/>
    <w:rPr>
      <w:b w:val="0"/>
      <w:bCs/>
      <w:i w:val="0"/>
      <w:caps w:val="0"/>
      <w:smallCaps w:val="0"/>
      <w:strike w:val="0"/>
      <w:dstrike w:val="0"/>
      <w:color w:val="158466"/>
      <w:spacing w:val="0"/>
      <w:sz w:val="28"/>
      <w:szCs w:val="28"/>
      <w:highlight w:val="yellow"/>
      <w:u w:val="none"/>
      <w:effect w:val="none"/>
      <w:lang w:val="uk-UA"/>
    </w:rPr>
  </w:style>
  <w:style w:type="character" w:customStyle="1" w:styleId="ListLabel76">
    <w:name w:val="ListLabel 76"/>
    <w:qFormat/>
    <w:rPr>
      <w:b w:val="0"/>
      <w:bCs w:val="0"/>
      <w:color w:val="158466"/>
      <w:sz w:val="28"/>
      <w:szCs w:val="28"/>
      <w:highlight w:val="yellow"/>
      <w:lang w:val="ru-RU"/>
    </w:rPr>
  </w:style>
  <w:style w:type="character" w:customStyle="1" w:styleId="ListLabel77">
    <w:name w:val="ListLabel 77"/>
    <w:qFormat/>
    <w:rPr>
      <w:rFonts w:eastAsia="Calibri"/>
      <w:color w:val="000000"/>
      <w:sz w:val="28"/>
      <w:u w:val="none"/>
    </w:rPr>
  </w:style>
  <w:style w:type="character" w:customStyle="1" w:styleId="ListLabel78">
    <w:name w:val="ListLabel 78"/>
    <w:qFormat/>
    <w:rPr>
      <w:rFonts w:eastAsia="Calibri"/>
      <w:color w:val="000000"/>
      <w:sz w:val="28"/>
      <w:u w:val="none"/>
      <w:lang w:val="en-US"/>
    </w:rPr>
  </w:style>
  <w:style w:type="character" w:customStyle="1" w:styleId="ListLabel79">
    <w:name w:val="ListLabel 79"/>
    <w:qFormat/>
    <w:rPr>
      <w:color w:val="000000"/>
      <w:sz w:val="28"/>
      <w:u w:val="none"/>
      <w:lang w:val="uk-UA"/>
    </w:rPr>
  </w:style>
  <w:style w:type="character" w:customStyle="1" w:styleId="ListLabel80">
    <w:name w:val="ListLabel 80"/>
    <w:qFormat/>
    <w:rPr>
      <w:sz w:val="28"/>
      <w:u w:val="none"/>
      <w:lang w:val="en-US"/>
    </w:rPr>
  </w:style>
  <w:style w:type="character" w:customStyle="1" w:styleId="ListLabel81">
    <w:name w:val="ListLabel 81"/>
    <w:qFormat/>
    <w:rPr>
      <w:sz w:val="28"/>
      <w:u w:val="none"/>
      <w:lang w:val="uk-UA"/>
    </w:rPr>
  </w:style>
  <w:style w:type="character" w:customStyle="1" w:styleId="ListLabel82">
    <w:name w:val="ListLabel 82"/>
    <w:qFormat/>
    <w:rPr>
      <w:color w:val="000000"/>
      <w:sz w:val="28"/>
      <w:u w:val="none"/>
    </w:rPr>
  </w:style>
  <w:style w:type="character" w:customStyle="1" w:styleId="ListLabel83">
    <w:name w:val="ListLabel 83"/>
    <w:qFormat/>
    <w:rPr>
      <w:rFonts w:eastAsia="Calibri"/>
      <w:sz w:val="28"/>
    </w:rPr>
  </w:style>
  <w:style w:type="character" w:customStyle="1" w:styleId="ListLabel84">
    <w:name w:val="ListLabel 84"/>
    <w:qFormat/>
    <w:rPr>
      <w:sz w:val="28"/>
      <w:lang w:val="uk-UA"/>
    </w:rPr>
  </w:style>
  <w:style w:type="character" w:customStyle="1" w:styleId="ListLabel85">
    <w:name w:val="ListLabel 85"/>
    <w:qFormat/>
    <w:rPr>
      <w:sz w:val="28"/>
    </w:rPr>
  </w:style>
  <w:style w:type="character" w:customStyle="1" w:styleId="ListLabel86">
    <w:name w:val="ListLabel 86"/>
    <w:qFormat/>
    <w:rPr>
      <w:rFonts w:eastAsia="Calibri" w:cs="Times New Roman"/>
      <w:b/>
      <w:bCs/>
      <w:kern w:val="2"/>
      <w:sz w:val="28"/>
      <w:szCs w:val="28"/>
      <w:lang w:val="uk-UA" w:eastAsia="ru-RU"/>
    </w:rPr>
  </w:style>
  <w:style w:type="character" w:customStyle="1" w:styleId="ListLabel87">
    <w:name w:val="ListLabel 87"/>
    <w:qFormat/>
    <w:rPr>
      <w:rFonts w:eastAsia="Calibri"/>
      <w:b/>
      <w:bCs/>
      <w:color w:val="000000"/>
      <w:sz w:val="28"/>
      <w:u w:val="none"/>
      <w:lang w:val="en-US"/>
    </w:rPr>
  </w:style>
  <w:style w:type="character" w:customStyle="1" w:styleId="ListLabel88">
    <w:name w:val="ListLabel 88"/>
    <w:qFormat/>
    <w:rPr>
      <w:rFonts w:ascii="Gentona;Myriad Pro;sans-serif" w:hAnsi="Gentona;Myriad Pro;sans-serif"/>
      <w:b w:val="0"/>
      <w:bCs/>
      <w:i w:val="0"/>
      <w:caps w:val="0"/>
      <w:smallCaps w:val="0"/>
      <w:strike w:val="0"/>
      <w:dstrike w:val="0"/>
      <w:color w:val="158466"/>
      <w:spacing w:val="0"/>
      <w:sz w:val="20"/>
      <w:szCs w:val="28"/>
      <w:highlight w:val="yellow"/>
      <w:effect w:val="none"/>
    </w:rPr>
  </w:style>
  <w:style w:type="character" w:customStyle="1" w:styleId="ListLabel89">
    <w:name w:val="ListLabel 89"/>
    <w:qFormat/>
    <w:rPr>
      <w:rFonts w:ascii="Gentona;Myriad Pro;sans-serif" w:hAnsi="Gentona;Myriad Pro;sans-serif"/>
      <w:b/>
      <w:bCs/>
      <w:i w:val="0"/>
      <w:caps w:val="0"/>
      <w:smallCaps w:val="0"/>
      <w:strike w:val="0"/>
      <w:dstrike w:val="0"/>
      <w:spacing w:val="0"/>
      <w:sz w:val="28"/>
      <w:szCs w:val="28"/>
      <w:highlight w:val="yellow"/>
      <w:effect w:val="none"/>
      <w:lang w:val="uk-UA"/>
    </w:rPr>
  </w:style>
  <w:style w:type="character" w:customStyle="1" w:styleId="ListLabel90">
    <w:name w:val="ListLabel 90"/>
    <w:qFormat/>
    <w:rPr>
      <w:color w:val="158466"/>
      <w:sz w:val="28"/>
      <w:szCs w:val="28"/>
    </w:rPr>
  </w:style>
  <w:style w:type="character" w:customStyle="1" w:styleId="ListLabel91">
    <w:name w:val="ListLabel 91"/>
    <w:qFormat/>
    <w:rPr>
      <w:sz w:val="28"/>
      <w:szCs w:val="28"/>
      <w:lang w:val="uk-UA"/>
    </w:rPr>
  </w:style>
  <w:style w:type="character" w:customStyle="1" w:styleId="ListLabel92">
    <w:name w:val="ListLabel 92"/>
    <w:qFormat/>
    <w:rPr>
      <w:b w:val="0"/>
      <w:i w:val="0"/>
      <w:caps w:val="0"/>
      <w:smallCaps w:val="0"/>
      <w:color w:val="158466"/>
      <w:spacing w:val="0"/>
      <w:sz w:val="28"/>
      <w:szCs w:val="28"/>
      <w:u w:val="none"/>
    </w:rPr>
  </w:style>
  <w:style w:type="character" w:customStyle="1" w:styleId="ListLabel93">
    <w:name w:val="ListLabel 93"/>
    <w:qFormat/>
    <w:rPr>
      <w:b w:val="0"/>
      <w:i w:val="0"/>
      <w:caps w:val="0"/>
      <w:smallCaps w:val="0"/>
      <w:color w:val="81D41A"/>
      <w:spacing w:val="0"/>
      <w:sz w:val="28"/>
      <w:szCs w:val="28"/>
      <w:u w:val="none"/>
    </w:rPr>
  </w:style>
  <w:style w:type="character" w:customStyle="1" w:styleId="ListLabel94">
    <w:name w:val="ListLabel 94"/>
    <w:qFormat/>
    <w:rPr>
      <w:b w:val="0"/>
      <w:i w:val="0"/>
      <w:caps w:val="0"/>
      <w:smallCaps w:val="0"/>
      <w:strike w:val="0"/>
      <w:dstrike w:val="0"/>
      <w:color w:val="158466"/>
      <w:spacing w:val="0"/>
      <w:sz w:val="28"/>
      <w:szCs w:val="28"/>
      <w:u w:val="none"/>
      <w:bdr w:val="single" w:sz="2" w:space="1" w:color="000000"/>
    </w:rPr>
  </w:style>
  <w:style w:type="character" w:customStyle="1" w:styleId="ListLabel95">
    <w:name w:val="ListLabel 95"/>
    <w:qFormat/>
    <w:rPr>
      <w:b w:val="0"/>
      <w:i w:val="0"/>
      <w:caps w:val="0"/>
      <w:smallCaps w:val="0"/>
      <w:color w:val="158466"/>
      <w:spacing w:val="0"/>
      <w:sz w:val="28"/>
      <w:szCs w:val="28"/>
      <w:u w:val="none"/>
      <w:bdr w:val="single" w:sz="2" w:space="1" w:color="000000"/>
    </w:rPr>
  </w:style>
  <w:style w:type="character" w:customStyle="1" w:styleId="ListLabel96">
    <w:name w:val="ListLabel 96"/>
    <w:qFormat/>
    <w:rPr>
      <w:b w:val="0"/>
      <w:bCs/>
      <w:i w:val="0"/>
      <w:caps w:val="0"/>
      <w:smallCaps w:val="0"/>
      <w:strike w:val="0"/>
      <w:dstrike w:val="0"/>
      <w:color w:val="158466"/>
      <w:spacing w:val="0"/>
      <w:sz w:val="28"/>
      <w:szCs w:val="28"/>
      <w:highlight w:val="yellow"/>
      <w:u w:val="none"/>
      <w:effect w:val="none"/>
      <w:lang w:val="uk-UA"/>
    </w:rPr>
  </w:style>
  <w:style w:type="character" w:customStyle="1" w:styleId="ListLabel97">
    <w:name w:val="ListLabel 97"/>
    <w:qFormat/>
    <w:rPr>
      <w:b w:val="0"/>
      <w:bCs w:val="0"/>
      <w:color w:val="158466"/>
      <w:sz w:val="28"/>
      <w:szCs w:val="28"/>
      <w:highlight w:val="yellow"/>
      <w:lang w:val="ru-RU"/>
    </w:rPr>
  </w:style>
  <w:style w:type="character" w:customStyle="1" w:styleId="ListLabel98">
    <w:name w:val="ListLabel 98"/>
    <w:qFormat/>
    <w:rPr>
      <w:rFonts w:eastAsia="Calibri"/>
      <w:color w:val="000000"/>
      <w:sz w:val="28"/>
      <w:u w:val="none"/>
    </w:rPr>
  </w:style>
  <w:style w:type="character" w:customStyle="1" w:styleId="ListLabel99">
    <w:name w:val="ListLabel 99"/>
    <w:qFormat/>
    <w:rPr>
      <w:rFonts w:eastAsia="Calibri"/>
      <w:color w:val="000000"/>
      <w:sz w:val="28"/>
      <w:u w:val="none"/>
      <w:lang w:val="en-US"/>
    </w:rPr>
  </w:style>
  <w:style w:type="character" w:customStyle="1" w:styleId="ListLabel100">
    <w:name w:val="ListLabel 100"/>
    <w:qFormat/>
    <w:rPr>
      <w:color w:val="000000"/>
      <w:sz w:val="28"/>
      <w:u w:val="none"/>
      <w:lang w:val="uk-UA"/>
    </w:rPr>
  </w:style>
  <w:style w:type="character" w:customStyle="1" w:styleId="ListLabel101">
    <w:name w:val="ListLabel 101"/>
    <w:qFormat/>
    <w:rPr>
      <w:sz w:val="28"/>
      <w:u w:val="none"/>
      <w:lang w:val="en-US"/>
    </w:rPr>
  </w:style>
  <w:style w:type="character" w:customStyle="1" w:styleId="ListLabel102">
    <w:name w:val="ListLabel 102"/>
    <w:qFormat/>
    <w:rPr>
      <w:sz w:val="28"/>
      <w:u w:val="none"/>
      <w:lang w:val="uk-UA"/>
    </w:rPr>
  </w:style>
  <w:style w:type="character" w:customStyle="1" w:styleId="ListLabel103">
    <w:name w:val="ListLabel 103"/>
    <w:qFormat/>
    <w:rPr>
      <w:color w:val="000000"/>
      <w:sz w:val="28"/>
      <w:u w:val="none"/>
    </w:rPr>
  </w:style>
  <w:style w:type="character" w:customStyle="1" w:styleId="ListLabel104">
    <w:name w:val="ListLabel 104"/>
    <w:qFormat/>
    <w:rPr>
      <w:rFonts w:eastAsia="Calibri"/>
      <w:sz w:val="28"/>
    </w:rPr>
  </w:style>
  <w:style w:type="character" w:customStyle="1" w:styleId="ListLabel105">
    <w:name w:val="ListLabel 105"/>
    <w:qFormat/>
    <w:rPr>
      <w:sz w:val="28"/>
      <w:lang w:val="uk-UA"/>
    </w:rPr>
  </w:style>
  <w:style w:type="character" w:customStyle="1" w:styleId="ListLabel106">
    <w:name w:val="ListLabel 106"/>
    <w:qFormat/>
    <w:rPr>
      <w:sz w:val="28"/>
    </w:rPr>
  </w:style>
  <w:style w:type="character" w:customStyle="1" w:styleId="ListLabel107">
    <w:name w:val="ListLabel 107"/>
    <w:qFormat/>
    <w:rPr>
      <w:rFonts w:eastAsia="Calibri" w:cs="Times New Roman"/>
      <w:b/>
      <w:bCs/>
      <w:kern w:val="2"/>
      <w:sz w:val="28"/>
      <w:szCs w:val="28"/>
      <w:lang w:val="uk-UA" w:eastAsia="ru-RU"/>
    </w:rPr>
  </w:style>
  <w:style w:type="character" w:customStyle="1" w:styleId="ListLabel108">
    <w:name w:val="ListLabel 108"/>
    <w:qFormat/>
    <w:rPr>
      <w:rFonts w:eastAsia="Calibri"/>
      <w:b/>
      <w:bCs/>
      <w:color w:val="000000"/>
      <w:sz w:val="28"/>
      <w:u w:val="none"/>
      <w:lang w:val="en-US"/>
    </w:rPr>
  </w:style>
  <w:style w:type="character" w:customStyle="1" w:styleId="ListLabel109">
    <w:name w:val="ListLabel 109"/>
    <w:qFormat/>
    <w:rPr>
      <w:rFonts w:ascii="Gentona;Myriad Pro;sans-serif" w:hAnsi="Gentona;Myriad Pro;sans-serif"/>
      <w:b w:val="0"/>
      <w:bCs/>
      <w:i w:val="0"/>
      <w:caps w:val="0"/>
      <w:smallCaps w:val="0"/>
      <w:strike w:val="0"/>
      <w:dstrike w:val="0"/>
      <w:color w:val="158466"/>
      <w:spacing w:val="0"/>
      <w:sz w:val="20"/>
      <w:szCs w:val="28"/>
      <w:highlight w:val="yellow"/>
      <w:effect w:val="none"/>
    </w:rPr>
  </w:style>
  <w:style w:type="character" w:customStyle="1" w:styleId="ListLabel110">
    <w:name w:val="ListLabel 110"/>
    <w:qFormat/>
    <w:rPr>
      <w:rFonts w:ascii="Gentona;Myriad Pro;sans-serif" w:hAnsi="Gentona;Myriad Pro;sans-serif"/>
      <w:b/>
      <w:bCs/>
      <w:i w:val="0"/>
      <w:caps w:val="0"/>
      <w:smallCaps w:val="0"/>
      <w:strike w:val="0"/>
      <w:dstrike w:val="0"/>
      <w:spacing w:val="0"/>
      <w:sz w:val="28"/>
      <w:szCs w:val="28"/>
      <w:highlight w:val="yellow"/>
      <w:effect w:val="none"/>
      <w:lang w:val="uk-UA"/>
    </w:rPr>
  </w:style>
  <w:style w:type="character" w:customStyle="1" w:styleId="ListLabel111">
    <w:name w:val="ListLabel 111"/>
    <w:qFormat/>
    <w:rPr>
      <w:color w:val="158466"/>
      <w:sz w:val="28"/>
      <w:szCs w:val="28"/>
    </w:rPr>
  </w:style>
  <w:style w:type="character" w:customStyle="1" w:styleId="ListLabel112">
    <w:name w:val="ListLabel 112"/>
    <w:qFormat/>
    <w:rPr>
      <w:b w:val="0"/>
      <w:i w:val="0"/>
      <w:caps w:val="0"/>
      <w:smallCaps w:val="0"/>
      <w:color w:val="158466"/>
      <w:spacing w:val="0"/>
      <w:sz w:val="28"/>
      <w:szCs w:val="28"/>
      <w:u w:val="none"/>
    </w:rPr>
  </w:style>
  <w:style w:type="character" w:customStyle="1" w:styleId="ListLabel113">
    <w:name w:val="ListLabel 113"/>
    <w:qFormat/>
    <w:rPr>
      <w:sz w:val="28"/>
      <w:szCs w:val="28"/>
      <w:lang w:val="uk-UA"/>
    </w:rPr>
  </w:style>
  <w:style w:type="character" w:customStyle="1" w:styleId="ListLabel114">
    <w:name w:val="ListLabel 114"/>
    <w:qFormat/>
    <w:rPr>
      <w:b w:val="0"/>
      <w:i w:val="0"/>
      <w:caps w:val="0"/>
      <w:smallCaps w:val="0"/>
      <w:color w:val="81D41A"/>
      <w:spacing w:val="0"/>
      <w:sz w:val="28"/>
      <w:szCs w:val="28"/>
      <w:u w:val="none"/>
    </w:rPr>
  </w:style>
  <w:style w:type="character" w:customStyle="1" w:styleId="ListLabel115">
    <w:name w:val="ListLabel 115"/>
    <w:qFormat/>
    <w:rPr>
      <w:b w:val="0"/>
      <w:i w:val="0"/>
      <w:caps w:val="0"/>
      <w:smallCaps w:val="0"/>
      <w:strike w:val="0"/>
      <w:dstrike w:val="0"/>
      <w:color w:val="158466"/>
      <w:spacing w:val="0"/>
      <w:sz w:val="28"/>
      <w:szCs w:val="28"/>
      <w:u w:val="none"/>
      <w:bdr w:val="single" w:sz="2" w:space="1" w:color="000000"/>
    </w:rPr>
  </w:style>
  <w:style w:type="character" w:customStyle="1" w:styleId="ListLabel116">
    <w:name w:val="ListLabel 116"/>
    <w:qFormat/>
    <w:rPr>
      <w:b w:val="0"/>
      <w:i w:val="0"/>
      <w:caps w:val="0"/>
      <w:smallCaps w:val="0"/>
      <w:color w:val="158466"/>
      <w:spacing w:val="0"/>
      <w:sz w:val="28"/>
      <w:szCs w:val="28"/>
      <w:u w:val="none"/>
      <w:bdr w:val="single" w:sz="2" w:space="1" w:color="000000"/>
    </w:rPr>
  </w:style>
  <w:style w:type="character" w:customStyle="1" w:styleId="ListLabel117">
    <w:name w:val="ListLabel 117"/>
    <w:qFormat/>
    <w:rPr>
      <w:b w:val="0"/>
      <w:bCs/>
      <w:i w:val="0"/>
      <w:caps w:val="0"/>
      <w:smallCaps w:val="0"/>
      <w:strike w:val="0"/>
      <w:dstrike w:val="0"/>
      <w:color w:val="158466"/>
      <w:spacing w:val="0"/>
      <w:sz w:val="28"/>
      <w:szCs w:val="28"/>
      <w:highlight w:val="yellow"/>
      <w:u w:val="none"/>
      <w:effect w:val="none"/>
      <w:lang w:val="uk-UA"/>
    </w:rPr>
  </w:style>
  <w:style w:type="character" w:customStyle="1" w:styleId="ListLabel118">
    <w:name w:val="ListLabel 118"/>
    <w:qFormat/>
    <w:rPr>
      <w:b w:val="0"/>
      <w:bCs w:val="0"/>
      <w:color w:val="158466"/>
      <w:sz w:val="28"/>
      <w:szCs w:val="28"/>
      <w:highlight w:val="yellow"/>
      <w:lang w:val="ru-RU"/>
    </w:rPr>
  </w:style>
  <w:style w:type="character" w:customStyle="1" w:styleId="ListLabel119">
    <w:name w:val="ListLabel 119"/>
    <w:qFormat/>
    <w:rPr>
      <w:rFonts w:eastAsia="Calibri"/>
      <w:color w:val="000000"/>
      <w:sz w:val="28"/>
      <w:u w:val="none"/>
    </w:rPr>
  </w:style>
  <w:style w:type="character" w:customStyle="1" w:styleId="ListLabel120">
    <w:name w:val="ListLabel 120"/>
    <w:qFormat/>
    <w:rPr>
      <w:rFonts w:eastAsia="Calibri"/>
      <w:color w:val="000000"/>
      <w:sz w:val="28"/>
      <w:u w:val="none"/>
      <w:lang w:val="en-US"/>
    </w:rPr>
  </w:style>
  <w:style w:type="character" w:customStyle="1" w:styleId="ListLabel121">
    <w:name w:val="ListLabel 121"/>
    <w:qFormat/>
    <w:rPr>
      <w:color w:val="000000"/>
      <w:sz w:val="28"/>
      <w:u w:val="none"/>
      <w:lang w:val="uk-UA"/>
    </w:rPr>
  </w:style>
  <w:style w:type="character" w:customStyle="1" w:styleId="ListLabel122">
    <w:name w:val="ListLabel 122"/>
    <w:qFormat/>
    <w:rPr>
      <w:sz w:val="28"/>
      <w:u w:val="none"/>
      <w:lang w:val="en-US"/>
    </w:rPr>
  </w:style>
  <w:style w:type="character" w:customStyle="1" w:styleId="ListLabel123">
    <w:name w:val="ListLabel 123"/>
    <w:qFormat/>
    <w:rPr>
      <w:sz w:val="28"/>
      <w:u w:val="none"/>
      <w:lang w:val="uk-UA"/>
    </w:rPr>
  </w:style>
  <w:style w:type="character" w:customStyle="1" w:styleId="ListLabel124">
    <w:name w:val="ListLabel 124"/>
    <w:qFormat/>
    <w:rPr>
      <w:color w:val="000000"/>
      <w:sz w:val="28"/>
      <w:u w:val="none"/>
    </w:rPr>
  </w:style>
  <w:style w:type="character" w:customStyle="1" w:styleId="ListLabel125">
    <w:name w:val="ListLabel 125"/>
    <w:qFormat/>
    <w:rPr>
      <w:rFonts w:eastAsia="Calibri"/>
      <w:sz w:val="28"/>
    </w:rPr>
  </w:style>
  <w:style w:type="character" w:customStyle="1" w:styleId="ListLabel126">
    <w:name w:val="ListLabel 126"/>
    <w:qFormat/>
    <w:rPr>
      <w:sz w:val="28"/>
      <w:lang w:val="uk-UA"/>
    </w:rPr>
  </w:style>
  <w:style w:type="character" w:customStyle="1" w:styleId="ListLabel127">
    <w:name w:val="ListLabel 127"/>
    <w:qFormat/>
    <w:rPr>
      <w:sz w:val="28"/>
    </w:rPr>
  </w:style>
  <w:style w:type="character" w:customStyle="1" w:styleId="ListLabel128">
    <w:name w:val="ListLabel 128"/>
    <w:qFormat/>
    <w:rPr>
      <w:rFonts w:eastAsia="Calibri" w:cs="Times New Roman"/>
      <w:b/>
      <w:bCs/>
      <w:kern w:val="2"/>
      <w:sz w:val="28"/>
      <w:szCs w:val="28"/>
      <w:lang w:val="uk-UA" w:eastAsia="ru-RU"/>
    </w:rPr>
  </w:style>
  <w:style w:type="character" w:customStyle="1" w:styleId="ListLabel129">
    <w:name w:val="ListLabel 129"/>
    <w:qFormat/>
    <w:rPr>
      <w:rFonts w:eastAsia="Calibri"/>
      <w:b/>
      <w:bCs/>
      <w:color w:val="000000"/>
      <w:sz w:val="28"/>
      <w:u w:val="none"/>
      <w:lang w:val="en-US"/>
    </w:rPr>
  </w:style>
  <w:style w:type="character" w:customStyle="1" w:styleId="ListLabel130">
    <w:name w:val="ListLabel 130"/>
    <w:qFormat/>
    <w:rPr>
      <w:rFonts w:ascii="Gentona;Myriad Pro;sans-serif" w:hAnsi="Gentona;Myriad Pro;sans-serif"/>
      <w:b w:val="0"/>
      <w:bCs/>
      <w:i w:val="0"/>
      <w:caps w:val="0"/>
      <w:smallCaps w:val="0"/>
      <w:strike w:val="0"/>
      <w:dstrike w:val="0"/>
      <w:color w:val="158466"/>
      <w:spacing w:val="0"/>
      <w:sz w:val="20"/>
      <w:szCs w:val="28"/>
      <w:highlight w:val="yellow"/>
      <w:effect w:val="none"/>
    </w:rPr>
  </w:style>
  <w:style w:type="character" w:customStyle="1" w:styleId="ListLabel131">
    <w:name w:val="ListLabel 131"/>
    <w:qFormat/>
    <w:rPr>
      <w:rFonts w:ascii="Gentona;Myriad Pro;sans-serif" w:hAnsi="Gentona;Myriad Pro;sans-serif"/>
      <w:b/>
      <w:bCs/>
      <w:i w:val="0"/>
      <w:caps w:val="0"/>
      <w:smallCaps w:val="0"/>
      <w:strike w:val="0"/>
      <w:dstrike w:val="0"/>
      <w:spacing w:val="0"/>
      <w:sz w:val="28"/>
      <w:szCs w:val="28"/>
      <w:highlight w:val="yellow"/>
      <w:effect w:val="none"/>
      <w:lang w:val="uk-UA"/>
    </w:rPr>
  </w:style>
  <w:style w:type="character" w:customStyle="1" w:styleId="ListLabel132">
    <w:name w:val="ListLabel 132"/>
    <w:qFormat/>
    <w:rPr>
      <w:color w:val="158466"/>
      <w:sz w:val="28"/>
      <w:szCs w:val="28"/>
    </w:rPr>
  </w:style>
  <w:style w:type="character" w:customStyle="1" w:styleId="ListLabel133">
    <w:name w:val="ListLabel 133"/>
    <w:qFormat/>
    <w:rPr>
      <w:b w:val="0"/>
      <w:i w:val="0"/>
      <w:caps w:val="0"/>
      <w:smallCaps w:val="0"/>
      <w:color w:val="158466"/>
      <w:spacing w:val="0"/>
      <w:sz w:val="28"/>
      <w:szCs w:val="28"/>
      <w:u w:val="none"/>
    </w:rPr>
  </w:style>
  <w:style w:type="character" w:customStyle="1" w:styleId="ListLabel134">
    <w:name w:val="ListLabel 134"/>
    <w:qFormat/>
    <w:rPr>
      <w:b w:val="0"/>
      <w:i w:val="0"/>
      <w:caps w:val="0"/>
      <w:smallCaps w:val="0"/>
      <w:color w:val="81D41A"/>
      <w:spacing w:val="0"/>
      <w:sz w:val="28"/>
      <w:szCs w:val="28"/>
      <w:u w:val="none"/>
    </w:rPr>
  </w:style>
  <w:style w:type="character" w:customStyle="1" w:styleId="ListLabel135">
    <w:name w:val="ListLabel 135"/>
    <w:qFormat/>
    <w:rPr>
      <w:rFonts w:ascii="Times New Roman" w:hAnsi="Times New Roman"/>
      <w:sz w:val="28"/>
      <w:szCs w:val="28"/>
    </w:rPr>
  </w:style>
  <w:style w:type="character" w:customStyle="1" w:styleId="ListLabel136">
    <w:name w:val="ListLabel 136"/>
    <w:qFormat/>
    <w:rPr>
      <w:sz w:val="28"/>
      <w:szCs w:val="28"/>
      <w:lang w:val="uk-UA"/>
    </w:rPr>
  </w:style>
  <w:style w:type="character" w:customStyle="1" w:styleId="ListLabel137">
    <w:name w:val="ListLabel 137"/>
    <w:qFormat/>
    <w:rPr>
      <w:b w:val="0"/>
      <w:bCs w:val="0"/>
      <w:color w:val="158466"/>
      <w:sz w:val="28"/>
      <w:szCs w:val="28"/>
      <w:highlight w:val="yellow"/>
      <w:lang w:val="ru-RU"/>
    </w:rPr>
  </w:style>
  <w:style w:type="character" w:customStyle="1" w:styleId="ListLabel138">
    <w:name w:val="ListLabel 138"/>
    <w:qFormat/>
    <w:rPr>
      <w:rFonts w:eastAsia="Calibri"/>
      <w:color w:val="000000"/>
      <w:sz w:val="28"/>
      <w:u w:val="none"/>
    </w:rPr>
  </w:style>
  <w:style w:type="character" w:customStyle="1" w:styleId="ListLabel139">
    <w:name w:val="ListLabel 139"/>
    <w:qFormat/>
    <w:rPr>
      <w:rFonts w:eastAsia="Calibri"/>
      <w:color w:val="000000"/>
      <w:sz w:val="28"/>
      <w:u w:val="none"/>
      <w:lang w:val="en-US"/>
    </w:rPr>
  </w:style>
  <w:style w:type="character" w:customStyle="1" w:styleId="ListLabel140">
    <w:name w:val="ListLabel 140"/>
    <w:qFormat/>
    <w:rPr>
      <w:color w:val="000000"/>
      <w:sz w:val="28"/>
      <w:u w:val="none"/>
      <w:lang w:val="uk-UA"/>
    </w:rPr>
  </w:style>
  <w:style w:type="character" w:customStyle="1" w:styleId="ListLabel141">
    <w:name w:val="ListLabel 141"/>
    <w:qFormat/>
    <w:rPr>
      <w:sz w:val="28"/>
      <w:highlight w:val="yellow"/>
      <w:u w:val="none"/>
      <w:lang w:val="en-US"/>
    </w:rPr>
  </w:style>
  <w:style w:type="character" w:customStyle="1" w:styleId="ListLabel142">
    <w:name w:val="ListLabel 142"/>
    <w:qFormat/>
    <w:rPr>
      <w:sz w:val="28"/>
      <w:highlight w:val="yellow"/>
      <w:u w:val="none"/>
      <w:lang w:val="uk-UA"/>
    </w:rPr>
  </w:style>
  <w:style w:type="character" w:customStyle="1" w:styleId="ListLabel143">
    <w:name w:val="ListLabel 143"/>
    <w:qFormat/>
    <w:rPr>
      <w:color w:val="000000"/>
      <w:sz w:val="28"/>
      <w:u w:val="none"/>
    </w:rPr>
  </w:style>
  <w:style w:type="character" w:customStyle="1" w:styleId="ListLabel144">
    <w:name w:val="ListLabel 144"/>
    <w:qFormat/>
    <w:rPr>
      <w:rFonts w:eastAsia="Calibri"/>
      <w:sz w:val="28"/>
    </w:rPr>
  </w:style>
  <w:style w:type="character" w:customStyle="1" w:styleId="ListLabel145">
    <w:name w:val="ListLabel 145"/>
    <w:qFormat/>
    <w:rPr>
      <w:sz w:val="28"/>
      <w:lang w:val="uk-UA"/>
    </w:rPr>
  </w:style>
  <w:style w:type="character" w:customStyle="1" w:styleId="ListLabel146">
    <w:name w:val="ListLabel 146"/>
    <w:qFormat/>
    <w:rPr>
      <w:sz w:val="28"/>
    </w:rPr>
  </w:style>
  <w:style w:type="character" w:customStyle="1" w:styleId="ListLabel147">
    <w:name w:val="ListLabel 147"/>
    <w:qFormat/>
    <w:rPr>
      <w:rFonts w:eastAsia="Calibri" w:cs="Times New Roman"/>
      <w:b/>
      <w:bCs/>
      <w:kern w:val="2"/>
      <w:sz w:val="28"/>
      <w:szCs w:val="28"/>
      <w:lang w:val="uk-UA" w:eastAsia="ru-RU"/>
    </w:rPr>
  </w:style>
  <w:style w:type="character" w:customStyle="1" w:styleId="ListLabel148">
    <w:name w:val="ListLabel 148"/>
    <w:qFormat/>
    <w:rPr>
      <w:rFonts w:eastAsia="Calibri"/>
      <w:b/>
      <w:bCs/>
      <w:color w:val="000000"/>
      <w:sz w:val="28"/>
      <w:u w:val="none"/>
      <w:lang w:val="en-US"/>
    </w:rPr>
  </w:style>
  <w:style w:type="character" w:customStyle="1" w:styleId="ListLabel149">
    <w:name w:val="ListLabel 149"/>
    <w:qFormat/>
    <w:rPr>
      <w:rFonts w:ascii="Gentona;Myriad Pro;sans-serif" w:hAnsi="Gentona;Myriad Pro;sans-serif"/>
      <w:b/>
      <w:bCs/>
      <w:i w:val="0"/>
      <w:caps w:val="0"/>
      <w:smallCaps w:val="0"/>
      <w:strike w:val="0"/>
      <w:dstrike w:val="0"/>
      <w:color w:val="2A6099"/>
      <w:spacing w:val="0"/>
      <w:sz w:val="20"/>
      <w:szCs w:val="28"/>
      <w:highlight w:val="yellow"/>
      <w:effect w:val="none"/>
    </w:rPr>
  </w:style>
  <w:style w:type="character" w:customStyle="1" w:styleId="ListLabel150">
    <w:name w:val="ListLabel 150"/>
    <w:qFormat/>
    <w:rPr>
      <w:rFonts w:ascii="Gentona;Myriad Pro;sans-serif" w:hAnsi="Gentona;Myriad Pro;sans-serif"/>
      <w:b/>
      <w:bCs/>
      <w:i w:val="0"/>
      <w:caps w:val="0"/>
      <w:smallCaps w:val="0"/>
      <w:strike w:val="0"/>
      <w:dstrike w:val="0"/>
      <w:color w:val="FF0000"/>
      <w:spacing w:val="0"/>
      <w:sz w:val="28"/>
      <w:szCs w:val="28"/>
      <w:highlight w:val="yellow"/>
      <w:effect w:val="none"/>
      <w:lang w:val="uk-UA"/>
    </w:rPr>
  </w:style>
  <w:style w:type="character" w:customStyle="1" w:styleId="ListLabel151">
    <w:name w:val="ListLabel 151"/>
    <w:qFormat/>
    <w:rPr>
      <w:b/>
      <w:bCs/>
      <w:color w:val="FF8000"/>
      <w:sz w:val="28"/>
      <w:szCs w:val="28"/>
      <w:highlight w:val="yellow"/>
      <w:lang w:val="ru-RU"/>
    </w:rPr>
  </w:style>
  <w:style w:type="character" w:customStyle="1" w:styleId="ListLabel152">
    <w:name w:val="ListLabel 152"/>
    <w:qFormat/>
    <w:rPr>
      <w:color w:val="158466"/>
      <w:sz w:val="28"/>
      <w:szCs w:val="28"/>
    </w:rPr>
  </w:style>
  <w:style w:type="character" w:customStyle="1" w:styleId="ListLabel153">
    <w:name w:val="ListLabel 153"/>
    <w:qFormat/>
    <w:rPr>
      <w:b w:val="0"/>
      <w:i w:val="0"/>
      <w:caps w:val="0"/>
      <w:smallCaps w:val="0"/>
      <w:color w:val="158466"/>
      <w:spacing w:val="0"/>
      <w:sz w:val="28"/>
      <w:szCs w:val="28"/>
      <w:u w:val="none"/>
    </w:rPr>
  </w:style>
  <w:style w:type="character" w:customStyle="1" w:styleId="ListLabel154">
    <w:name w:val="ListLabel 154"/>
    <w:qFormat/>
    <w:rPr>
      <w:b w:val="0"/>
      <w:i w:val="0"/>
      <w:caps w:val="0"/>
      <w:smallCaps w:val="0"/>
      <w:color w:val="81D41A"/>
      <w:spacing w:val="0"/>
      <w:sz w:val="28"/>
      <w:szCs w:val="28"/>
      <w:u w:val="none"/>
    </w:rPr>
  </w:style>
  <w:style w:type="character" w:customStyle="1" w:styleId="ListLabel155">
    <w:name w:val="ListLabel 155"/>
    <w:qFormat/>
    <w:rPr>
      <w:b/>
      <w:bCs/>
      <w:color w:val="158466"/>
      <w:sz w:val="28"/>
      <w:szCs w:val="28"/>
      <w:highlight w:val="yellow"/>
      <w:lang w:val="uk-UA"/>
    </w:rPr>
  </w:style>
  <w:style w:type="character" w:customStyle="1" w:styleId="ListLabel156">
    <w:name w:val="ListLabel 156"/>
    <w:qFormat/>
    <w:rPr>
      <w:b/>
      <w:bCs/>
      <w:highlight w:val="yellow"/>
    </w:rPr>
  </w:style>
  <w:style w:type="character" w:customStyle="1" w:styleId="ListLabel157">
    <w:name w:val="ListLabel 157"/>
    <w:qFormat/>
    <w:rPr>
      <w:rFonts w:eastAsia="Calibri"/>
      <w:color w:val="000000"/>
      <w:sz w:val="28"/>
      <w:u w:val="none"/>
    </w:rPr>
  </w:style>
  <w:style w:type="character" w:customStyle="1" w:styleId="ListLabel158">
    <w:name w:val="ListLabel 158"/>
    <w:qFormat/>
    <w:rPr>
      <w:rFonts w:eastAsia="Calibri"/>
      <w:color w:val="000000"/>
      <w:sz w:val="28"/>
      <w:u w:val="none"/>
      <w:lang w:val="en-US"/>
    </w:rPr>
  </w:style>
  <w:style w:type="character" w:customStyle="1" w:styleId="ListLabel159">
    <w:name w:val="ListLabel 159"/>
    <w:qFormat/>
    <w:rPr>
      <w:color w:val="000000"/>
      <w:sz w:val="28"/>
      <w:u w:val="none"/>
      <w:lang w:val="uk-UA"/>
    </w:rPr>
  </w:style>
  <w:style w:type="character" w:customStyle="1" w:styleId="ListLabel160">
    <w:name w:val="ListLabel 160"/>
    <w:qFormat/>
    <w:rPr>
      <w:sz w:val="28"/>
      <w:highlight w:val="yellow"/>
      <w:u w:val="none"/>
      <w:lang w:val="en-US"/>
    </w:rPr>
  </w:style>
  <w:style w:type="character" w:customStyle="1" w:styleId="ListLabel161">
    <w:name w:val="ListLabel 161"/>
    <w:qFormat/>
    <w:rPr>
      <w:sz w:val="28"/>
      <w:highlight w:val="yellow"/>
      <w:u w:val="none"/>
      <w:lang w:val="uk-UA"/>
    </w:rPr>
  </w:style>
  <w:style w:type="character" w:customStyle="1" w:styleId="ListLabel162">
    <w:name w:val="ListLabel 162"/>
    <w:qFormat/>
    <w:rPr>
      <w:color w:val="000000"/>
      <w:sz w:val="28"/>
      <w:u w:val="none"/>
    </w:rPr>
  </w:style>
  <w:style w:type="character" w:customStyle="1" w:styleId="ListLabel163">
    <w:name w:val="ListLabel 163"/>
    <w:qFormat/>
    <w:rPr>
      <w:rFonts w:eastAsia="Calibri"/>
      <w:sz w:val="28"/>
    </w:rPr>
  </w:style>
  <w:style w:type="character" w:customStyle="1" w:styleId="ListLabel164">
    <w:name w:val="ListLabel 164"/>
    <w:qFormat/>
    <w:rPr>
      <w:sz w:val="28"/>
      <w:lang w:val="uk-UA"/>
    </w:rPr>
  </w:style>
  <w:style w:type="character" w:customStyle="1" w:styleId="ListLabel165">
    <w:name w:val="ListLabel 165"/>
    <w:qFormat/>
    <w:rPr>
      <w:sz w:val="28"/>
    </w:rPr>
  </w:style>
  <w:style w:type="character" w:customStyle="1" w:styleId="ListLabel166">
    <w:name w:val="ListLabel 166"/>
    <w:qFormat/>
    <w:rPr>
      <w:rFonts w:eastAsia="Calibri" w:cs="Times New Roman"/>
      <w:b/>
      <w:bCs/>
      <w:kern w:val="2"/>
      <w:sz w:val="28"/>
      <w:szCs w:val="28"/>
      <w:lang w:val="uk-UA" w:eastAsia="ru-RU"/>
    </w:rPr>
  </w:style>
  <w:style w:type="character" w:customStyle="1" w:styleId="ListLabel167">
    <w:name w:val="ListLabel 167"/>
    <w:qFormat/>
    <w:rPr>
      <w:rFonts w:eastAsia="Calibri"/>
      <w:b/>
      <w:bCs/>
      <w:color w:val="000000"/>
      <w:sz w:val="28"/>
      <w:u w:val="none"/>
      <w:lang w:val="en-US"/>
    </w:rPr>
  </w:style>
  <w:style w:type="character" w:customStyle="1" w:styleId="ListLabel168">
    <w:name w:val="ListLabel 168"/>
    <w:qFormat/>
    <w:rPr>
      <w:rFonts w:ascii="Gentona;Myriad Pro;sans-serif" w:hAnsi="Gentona;Myriad Pro;sans-serif"/>
      <w:b/>
      <w:bCs/>
      <w:i w:val="0"/>
      <w:caps w:val="0"/>
      <w:smallCaps w:val="0"/>
      <w:strike w:val="0"/>
      <w:dstrike w:val="0"/>
      <w:color w:val="2A6099"/>
      <w:spacing w:val="0"/>
      <w:sz w:val="20"/>
      <w:szCs w:val="28"/>
      <w:highlight w:val="yellow"/>
      <w:effect w:val="none"/>
    </w:rPr>
  </w:style>
  <w:style w:type="character" w:customStyle="1" w:styleId="ListLabel169">
    <w:name w:val="ListLabel 169"/>
    <w:qFormat/>
    <w:rPr>
      <w:rFonts w:ascii="Gentona;Myriad Pro;sans-serif" w:hAnsi="Gentona;Myriad Pro;sans-serif"/>
      <w:b/>
      <w:bCs/>
      <w:i w:val="0"/>
      <w:caps w:val="0"/>
      <w:smallCaps w:val="0"/>
      <w:strike w:val="0"/>
      <w:dstrike w:val="0"/>
      <w:color w:val="FF0000"/>
      <w:spacing w:val="0"/>
      <w:sz w:val="28"/>
      <w:szCs w:val="28"/>
      <w:highlight w:val="yellow"/>
      <w:effect w:val="none"/>
      <w:lang w:val="uk-UA"/>
    </w:rPr>
  </w:style>
  <w:style w:type="character" w:customStyle="1" w:styleId="ListLabel170">
    <w:name w:val="ListLabel 170"/>
    <w:qFormat/>
    <w:rPr>
      <w:b/>
      <w:bCs/>
      <w:color w:val="FF8000"/>
      <w:sz w:val="28"/>
      <w:szCs w:val="28"/>
      <w:highlight w:val="yellow"/>
      <w:lang w:val="ru-RU"/>
    </w:rPr>
  </w:style>
  <w:style w:type="character" w:customStyle="1" w:styleId="ListLabel171">
    <w:name w:val="ListLabel 171"/>
    <w:qFormat/>
    <w:rPr>
      <w:color w:val="158466"/>
      <w:sz w:val="28"/>
      <w:szCs w:val="28"/>
    </w:rPr>
  </w:style>
  <w:style w:type="character" w:customStyle="1" w:styleId="ListLabel172">
    <w:name w:val="ListLabel 172"/>
    <w:qFormat/>
    <w:rPr>
      <w:b w:val="0"/>
      <w:i w:val="0"/>
      <w:caps w:val="0"/>
      <w:smallCaps w:val="0"/>
      <w:color w:val="158466"/>
      <w:spacing w:val="0"/>
      <w:sz w:val="28"/>
      <w:szCs w:val="28"/>
      <w:u w:val="none"/>
    </w:rPr>
  </w:style>
  <w:style w:type="character" w:customStyle="1" w:styleId="ListLabel173">
    <w:name w:val="ListLabel 173"/>
    <w:qFormat/>
    <w:rPr>
      <w:b w:val="0"/>
      <w:i w:val="0"/>
      <w:caps w:val="0"/>
      <w:smallCaps w:val="0"/>
      <w:color w:val="81D41A"/>
      <w:spacing w:val="0"/>
      <w:sz w:val="28"/>
      <w:szCs w:val="28"/>
      <w:u w:val="none"/>
    </w:rPr>
  </w:style>
  <w:style w:type="character" w:customStyle="1" w:styleId="ListLabel174">
    <w:name w:val="ListLabel 174"/>
    <w:qFormat/>
    <w:rPr>
      <w:b/>
      <w:bCs/>
      <w:color w:val="158466"/>
      <w:sz w:val="28"/>
      <w:szCs w:val="28"/>
      <w:highlight w:val="yellow"/>
      <w:lang w:val="uk-UA"/>
    </w:rPr>
  </w:style>
  <w:style w:type="character" w:customStyle="1" w:styleId="ListLabel175">
    <w:name w:val="ListLabel 175"/>
    <w:qFormat/>
    <w:rPr>
      <w:b/>
      <w:bCs/>
      <w:highlight w:val="yellow"/>
    </w:rPr>
  </w:style>
  <w:style w:type="character" w:customStyle="1" w:styleId="ListLabel176">
    <w:name w:val="ListLabel 176"/>
    <w:qFormat/>
    <w:rPr>
      <w:rFonts w:eastAsia="Calibri"/>
      <w:color w:val="000000"/>
      <w:sz w:val="28"/>
      <w:u w:val="none"/>
    </w:rPr>
  </w:style>
  <w:style w:type="character" w:customStyle="1" w:styleId="ListLabel177">
    <w:name w:val="ListLabel 177"/>
    <w:qFormat/>
    <w:rPr>
      <w:rFonts w:eastAsia="Calibri"/>
      <w:color w:val="000000"/>
      <w:sz w:val="28"/>
      <w:u w:val="none"/>
      <w:lang w:val="en-US"/>
    </w:rPr>
  </w:style>
  <w:style w:type="character" w:customStyle="1" w:styleId="ListLabel178">
    <w:name w:val="ListLabel 178"/>
    <w:qFormat/>
    <w:rPr>
      <w:color w:val="000000"/>
      <w:sz w:val="28"/>
      <w:u w:val="none"/>
      <w:lang w:val="uk-UA"/>
    </w:rPr>
  </w:style>
  <w:style w:type="character" w:customStyle="1" w:styleId="ListLabel179">
    <w:name w:val="ListLabel 179"/>
    <w:qFormat/>
    <w:rPr>
      <w:sz w:val="28"/>
      <w:highlight w:val="yellow"/>
      <w:u w:val="none"/>
      <w:lang w:val="en-US"/>
    </w:rPr>
  </w:style>
  <w:style w:type="character" w:customStyle="1" w:styleId="ListLabel180">
    <w:name w:val="ListLabel 180"/>
    <w:qFormat/>
    <w:rPr>
      <w:sz w:val="28"/>
      <w:highlight w:val="yellow"/>
      <w:u w:val="none"/>
      <w:lang w:val="uk-UA"/>
    </w:rPr>
  </w:style>
  <w:style w:type="character" w:customStyle="1" w:styleId="ListLabel181">
    <w:name w:val="ListLabel 181"/>
    <w:qFormat/>
    <w:rPr>
      <w:color w:val="000000"/>
      <w:sz w:val="28"/>
      <w:u w:val="none"/>
    </w:rPr>
  </w:style>
  <w:style w:type="character" w:customStyle="1" w:styleId="ListLabel182">
    <w:name w:val="ListLabel 182"/>
    <w:qFormat/>
    <w:rPr>
      <w:rFonts w:eastAsia="Calibri"/>
      <w:sz w:val="28"/>
    </w:rPr>
  </w:style>
  <w:style w:type="character" w:customStyle="1" w:styleId="ListLabel183">
    <w:name w:val="ListLabel 183"/>
    <w:qFormat/>
    <w:rPr>
      <w:sz w:val="28"/>
      <w:lang w:val="uk-UA"/>
    </w:rPr>
  </w:style>
  <w:style w:type="character" w:customStyle="1" w:styleId="ListLabel184">
    <w:name w:val="ListLabel 184"/>
    <w:qFormat/>
    <w:rPr>
      <w:sz w:val="28"/>
    </w:rPr>
  </w:style>
  <w:style w:type="character" w:customStyle="1" w:styleId="ListLabel185">
    <w:name w:val="ListLabel 185"/>
    <w:qFormat/>
    <w:rPr>
      <w:rFonts w:eastAsia="Calibri" w:cs="Times New Roman"/>
      <w:b/>
      <w:bCs/>
      <w:kern w:val="2"/>
      <w:sz w:val="28"/>
      <w:szCs w:val="28"/>
      <w:lang w:val="uk-UA" w:eastAsia="ru-RU"/>
    </w:rPr>
  </w:style>
  <w:style w:type="character" w:customStyle="1" w:styleId="ListLabel186">
    <w:name w:val="ListLabel 186"/>
    <w:qFormat/>
    <w:rPr>
      <w:rFonts w:eastAsia="Calibri"/>
      <w:b/>
      <w:bCs/>
      <w:color w:val="000000"/>
      <w:sz w:val="28"/>
      <w:u w:val="none"/>
      <w:lang w:val="en-US"/>
    </w:rPr>
  </w:style>
  <w:style w:type="character" w:customStyle="1" w:styleId="ListLabel187">
    <w:name w:val="ListLabel 187"/>
    <w:qFormat/>
    <w:rPr>
      <w:rFonts w:ascii="Gentona;Myriad Pro;sans-serif" w:hAnsi="Gentona;Myriad Pro;sans-serif"/>
      <w:b/>
      <w:bCs/>
      <w:i w:val="0"/>
      <w:caps w:val="0"/>
      <w:smallCaps w:val="0"/>
      <w:strike w:val="0"/>
      <w:dstrike w:val="0"/>
      <w:color w:val="2A6099"/>
      <w:spacing w:val="0"/>
      <w:sz w:val="20"/>
      <w:szCs w:val="28"/>
      <w:highlight w:val="yellow"/>
      <w:effect w:val="none"/>
    </w:rPr>
  </w:style>
  <w:style w:type="character" w:customStyle="1" w:styleId="ListLabel188">
    <w:name w:val="ListLabel 188"/>
    <w:qFormat/>
    <w:rPr>
      <w:rFonts w:ascii="Gentona;Myriad Pro;sans-serif" w:hAnsi="Gentona;Myriad Pro;sans-serif"/>
      <w:b/>
      <w:bCs/>
      <w:i w:val="0"/>
      <w:caps w:val="0"/>
      <w:smallCaps w:val="0"/>
      <w:strike w:val="0"/>
      <w:dstrike w:val="0"/>
      <w:color w:val="FF0000"/>
      <w:spacing w:val="0"/>
      <w:sz w:val="28"/>
      <w:szCs w:val="28"/>
      <w:highlight w:val="yellow"/>
      <w:effect w:val="none"/>
      <w:lang w:val="uk-UA"/>
    </w:rPr>
  </w:style>
  <w:style w:type="character" w:customStyle="1" w:styleId="ListLabel189">
    <w:name w:val="ListLabel 189"/>
    <w:qFormat/>
    <w:rPr>
      <w:b/>
      <w:bCs/>
      <w:color w:val="FF8000"/>
      <w:sz w:val="28"/>
      <w:szCs w:val="28"/>
      <w:highlight w:val="yellow"/>
      <w:lang w:val="ru-RU"/>
    </w:rPr>
  </w:style>
  <w:style w:type="character" w:customStyle="1" w:styleId="ListLabel190">
    <w:name w:val="ListLabel 190"/>
    <w:qFormat/>
    <w:rPr>
      <w:color w:val="158466"/>
      <w:sz w:val="28"/>
      <w:szCs w:val="28"/>
    </w:rPr>
  </w:style>
  <w:style w:type="character" w:customStyle="1" w:styleId="ListLabel191">
    <w:name w:val="ListLabel 191"/>
    <w:qFormat/>
    <w:rPr>
      <w:b w:val="0"/>
      <w:i w:val="0"/>
      <w:caps w:val="0"/>
      <w:smallCaps w:val="0"/>
      <w:color w:val="158466"/>
      <w:spacing w:val="0"/>
      <w:sz w:val="28"/>
      <w:szCs w:val="28"/>
      <w:u w:val="none"/>
    </w:rPr>
  </w:style>
  <w:style w:type="character" w:customStyle="1" w:styleId="ListLabel192">
    <w:name w:val="ListLabel 192"/>
    <w:qFormat/>
    <w:rPr>
      <w:b w:val="0"/>
      <w:i w:val="0"/>
      <w:caps w:val="0"/>
      <w:smallCaps w:val="0"/>
      <w:color w:val="81D41A"/>
      <w:spacing w:val="0"/>
      <w:sz w:val="28"/>
      <w:szCs w:val="28"/>
      <w:u w:val="none"/>
    </w:rPr>
  </w:style>
  <w:style w:type="character" w:customStyle="1" w:styleId="ListLabel193">
    <w:name w:val="ListLabel 193"/>
    <w:qFormat/>
    <w:rPr>
      <w:b/>
      <w:bCs/>
      <w:color w:val="158466"/>
      <w:sz w:val="28"/>
      <w:szCs w:val="28"/>
      <w:highlight w:val="yellow"/>
      <w:lang w:val="uk-UA"/>
    </w:rPr>
  </w:style>
  <w:style w:type="character" w:customStyle="1" w:styleId="ListLabel194">
    <w:name w:val="ListLabel 194"/>
    <w:qFormat/>
    <w:rPr>
      <w:b/>
      <w:bCs/>
      <w:highlight w:val="yellow"/>
    </w:rPr>
  </w:style>
  <w:style w:type="character" w:customStyle="1" w:styleId="ListLabel195">
    <w:name w:val="ListLabel 195"/>
    <w:qFormat/>
    <w:rPr>
      <w:rFonts w:eastAsia="Calibri"/>
      <w:color w:val="000000"/>
      <w:sz w:val="28"/>
      <w:u w:val="none"/>
    </w:rPr>
  </w:style>
  <w:style w:type="character" w:customStyle="1" w:styleId="ListLabel196">
    <w:name w:val="ListLabel 196"/>
    <w:qFormat/>
    <w:rPr>
      <w:rFonts w:eastAsia="Calibri"/>
      <w:color w:val="000000"/>
      <w:sz w:val="28"/>
      <w:u w:val="none"/>
      <w:lang w:val="en-US"/>
    </w:rPr>
  </w:style>
  <w:style w:type="character" w:customStyle="1" w:styleId="ListLabel197">
    <w:name w:val="ListLabel 197"/>
    <w:qFormat/>
    <w:rPr>
      <w:color w:val="000000"/>
      <w:sz w:val="28"/>
      <w:u w:val="none"/>
      <w:lang w:val="uk-UA"/>
    </w:rPr>
  </w:style>
  <w:style w:type="character" w:customStyle="1" w:styleId="ListLabel198">
    <w:name w:val="ListLabel 198"/>
    <w:qFormat/>
    <w:rPr>
      <w:sz w:val="28"/>
      <w:highlight w:val="yellow"/>
      <w:u w:val="none"/>
      <w:lang w:val="en-US"/>
    </w:rPr>
  </w:style>
  <w:style w:type="character" w:customStyle="1" w:styleId="ListLabel199">
    <w:name w:val="ListLabel 199"/>
    <w:qFormat/>
    <w:rPr>
      <w:sz w:val="28"/>
      <w:highlight w:val="yellow"/>
      <w:u w:val="none"/>
      <w:lang w:val="uk-UA"/>
    </w:rPr>
  </w:style>
  <w:style w:type="character" w:customStyle="1" w:styleId="ListLabel200">
    <w:name w:val="ListLabel 200"/>
    <w:qFormat/>
    <w:rPr>
      <w:color w:val="000000"/>
      <w:sz w:val="28"/>
      <w:u w:val="none"/>
    </w:rPr>
  </w:style>
  <w:style w:type="character" w:customStyle="1" w:styleId="ListLabel201">
    <w:name w:val="ListLabel 201"/>
    <w:qFormat/>
    <w:rPr>
      <w:rFonts w:eastAsia="Calibri"/>
      <w:sz w:val="28"/>
    </w:rPr>
  </w:style>
  <w:style w:type="character" w:customStyle="1" w:styleId="ListLabel202">
    <w:name w:val="ListLabel 202"/>
    <w:qFormat/>
    <w:rPr>
      <w:sz w:val="28"/>
      <w:lang w:val="uk-UA"/>
    </w:rPr>
  </w:style>
  <w:style w:type="character" w:customStyle="1" w:styleId="ListLabel203">
    <w:name w:val="ListLabel 203"/>
    <w:qFormat/>
    <w:rPr>
      <w:sz w:val="28"/>
    </w:rPr>
  </w:style>
  <w:style w:type="character" w:customStyle="1" w:styleId="ListLabel204">
    <w:name w:val="ListLabel 204"/>
    <w:qFormat/>
    <w:rPr>
      <w:rFonts w:eastAsia="Calibri" w:cs="Times New Roman"/>
      <w:b/>
      <w:bCs/>
      <w:kern w:val="2"/>
      <w:sz w:val="28"/>
      <w:szCs w:val="28"/>
      <w:lang w:val="uk-UA" w:eastAsia="ru-RU"/>
    </w:rPr>
  </w:style>
  <w:style w:type="character" w:customStyle="1" w:styleId="ListLabel205">
    <w:name w:val="ListLabel 205"/>
    <w:qFormat/>
    <w:rPr>
      <w:rFonts w:eastAsia="Calibri"/>
      <w:b/>
      <w:bCs/>
      <w:color w:val="000000"/>
      <w:sz w:val="28"/>
      <w:u w:val="none"/>
      <w:lang w:val="en-US"/>
    </w:rPr>
  </w:style>
  <w:style w:type="character" w:customStyle="1" w:styleId="ListLabel206">
    <w:name w:val="ListLabel 206"/>
    <w:qFormat/>
    <w:rPr>
      <w:rFonts w:ascii="Gentona;Myriad Pro;sans-serif" w:hAnsi="Gentona;Myriad Pro;sans-serif"/>
      <w:b/>
      <w:bCs/>
      <w:i w:val="0"/>
      <w:caps w:val="0"/>
      <w:smallCaps w:val="0"/>
      <w:strike w:val="0"/>
      <w:dstrike w:val="0"/>
      <w:color w:val="2A6099"/>
      <w:spacing w:val="0"/>
      <w:sz w:val="20"/>
      <w:szCs w:val="28"/>
      <w:highlight w:val="yellow"/>
      <w:effect w:val="none"/>
    </w:rPr>
  </w:style>
  <w:style w:type="character" w:customStyle="1" w:styleId="ListLabel207">
    <w:name w:val="ListLabel 207"/>
    <w:qFormat/>
    <w:rPr>
      <w:rFonts w:ascii="Gentona;Myriad Pro;sans-serif" w:hAnsi="Gentona;Myriad Pro;sans-serif"/>
      <w:b/>
      <w:bCs/>
      <w:i w:val="0"/>
      <w:caps w:val="0"/>
      <w:smallCaps w:val="0"/>
      <w:strike w:val="0"/>
      <w:dstrike w:val="0"/>
      <w:color w:val="FF0000"/>
      <w:spacing w:val="0"/>
      <w:sz w:val="28"/>
      <w:szCs w:val="28"/>
      <w:highlight w:val="yellow"/>
      <w:effect w:val="none"/>
      <w:lang w:val="uk-UA"/>
    </w:rPr>
  </w:style>
  <w:style w:type="character" w:customStyle="1" w:styleId="ListLabel208">
    <w:name w:val="ListLabel 208"/>
    <w:qFormat/>
    <w:rPr>
      <w:b/>
      <w:bCs/>
      <w:color w:val="FF8000"/>
      <w:sz w:val="28"/>
      <w:szCs w:val="28"/>
      <w:highlight w:val="yellow"/>
      <w:lang w:val="ru-RU"/>
    </w:rPr>
  </w:style>
  <w:style w:type="character" w:customStyle="1" w:styleId="ListLabel209">
    <w:name w:val="ListLabel 209"/>
    <w:qFormat/>
    <w:rPr>
      <w:color w:val="158466"/>
      <w:sz w:val="28"/>
      <w:szCs w:val="28"/>
    </w:rPr>
  </w:style>
  <w:style w:type="character" w:customStyle="1" w:styleId="ListLabel210">
    <w:name w:val="ListLabel 210"/>
    <w:qFormat/>
    <w:rPr>
      <w:b w:val="0"/>
      <w:i w:val="0"/>
      <w:caps w:val="0"/>
      <w:smallCaps w:val="0"/>
      <w:color w:val="158466"/>
      <w:spacing w:val="0"/>
      <w:sz w:val="28"/>
      <w:szCs w:val="28"/>
      <w:u w:val="none"/>
    </w:rPr>
  </w:style>
  <w:style w:type="character" w:customStyle="1" w:styleId="ListLabel211">
    <w:name w:val="ListLabel 211"/>
    <w:qFormat/>
    <w:rPr>
      <w:b w:val="0"/>
      <w:i w:val="0"/>
      <w:caps w:val="0"/>
      <w:smallCaps w:val="0"/>
      <w:color w:val="81D41A"/>
      <w:spacing w:val="0"/>
      <w:sz w:val="28"/>
      <w:szCs w:val="28"/>
      <w:u w:val="none"/>
    </w:rPr>
  </w:style>
  <w:style w:type="character" w:customStyle="1" w:styleId="ListLabel212">
    <w:name w:val="ListLabel 212"/>
    <w:qFormat/>
    <w:rPr>
      <w:b/>
      <w:bCs/>
      <w:color w:val="158466"/>
      <w:sz w:val="28"/>
      <w:szCs w:val="28"/>
      <w:highlight w:val="yellow"/>
      <w:lang w:val="uk-UA"/>
    </w:rPr>
  </w:style>
  <w:style w:type="character" w:customStyle="1" w:styleId="ListLabel213">
    <w:name w:val="ListLabel 213"/>
    <w:qFormat/>
    <w:rPr>
      <w:b/>
      <w:bCs/>
      <w:highlight w:val="yellow"/>
    </w:rPr>
  </w:style>
  <w:style w:type="character" w:customStyle="1" w:styleId="ListLabel214">
    <w:name w:val="ListLabel 214"/>
    <w:qFormat/>
    <w:rPr>
      <w:rFonts w:eastAsia="Calibri"/>
      <w:color w:val="000000"/>
      <w:sz w:val="28"/>
      <w:u w:val="none"/>
    </w:rPr>
  </w:style>
  <w:style w:type="character" w:customStyle="1" w:styleId="ListLabel215">
    <w:name w:val="ListLabel 215"/>
    <w:qFormat/>
    <w:rPr>
      <w:rFonts w:eastAsia="Calibri"/>
      <w:color w:val="000000"/>
      <w:sz w:val="28"/>
      <w:u w:val="none"/>
      <w:lang w:val="en-US"/>
    </w:rPr>
  </w:style>
  <w:style w:type="character" w:customStyle="1" w:styleId="ListLabel216">
    <w:name w:val="ListLabel 216"/>
    <w:qFormat/>
    <w:rPr>
      <w:color w:val="000000"/>
      <w:sz w:val="28"/>
      <w:u w:val="none"/>
      <w:lang w:val="uk-UA"/>
    </w:rPr>
  </w:style>
  <w:style w:type="character" w:customStyle="1" w:styleId="ListLabel217">
    <w:name w:val="ListLabel 217"/>
    <w:qFormat/>
    <w:rPr>
      <w:sz w:val="28"/>
      <w:highlight w:val="yellow"/>
      <w:u w:val="none"/>
      <w:lang w:val="en-US"/>
    </w:rPr>
  </w:style>
  <w:style w:type="character" w:customStyle="1" w:styleId="ListLabel218">
    <w:name w:val="ListLabel 218"/>
    <w:qFormat/>
    <w:rPr>
      <w:sz w:val="28"/>
      <w:highlight w:val="yellow"/>
      <w:u w:val="none"/>
      <w:lang w:val="uk-UA"/>
    </w:rPr>
  </w:style>
  <w:style w:type="character" w:customStyle="1" w:styleId="ListLabel219">
    <w:name w:val="ListLabel 219"/>
    <w:qFormat/>
    <w:rPr>
      <w:color w:val="000000"/>
      <w:sz w:val="28"/>
      <w:u w:val="none"/>
    </w:rPr>
  </w:style>
  <w:style w:type="character" w:customStyle="1" w:styleId="ListLabel220">
    <w:name w:val="ListLabel 220"/>
    <w:qFormat/>
    <w:rPr>
      <w:rFonts w:eastAsia="Calibri"/>
      <w:sz w:val="28"/>
    </w:rPr>
  </w:style>
  <w:style w:type="character" w:customStyle="1" w:styleId="ListLabel221">
    <w:name w:val="ListLabel 221"/>
    <w:qFormat/>
    <w:rPr>
      <w:sz w:val="28"/>
      <w:lang w:val="uk-UA"/>
    </w:rPr>
  </w:style>
  <w:style w:type="character" w:customStyle="1" w:styleId="ListLabel222">
    <w:name w:val="ListLabel 222"/>
    <w:qFormat/>
    <w:rPr>
      <w:sz w:val="28"/>
    </w:rPr>
  </w:style>
  <w:style w:type="character" w:customStyle="1" w:styleId="ListLabel223">
    <w:name w:val="ListLabel 223"/>
    <w:qFormat/>
    <w:rPr>
      <w:rFonts w:eastAsia="Calibri" w:cs="Times New Roman"/>
      <w:b/>
      <w:bCs/>
      <w:kern w:val="2"/>
      <w:sz w:val="28"/>
      <w:szCs w:val="28"/>
      <w:lang w:val="uk-UA" w:eastAsia="ru-RU"/>
    </w:rPr>
  </w:style>
  <w:style w:type="character" w:customStyle="1" w:styleId="ListLabel224">
    <w:name w:val="ListLabel 224"/>
    <w:qFormat/>
    <w:rPr>
      <w:rFonts w:eastAsia="Calibri"/>
      <w:b/>
      <w:bCs/>
      <w:color w:val="000000"/>
      <w:sz w:val="28"/>
      <w:u w:val="none"/>
      <w:lang w:val="en-US"/>
    </w:rPr>
  </w:style>
  <w:style w:type="character" w:customStyle="1" w:styleId="ListLabel225">
    <w:name w:val="ListLabel 225"/>
    <w:qFormat/>
    <w:rPr>
      <w:rFonts w:ascii="Gentona;Myriad Pro;sans-serif" w:hAnsi="Gentona;Myriad Pro;sans-serif"/>
      <w:b/>
      <w:bCs/>
      <w:i w:val="0"/>
      <w:caps w:val="0"/>
      <w:smallCaps w:val="0"/>
      <w:strike w:val="0"/>
      <w:dstrike w:val="0"/>
      <w:color w:val="2A6099"/>
      <w:spacing w:val="0"/>
      <w:sz w:val="20"/>
      <w:szCs w:val="28"/>
      <w:highlight w:val="yellow"/>
      <w:effect w:val="none"/>
    </w:rPr>
  </w:style>
  <w:style w:type="character" w:customStyle="1" w:styleId="ListLabel226">
    <w:name w:val="ListLabel 226"/>
    <w:qFormat/>
    <w:rPr>
      <w:rFonts w:ascii="Gentona;Myriad Pro;sans-serif" w:hAnsi="Gentona;Myriad Pro;sans-serif"/>
      <w:b/>
      <w:bCs/>
      <w:i w:val="0"/>
      <w:caps w:val="0"/>
      <w:smallCaps w:val="0"/>
      <w:strike w:val="0"/>
      <w:dstrike w:val="0"/>
      <w:color w:val="FF0000"/>
      <w:spacing w:val="0"/>
      <w:sz w:val="28"/>
      <w:szCs w:val="28"/>
      <w:highlight w:val="yellow"/>
      <w:effect w:val="none"/>
      <w:lang w:val="uk-UA"/>
    </w:rPr>
  </w:style>
  <w:style w:type="character" w:customStyle="1" w:styleId="ListLabel227">
    <w:name w:val="ListLabel 227"/>
    <w:qFormat/>
    <w:rPr>
      <w:b/>
      <w:bCs/>
      <w:color w:val="FF8000"/>
      <w:sz w:val="28"/>
      <w:szCs w:val="28"/>
      <w:highlight w:val="yellow"/>
      <w:lang w:val="ru-RU"/>
    </w:rPr>
  </w:style>
  <w:style w:type="character" w:customStyle="1" w:styleId="ListLabel228">
    <w:name w:val="ListLabel 228"/>
    <w:qFormat/>
    <w:rPr>
      <w:color w:val="158466"/>
      <w:sz w:val="28"/>
      <w:szCs w:val="28"/>
    </w:rPr>
  </w:style>
  <w:style w:type="character" w:customStyle="1" w:styleId="ListLabel229">
    <w:name w:val="ListLabel 229"/>
    <w:qFormat/>
    <w:rPr>
      <w:b w:val="0"/>
      <w:i w:val="0"/>
      <w:caps w:val="0"/>
      <w:smallCaps w:val="0"/>
      <w:color w:val="158466"/>
      <w:spacing w:val="0"/>
      <w:sz w:val="28"/>
      <w:szCs w:val="28"/>
      <w:u w:val="none"/>
    </w:rPr>
  </w:style>
  <w:style w:type="character" w:customStyle="1" w:styleId="ListLabel230">
    <w:name w:val="ListLabel 230"/>
    <w:qFormat/>
    <w:rPr>
      <w:b w:val="0"/>
      <w:i w:val="0"/>
      <w:caps w:val="0"/>
      <w:smallCaps w:val="0"/>
      <w:color w:val="81D41A"/>
      <w:spacing w:val="0"/>
      <w:sz w:val="28"/>
      <w:szCs w:val="28"/>
      <w:u w:val="none"/>
    </w:rPr>
  </w:style>
  <w:style w:type="character" w:customStyle="1" w:styleId="ListLabel231">
    <w:name w:val="ListLabel 231"/>
    <w:qFormat/>
    <w:rPr>
      <w:b/>
      <w:bCs/>
      <w:color w:val="158466"/>
      <w:sz w:val="28"/>
      <w:szCs w:val="28"/>
      <w:highlight w:val="yellow"/>
      <w:lang w:val="uk-UA"/>
    </w:rPr>
  </w:style>
  <w:style w:type="character" w:customStyle="1" w:styleId="ListLabel232">
    <w:name w:val="ListLabel 232"/>
    <w:qFormat/>
    <w:rPr>
      <w:b/>
      <w:bCs/>
      <w:highlight w:val="yellow"/>
    </w:rPr>
  </w:style>
  <w:style w:type="character" w:customStyle="1" w:styleId="StrongEmphasis">
    <w:name w:val="Strong Emphasis"/>
    <w:qFormat/>
    <w:rPr>
      <w:b/>
      <w:bCs/>
    </w:rPr>
  </w:style>
  <w:style w:type="character" w:customStyle="1" w:styleId="ListLabel233">
    <w:name w:val="ListLabel 233"/>
    <w:qFormat/>
    <w:rPr>
      <w:rFonts w:eastAsia="Calibri"/>
      <w:color w:val="000000"/>
      <w:sz w:val="28"/>
      <w:u w:val="none"/>
    </w:rPr>
  </w:style>
  <w:style w:type="character" w:customStyle="1" w:styleId="ListLabel234">
    <w:name w:val="ListLabel 234"/>
    <w:qFormat/>
    <w:rPr>
      <w:rFonts w:eastAsia="Calibri"/>
      <w:color w:val="000000"/>
      <w:sz w:val="28"/>
      <w:u w:val="none"/>
      <w:lang w:val="en-US"/>
    </w:rPr>
  </w:style>
  <w:style w:type="character" w:customStyle="1" w:styleId="ListLabel235">
    <w:name w:val="ListLabel 235"/>
    <w:qFormat/>
    <w:rPr>
      <w:color w:val="000000"/>
      <w:sz w:val="28"/>
      <w:u w:val="none"/>
      <w:lang w:val="uk-UA"/>
    </w:rPr>
  </w:style>
  <w:style w:type="character" w:customStyle="1" w:styleId="ListLabel236">
    <w:name w:val="ListLabel 236"/>
    <w:qFormat/>
    <w:rPr>
      <w:sz w:val="28"/>
      <w:highlight w:val="yellow"/>
      <w:u w:val="none"/>
      <w:lang w:val="en-US"/>
    </w:rPr>
  </w:style>
  <w:style w:type="character" w:customStyle="1" w:styleId="ListLabel237">
    <w:name w:val="ListLabel 237"/>
    <w:qFormat/>
    <w:rPr>
      <w:sz w:val="28"/>
      <w:highlight w:val="yellow"/>
      <w:u w:val="none"/>
      <w:lang w:val="uk-UA"/>
    </w:rPr>
  </w:style>
  <w:style w:type="character" w:customStyle="1" w:styleId="ListLabel238">
    <w:name w:val="ListLabel 238"/>
    <w:qFormat/>
    <w:rPr>
      <w:color w:val="000000"/>
      <w:sz w:val="28"/>
      <w:u w:val="none"/>
    </w:rPr>
  </w:style>
  <w:style w:type="character" w:customStyle="1" w:styleId="ListLabel239">
    <w:name w:val="ListLabel 239"/>
    <w:qFormat/>
    <w:rPr>
      <w:rFonts w:eastAsia="Calibri"/>
      <w:sz w:val="28"/>
    </w:rPr>
  </w:style>
  <w:style w:type="character" w:customStyle="1" w:styleId="ListLabel240">
    <w:name w:val="ListLabel 240"/>
    <w:qFormat/>
    <w:rPr>
      <w:sz w:val="28"/>
      <w:lang w:val="uk-UA"/>
    </w:rPr>
  </w:style>
  <w:style w:type="character" w:customStyle="1" w:styleId="ListLabel241">
    <w:name w:val="ListLabel 241"/>
    <w:qFormat/>
    <w:rPr>
      <w:sz w:val="28"/>
    </w:rPr>
  </w:style>
  <w:style w:type="character" w:customStyle="1" w:styleId="ListLabel242">
    <w:name w:val="ListLabel 242"/>
    <w:qFormat/>
    <w:rPr>
      <w:rFonts w:eastAsia="Calibri" w:cs="Times New Roman"/>
      <w:b/>
      <w:bCs/>
      <w:kern w:val="2"/>
      <w:sz w:val="28"/>
      <w:szCs w:val="28"/>
      <w:lang w:val="uk-UA" w:eastAsia="ru-RU"/>
    </w:rPr>
  </w:style>
  <w:style w:type="character" w:customStyle="1" w:styleId="ListLabel243">
    <w:name w:val="ListLabel 243"/>
    <w:qFormat/>
    <w:rPr>
      <w:rFonts w:eastAsia="Calibri"/>
      <w:b/>
      <w:bCs/>
      <w:color w:val="000000"/>
      <w:sz w:val="28"/>
      <w:u w:val="none"/>
      <w:lang w:val="en-US"/>
    </w:rPr>
  </w:style>
  <w:style w:type="character" w:customStyle="1" w:styleId="ListLabel244">
    <w:name w:val="ListLabel 244"/>
    <w:qFormat/>
    <w:rPr>
      <w:rFonts w:ascii="Gentona;Myriad Pro;sans-serif" w:hAnsi="Gentona;Myriad Pro;sans-serif"/>
      <w:b/>
      <w:bCs/>
      <w:i w:val="0"/>
      <w:caps w:val="0"/>
      <w:smallCaps w:val="0"/>
      <w:strike w:val="0"/>
      <w:dstrike w:val="0"/>
      <w:color w:val="2A6099"/>
      <w:spacing w:val="0"/>
      <w:sz w:val="20"/>
      <w:szCs w:val="28"/>
      <w:highlight w:val="yellow"/>
      <w:effect w:val="none"/>
    </w:rPr>
  </w:style>
  <w:style w:type="character" w:customStyle="1" w:styleId="ListLabel245">
    <w:name w:val="ListLabel 245"/>
    <w:qFormat/>
    <w:rPr>
      <w:rFonts w:ascii="Gentona;Myriad Pro;sans-serif" w:hAnsi="Gentona;Myriad Pro;sans-serif"/>
      <w:b/>
      <w:bCs/>
      <w:i w:val="0"/>
      <w:caps w:val="0"/>
      <w:smallCaps w:val="0"/>
      <w:strike w:val="0"/>
      <w:dstrike w:val="0"/>
      <w:color w:val="FF0000"/>
      <w:spacing w:val="0"/>
      <w:sz w:val="28"/>
      <w:szCs w:val="28"/>
      <w:highlight w:val="yellow"/>
      <w:effect w:val="none"/>
      <w:lang w:val="uk-UA"/>
    </w:rPr>
  </w:style>
  <w:style w:type="character" w:customStyle="1" w:styleId="ListLabel246">
    <w:name w:val="ListLabel 246"/>
    <w:qFormat/>
    <w:rPr>
      <w:b/>
      <w:bCs/>
      <w:color w:val="FF8000"/>
      <w:sz w:val="28"/>
      <w:szCs w:val="28"/>
      <w:highlight w:val="yellow"/>
      <w:lang w:val="ru-RU"/>
    </w:rPr>
  </w:style>
  <w:style w:type="character" w:customStyle="1" w:styleId="ListLabel247">
    <w:name w:val="ListLabel 247"/>
    <w:qFormat/>
    <w:rPr>
      <w:b w:val="0"/>
      <w:i w:val="0"/>
      <w:caps w:val="0"/>
      <w:smallCaps w:val="0"/>
      <w:color w:val="158466"/>
      <w:spacing w:val="0"/>
      <w:sz w:val="28"/>
      <w:szCs w:val="28"/>
      <w:u w:val="none"/>
    </w:rPr>
  </w:style>
  <w:style w:type="character" w:customStyle="1" w:styleId="ListLabel248">
    <w:name w:val="ListLabel 248"/>
    <w:qFormat/>
    <w:rPr>
      <w:b w:val="0"/>
      <w:i w:val="0"/>
      <w:caps w:val="0"/>
      <w:smallCaps w:val="0"/>
      <w:color w:val="81D41A"/>
      <w:spacing w:val="0"/>
      <w:sz w:val="28"/>
      <w:szCs w:val="28"/>
      <w:u w:val="none"/>
    </w:rPr>
  </w:style>
  <w:style w:type="character" w:customStyle="1" w:styleId="ListLabel249">
    <w:name w:val="ListLabel 249"/>
    <w:qFormat/>
    <w:rPr>
      <w:color w:val="158466"/>
      <w:sz w:val="28"/>
      <w:szCs w:val="28"/>
    </w:rPr>
  </w:style>
  <w:style w:type="character" w:customStyle="1" w:styleId="ListLabel250">
    <w:name w:val="ListLabel 250"/>
    <w:qFormat/>
    <w:rPr>
      <w:b/>
      <w:bCs/>
      <w:color w:val="158466"/>
      <w:sz w:val="28"/>
      <w:szCs w:val="28"/>
      <w:highlight w:val="yellow"/>
      <w:lang w:val="uk-UA"/>
    </w:rPr>
  </w:style>
  <w:style w:type="character" w:customStyle="1" w:styleId="ListLabel251">
    <w:name w:val="ListLabel 251"/>
    <w:qFormat/>
    <w:rPr>
      <w:b/>
      <w:bCs/>
      <w:highlight w:val="yellow"/>
    </w:rPr>
  </w:style>
  <w:style w:type="character" w:customStyle="1" w:styleId="ListLabel252">
    <w:name w:val="ListLabel 252"/>
    <w:qFormat/>
    <w:rPr>
      <w:rFonts w:cs="OpenSymbol"/>
    </w:rPr>
  </w:style>
  <w:style w:type="character" w:customStyle="1" w:styleId="ListLabel253">
    <w:name w:val="ListLabel 253"/>
    <w:qFormat/>
    <w:rPr>
      <w:rFonts w:cs="OpenSymbol"/>
    </w:rPr>
  </w:style>
  <w:style w:type="character" w:customStyle="1" w:styleId="ListLabel254">
    <w:name w:val="ListLabel 254"/>
    <w:qFormat/>
    <w:rPr>
      <w:rFonts w:cs="OpenSymbol"/>
    </w:rPr>
  </w:style>
  <w:style w:type="character" w:customStyle="1" w:styleId="ListLabel255">
    <w:name w:val="ListLabel 255"/>
    <w:qFormat/>
    <w:rPr>
      <w:rFonts w:cs="OpenSymbol"/>
    </w:rPr>
  </w:style>
  <w:style w:type="character" w:customStyle="1" w:styleId="ListLabel256">
    <w:name w:val="ListLabel 256"/>
    <w:qFormat/>
    <w:rPr>
      <w:rFonts w:cs="OpenSymbol"/>
    </w:rPr>
  </w:style>
  <w:style w:type="character" w:customStyle="1" w:styleId="ListLabel257">
    <w:name w:val="ListLabel 257"/>
    <w:qFormat/>
    <w:rPr>
      <w:rFonts w:cs="OpenSymbol"/>
    </w:rPr>
  </w:style>
  <w:style w:type="character" w:customStyle="1" w:styleId="ListLabel258">
    <w:name w:val="ListLabel 258"/>
    <w:qFormat/>
    <w:rPr>
      <w:rFonts w:cs="OpenSymbol"/>
    </w:rPr>
  </w:style>
  <w:style w:type="character" w:customStyle="1" w:styleId="ListLabel259">
    <w:name w:val="ListLabel 259"/>
    <w:qFormat/>
    <w:rPr>
      <w:rFonts w:cs="OpenSymbol"/>
    </w:rPr>
  </w:style>
  <w:style w:type="character" w:customStyle="1" w:styleId="ListLabel260">
    <w:name w:val="ListLabel 260"/>
    <w:qFormat/>
    <w:rPr>
      <w:rFonts w:cs="OpenSymbol"/>
    </w:rPr>
  </w:style>
  <w:style w:type="character" w:customStyle="1" w:styleId="ListLabel261">
    <w:name w:val="ListLabel 261"/>
    <w:qFormat/>
    <w:rPr>
      <w:rFonts w:eastAsia="Calibri"/>
      <w:color w:val="000000"/>
      <w:sz w:val="28"/>
      <w:u w:val="none"/>
    </w:rPr>
  </w:style>
  <w:style w:type="character" w:customStyle="1" w:styleId="ListLabel262">
    <w:name w:val="ListLabel 262"/>
    <w:qFormat/>
    <w:rPr>
      <w:rFonts w:eastAsia="Calibri"/>
      <w:color w:val="000000"/>
      <w:sz w:val="28"/>
      <w:u w:val="none"/>
      <w:lang w:val="en-US"/>
    </w:rPr>
  </w:style>
  <w:style w:type="character" w:customStyle="1" w:styleId="ListLabel263">
    <w:name w:val="ListLabel 263"/>
    <w:qFormat/>
    <w:rPr>
      <w:color w:val="000000"/>
      <w:sz w:val="28"/>
      <w:u w:val="none"/>
      <w:lang w:val="uk-UA"/>
    </w:rPr>
  </w:style>
  <w:style w:type="character" w:customStyle="1" w:styleId="ListLabel264">
    <w:name w:val="ListLabel 264"/>
    <w:qFormat/>
    <w:rPr>
      <w:sz w:val="28"/>
      <w:highlight w:val="yellow"/>
      <w:u w:val="none"/>
      <w:lang w:val="en-US"/>
    </w:rPr>
  </w:style>
  <w:style w:type="character" w:customStyle="1" w:styleId="ListLabel265">
    <w:name w:val="ListLabel 265"/>
    <w:qFormat/>
    <w:rPr>
      <w:sz w:val="28"/>
      <w:highlight w:val="yellow"/>
      <w:u w:val="none"/>
      <w:lang w:val="uk-UA"/>
    </w:rPr>
  </w:style>
  <w:style w:type="character" w:customStyle="1" w:styleId="ListLabel266">
    <w:name w:val="ListLabel 266"/>
    <w:qFormat/>
    <w:rPr>
      <w:color w:val="000000"/>
      <w:sz w:val="28"/>
      <w:u w:val="none"/>
    </w:rPr>
  </w:style>
  <w:style w:type="character" w:customStyle="1" w:styleId="ListLabel267">
    <w:name w:val="ListLabel 267"/>
    <w:qFormat/>
    <w:rPr>
      <w:rFonts w:eastAsia="Calibri"/>
      <w:sz w:val="28"/>
    </w:rPr>
  </w:style>
  <w:style w:type="character" w:customStyle="1" w:styleId="ListLabel268">
    <w:name w:val="ListLabel 268"/>
    <w:qFormat/>
    <w:rPr>
      <w:sz w:val="28"/>
      <w:lang w:val="uk-UA"/>
    </w:rPr>
  </w:style>
  <w:style w:type="character" w:customStyle="1" w:styleId="ListLabel269">
    <w:name w:val="ListLabel 269"/>
    <w:qFormat/>
    <w:rPr>
      <w:sz w:val="28"/>
    </w:rPr>
  </w:style>
  <w:style w:type="character" w:customStyle="1" w:styleId="ListLabel270">
    <w:name w:val="ListLabel 270"/>
    <w:qFormat/>
    <w:rPr>
      <w:rFonts w:eastAsia="Calibri" w:cs="Times New Roman"/>
      <w:b/>
      <w:bCs/>
      <w:kern w:val="2"/>
      <w:sz w:val="28"/>
      <w:szCs w:val="28"/>
      <w:lang w:val="uk-UA" w:eastAsia="ru-RU"/>
    </w:rPr>
  </w:style>
  <w:style w:type="character" w:customStyle="1" w:styleId="ListLabel271">
    <w:name w:val="ListLabel 271"/>
    <w:qFormat/>
    <w:rPr>
      <w:rFonts w:eastAsia="Calibri"/>
      <w:b/>
      <w:bCs/>
      <w:color w:val="000000"/>
      <w:sz w:val="28"/>
      <w:u w:val="none"/>
      <w:lang w:val="en-US"/>
    </w:rPr>
  </w:style>
  <w:style w:type="character" w:customStyle="1" w:styleId="ListLabel272">
    <w:name w:val="ListLabel 272"/>
    <w:qFormat/>
    <w:rPr>
      <w:rFonts w:ascii="Gentona;Myriad Pro;sans-serif" w:hAnsi="Gentona;Myriad Pro;sans-serif"/>
      <w:b/>
      <w:bCs/>
      <w:i w:val="0"/>
      <w:caps w:val="0"/>
      <w:smallCaps w:val="0"/>
      <w:strike w:val="0"/>
      <w:dstrike w:val="0"/>
      <w:color w:val="2A6099"/>
      <w:spacing w:val="0"/>
      <w:sz w:val="20"/>
      <w:szCs w:val="28"/>
      <w:highlight w:val="yellow"/>
      <w:effect w:val="none"/>
    </w:rPr>
  </w:style>
  <w:style w:type="character" w:customStyle="1" w:styleId="ListLabel273">
    <w:name w:val="ListLabel 273"/>
    <w:qFormat/>
    <w:rPr>
      <w:b/>
      <w:bCs/>
      <w:color w:val="FF8000"/>
      <w:sz w:val="28"/>
      <w:szCs w:val="28"/>
      <w:highlight w:val="yellow"/>
      <w:lang w:val="ru-RU"/>
    </w:rPr>
  </w:style>
  <w:style w:type="character" w:customStyle="1" w:styleId="ListLabel274">
    <w:name w:val="ListLabel 274"/>
    <w:qFormat/>
    <w:rPr>
      <w:b/>
      <w:bCs/>
      <w:i w:val="0"/>
      <w:caps w:val="0"/>
      <w:smallCaps w:val="0"/>
      <w:color w:val="158466"/>
      <w:spacing w:val="0"/>
      <w:sz w:val="28"/>
      <w:szCs w:val="28"/>
      <w:highlight w:val="yellow"/>
      <w:lang w:val="uk-UA"/>
    </w:rPr>
  </w:style>
  <w:style w:type="character" w:customStyle="1" w:styleId="ListLabel275">
    <w:name w:val="ListLabel 275"/>
    <w:qFormat/>
    <w:rPr>
      <w:b/>
      <w:bCs/>
      <w:color w:val="158466"/>
      <w:sz w:val="28"/>
      <w:szCs w:val="28"/>
      <w:highlight w:val="yellow"/>
      <w:lang w:val="uk-UA"/>
    </w:rPr>
  </w:style>
  <w:style w:type="character" w:customStyle="1" w:styleId="ListLabel276">
    <w:name w:val="ListLabel 276"/>
    <w:qFormat/>
    <w:rPr>
      <w:b/>
      <w:bCs/>
      <w:color w:val="158466"/>
      <w:sz w:val="28"/>
      <w:szCs w:val="28"/>
      <w:u w:val="none"/>
    </w:rPr>
  </w:style>
  <w:style w:type="character" w:customStyle="1" w:styleId="ListLabel277">
    <w:name w:val="ListLabel 277"/>
    <w:qFormat/>
    <w:rPr>
      <w:rFonts w:ascii="Gentona;Myriad Pro;sans-serif" w:hAnsi="Gentona;Myriad Pro;sans-serif"/>
      <w:b/>
      <w:bCs/>
      <w:i w:val="0"/>
      <w:caps w:val="0"/>
      <w:smallCaps w:val="0"/>
      <w:strike w:val="0"/>
      <w:dstrike w:val="0"/>
      <w:color w:val="FF0000"/>
      <w:spacing w:val="0"/>
      <w:sz w:val="28"/>
      <w:szCs w:val="28"/>
      <w:highlight w:val="yellow"/>
      <w:effect w:val="none"/>
      <w:bdr w:val="single" w:sz="2" w:space="1" w:color="000000"/>
      <w:lang w:val="uk-UA"/>
    </w:rPr>
  </w:style>
  <w:style w:type="character" w:customStyle="1" w:styleId="ListLabel278">
    <w:name w:val="ListLabel 278"/>
    <w:qFormat/>
    <w:rPr>
      <w:b/>
      <w:bCs/>
      <w:highlight w:val="yellow"/>
    </w:rPr>
  </w:style>
  <w:style w:type="character" w:customStyle="1" w:styleId="ListLabel279">
    <w:name w:val="ListLabel 279"/>
    <w:qFormat/>
    <w:rPr>
      <w:rFonts w:cs="OpenSymbol"/>
    </w:rPr>
  </w:style>
  <w:style w:type="character" w:customStyle="1" w:styleId="ListLabel280">
    <w:name w:val="ListLabel 280"/>
    <w:qFormat/>
    <w:rPr>
      <w:rFonts w:cs="OpenSymbol"/>
    </w:rPr>
  </w:style>
  <w:style w:type="character" w:customStyle="1" w:styleId="ListLabel281">
    <w:name w:val="ListLabel 281"/>
    <w:qFormat/>
    <w:rPr>
      <w:rFonts w:cs="OpenSymbol"/>
    </w:rPr>
  </w:style>
  <w:style w:type="character" w:customStyle="1" w:styleId="ListLabel282">
    <w:name w:val="ListLabel 282"/>
    <w:qFormat/>
    <w:rPr>
      <w:rFonts w:cs="OpenSymbol"/>
    </w:rPr>
  </w:style>
  <w:style w:type="character" w:customStyle="1" w:styleId="ListLabel283">
    <w:name w:val="ListLabel 283"/>
    <w:qFormat/>
    <w:rPr>
      <w:rFonts w:cs="OpenSymbol"/>
    </w:rPr>
  </w:style>
  <w:style w:type="character" w:customStyle="1" w:styleId="ListLabel284">
    <w:name w:val="ListLabel 284"/>
    <w:qFormat/>
    <w:rPr>
      <w:rFonts w:cs="OpenSymbol"/>
    </w:rPr>
  </w:style>
  <w:style w:type="character" w:customStyle="1" w:styleId="ListLabel285">
    <w:name w:val="ListLabel 285"/>
    <w:qFormat/>
    <w:rPr>
      <w:rFonts w:cs="OpenSymbol"/>
    </w:rPr>
  </w:style>
  <w:style w:type="character" w:customStyle="1" w:styleId="ListLabel286">
    <w:name w:val="ListLabel 286"/>
    <w:qFormat/>
    <w:rPr>
      <w:rFonts w:cs="OpenSymbol"/>
    </w:rPr>
  </w:style>
  <w:style w:type="character" w:customStyle="1" w:styleId="ListLabel287">
    <w:name w:val="ListLabel 287"/>
    <w:qFormat/>
    <w:rPr>
      <w:rFonts w:cs="OpenSymbol"/>
    </w:rPr>
  </w:style>
  <w:style w:type="character" w:customStyle="1" w:styleId="ListLabel288">
    <w:name w:val="ListLabel 288"/>
    <w:qFormat/>
    <w:rPr>
      <w:rFonts w:eastAsia="Calibri"/>
      <w:color w:val="000000"/>
      <w:sz w:val="28"/>
      <w:u w:val="none"/>
    </w:rPr>
  </w:style>
  <w:style w:type="character" w:customStyle="1" w:styleId="ListLabel289">
    <w:name w:val="ListLabel 289"/>
    <w:qFormat/>
    <w:rPr>
      <w:rFonts w:eastAsia="Calibri"/>
      <w:color w:val="000000"/>
      <w:sz w:val="28"/>
      <w:u w:val="none"/>
      <w:lang w:val="en-US"/>
    </w:rPr>
  </w:style>
  <w:style w:type="character" w:customStyle="1" w:styleId="ListLabel290">
    <w:name w:val="ListLabel 290"/>
    <w:qFormat/>
    <w:rPr>
      <w:color w:val="000000"/>
      <w:sz w:val="28"/>
      <w:u w:val="none"/>
      <w:lang w:val="uk-UA"/>
    </w:rPr>
  </w:style>
  <w:style w:type="character" w:customStyle="1" w:styleId="ListLabel291">
    <w:name w:val="ListLabel 291"/>
    <w:qFormat/>
    <w:rPr>
      <w:color w:val="000000"/>
      <w:sz w:val="28"/>
      <w:u w:val="none"/>
    </w:rPr>
  </w:style>
  <w:style w:type="character" w:customStyle="1" w:styleId="ListLabel292">
    <w:name w:val="ListLabel 292"/>
    <w:qFormat/>
    <w:rPr>
      <w:rFonts w:eastAsia="Calibri"/>
      <w:sz w:val="28"/>
    </w:rPr>
  </w:style>
  <w:style w:type="character" w:customStyle="1" w:styleId="ListLabel293">
    <w:name w:val="ListLabel 293"/>
    <w:qFormat/>
    <w:rPr>
      <w:rFonts w:eastAsia="Calibri" w:cs="Times New Roman"/>
      <w:b/>
      <w:bCs/>
      <w:kern w:val="2"/>
      <w:sz w:val="28"/>
      <w:szCs w:val="28"/>
      <w:lang w:val="uk-UA" w:eastAsia="ru-RU"/>
    </w:rPr>
  </w:style>
  <w:style w:type="character" w:customStyle="1" w:styleId="ListLabel294">
    <w:name w:val="ListLabel 294"/>
    <w:qFormat/>
    <w:rPr>
      <w:b/>
      <w:bCs/>
      <w:sz w:val="28"/>
      <w:szCs w:val="28"/>
      <w:highlight w:val="yellow"/>
    </w:rPr>
  </w:style>
  <w:style w:type="character" w:customStyle="1" w:styleId="ListLabel295">
    <w:name w:val="ListLabel 295"/>
    <w:qFormat/>
    <w:rPr>
      <w:rFonts w:eastAsia="Calibri"/>
      <w:b/>
      <w:bCs/>
      <w:color w:val="000000"/>
      <w:sz w:val="28"/>
      <w:u w:val="none"/>
      <w:lang w:val="en-US"/>
    </w:rPr>
  </w:style>
  <w:style w:type="character" w:customStyle="1" w:styleId="ListLabel296">
    <w:name w:val="ListLabel 296"/>
    <w:qFormat/>
    <w:rPr>
      <w:rFonts w:ascii="Times New Roman" w:hAnsi="Times New Roman"/>
      <w:b w:val="0"/>
      <w:bCs w:val="0"/>
      <w:i w:val="0"/>
      <w:caps w:val="0"/>
      <w:smallCaps w:val="0"/>
      <w:strike w:val="0"/>
      <w:dstrike w:val="0"/>
      <w:color w:val="2A6099"/>
      <w:spacing w:val="0"/>
      <w:sz w:val="28"/>
      <w:szCs w:val="28"/>
      <w:highlight w:val="yellow"/>
      <w:effect w:val="none"/>
    </w:rPr>
  </w:style>
  <w:style w:type="character" w:customStyle="1" w:styleId="ListLabel297">
    <w:name w:val="ListLabel 297"/>
    <w:qFormat/>
    <w:rPr>
      <w:rFonts w:ascii="Times New Roman" w:hAnsi="Times New Roman"/>
      <w:b w:val="0"/>
      <w:bCs w:val="0"/>
      <w:color w:val="FF8000"/>
      <w:sz w:val="28"/>
      <w:szCs w:val="28"/>
      <w:highlight w:val="yellow"/>
      <w:lang w:val="ru-RU"/>
    </w:rPr>
  </w:style>
  <w:style w:type="character" w:customStyle="1" w:styleId="ListLabel298">
    <w:name w:val="ListLabel 298"/>
    <w:qFormat/>
    <w:rPr>
      <w:rFonts w:ascii="Times New Roman" w:hAnsi="Times New Roman"/>
      <w:b w:val="0"/>
      <w:bCs w:val="0"/>
      <w:i w:val="0"/>
      <w:caps w:val="0"/>
      <w:smallCaps w:val="0"/>
      <w:color w:val="158466"/>
      <w:spacing w:val="0"/>
      <w:sz w:val="28"/>
      <w:szCs w:val="28"/>
      <w:highlight w:val="yellow"/>
      <w:lang w:val="uk-UA"/>
    </w:rPr>
  </w:style>
  <w:style w:type="character" w:customStyle="1" w:styleId="ListLabel299">
    <w:name w:val="ListLabel 299"/>
    <w:qFormat/>
    <w:rPr>
      <w:rFonts w:ascii="Gentona;Myriad Pro;sans-serif" w:hAnsi="Gentona;Myriad Pro;sans-serif"/>
      <w:b/>
      <w:bCs/>
      <w:i w:val="0"/>
      <w:caps w:val="0"/>
      <w:smallCaps w:val="0"/>
      <w:strike w:val="0"/>
      <w:dstrike w:val="0"/>
      <w:color w:val="2A6099"/>
      <w:spacing w:val="0"/>
      <w:sz w:val="20"/>
      <w:szCs w:val="28"/>
      <w:highlight w:val="yellow"/>
      <w:effect w:val="none"/>
    </w:rPr>
  </w:style>
  <w:style w:type="character" w:customStyle="1" w:styleId="ListLabel300">
    <w:name w:val="ListLabel 300"/>
    <w:qFormat/>
    <w:rPr>
      <w:b/>
      <w:bCs/>
      <w:color w:val="158466"/>
      <w:sz w:val="28"/>
      <w:szCs w:val="28"/>
      <w:u w:val="none"/>
    </w:rPr>
  </w:style>
  <w:style w:type="character" w:customStyle="1" w:styleId="ListLabel301">
    <w:name w:val="ListLabel 301"/>
    <w:qFormat/>
    <w:rPr>
      <w:b/>
      <w:bCs/>
      <w:color w:val="158466"/>
      <w:sz w:val="28"/>
      <w:szCs w:val="28"/>
      <w:highlight w:val="yellow"/>
      <w:lang w:val="uk-UA"/>
    </w:rPr>
  </w:style>
  <w:style w:type="character" w:customStyle="1" w:styleId="ListLabel302">
    <w:name w:val="ListLabel 302"/>
    <w:qFormat/>
    <w:rPr>
      <w:b/>
      <w:bCs/>
      <w:color w:val="FF8000"/>
      <w:sz w:val="28"/>
      <w:szCs w:val="28"/>
      <w:highlight w:val="yellow"/>
      <w:lang w:val="ru-RU"/>
    </w:rPr>
  </w:style>
  <w:style w:type="character" w:customStyle="1" w:styleId="ListLabel303">
    <w:name w:val="ListLabel 303"/>
    <w:qFormat/>
    <w:rPr>
      <w:rFonts w:cs="OpenSymbol"/>
    </w:rPr>
  </w:style>
  <w:style w:type="character" w:customStyle="1" w:styleId="ListLabel304">
    <w:name w:val="ListLabel 304"/>
    <w:qFormat/>
    <w:rPr>
      <w:rFonts w:cs="OpenSymbol"/>
    </w:rPr>
  </w:style>
  <w:style w:type="character" w:customStyle="1" w:styleId="ListLabel305">
    <w:name w:val="ListLabel 305"/>
    <w:qFormat/>
    <w:rPr>
      <w:rFonts w:cs="OpenSymbol"/>
    </w:rPr>
  </w:style>
  <w:style w:type="character" w:customStyle="1" w:styleId="ListLabel306">
    <w:name w:val="ListLabel 306"/>
    <w:qFormat/>
    <w:rPr>
      <w:rFonts w:cs="OpenSymbol"/>
    </w:rPr>
  </w:style>
  <w:style w:type="character" w:customStyle="1" w:styleId="ListLabel307">
    <w:name w:val="ListLabel 307"/>
    <w:qFormat/>
    <w:rPr>
      <w:rFonts w:cs="OpenSymbol"/>
    </w:rPr>
  </w:style>
  <w:style w:type="character" w:customStyle="1" w:styleId="ListLabel308">
    <w:name w:val="ListLabel 308"/>
    <w:qFormat/>
    <w:rPr>
      <w:rFonts w:cs="OpenSymbol"/>
    </w:rPr>
  </w:style>
  <w:style w:type="character" w:customStyle="1" w:styleId="ListLabel309">
    <w:name w:val="ListLabel 309"/>
    <w:qFormat/>
    <w:rPr>
      <w:rFonts w:cs="OpenSymbol"/>
    </w:rPr>
  </w:style>
  <w:style w:type="character" w:customStyle="1" w:styleId="ListLabel310">
    <w:name w:val="ListLabel 310"/>
    <w:qFormat/>
    <w:rPr>
      <w:rFonts w:cs="OpenSymbol"/>
    </w:rPr>
  </w:style>
  <w:style w:type="character" w:customStyle="1" w:styleId="ListLabel311">
    <w:name w:val="ListLabel 311"/>
    <w:qFormat/>
    <w:rPr>
      <w:rFonts w:cs="OpenSymbol"/>
    </w:rPr>
  </w:style>
  <w:style w:type="character" w:customStyle="1" w:styleId="ListLabel312">
    <w:name w:val="ListLabel 312"/>
    <w:qFormat/>
    <w:rPr>
      <w:rFonts w:eastAsia="Calibri"/>
      <w:color w:val="000000"/>
      <w:sz w:val="28"/>
      <w:u w:val="none"/>
    </w:rPr>
  </w:style>
  <w:style w:type="character" w:customStyle="1" w:styleId="ListLabel313">
    <w:name w:val="ListLabel 313"/>
    <w:qFormat/>
    <w:rPr>
      <w:rFonts w:eastAsia="Calibri"/>
      <w:color w:val="000000"/>
      <w:sz w:val="28"/>
      <w:u w:val="none"/>
      <w:lang w:val="en-US"/>
    </w:rPr>
  </w:style>
  <w:style w:type="character" w:customStyle="1" w:styleId="ListLabel314">
    <w:name w:val="ListLabel 314"/>
    <w:qFormat/>
    <w:rPr>
      <w:color w:val="000000"/>
      <w:sz w:val="28"/>
      <w:u w:val="none"/>
      <w:lang w:val="uk-UA"/>
    </w:rPr>
  </w:style>
  <w:style w:type="character" w:customStyle="1" w:styleId="ListLabel315">
    <w:name w:val="ListLabel 315"/>
    <w:qFormat/>
    <w:rPr>
      <w:color w:val="000000"/>
      <w:sz w:val="28"/>
      <w:u w:val="none"/>
    </w:rPr>
  </w:style>
  <w:style w:type="character" w:customStyle="1" w:styleId="ListLabel316">
    <w:name w:val="ListLabel 316"/>
    <w:qFormat/>
    <w:rPr>
      <w:rFonts w:eastAsia="Calibri"/>
      <w:sz w:val="28"/>
    </w:rPr>
  </w:style>
  <w:style w:type="character" w:customStyle="1" w:styleId="ListLabel317">
    <w:name w:val="ListLabel 317"/>
    <w:qFormat/>
    <w:rPr>
      <w:rFonts w:eastAsia="Calibri" w:cs="Times New Roman"/>
      <w:b/>
      <w:bCs/>
      <w:kern w:val="2"/>
      <w:sz w:val="28"/>
      <w:szCs w:val="28"/>
      <w:lang w:val="uk-UA" w:eastAsia="ru-RU"/>
    </w:rPr>
  </w:style>
  <w:style w:type="character" w:customStyle="1" w:styleId="ListLabel318">
    <w:name w:val="ListLabel 318"/>
    <w:qFormat/>
    <w:rPr>
      <w:b/>
      <w:bCs/>
      <w:sz w:val="28"/>
      <w:szCs w:val="28"/>
      <w:highlight w:val="yellow"/>
    </w:rPr>
  </w:style>
  <w:style w:type="character" w:customStyle="1" w:styleId="ListLabel319">
    <w:name w:val="ListLabel 319"/>
    <w:qFormat/>
    <w:rPr>
      <w:rFonts w:ascii="Gentona;Myriad Pro;sans-serif" w:hAnsi="Gentona;Myriad Pro;sans-serif"/>
      <w:b/>
      <w:bCs/>
      <w:i w:val="0"/>
      <w:caps w:val="0"/>
      <w:smallCaps w:val="0"/>
      <w:strike w:val="0"/>
      <w:dstrike w:val="0"/>
      <w:color w:val="2A6099"/>
      <w:spacing w:val="0"/>
      <w:sz w:val="20"/>
      <w:szCs w:val="28"/>
      <w:highlight w:val="yellow"/>
      <w:effect w:val="none"/>
    </w:rPr>
  </w:style>
  <w:style w:type="character" w:customStyle="1" w:styleId="ListLabel320">
    <w:name w:val="ListLabel 320"/>
    <w:qFormat/>
    <w:rPr>
      <w:rFonts w:eastAsia="Calibri"/>
      <w:b/>
      <w:bCs/>
      <w:color w:val="000000"/>
      <w:sz w:val="28"/>
      <w:u w:val="none"/>
      <w:lang w:val="en-US"/>
    </w:rPr>
  </w:style>
  <w:style w:type="character" w:customStyle="1" w:styleId="ListLabel321">
    <w:name w:val="ListLabel 321"/>
    <w:qFormat/>
    <w:rPr>
      <w:b w:val="0"/>
      <w:bCs w:val="0"/>
      <w:i w:val="0"/>
      <w:caps w:val="0"/>
      <w:smallCaps w:val="0"/>
      <w:strike w:val="0"/>
      <w:dstrike w:val="0"/>
      <w:color w:val="2A6099"/>
      <w:spacing w:val="0"/>
      <w:sz w:val="28"/>
      <w:szCs w:val="28"/>
      <w:highlight w:val="yellow"/>
      <w:effect w:val="none"/>
    </w:rPr>
  </w:style>
  <w:style w:type="character" w:customStyle="1" w:styleId="ListLabel322">
    <w:name w:val="ListLabel 322"/>
    <w:qFormat/>
    <w:rPr>
      <w:b w:val="0"/>
      <w:bCs w:val="0"/>
      <w:color w:val="FF8000"/>
      <w:sz w:val="28"/>
      <w:szCs w:val="28"/>
      <w:highlight w:val="yellow"/>
      <w:lang w:val="ru-RU"/>
    </w:rPr>
  </w:style>
  <w:style w:type="character" w:customStyle="1" w:styleId="ListLabel323">
    <w:name w:val="ListLabel 323"/>
    <w:qFormat/>
    <w:rPr>
      <w:b w:val="0"/>
      <w:bCs w:val="0"/>
      <w:i w:val="0"/>
      <w:caps w:val="0"/>
      <w:smallCaps w:val="0"/>
      <w:color w:val="158466"/>
      <w:spacing w:val="0"/>
      <w:sz w:val="28"/>
      <w:szCs w:val="28"/>
      <w:highlight w:val="yellow"/>
      <w:lang w:val="uk-UA"/>
    </w:rPr>
  </w:style>
  <w:style w:type="character" w:customStyle="1" w:styleId="ListLabel324">
    <w:name w:val="ListLabel 324"/>
    <w:qFormat/>
    <w:rPr>
      <w:b/>
      <w:bCs/>
      <w:color w:val="FF8000"/>
      <w:sz w:val="28"/>
      <w:szCs w:val="28"/>
      <w:highlight w:val="yellow"/>
      <w:lang w:val="ru-RU"/>
    </w:rPr>
  </w:style>
  <w:style w:type="character" w:customStyle="1" w:styleId="ListLabel325">
    <w:name w:val="ListLabel 325"/>
    <w:qFormat/>
    <w:rPr>
      <w:rFonts w:eastAsia="Calibri"/>
      <w:color w:val="000000"/>
      <w:sz w:val="28"/>
      <w:u w:val="none"/>
    </w:rPr>
  </w:style>
  <w:style w:type="character" w:customStyle="1" w:styleId="ListLabel326">
    <w:name w:val="ListLabel 326"/>
    <w:qFormat/>
    <w:rPr>
      <w:rFonts w:eastAsia="Calibri"/>
      <w:color w:val="000000"/>
      <w:sz w:val="28"/>
      <w:u w:val="none"/>
      <w:lang w:val="en-US"/>
    </w:rPr>
  </w:style>
  <w:style w:type="character" w:customStyle="1" w:styleId="ListLabel327">
    <w:name w:val="ListLabel 327"/>
    <w:qFormat/>
    <w:rPr>
      <w:color w:val="000000"/>
      <w:sz w:val="28"/>
      <w:u w:val="none"/>
      <w:lang w:val="uk-UA"/>
    </w:rPr>
  </w:style>
  <w:style w:type="character" w:customStyle="1" w:styleId="ListLabel328">
    <w:name w:val="ListLabel 328"/>
    <w:qFormat/>
    <w:rPr>
      <w:color w:val="000000"/>
      <w:sz w:val="28"/>
      <w:u w:val="none"/>
    </w:rPr>
  </w:style>
  <w:style w:type="character" w:customStyle="1" w:styleId="ListLabel329">
    <w:name w:val="ListLabel 329"/>
    <w:qFormat/>
    <w:rPr>
      <w:rFonts w:eastAsia="Calibri"/>
      <w:sz w:val="28"/>
    </w:rPr>
  </w:style>
  <w:style w:type="character" w:customStyle="1" w:styleId="ListLabel330">
    <w:name w:val="ListLabel 330"/>
    <w:qFormat/>
    <w:rPr>
      <w:rFonts w:eastAsia="Calibri" w:cs="Times New Roman"/>
      <w:b/>
      <w:bCs/>
      <w:kern w:val="2"/>
      <w:sz w:val="28"/>
      <w:szCs w:val="28"/>
      <w:lang w:val="uk-UA" w:eastAsia="ru-RU"/>
    </w:rPr>
  </w:style>
  <w:style w:type="character" w:customStyle="1" w:styleId="ListLabel331">
    <w:name w:val="ListLabel 331"/>
    <w:qFormat/>
    <w:rPr>
      <w:b/>
      <w:bCs/>
      <w:sz w:val="28"/>
      <w:szCs w:val="28"/>
      <w:highlight w:val="yellow"/>
    </w:rPr>
  </w:style>
  <w:style w:type="character" w:customStyle="1" w:styleId="ListLabel332">
    <w:name w:val="ListLabel 332"/>
    <w:qFormat/>
    <w:rPr>
      <w:rFonts w:ascii="Gentona;Myriad Pro;sans-serif" w:hAnsi="Gentona;Myriad Pro;sans-serif"/>
      <w:b/>
      <w:bCs/>
      <w:i w:val="0"/>
      <w:caps w:val="0"/>
      <w:smallCaps w:val="0"/>
      <w:strike w:val="0"/>
      <w:dstrike w:val="0"/>
      <w:color w:val="2A6099"/>
      <w:spacing w:val="0"/>
      <w:sz w:val="20"/>
      <w:szCs w:val="28"/>
      <w:highlight w:val="yellow"/>
      <w:effect w:val="none"/>
    </w:rPr>
  </w:style>
  <w:style w:type="character" w:customStyle="1" w:styleId="ListLabel333">
    <w:name w:val="ListLabel 333"/>
    <w:qFormat/>
    <w:rPr>
      <w:rFonts w:eastAsia="Calibri"/>
      <w:b/>
      <w:bCs/>
      <w:color w:val="000000"/>
      <w:sz w:val="28"/>
      <w:u w:val="none"/>
      <w:lang w:val="en-US"/>
    </w:rPr>
  </w:style>
  <w:style w:type="character" w:customStyle="1" w:styleId="ListLabel334">
    <w:name w:val="ListLabel 334"/>
    <w:qFormat/>
    <w:rPr>
      <w:b w:val="0"/>
      <w:bCs w:val="0"/>
      <w:i w:val="0"/>
      <w:caps w:val="0"/>
      <w:smallCaps w:val="0"/>
      <w:strike w:val="0"/>
      <w:dstrike w:val="0"/>
      <w:color w:val="2A6099"/>
      <w:spacing w:val="0"/>
      <w:sz w:val="28"/>
      <w:szCs w:val="28"/>
      <w:highlight w:val="yellow"/>
      <w:effect w:val="none"/>
    </w:rPr>
  </w:style>
  <w:style w:type="character" w:customStyle="1" w:styleId="ListLabel335">
    <w:name w:val="ListLabel 335"/>
    <w:qFormat/>
    <w:rPr>
      <w:b w:val="0"/>
      <w:bCs w:val="0"/>
      <w:color w:val="FF8000"/>
      <w:sz w:val="28"/>
      <w:szCs w:val="28"/>
      <w:highlight w:val="yellow"/>
      <w:lang w:val="ru-RU"/>
    </w:rPr>
  </w:style>
  <w:style w:type="character" w:customStyle="1" w:styleId="ListLabel336">
    <w:name w:val="ListLabel 336"/>
    <w:qFormat/>
    <w:rPr>
      <w:b w:val="0"/>
      <w:bCs w:val="0"/>
      <w:i w:val="0"/>
      <w:caps w:val="0"/>
      <w:smallCaps w:val="0"/>
      <w:color w:val="158466"/>
      <w:spacing w:val="0"/>
      <w:sz w:val="28"/>
      <w:szCs w:val="28"/>
      <w:highlight w:val="yellow"/>
      <w:lang w:val="uk-UA"/>
    </w:rPr>
  </w:style>
  <w:style w:type="character" w:customStyle="1" w:styleId="ListLabel337">
    <w:name w:val="ListLabel 337"/>
    <w:qFormat/>
    <w:rPr>
      <w:b/>
      <w:bCs/>
      <w:color w:val="FF8000"/>
      <w:sz w:val="28"/>
      <w:szCs w:val="28"/>
      <w:highlight w:val="yellow"/>
      <w:lang w:val="ru-RU"/>
    </w:rPr>
  </w:style>
  <w:style w:type="character" w:customStyle="1" w:styleId="ListLabel338">
    <w:name w:val="ListLabel 338"/>
    <w:qFormat/>
    <w:rPr>
      <w:rFonts w:eastAsia="Calibri"/>
      <w:color w:val="000000"/>
      <w:sz w:val="28"/>
      <w:u w:val="none"/>
    </w:rPr>
  </w:style>
  <w:style w:type="character" w:customStyle="1" w:styleId="ListLabel339">
    <w:name w:val="ListLabel 339"/>
    <w:qFormat/>
    <w:rPr>
      <w:rFonts w:eastAsia="Calibri"/>
      <w:color w:val="000000"/>
      <w:sz w:val="28"/>
      <w:u w:val="none"/>
      <w:lang w:val="en-US"/>
    </w:rPr>
  </w:style>
  <w:style w:type="character" w:customStyle="1" w:styleId="ListLabel340">
    <w:name w:val="ListLabel 340"/>
    <w:qFormat/>
    <w:rPr>
      <w:color w:val="000000"/>
      <w:sz w:val="28"/>
      <w:u w:val="none"/>
      <w:lang w:val="uk-UA"/>
    </w:rPr>
  </w:style>
  <w:style w:type="character" w:customStyle="1" w:styleId="ListLabel341">
    <w:name w:val="ListLabel 341"/>
    <w:qFormat/>
    <w:rPr>
      <w:color w:val="000000"/>
      <w:sz w:val="28"/>
      <w:u w:val="none"/>
    </w:rPr>
  </w:style>
  <w:style w:type="character" w:customStyle="1" w:styleId="ListLabel342">
    <w:name w:val="ListLabel 342"/>
    <w:qFormat/>
    <w:rPr>
      <w:rFonts w:eastAsia="Calibri"/>
      <w:sz w:val="28"/>
    </w:rPr>
  </w:style>
  <w:style w:type="character" w:customStyle="1" w:styleId="ListLabel343">
    <w:name w:val="ListLabel 343"/>
    <w:qFormat/>
    <w:rPr>
      <w:rFonts w:eastAsia="Calibri" w:cs="Times New Roman"/>
      <w:b/>
      <w:bCs/>
      <w:kern w:val="2"/>
      <w:sz w:val="28"/>
      <w:szCs w:val="28"/>
      <w:lang w:val="uk-UA" w:eastAsia="ru-RU"/>
    </w:rPr>
  </w:style>
  <w:style w:type="character" w:customStyle="1" w:styleId="ListLabel344">
    <w:name w:val="ListLabel 344"/>
    <w:qFormat/>
    <w:rPr>
      <w:rFonts w:eastAsia="Calibri"/>
      <w:b/>
      <w:bCs/>
      <w:color w:val="000000"/>
      <w:sz w:val="28"/>
      <w:u w:val="none"/>
      <w:lang w:val="en-US"/>
    </w:rPr>
  </w:style>
  <w:style w:type="character" w:customStyle="1" w:styleId="ListLabel345">
    <w:name w:val="ListLabel 345"/>
    <w:qFormat/>
    <w:rPr>
      <w:b w:val="0"/>
      <w:bCs w:val="0"/>
      <w:color w:val="FF8000"/>
      <w:sz w:val="28"/>
      <w:szCs w:val="28"/>
      <w:highlight w:val="yellow"/>
      <w:lang w:val="ru-RU"/>
    </w:rPr>
  </w:style>
  <w:style w:type="character" w:customStyle="1" w:styleId="ListLabel346">
    <w:name w:val="ListLabel 346"/>
    <w:qFormat/>
    <w:rPr>
      <w:b w:val="0"/>
      <w:bCs w:val="0"/>
      <w:i w:val="0"/>
      <w:caps w:val="0"/>
      <w:smallCaps w:val="0"/>
      <w:color w:val="158466"/>
      <w:spacing w:val="0"/>
      <w:sz w:val="28"/>
      <w:szCs w:val="28"/>
      <w:highlight w:val="yellow"/>
      <w:lang w:val="uk-UA"/>
    </w:rPr>
  </w:style>
  <w:style w:type="character" w:customStyle="1" w:styleId="ListLabel347">
    <w:name w:val="ListLabel 347"/>
    <w:qFormat/>
    <w:rPr>
      <w:b/>
      <w:bCs/>
      <w:color w:val="FF8000"/>
      <w:sz w:val="28"/>
      <w:szCs w:val="28"/>
      <w:highlight w:val="yellow"/>
      <w:lang w:val="ru-RU"/>
    </w:rPr>
  </w:style>
  <w:style w:type="character" w:customStyle="1" w:styleId="ListLabel348">
    <w:name w:val="ListLabel 348"/>
    <w:qFormat/>
    <w:rPr>
      <w:rFonts w:cs="OpenSymbol"/>
    </w:rPr>
  </w:style>
  <w:style w:type="character" w:customStyle="1" w:styleId="ListLabel349">
    <w:name w:val="ListLabel 349"/>
    <w:qFormat/>
    <w:rPr>
      <w:rFonts w:cs="OpenSymbol"/>
    </w:rPr>
  </w:style>
  <w:style w:type="character" w:customStyle="1" w:styleId="ListLabel350">
    <w:name w:val="ListLabel 350"/>
    <w:qFormat/>
    <w:rPr>
      <w:rFonts w:cs="OpenSymbol"/>
    </w:rPr>
  </w:style>
  <w:style w:type="character" w:customStyle="1" w:styleId="ListLabel351">
    <w:name w:val="ListLabel 351"/>
    <w:qFormat/>
    <w:rPr>
      <w:rFonts w:eastAsia="Calibri"/>
      <w:color w:val="000000"/>
      <w:sz w:val="28"/>
      <w:u w:val="none"/>
    </w:rPr>
  </w:style>
  <w:style w:type="character" w:customStyle="1" w:styleId="ListLabel352">
    <w:name w:val="ListLabel 352"/>
    <w:qFormat/>
    <w:rPr>
      <w:rFonts w:eastAsia="Calibri"/>
      <w:color w:val="000000"/>
      <w:sz w:val="28"/>
      <w:u w:val="none"/>
      <w:lang w:val="en-US"/>
    </w:rPr>
  </w:style>
  <w:style w:type="character" w:customStyle="1" w:styleId="ListLabel353">
    <w:name w:val="ListLabel 353"/>
    <w:qFormat/>
    <w:rPr>
      <w:color w:val="000000"/>
      <w:sz w:val="28"/>
      <w:u w:val="none"/>
      <w:lang w:val="uk-UA"/>
    </w:rPr>
  </w:style>
  <w:style w:type="character" w:customStyle="1" w:styleId="ListLabel354">
    <w:name w:val="ListLabel 354"/>
    <w:qFormat/>
    <w:rPr>
      <w:color w:val="000000"/>
      <w:sz w:val="28"/>
      <w:u w:val="none"/>
    </w:rPr>
  </w:style>
  <w:style w:type="character" w:customStyle="1" w:styleId="ListLabel355">
    <w:name w:val="ListLabel 355"/>
    <w:qFormat/>
    <w:rPr>
      <w:rFonts w:eastAsia="Calibri"/>
      <w:sz w:val="28"/>
    </w:rPr>
  </w:style>
  <w:style w:type="character" w:customStyle="1" w:styleId="ListLabel356">
    <w:name w:val="ListLabel 356"/>
    <w:qFormat/>
    <w:rPr>
      <w:rFonts w:eastAsia="Calibri" w:cs="Times New Roman"/>
      <w:b/>
      <w:bCs/>
      <w:kern w:val="2"/>
      <w:sz w:val="28"/>
      <w:szCs w:val="28"/>
      <w:lang w:val="uk-UA" w:eastAsia="ru-RU"/>
    </w:rPr>
  </w:style>
  <w:style w:type="character" w:customStyle="1" w:styleId="ListLabel357">
    <w:name w:val="ListLabel 357"/>
    <w:qFormat/>
    <w:rPr>
      <w:rFonts w:eastAsia="Calibri"/>
      <w:b/>
      <w:bCs/>
      <w:color w:val="000000"/>
      <w:sz w:val="28"/>
      <w:u w:val="none"/>
      <w:lang w:val="en-US"/>
    </w:rPr>
  </w:style>
  <w:style w:type="character" w:customStyle="1" w:styleId="ListLabel358">
    <w:name w:val="ListLabel 358"/>
    <w:qFormat/>
    <w:rPr>
      <w:b w:val="0"/>
      <w:bCs w:val="0"/>
      <w:color w:val="FF8000"/>
      <w:sz w:val="28"/>
      <w:szCs w:val="28"/>
      <w:highlight w:val="yellow"/>
      <w:lang w:val="ru-RU"/>
    </w:rPr>
  </w:style>
  <w:style w:type="character" w:customStyle="1" w:styleId="ListLabel359">
    <w:name w:val="ListLabel 359"/>
    <w:qFormat/>
    <w:rPr>
      <w:b w:val="0"/>
      <w:bCs w:val="0"/>
      <w:i w:val="0"/>
      <w:caps w:val="0"/>
      <w:smallCaps w:val="0"/>
      <w:color w:val="158466"/>
      <w:spacing w:val="0"/>
      <w:sz w:val="28"/>
      <w:szCs w:val="28"/>
      <w:highlight w:val="yellow"/>
      <w:lang w:val="uk-UA"/>
    </w:rPr>
  </w:style>
  <w:style w:type="character" w:customStyle="1" w:styleId="ListLabel360">
    <w:name w:val="ListLabel 360"/>
    <w:qFormat/>
    <w:rPr>
      <w:b/>
      <w:bCs/>
      <w:color w:val="FF8000"/>
      <w:sz w:val="28"/>
      <w:szCs w:val="28"/>
      <w:highlight w:val="yellow"/>
      <w:lang w:val="ru-RU"/>
    </w:rPr>
  </w:style>
  <w:style w:type="character" w:customStyle="1" w:styleId="ListLabel361">
    <w:name w:val="ListLabel 361"/>
    <w:qFormat/>
    <w:rPr>
      <w:rFonts w:cs="OpenSymbol"/>
    </w:rPr>
  </w:style>
  <w:style w:type="character" w:customStyle="1" w:styleId="ListLabel362">
    <w:name w:val="ListLabel 362"/>
    <w:qFormat/>
    <w:rPr>
      <w:rFonts w:cs="OpenSymbol"/>
    </w:rPr>
  </w:style>
  <w:style w:type="character" w:customStyle="1" w:styleId="ListLabel363">
    <w:name w:val="ListLabel 363"/>
    <w:qFormat/>
    <w:rPr>
      <w:rFonts w:cs="OpenSymbol"/>
    </w:rPr>
  </w:style>
  <w:style w:type="character" w:customStyle="1" w:styleId="ListLabel364">
    <w:name w:val="ListLabel 364"/>
    <w:qFormat/>
    <w:rPr>
      <w:rFonts w:eastAsia="Calibri"/>
      <w:color w:val="000000"/>
      <w:sz w:val="28"/>
      <w:u w:val="none"/>
    </w:rPr>
  </w:style>
  <w:style w:type="character" w:customStyle="1" w:styleId="ListLabel365">
    <w:name w:val="ListLabel 365"/>
    <w:qFormat/>
    <w:rPr>
      <w:rFonts w:eastAsia="Calibri"/>
      <w:color w:val="000000"/>
      <w:sz w:val="28"/>
      <w:u w:val="none"/>
      <w:lang w:val="en-US"/>
    </w:rPr>
  </w:style>
  <w:style w:type="character" w:customStyle="1" w:styleId="ListLabel366">
    <w:name w:val="ListLabel 366"/>
    <w:qFormat/>
    <w:rPr>
      <w:color w:val="000000"/>
      <w:sz w:val="28"/>
      <w:u w:val="none"/>
      <w:lang w:val="uk-UA"/>
    </w:rPr>
  </w:style>
  <w:style w:type="character" w:customStyle="1" w:styleId="ListLabel367">
    <w:name w:val="ListLabel 367"/>
    <w:qFormat/>
    <w:rPr>
      <w:color w:val="000000"/>
      <w:sz w:val="28"/>
      <w:u w:val="none"/>
    </w:rPr>
  </w:style>
  <w:style w:type="character" w:customStyle="1" w:styleId="ListLabel368">
    <w:name w:val="ListLabel 368"/>
    <w:qFormat/>
    <w:rPr>
      <w:rFonts w:eastAsia="Calibri"/>
      <w:sz w:val="28"/>
    </w:rPr>
  </w:style>
  <w:style w:type="character" w:customStyle="1" w:styleId="ListLabel369">
    <w:name w:val="ListLabel 369"/>
    <w:qFormat/>
    <w:rPr>
      <w:rFonts w:eastAsia="Calibri" w:cs="Times New Roman"/>
      <w:b/>
      <w:bCs/>
      <w:kern w:val="2"/>
      <w:sz w:val="28"/>
      <w:szCs w:val="28"/>
      <w:lang w:val="uk-UA" w:eastAsia="ru-RU"/>
    </w:rPr>
  </w:style>
  <w:style w:type="character" w:customStyle="1" w:styleId="ListLabel370">
    <w:name w:val="ListLabel 370"/>
    <w:qFormat/>
    <w:rPr>
      <w:rFonts w:eastAsia="Calibri"/>
      <w:b/>
      <w:bCs/>
      <w:color w:val="000000"/>
      <w:sz w:val="28"/>
      <w:u w:val="none"/>
      <w:lang w:val="en-US"/>
    </w:rPr>
  </w:style>
  <w:style w:type="character" w:customStyle="1" w:styleId="ListLabel371">
    <w:name w:val="ListLabel 371"/>
    <w:qFormat/>
    <w:rPr>
      <w:b w:val="0"/>
      <w:bCs w:val="0"/>
      <w:color w:val="FF8000"/>
      <w:sz w:val="28"/>
      <w:szCs w:val="28"/>
      <w:highlight w:val="yellow"/>
      <w:lang w:val="ru-RU"/>
    </w:rPr>
  </w:style>
  <w:style w:type="character" w:customStyle="1" w:styleId="ListLabel372">
    <w:name w:val="ListLabel 372"/>
    <w:qFormat/>
    <w:rPr>
      <w:b w:val="0"/>
      <w:bCs w:val="0"/>
      <w:i w:val="0"/>
      <w:caps w:val="0"/>
      <w:smallCaps w:val="0"/>
      <w:color w:val="158466"/>
      <w:spacing w:val="0"/>
      <w:sz w:val="28"/>
      <w:szCs w:val="28"/>
      <w:highlight w:val="yellow"/>
      <w:lang w:val="uk-UA"/>
    </w:rPr>
  </w:style>
  <w:style w:type="character" w:customStyle="1" w:styleId="ListLabel373">
    <w:name w:val="ListLabel 373"/>
    <w:qFormat/>
    <w:rPr>
      <w:b/>
      <w:bCs/>
      <w:color w:val="FF8000"/>
      <w:sz w:val="28"/>
      <w:szCs w:val="28"/>
      <w:highlight w:val="yellow"/>
      <w:lang w:val="ru-RU"/>
    </w:rPr>
  </w:style>
  <w:style w:type="character" w:customStyle="1" w:styleId="ListLabel374">
    <w:name w:val="ListLabel 374"/>
    <w:qFormat/>
    <w:rPr>
      <w:rFonts w:cs="OpenSymbol"/>
    </w:rPr>
  </w:style>
  <w:style w:type="character" w:customStyle="1" w:styleId="ListLabel375">
    <w:name w:val="ListLabel 375"/>
    <w:qFormat/>
    <w:rPr>
      <w:rFonts w:cs="OpenSymbol"/>
    </w:rPr>
  </w:style>
  <w:style w:type="character" w:customStyle="1" w:styleId="ListLabel376">
    <w:name w:val="ListLabel 376"/>
    <w:qFormat/>
    <w:rPr>
      <w:rFonts w:cs="OpenSymbol"/>
    </w:rPr>
  </w:style>
  <w:style w:type="character" w:customStyle="1" w:styleId="ListLabel377">
    <w:name w:val="ListLabel 377"/>
    <w:qFormat/>
    <w:rPr>
      <w:rFonts w:eastAsia="Calibri"/>
      <w:color w:val="000000"/>
      <w:sz w:val="28"/>
      <w:u w:val="none"/>
    </w:rPr>
  </w:style>
  <w:style w:type="character" w:customStyle="1" w:styleId="ListLabel378">
    <w:name w:val="ListLabel 378"/>
    <w:qFormat/>
    <w:rPr>
      <w:rFonts w:eastAsia="Calibri"/>
      <w:color w:val="000000"/>
      <w:sz w:val="28"/>
      <w:u w:val="none"/>
      <w:lang w:val="en-US"/>
    </w:rPr>
  </w:style>
  <w:style w:type="character" w:customStyle="1" w:styleId="ListLabel379">
    <w:name w:val="ListLabel 379"/>
    <w:qFormat/>
    <w:rPr>
      <w:color w:val="000000"/>
      <w:sz w:val="28"/>
      <w:u w:val="none"/>
      <w:lang w:val="uk-UA"/>
    </w:rPr>
  </w:style>
  <w:style w:type="character" w:customStyle="1" w:styleId="ListLabel380">
    <w:name w:val="ListLabel 380"/>
    <w:qFormat/>
    <w:rPr>
      <w:color w:val="000000"/>
      <w:sz w:val="28"/>
      <w:u w:val="none"/>
    </w:rPr>
  </w:style>
  <w:style w:type="character" w:customStyle="1" w:styleId="ListLabel381">
    <w:name w:val="ListLabel 381"/>
    <w:qFormat/>
    <w:rPr>
      <w:rFonts w:eastAsia="Calibri"/>
      <w:sz w:val="28"/>
    </w:rPr>
  </w:style>
  <w:style w:type="character" w:customStyle="1" w:styleId="ListLabel382">
    <w:name w:val="ListLabel 382"/>
    <w:qFormat/>
    <w:rPr>
      <w:rFonts w:eastAsia="Calibri" w:cs="Times New Roman"/>
      <w:b/>
      <w:bCs/>
      <w:kern w:val="2"/>
      <w:sz w:val="28"/>
      <w:szCs w:val="28"/>
      <w:lang w:val="uk-UA" w:eastAsia="ru-RU"/>
    </w:rPr>
  </w:style>
  <w:style w:type="character" w:customStyle="1" w:styleId="ListLabel383">
    <w:name w:val="ListLabel 383"/>
    <w:qFormat/>
    <w:rPr>
      <w:rFonts w:eastAsia="Calibri"/>
      <w:b/>
      <w:bCs/>
      <w:color w:val="000000"/>
      <w:sz w:val="28"/>
      <w:u w:val="none"/>
      <w:lang w:val="en-US"/>
    </w:rPr>
  </w:style>
  <w:style w:type="character" w:customStyle="1" w:styleId="ListLabel384">
    <w:name w:val="ListLabel 384"/>
    <w:qFormat/>
    <w:rPr>
      <w:b w:val="0"/>
      <w:bCs w:val="0"/>
      <w:color w:val="FF8000"/>
      <w:sz w:val="28"/>
      <w:szCs w:val="28"/>
      <w:highlight w:val="yellow"/>
      <w:lang w:val="ru-RU"/>
    </w:rPr>
  </w:style>
  <w:style w:type="character" w:customStyle="1" w:styleId="ListLabel385">
    <w:name w:val="ListLabel 385"/>
    <w:qFormat/>
    <w:rPr>
      <w:b w:val="0"/>
      <w:bCs w:val="0"/>
      <w:i w:val="0"/>
      <w:caps w:val="0"/>
      <w:smallCaps w:val="0"/>
      <w:color w:val="158466"/>
      <w:spacing w:val="0"/>
      <w:sz w:val="28"/>
      <w:szCs w:val="28"/>
      <w:highlight w:val="yellow"/>
      <w:lang w:val="uk-UA"/>
    </w:rPr>
  </w:style>
  <w:style w:type="character" w:customStyle="1" w:styleId="ListLabel386">
    <w:name w:val="ListLabel 386"/>
    <w:qFormat/>
    <w:rPr>
      <w:b/>
      <w:bCs/>
      <w:color w:val="FF8000"/>
      <w:sz w:val="28"/>
      <w:szCs w:val="28"/>
      <w:highlight w:val="yellow"/>
      <w:lang w:val="ru-RU"/>
    </w:rPr>
  </w:style>
  <w:style w:type="character" w:customStyle="1" w:styleId="ListLabel387">
    <w:name w:val="ListLabel 387"/>
    <w:qFormat/>
    <w:rPr>
      <w:rFonts w:cs="OpenSymbol"/>
    </w:rPr>
  </w:style>
  <w:style w:type="character" w:customStyle="1" w:styleId="ListLabel388">
    <w:name w:val="ListLabel 388"/>
    <w:qFormat/>
    <w:rPr>
      <w:rFonts w:cs="OpenSymbol"/>
    </w:rPr>
  </w:style>
  <w:style w:type="character" w:customStyle="1" w:styleId="ListLabel389">
    <w:name w:val="ListLabel 389"/>
    <w:qFormat/>
    <w:rPr>
      <w:rFonts w:cs="OpenSymbol"/>
    </w:rPr>
  </w:style>
  <w:style w:type="character" w:customStyle="1" w:styleId="ListLabel390">
    <w:name w:val="ListLabel 390"/>
    <w:qFormat/>
    <w:rPr>
      <w:rFonts w:eastAsia="Calibri"/>
      <w:color w:val="000000"/>
      <w:sz w:val="28"/>
      <w:u w:val="none"/>
    </w:rPr>
  </w:style>
  <w:style w:type="character" w:customStyle="1" w:styleId="ListLabel391">
    <w:name w:val="ListLabel 391"/>
    <w:qFormat/>
    <w:rPr>
      <w:rFonts w:eastAsia="Calibri"/>
      <w:color w:val="000000"/>
      <w:sz w:val="28"/>
      <w:u w:val="none"/>
      <w:lang w:val="en-US"/>
    </w:rPr>
  </w:style>
  <w:style w:type="character" w:customStyle="1" w:styleId="ListLabel392">
    <w:name w:val="ListLabel 392"/>
    <w:qFormat/>
    <w:rPr>
      <w:color w:val="000000"/>
      <w:sz w:val="28"/>
      <w:u w:val="none"/>
      <w:lang w:val="uk-UA"/>
    </w:rPr>
  </w:style>
  <w:style w:type="character" w:customStyle="1" w:styleId="ListLabel393">
    <w:name w:val="ListLabel 393"/>
    <w:qFormat/>
    <w:rPr>
      <w:color w:val="000000"/>
      <w:sz w:val="28"/>
      <w:u w:val="none"/>
    </w:rPr>
  </w:style>
  <w:style w:type="character" w:customStyle="1" w:styleId="ListLabel394">
    <w:name w:val="ListLabel 394"/>
    <w:qFormat/>
    <w:rPr>
      <w:rFonts w:eastAsia="Calibri"/>
      <w:sz w:val="28"/>
    </w:rPr>
  </w:style>
  <w:style w:type="character" w:customStyle="1" w:styleId="ListLabel395">
    <w:name w:val="ListLabel 395"/>
    <w:qFormat/>
    <w:rPr>
      <w:rFonts w:eastAsia="Calibri" w:cs="Times New Roman"/>
      <w:b/>
      <w:bCs/>
      <w:kern w:val="2"/>
      <w:sz w:val="28"/>
      <w:szCs w:val="28"/>
      <w:lang w:val="uk-UA" w:eastAsia="ru-RU"/>
    </w:rPr>
  </w:style>
  <w:style w:type="character" w:customStyle="1" w:styleId="ListLabel396">
    <w:name w:val="ListLabel 396"/>
    <w:qFormat/>
    <w:rPr>
      <w:rFonts w:eastAsia="Calibri"/>
      <w:b/>
      <w:bCs/>
      <w:color w:val="000000"/>
      <w:sz w:val="28"/>
      <w:u w:val="none"/>
      <w:lang w:val="en-US"/>
    </w:rPr>
  </w:style>
  <w:style w:type="character" w:customStyle="1" w:styleId="ListLabel397">
    <w:name w:val="ListLabel 397"/>
    <w:qFormat/>
    <w:rPr>
      <w:b w:val="0"/>
      <w:bCs w:val="0"/>
      <w:color w:val="FF8000"/>
      <w:sz w:val="28"/>
      <w:szCs w:val="28"/>
      <w:highlight w:val="yellow"/>
      <w:lang w:val="ru-RU"/>
    </w:rPr>
  </w:style>
  <w:style w:type="character" w:customStyle="1" w:styleId="ListLabel398">
    <w:name w:val="ListLabel 398"/>
    <w:qFormat/>
    <w:rPr>
      <w:b w:val="0"/>
      <w:bCs w:val="0"/>
      <w:i w:val="0"/>
      <w:caps w:val="0"/>
      <w:smallCaps w:val="0"/>
      <w:color w:val="158466"/>
      <w:spacing w:val="0"/>
      <w:sz w:val="28"/>
      <w:szCs w:val="28"/>
      <w:highlight w:val="yellow"/>
      <w:lang w:val="uk-UA"/>
    </w:rPr>
  </w:style>
  <w:style w:type="character" w:customStyle="1" w:styleId="ListLabel399">
    <w:name w:val="ListLabel 399"/>
    <w:qFormat/>
    <w:rPr>
      <w:b/>
      <w:bCs/>
      <w:color w:val="FF8000"/>
      <w:sz w:val="28"/>
      <w:szCs w:val="28"/>
      <w:highlight w:val="yellow"/>
      <w:lang w:val="ru-RU"/>
    </w:rPr>
  </w:style>
  <w:style w:type="character" w:customStyle="1" w:styleId="ListLabel400">
    <w:name w:val="ListLabel 400"/>
    <w:qFormat/>
    <w:rPr>
      <w:rFonts w:cs="OpenSymbol"/>
    </w:rPr>
  </w:style>
  <w:style w:type="character" w:customStyle="1" w:styleId="ListLabel401">
    <w:name w:val="ListLabel 401"/>
    <w:qFormat/>
    <w:rPr>
      <w:rFonts w:cs="OpenSymbol"/>
    </w:rPr>
  </w:style>
  <w:style w:type="character" w:customStyle="1" w:styleId="ListLabel402">
    <w:name w:val="ListLabel 402"/>
    <w:qFormat/>
    <w:rPr>
      <w:rFonts w:cs="OpenSymbol"/>
    </w:rPr>
  </w:style>
  <w:style w:type="character" w:customStyle="1" w:styleId="ListLabel403">
    <w:name w:val="ListLabel 403"/>
    <w:qFormat/>
    <w:rPr>
      <w:rFonts w:eastAsia="Calibri"/>
      <w:color w:val="000000"/>
      <w:sz w:val="28"/>
      <w:u w:val="none"/>
    </w:rPr>
  </w:style>
  <w:style w:type="character" w:customStyle="1" w:styleId="ListLabel404">
    <w:name w:val="ListLabel 404"/>
    <w:qFormat/>
    <w:rPr>
      <w:rFonts w:eastAsia="Calibri"/>
      <w:color w:val="000000"/>
      <w:sz w:val="28"/>
      <w:u w:val="none"/>
      <w:lang w:val="en-US"/>
    </w:rPr>
  </w:style>
  <w:style w:type="character" w:customStyle="1" w:styleId="ListLabel405">
    <w:name w:val="ListLabel 405"/>
    <w:qFormat/>
    <w:rPr>
      <w:color w:val="000000"/>
      <w:sz w:val="28"/>
      <w:u w:val="none"/>
      <w:lang w:val="uk-UA"/>
    </w:rPr>
  </w:style>
  <w:style w:type="character" w:customStyle="1" w:styleId="ListLabel406">
    <w:name w:val="ListLabel 406"/>
    <w:qFormat/>
    <w:rPr>
      <w:color w:val="000000"/>
      <w:sz w:val="28"/>
      <w:u w:val="none"/>
    </w:rPr>
  </w:style>
  <w:style w:type="character" w:customStyle="1" w:styleId="ListLabel407">
    <w:name w:val="ListLabel 407"/>
    <w:qFormat/>
    <w:rPr>
      <w:rFonts w:eastAsia="Calibri"/>
      <w:sz w:val="28"/>
    </w:rPr>
  </w:style>
  <w:style w:type="character" w:customStyle="1" w:styleId="ListLabel408">
    <w:name w:val="ListLabel 408"/>
    <w:qFormat/>
    <w:rPr>
      <w:rFonts w:eastAsia="Calibri" w:cs="Times New Roman"/>
      <w:b/>
      <w:bCs/>
      <w:kern w:val="2"/>
      <w:sz w:val="28"/>
      <w:szCs w:val="28"/>
      <w:lang w:val="uk-UA" w:eastAsia="ru-RU"/>
    </w:rPr>
  </w:style>
  <w:style w:type="character" w:customStyle="1" w:styleId="ListLabel409">
    <w:name w:val="ListLabel 409"/>
    <w:qFormat/>
    <w:rPr>
      <w:rFonts w:eastAsia="Calibri"/>
      <w:b/>
      <w:bCs/>
      <w:color w:val="000000"/>
      <w:sz w:val="28"/>
      <w:u w:val="none"/>
      <w:lang w:val="en-US"/>
    </w:rPr>
  </w:style>
  <w:style w:type="character" w:customStyle="1" w:styleId="ListLabel410">
    <w:name w:val="ListLabel 410"/>
    <w:qFormat/>
    <w:rPr>
      <w:b w:val="0"/>
      <w:bCs w:val="0"/>
      <w:color w:val="FF8000"/>
      <w:sz w:val="28"/>
      <w:szCs w:val="28"/>
      <w:highlight w:val="yellow"/>
      <w:lang w:val="ru-RU"/>
    </w:rPr>
  </w:style>
  <w:style w:type="character" w:customStyle="1" w:styleId="ListLabel411">
    <w:name w:val="ListLabel 411"/>
    <w:qFormat/>
    <w:rPr>
      <w:b w:val="0"/>
      <w:bCs w:val="0"/>
      <w:i w:val="0"/>
      <w:caps w:val="0"/>
      <w:smallCaps w:val="0"/>
      <w:color w:val="158466"/>
      <w:spacing w:val="0"/>
      <w:sz w:val="28"/>
      <w:szCs w:val="28"/>
      <w:highlight w:val="yellow"/>
      <w:lang w:val="uk-UA"/>
    </w:rPr>
  </w:style>
  <w:style w:type="character" w:customStyle="1" w:styleId="ListLabel412">
    <w:name w:val="ListLabel 412"/>
    <w:qFormat/>
    <w:rPr>
      <w:b/>
      <w:bCs/>
      <w:color w:val="FF8000"/>
      <w:sz w:val="28"/>
      <w:szCs w:val="28"/>
      <w:highlight w:val="yellow"/>
      <w:lang w:val="ru-RU"/>
    </w:rPr>
  </w:style>
  <w:style w:type="character" w:customStyle="1" w:styleId="ListLabel413">
    <w:name w:val="ListLabel 413"/>
    <w:qFormat/>
    <w:rPr>
      <w:rFonts w:cs="OpenSymbol"/>
    </w:rPr>
  </w:style>
  <w:style w:type="character" w:customStyle="1" w:styleId="ListLabel414">
    <w:name w:val="ListLabel 414"/>
    <w:qFormat/>
    <w:rPr>
      <w:rFonts w:cs="OpenSymbol"/>
    </w:rPr>
  </w:style>
  <w:style w:type="character" w:customStyle="1" w:styleId="ListLabel415">
    <w:name w:val="ListLabel 415"/>
    <w:qFormat/>
    <w:rPr>
      <w:rFonts w:cs="OpenSymbol"/>
    </w:rPr>
  </w:style>
  <w:style w:type="character" w:customStyle="1" w:styleId="ListLabel416">
    <w:name w:val="ListLabel 416"/>
    <w:qFormat/>
    <w:rPr>
      <w:rFonts w:eastAsia="Calibri"/>
      <w:color w:val="000000"/>
      <w:sz w:val="28"/>
      <w:u w:val="none"/>
    </w:rPr>
  </w:style>
  <w:style w:type="character" w:customStyle="1" w:styleId="ListLabel417">
    <w:name w:val="ListLabel 417"/>
    <w:qFormat/>
    <w:rPr>
      <w:rFonts w:eastAsia="Calibri"/>
      <w:color w:val="000000"/>
      <w:sz w:val="28"/>
      <w:u w:val="none"/>
      <w:lang w:val="en-US"/>
    </w:rPr>
  </w:style>
  <w:style w:type="character" w:customStyle="1" w:styleId="ListLabel418">
    <w:name w:val="ListLabel 418"/>
    <w:qFormat/>
    <w:rPr>
      <w:color w:val="000000"/>
      <w:sz w:val="28"/>
      <w:u w:val="none"/>
      <w:lang w:val="uk-UA"/>
    </w:rPr>
  </w:style>
  <w:style w:type="character" w:customStyle="1" w:styleId="ListLabel419">
    <w:name w:val="ListLabel 419"/>
    <w:qFormat/>
    <w:rPr>
      <w:color w:val="000000"/>
      <w:sz w:val="28"/>
      <w:u w:val="none"/>
    </w:rPr>
  </w:style>
  <w:style w:type="character" w:customStyle="1" w:styleId="ListLabel420">
    <w:name w:val="ListLabel 420"/>
    <w:qFormat/>
    <w:rPr>
      <w:rFonts w:eastAsia="Calibri"/>
      <w:sz w:val="28"/>
    </w:rPr>
  </w:style>
  <w:style w:type="character" w:customStyle="1" w:styleId="ListLabel421">
    <w:name w:val="ListLabel 421"/>
    <w:qFormat/>
    <w:rPr>
      <w:rFonts w:eastAsia="Calibri" w:cs="Times New Roman"/>
      <w:b/>
      <w:bCs/>
      <w:kern w:val="2"/>
      <w:sz w:val="28"/>
      <w:szCs w:val="28"/>
      <w:lang w:val="uk-UA" w:eastAsia="ru-RU"/>
    </w:rPr>
  </w:style>
  <w:style w:type="character" w:customStyle="1" w:styleId="ListLabel422">
    <w:name w:val="ListLabel 422"/>
    <w:qFormat/>
    <w:rPr>
      <w:rFonts w:eastAsia="Calibri"/>
      <w:b/>
      <w:bCs/>
      <w:color w:val="000000"/>
      <w:sz w:val="28"/>
      <w:u w:val="none"/>
      <w:lang w:val="en-US"/>
    </w:rPr>
  </w:style>
  <w:style w:type="character" w:customStyle="1" w:styleId="ListLabel423">
    <w:name w:val="ListLabel 423"/>
    <w:qFormat/>
    <w:rPr>
      <w:b w:val="0"/>
      <w:bCs w:val="0"/>
      <w:color w:val="FF8000"/>
      <w:sz w:val="28"/>
      <w:szCs w:val="28"/>
      <w:highlight w:val="yellow"/>
      <w:lang w:val="ru-RU"/>
    </w:rPr>
  </w:style>
  <w:style w:type="character" w:customStyle="1" w:styleId="ListLabel424">
    <w:name w:val="ListLabel 424"/>
    <w:qFormat/>
    <w:rPr>
      <w:b w:val="0"/>
      <w:bCs w:val="0"/>
      <w:i w:val="0"/>
      <w:caps w:val="0"/>
      <w:smallCaps w:val="0"/>
      <w:color w:val="158466"/>
      <w:spacing w:val="0"/>
      <w:sz w:val="28"/>
      <w:szCs w:val="28"/>
      <w:highlight w:val="yellow"/>
      <w:lang w:val="uk-UA"/>
    </w:rPr>
  </w:style>
  <w:style w:type="character" w:customStyle="1" w:styleId="ListLabel425">
    <w:name w:val="ListLabel 425"/>
    <w:qFormat/>
    <w:rPr>
      <w:b/>
      <w:bCs/>
      <w:color w:val="FF8000"/>
      <w:sz w:val="28"/>
      <w:szCs w:val="28"/>
      <w:highlight w:val="yellow"/>
      <w:lang w:val="ru-RU"/>
    </w:rPr>
  </w:style>
  <w:style w:type="character" w:customStyle="1" w:styleId="ListLabel426">
    <w:name w:val="ListLabel 426"/>
    <w:qFormat/>
    <w:rPr>
      <w:rFonts w:cs="OpenSymbol"/>
    </w:rPr>
  </w:style>
  <w:style w:type="character" w:customStyle="1" w:styleId="ListLabel427">
    <w:name w:val="ListLabel 427"/>
    <w:qFormat/>
    <w:rPr>
      <w:rFonts w:cs="OpenSymbol"/>
    </w:rPr>
  </w:style>
  <w:style w:type="character" w:customStyle="1" w:styleId="ListLabel428">
    <w:name w:val="ListLabel 428"/>
    <w:qFormat/>
    <w:rPr>
      <w:rFonts w:cs="OpenSymbol"/>
    </w:rPr>
  </w:style>
  <w:style w:type="character" w:customStyle="1" w:styleId="ListLabel429">
    <w:name w:val="ListLabel 429"/>
    <w:qFormat/>
    <w:rPr>
      <w:rFonts w:eastAsia="Calibri"/>
      <w:color w:val="000000"/>
      <w:sz w:val="28"/>
      <w:u w:val="none"/>
    </w:rPr>
  </w:style>
  <w:style w:type="character" w:customStyle="1" w:styleId="ListLabel430">
    <w:name w:val="ListLabel 430"/>
    <w:qFormat/>
    <w:rPr>
      <w:rFonts w:eastAsia="Calibri"/>
      <w:color w:val="000000"/>
      <w:sz w:val="28"/>
      <w:u w:val="none"/>
      <w:lang w:val="en-US"/>
    </w:rPr>
  </w:style>
  <w:style w:type="character" w:customStyle="1" w:styleId="ListLabel431">
    <w:name w:val="ListLabel 431"/>
    <w:qFormat/>
    <w:rPr>
      <w:color w:val="000000"/>
      <w:sz w:val="28"/>
      <w:u w:val="none"/>
      <w:lang w:val="uk-UA"/>
    </w:rPr>
  </w:style>
  <w:style w:type="character" w:customStyle="1" w:styleId="ListLabel432">
    <w:name w:val="ListLabel 432"/>
    <w:qFormat/>
    <w:rPr>
      <w:color w:val="000000"/>
      <w:sz w:val="28"/>
      <w:u w:val="none"/>
    </w:rPr>
  </w:style>
  <w:style w:type="character" w:customStyle="1" w:styleId="ListLabel433">
    <w:name w:val="ListLabel 433"/>
    <w:qFormat/>
    <w:rPr>
      <w:rFonts w:eastAsia="Calibri"/>
      <w:sz w:val="28"/>
    </w:rPr>
  </w:style>
  <w:style w:type="character" w:customStyle="1" w:styleId="ListLabel434">
    <w:name w:val="ListLabel 434"/>
    <w:qFormat/>
    <w:rPr>
      <w:rFonts w:eastAsia="Calibri" w:cs="Times New Roman"/>
      <w:b/>
      <w:bCs/>
      <w:kern w:val="2"/>
      <w:sz w:val="28"/>
      <w:szCs w:val="28"/>
      <w:lang w:val="uk-UA" w:eastAsia="ru-RU"/>
    </w:rPr>
  </w:style>
  <w:style w:type="character" w:customStyle="1" w:styleId="ListLabel435">
    <w:name w:val="ListLabel 435"/>
    <w:qFormat/>
    <w:rPr>
      <w:rFonts w:eastAsia="Calibri"/>
      <w:b/>
      <w:bCs/>
      <w:color w:val="000000"/>
      <w:sz w:val="28"/>
      <w:u w:val="none"/>
      <w:lang w:val="en-US"/>
    </w:rPr>
  </w:style>
  <w:style w:type="character" w:customStyle="1" w:styleId="ListLabel436">
    <w:name w:val="ListLabel 436"/>
    <w:qFormat/>
    <w:rPr>
      <w:b w:val="0"/>
      <w:bCs w:val="0"/>
      <w:color w:val="FF8000"/>
      <w:sz w:val="28"/>
      <w:szCs w:val="28"/>
      <w:highlight w:val="yellow"/>
      <w:lang w:val="ru-RU"/>
    </w:rPr>
  </w:style>
  <w:style w:type="character" w:customStyle="1" w:styleId="ListLabel437">
    <w:name w:val="ListLabel 437"/>
    <w:qFormat/>
    <w:rPr>
      <w:b w:val="0"/>
      <w:bCs w:val="0"/>
      <w:i w:val="0"/>
      <w:caps w:val="0"/>
      <w:smallCaps w:val="0"/>
      <w:color w:val="158466"/>
      <w:spacing w:val="0"/>
      <w:sz w:val="28"/>
      <w:szCs w:val="28"/>
      <w:highlight w:val="yellow"/>
      <w:lang w:val="uk-UA"/>
    </w:rPr>
  </w:style>
  <w:style w:type="character" w:customStyle="1" w:styleId="ListLabel438">
    <w:name w:val="ListLabel 438"/>
    <w:qFormat/>
    <w:rPr>
      <w:b/>
      <w:bCs/>
      <w:color w:val="FF8000"/>
      <w:sz w:val="28"/>
      <w:szCs w:val="28"/>
      <w:highlight w:val="yellow"/>
      <w:lang w:val="ru-RU"/>
    </w:rPr>
  </w:style>
  <w:style w:type="character" w:customStyle="1" w:styleId="ListLabel439">
    <w:name w:val="ListLabel 439"/>
    <w:qFormat/>
    <w:rPr>
      <w:rFonts w:cs="OpenSymbol"/>
    </w:rPr>
  </w:style>
  <w:style w:type="character" w:customStyle="1" w:styleId="ListLabel440">
    <w:name w:val="ListLabel 440"/>
    <w:qFormat/>
    <w:rPr>
      <w:rFonts w:cs="OpenSymbol"/>
    </w:rPr>
  </w:style>
  <w:style w:type="character" w:customStyle="1" w:styleId="ListLabel441">
    <w:name w:val="ListLabel 441"/>
    <w:qFormat/>
    <w:rPr>
      <w:rFonts w:cs="OpenSymbol"/>
    </w:rPr>
  </w:style>
  <w:style w:type="character" w:customStyle="1" w:styleId="ListLabel442">
    <w:name w:val="ListLabel 442"/>
    <w:qFormat/>
    <w:rPr>
      <w:rFonts w:eastAsia="Calibri"/>
      <w:color w:val="000000"/>
      <w:sz w:val="28"/>
      <w:u w:val="none"/>
    </w:rPr>
  </w:style>
  <w:style w:type="character" w:customStyle="1" w:styleId="ListLabel443">
    <w:name w:val="ListLabel 443"/>
    <w:qFormat/>
    <w:rPr>
      <w:rFonts w:eastAsia="Calibri"/>
      <w:color w:val="000000"/>
      <w:sz w:val="28"/>
      <w:u w:val="none"/>
      <w:lang w:val="en-US"/>
    </w:rPr>
  </w:style>
  <w:style w:type="character" w:customStyle="1" w:styleId="ListLabel444">
    <w:name w:val="ListLabel 444"/>
    <w:qFormat/>
    <w:rPr>
      <w:color w:val="000000"/>
      <w:sz w:val="28"/>
      <w:u w:val="none"/>
      <w:lang w:val="uk-UA"/>
    </w:rPr>
  </w:style>
  <w:style w:type="character" w:customStyle="1" w:styleId="ListLabel445">
    <w:name w:val="ListLabel 445"/>
    <w:qFormat/>
    <w:rPr>
      <w:color w:val="000000"/>
      <w:sz w:val="28"/>
      <w:u w:val="none"/>
    </w:rPr>
  </w:style>
  <w:style w:type="character" w:customStyle="1" w:styleId="ListLabel446">
    <w:name w:val="ListLabel 446"/>
    <w:qFormat/>
    <w:rPr>
      <w:rFonts w:eastAsia="Calibri"/>
      <w:sz w:val="28"/>
    </w:rPr>
  </w:style>
  <w:style w:type="character" w:customStyle="1" w:styleId="ListLabel447">
    <w:name w:val="ListLabel 447"/>
    <w:qFormat/>
    <w:rPr>
      <w:rFonts w:eastAsia="Calibri" w:cs="Times New Roman"/>
      <w:b/>
      <w:bCs/>
      <w:kern w:val="2"/>
      <w:sz w:val="28"/>
      <w:szCs w:val="28"/>
      <w:lang w:val="uk-UA" w:eastAsia="ru-RU"/>
    </w:rPr>
  </w:style>
  <w:style w:type="character" w:customStyle="1" w:styleId="ListLabel448">
    <w:name w:val="ListLabel 448"/>
    <w:qFormat/>
    <w:rPr>
      <w:rFonts w:eastAsia="Calibri"/>
      <w:b/>
      <w:bCs/>
      <w:color w:val="000000"/>
      <w:sz w:val="28"/>
      <w:u w:val="none"/>
      <w:lang w:val="en-US"/>
    </w:rPr>
  </w:style>
  <w:style w:type="character" w:customStyle="1" w:styleId="ListLabel449">
    <w:name w:val="ListLabel 449"/>
    <w:qFormat/>
    <w:rPr>
      <w:b w:val="0"/>
      <w:bCs w:val="0"/>
      <w:color w:val="FF8000"/>
      <w:sz w:val="28"/>
      <w:szCs w:val="28"/>
      <w:highlight w:val="yellow"/>
      <w:lang w:val="ru-RU"/>
    </w:rPr>
  </w:style>
  <w:style w:type="character" w:customStyle="1" w:styleId="ListLabel450">
    <w:name w:val="ListLabel 450"/>
    <w:qFormat/>
    <w:rPr>
      <w:b w:val="0"/>
      <w:bCs w:val="0"/>
      <w:i w:val="0"/>
      <w:caps w:val="0"/>
      <w:smallCaps w:val="0"/>
      <w:color w:val="158466"/>
      <w:spacing w:val="0"/>
      <w:sz w:val="28"/>
      <w:szCs w:val="28"/>
      <w:highlight w:val="yellow"/>
      <w:lang w:val="uk-UA"/>
    </w:rPr>
  </w:style>
  <w:style w:type="character" w:customStyle="1" w:styleId="ListLabel451">
    <w:name w:val="ListLabel 451"/>
    <w:qFormat/>
    <w:rPr>
      <w:b/>
      <w:bCs/>
      <w:color w:val="FF8000"/>
      <w:sz w:val="28"/>
      <w:szCs w:val="28"/>
      <w:highlight w:val="yellow"/>
      <w:lang w:val="ru-RU"/>
    </w:rPr>
  </w:style>
  <w:style w:type="character" w:customStyle="1" w:styleId="ListLabel452">
    <w:name w:val="ListLabel 452"/>
    <w:qFormat/>
    <w:rPr>
      <w:rFonts w:cs="OpenSymbol"/>
    </w:rPr>
  </w:style>
  <w:style w:type="character" w:customStyle="1" w:styleId="ListLabel453">
    <w:name w:val="ListLabel 453"/>
    <w:qFormat/>
    <w:rPr>
      <w:rFonts w:cs="OpenSymbol"/>
    </w:rPr>
  </w:style>
  <w:style w:type="character" w:customStyle="1" w:styleId="ListLabel454">
    <w:name w:val="ListLabel 454"/>
    <w:qFormat/>
    <w:rPr>
      <w:rFonts w:cs="OpenSymbol"/>
    </w:rPr>
  </w:style>
  <w:style w:type="character" w:customStyle="1" w:styleId="ListLabel455">
    <w:name w:val="ListLabel 455"/>
    <w:qFormat/>
    <w:rPr>
      <w:rFonts w:eastAsia="Calibri"/>
      <w:color w:val="000000"/>
      <w:sz w:val="28"/>
      <w:u w:val="none"/>
    </w:rPr>
  </w:style>
  <w:style w:type="character" w:customStyle="1" w:styleId="ListLabel456">
    <w:name w:val="ListLabel 456"/>
    <w:qFormat/>
    <w:rPr>
      <w:rFonts w:eastAsia="Calibri"/>
      <w:color w:val="000000"/>
      <w:sz w:val="28"/>
      <w:u w:val="none"/>
      <w:lang w:val="en-US"/>
    </w:rPr>
  </w:style>
  <w:style w:type="character" w:customStyle="1" w:styleId="ListLabel457">
    <w:name w:val="ListLabel 457"/>
    <w:qFormat/>
    <w:rPr>
      <w:color w:val="000000"/>
      <w:sz w:val="28"/>
      <w:u w:val="none"/>
      <w:lang w:val="uk-UA"/>
    </w:rPr>
  </w:style>
  <w:style w:type="character" w:customStyle="1" w:styleId="ListLabel458">
    <w:name w:val="ListLabel 458"/>
    <w:qFormat/>
    <w:rPr>
      <w:color w:val="000000"/>
      <w:sz w:val="28"/>
      <w:u w:val="none"/>
    </w:rPr>
  </w:style>
  <w:style w:type="character" w:customStyle="1" w:styleId="ListLabel459">
    <w:name w:val="ListLabel 459"/>
    <w:qFormat/>
    <w:rPr>
      <w:rFonts w:eastAsia="Calibri"/>
      <w:sz w:val="28"/>
    </w:rPr>
  </w:style>
  <w:style w:type="character" w:customStyle="1" w:styleId="ListLabel460">
    <w:name w:val="ListLabel 460"/>
    <w:qFormat/>
    <w:rPr>
      <w:rFonts w:eastAsia="Calibri" w:cs="Times New Roman"/>
      <w:b/>
      <w:bCs/>
      <w:kern w:val="2"/>
      <w:sz w:val="28"/>
      <w:szCs w:val="28"/>
      <w:lang w:val="uk-UA" w:eastAsia="ru-RU"/>
    </w:rPr>
  </w:style>
  <w:style w:type="character" w:customStyle="1" w:styleId="ListLabel461">
    <w:name w:val="ListLabel 461"/>
    <w:qFormat/>
    <w:rPr>
      <w:rFonts w:eastAsia="Calibri"/>
      <w:b/>
      <w:bCs/>
      <w:color w:val="000000"/>
      <w:sz w:val="28"/>
      <w:u w:val="none"/>
      <w:lang w:val="en-US"/>
    </w:rPr>
  </w:style>
  <w:style w:type="character" w:customStyle="1" w:styleId="ListLabel462">
    <w:name w:val="ListLabel 462"/>
    <w:qFormat/>
    <w:rPr>
      <w:b w:val="0"/>
      <w:bCs w:val="0"/>
      <w:color w:val="FF8000"/>
      <w:sz w:val="28"/>
      <w:szCs w:val="28"/>
      <w:highlight w:val="yellow"/>
      <w:lang w:val="ru-RU"/>
    </w:rPr>
  </w:style>
  <w:style w:type="character" w:customStyle="1" w:styleId="ListLabel463">
    <w:name w:val="ListLabel 463"/>
    <w:qFormat/>
    <w:rPr>
      <w:b w:val="0"/>
      <w:bCs w:val="0"/>
      <w:i w:val="0"/>
      <w:caps w:val="0"/>
      <w:smallCaps w:val="0"/>
      <w:color w:val="158466"/>
      <w:spacing w:val="0"/>
      <w:sz w:val="28"/>
      <w:szCs w:val="28"/>
      <w:highlight w:val="yellow"/>
      <w:lang w:val="uk-UA"/>
    </w:rPr>
  </w:style>
  <w:style w:type="character" w:customStyle="1" w:styleId="ListLabel464">
    <w:name w:val="ListLabel 464"/>
    <w:qFormat/>
    <w:rPr>
      <w:b/>
      <w:bCs/>
      <w:color w:val="FF8000"/>
      <w:sz w:val="28"/>
      <w:szCs w:val="28"/>
      <w:highlight w:val="yellow"/>
      <w:lang w:val="ru-RU"/>
    </w:rPr>
  </w:style>
  <w:style w:type="character" w:customStyle="1" w:styleId="ListLabel465">
    <w:name w:val="ListLabel 465"/>
    <w:qFormat/>
    <w:rPr>
      <w:rFonts w:cs="OpenSymbol"/>
    </w:rPr>
  </w:style>
  <w:style w:type="character" w:customStyle="1" w:styleId="ListLabel466">
    <w:name w:val="ListLabel 466"/>
    <w:qFormat/>
    <w:rPr>
      <w:rFonts w:cs="OpenSymbol"/>
    </w:rPr>
  </w:style>
  <w:style w:type="character" w:customStyle="1" w:styleId="ListLabel467">
    <w:name w:val="ListLabel 467"/>
    <w:qFormat/>
    <w:rPr>
      <w:rFonts w:cs="OpenSymbol"/>
    </w:rPr>
  </w:style>
  <w:style w:type="character" w:customStyle="1" w:styleId="ListLabel468">
    <w:name w:val="ListLabel 468"/>
    <w:qFormat/>
    <w:rPr>
      <w:rFonts w:eastAsia="Calibri"/>
      <w:color w:val="000000"/>
      <w:sz w:val="28"/>
      <w:u w:val="none"/>
    </w:rPr>
  </w:style>
  <w:style w:type="character" w:customStyle="1" w:styleId="ListLabel469">
    <w:name w:val="ListLabel 469"/>
    <w:qFormat/>
    <w:rPr>
      <w:rFonts w:eastAsia="Calibri"/>
      <w:color w:val="000000"/>
      <w:sz w:val="28"/>
      <w:u w:val="none"/>
      <w:lang w:val="en-US"/>
    </w:rPr>
  </w:style>
  <w:style w:type="character" w:customStyle="1" w:styleId="ListLabel470">
    <w:name w:val="ListLabel 470"/>
    <w:qFormat/>
    <w:rPr>
      <w:color w:val="000000"/>
      <w:sz w:val="28"/>
      <w:u w:val="none"/>
    </w:rPr>
  </w:style>
  <w:style w:type="character" w:customStyle="1" w:styleId="ListLabel471">
    <w:name w:val="ListLabel 471"/>
    <w:qFormat/>
    <w:rPr>
      <w:rFonts w:eastAsia="Calibri"/>
      <w:color w:val="C9211E"/>
      <w:sz w:val="28"/>
    </w:rPr>
  </w:style>
  <w:style w:type="character" w:customStyle="1" w:styleId="ListLabel472">
    <w:name w:val="ListLabel 472"/>
    <w:qFormat/>
    <w:rPr>
      <w:rFonts w:eastAsia="Calibri"/>
      <w:color w:val="000000"/>
      <w:sz w:val="28"/>
      <w:u w:val="none"/>
      <w:lang w:val="uk-UA"/>
    </w:rPr>
  </w:style>
  <w:style w:type="character" w:customStyle="1" w:styleId="ListLabel473">
    <w:name w:val="ListLabel 473"/>
    <w:qFormat/>
    <w:rPr>
      <w:rFonts w:eastAsia="Calibri" w:cs="Times New Roman"/>
      <w:b/>
      <w:bCs/>
      <w:kern w:val="2"/>
      <w:sz w:val="28"/>
      <w:szCs w:val="28"/>
      <w:lang w:val="uk-UA" w:eastAsia="ru-RU"/>
    </w:rPr>
  </w:style>
  <w:style w:type="character" w:customStyle="1" w:styleId="ListLabel474">
    <w:name w:val="ListLabel 474"/>
    <w:qFormat/>
    <w:rPr>
      <w:rFonts w:eastAsia="Calibri"/>
      <w:b/>
      <w:bCs/>
      <w:color w:val="000000"/>
      <w:sz w:val="28"/>
      <w:u w:val="none"/>
      <w:lang w:val="en-US"/>
    </w:rPr>
  </w:style>
  <w:style w:type="character" w:customStyle="1" w:styleId="ListLabel475">
    <w:name w:val="ListLabel 475"/>
    <w:qFormat/>
    <w:rPr>
      <w:b w:val="0"/>
      <w:bCs w:val="0"/>
      <w:color w:val="FF8000"/>
      <w:sz w:val="28"/>
      <w:szCs w:val="28"/>
      <w:highlight w:val="yellow"/>
      <w:lang w:val="ru-RU"/>
    </w:rPr>
  </w:style>
  <w:style w:type="character" w:customStyle="1" w:styleId="ListLabel476">
    <w:name w:val="ListLabel 476"/>
    <w:qFormat/>
    <w:rPr>
      <w:b w:val="0"/>
      <w:bCs w:val="0"/>
      <w:i w:val="0"/>
      <w:caps w:val="0"/>
      <w:smallCaps w:val="0"/>
      <w:color w:val="158466"/>
      <w:spacing w:val="0"/>
      <w:sz w:val="28"/>
      <w:szCs w:val="28"/>
      <w:highlight w:val="yellow"/>
      <w:lang w:val="uk-UA"/>
    </w:rPr>
  </w:style>
  <w:style w:type="character" w:customStyle="1" w:styleId="ListLabel477">
    <w:name w:val="ListLabel 477"/>
    <w:qFormat/>
    <w:rPr>
      <w:b/>
      <w:bCs/>
      <w:color w:val="FF8000"/>
      <w:sz w:val="28"/>
      <w:szCs w:val="28"/>
      <w:highlight w:val="yellow"/>
      <w:lang w:val="ru-RU"/>
    </w:rPr>
  </w:style>
  <w:style w:type="character" w:customStyle="1" w:styleId="ListLabel478">
    <w:name w:val="ListLabel 478"/>
    <w:qFormat/>
    <w:rPr>
      <w:rFonts w:cs="OpenSymbol"/>
    </w:rPr>
  </w:style>
  <w:style w:type="character" w:customStyle="1" w:styleId="ListLabel479">
    <w:name w:val="ListLabel 479"/>
    <w:qFormat/>
    <w:rPr>
      <w:rFonts w:cs="OpenSymbol"/>
    </w:rPr>
  </w:style>
  <w:style w:type="character" w:customStyle="1" w:styleId="ListLabel480">
    <w:name w:val="ListLabel 480"/>
    <w:qFormat/>
    <w:rPr>
      <w:rFonts w:cs="OpenSymbol"/>
    </w:rPr>
  </w:style>
  <w:style w:type="character" w:customStyle="1" w:styleId="ListLabel481">
    <w:name w:val="ListLabel 481"/>
    <w:qFormat/>
    <w:rPr>
      <w:rFonts w:cs="OpenSymbol"/>
    </w:rPr>
  </w:style>
  <w:style w:type="character" w:customStyle="1" w:styleId="ListLabel482">
    <w:name w:val="ListLabel 482"/>
    <w:qFormat/>
    <w:rPr>
      <w:rFonts w:cs="OpenSymbol"/>
    </w:rPr>
  </w:style>
  <w:style w:type="character" w:customStyle="1" w:styleId="ListLabel483">
    <w:name w:val="ListLabel 483"/>
    <w:qFormat/>
    <w:rPr>
      <w:rFonts w:cs="OpenSymbol"/>
    </w:rPr>
  </w:style>
  <w:style w:type="character" w:customStyle="1" w:styleId="ListLabel484">
    <w:name w:val="ListLabel 484"/>
    <w:qFormat/>
    <w:rPr>
      <w:rFonts w:cs="OpenSymbol"/>
    </w:rPr>
  </w:style>
  <w:style w:type="character" w:customStyle="1" w:styleId="ListLabel485">
    <w:name w:val="ListLabel 485"/>
    <w:qFormat/>
    <w:rPr>
      <w:rFonts w:cs="OpenSymbol"/>
    </w:rPr>
  </w:style>
  <w:style w:type="character" w:customStyle="1" w:styleId="ListLabel486">
    <w:name w:val="ListLabel 486"/>
    <w:qFormat/>
    <w:rPr>
      <w:rFonts w:cs="OpenSymbol"/>
    </w:rPr>
  </w:style>
  <w:style w:type="character" w:customStyle="1" w:styleId="ListLabel487">
    <w:name w:val="ListLabel 487"/>
    <w:qFormat/>
    <w:rPr>
      <w:rFonts w:cs="OpenSymbol"/>
    </w:rPr>
  </w:style>
  <w:style w:type="character" w:customStyle="1" w:styleId="ListLabel488">
    <w:name w:val="ListLabel 488"/>
    <w:qFormat/>
    <w:rPr>
      <w:rFonts w:cs="OpenSymbol"/>
    </w:rPr>
  </w:style>
  <w:style w:type="character" w:customStyle="1" w:styleId="ListLabel489">
    <w:name w:val="ListLabel 489"/>
    <w:qFormat/>
    <w:rPr>
      <w:rFonts w:cs="OpenSymbol"/>
    </w:rPr>
  </w:style>
  <w:style w:type="character" w:customStyle="1" w:styleId="ListLabel490">
    <w:name w:val="ListLabel 490"/>
    <w:qFormat/>
    <w:rPr>
      <w:rFonts w:eastAsia="Calibri"/>
      <w:color w:val="000000"/>
      <w:sz w:val="28"/>
      <w:u w:val="none"/>
    </w:rPr>
  </w:style>
  <w:style w:type="character" w:customStyle="1" w:styleId="ListLabel491">
    <w:name w:val="ListLabel 491"/>
    <w:qFormat/>
    <w:rPr>
      <w:rFonts w:eastAsia="Calibri"/>
      <w:color w:val="000000"/>
      <w:sz w:val="28"/>
      <w:u w:val="none"/>
      <w:lang w:val="en-US"/>
    </w:rPr>
  </w:style>
  <w:style w:type="character" w:customStyle="1" w:styleId="ListLabel492">
    <w:name w:val="ListLabel 492"/>
    <w:qFormat/>
    <w:rPr>
      <w:color w:val="000000"/>
      <w:sz w:val="28"/>
      <w:u w:val="none"/>
    </w:rPr>
  </w:style>
  <w:style w:type="character" w:customStyle="1" w:styleId="ListLabel493">
    <w:name w:val="ListLabel 493"/>
    <w:qFormat/>
    <w:rPr>
      <w:rFonts w:eastAsia="Calibri"/>
      <w:color w:val="C9211E"/>
      <w:sz w:val="28"/>
    </w:rPr>
  </w:style>
  <w:style w:type="character" w:customStyle="1" w:styleId="ListLabel494">
    <w:name w:val="ListLabel 494"/>
    <w:qFormat/>
    <w:rPr>
      <w:rFonts w:eastAsia="Calibri"/>
      <w:color w:val="000000"/>
      <w:sz w:val="28"/>
      <w:u w:val="none"/>
      <w:lang w:val="uk-UA"/>
    </w:rPr>
  </w:style>
  <w:style w:type="character" w:customStyle="1" w:styleId="ListLabel495">
    <w:name w:val="ListLabel 495"/>
    <w:qFormat/>
    <w:rPr>
      <w:rFonts w:eastAsia="Calibri" w:cs="Times New Roman"/>
      <w:b/>
      <w:bCs/>
      <w:kern w:val="2"/>
      <w:sz w:val="28"/>
      <w:szCs w:val="28"/>
      <w:lang w:val="uk-UA" w:eastAsia="ru-RU"/>
    </w:rPr>
  </w:style>
  <w:style w:type="character" w:customStyle="1" w:styleId="ListLabel496">
    <w:name w:val="ListLabel 496"/>
    <w:qFormat/>
    <w:rPr>
      <w:rFonts w:eastAsia="Calibri"/>
      <w:b/>
      <w:bCs/>
      <w:color w:val="000000"/>
      <w:sz w:val="28"/>
      <w:u w:val="none"/>
      <w:lang w:val="en-US"/>
    </w:rPr>
  </w:style>
  <w:style w:type="character" w:customStyle="1" w:styleId="ListLabel497">
    <w:name w:val="ListLabel 497"/>
    <w:qFormat/>
    <w:rPr>
      <w:b w:val="0"/>
      <w:bCs w:val="0"/>
      <w:color w:val="FF8000"/>
      <w:sz w:val="28"/>
      <w:szCs w:val="28"/>
      <w:highlight w:val="yellow"/>
      <w:lang w:val="ru-RU"/>
    </w:rPr>
  </w:style>
  <w:style w:type="character" w:customStyle="1" w:styleId="ListLabel498">
    <w:name w:val="ListLabel 498"/>
    <w:qFormat/>
    <w:rPr>
      <w:b w:val="0"/>
      <w:bCs w:val="0"/>
      <w:i w:val="0"/>
      <w:caps w:val="0"/>
      <w:smallCaps w:val="0"/>
      <w:color w:val="158466"/>
      <w:spacing w:val="0"/>
      <w:sz w:val="28"/>
      <w:szCs w:val="28"/>
      <w:highlight w:val="yellow"/>
      <w:lang w:val="uk-UA"/>
    </w:rPr>
  </w:style>
  <w:style w:type="character" w:customStyle="1" w:styleId="ListLabel499">
    <w:name w:val="ListLabel 499"/>
    <w:qFormat/>
    <w:rPr>
      <w:b/>
      <w:bCs/>
      <w:color w:val="FF8000"/>
      <w:sz w:val="28"/>
      <w:szCs w:val="28"/>
      <w:highlight w:val="yellow"/>
      <w:lang w:val="ru-RU"/>
    </w:rPr>
  </w:style>
  <w:style w:type="character" w:customStyle="1" w:styleId="ListLabel500">
    <w:name w:val="ListLabel 500"/>
    <w:qFormat/>
    <w:rPr>
      <w:rFonts w:cs="OpenSymbol"/>
    </w:rPr>
  </w:style>
  <w:style w:type="character" w:customStyle="1" w:styleId="ListLabel501">
    <w:name w:val="ListLabel 501"/>
    <w:qFormat/>
    <w:rPr>
      <w:rFonts w:cs="OpenSymbol"/>
    </w:rPr>
  </w:style>
  <w:style w:type="character" w:customStyle="1" w:styleId="ListLabel502">
    <w:name w:val="ListLabel 502"/>
    <w:qFormat/>
    <w:rPr>
      <w:rFonts w:cs="OpenSymbol"/>
    </w:rPr>
  </w:style>
  <w:style w:type="character" w:customStyle="1" w:styleId="ListLabel503">
    <w:name w:val="ListLabel 503"/>
    <w:qFormat/>
    <w:rPr>
      <w:rFonts w:cs="OpenSymbol"/>
    </w:rPr>
  </w:style>
  <w:style w:type="character" w:customStyle="1" w:styleId="ListLabel504">
    <w:name w:val="ListLabel 504"/>
    <w:qFormat/>
    <w:rPr>
      <w:rFonts w:cs="OpenSymbol"/>
    </w:rPr>
  </w:style>
  <w:style w:type="character" w:customStyle="1" w:styleId="ListLabel505">
    <w:name w:val="ListLabel 505"/>
    <w:qFormat/>
    <w:rPr>
      <w:rFonts w:cs="OpenSymbol"/>
    </w:rPr>
  </w:style>
  <w:style w:type="character" w:customStyle="1" w:styleId="ListLabel506">
    <w:name w:val="ListLabel 506"/>
    <w:qFormat/>
    <w:rPr>
      <w:rFonts w:cs="OpenSymbol"/>
    </w:rPr>
  </w:style>
  <w:style w:type="character" w:customStyle="1" w:styleId="ListLabel507">
    <w:name w:val="ListLabel 507"/>
    <w:qFormat/>
    <w:rPr>
      <w:rFonts w:cs="OpenSymbol"/>
    </w:rPr>
  </w:style>
  <w:style w:type="character" w:customStyle="1" w:styleId="ListLabel508">
    <w:name w:val="ListLabel 508"/>
    <w:qFormat/>
    <w:rPr>
      <w:rFonts w:cs="OpenSymbol"/>
    </w:rPr>
  </w:style>
  <w:style w:type="character" w:customStyle="1" w:styleId="ListLabel509">
    <w:name w:val="ListLabel 509"/>
    <w:qFormat/>
    <w:rPr>
      <w:rFonts w:cs="OpenSymbol"/>
    </w:rPr>
  </w:style>
  <w:style w:type="character" w:customStyle="1" w:styleId="ListLabel510">
    <w:name w:val="ListLabel 510"/>
    <w:qFormat/>
    <w:rPr>
      <w:rFonts w:cs="OpenSymbol"/>
    </w:rPr>
  </w:style>
  <w:style w:type="character" w:customStyle="1" w:styleId="ListLabel511">
    <w:name w:val="ListLabel 511"/>
    <w:qFormat/>
    <w:rPr>
      <w:rFonts w:cs="OpenSymbol"/>
    </w:rPr>
  </w:style>
  <w:style w:type="character" w:customStyle="1" w:styleId="ListLabel512">
    <w:name w:val="ListLabel 512"/>
    <w:qFormat/>
    <w:rPr>
      <w:rFonts w:eastAsia="Calibri"/>
      <w:color w:val="000000"/>
      <w:sz w:val="28"/>
      <w:u w:val="none"/>
    </w:rPr>
  </w:style>
  <w:style w:type="character" w:customStyle="1" w:styleId="ListLabel513">
    <w:name w:val="ListLabel 513"/>
    <w:qFormat/>
    <w:rPr>
      <w:rFonts w:eastAsia="Calibri"/>
      <w:color w:val="000000"/>
      <w:sz w:val="28"/>
      <w:u w:val="none"/>
      <w:lang w:val="en-US"/>
    </w:rPr>
  </w:style>
  <w:style w:type="character" w:customStyle="1" w:styleId="ListLabel514">
    <w:name w:val="ListLabel 514"/>
    <w:qFormat/>
    <w:rPr>
      <w:color w:val="000000"/>
      <w:sz w:val="28"/>
      <w:u w:val="none"/>
    </w:rPr>
  </w:style>
  <w:style w:type="character" w:customStyle="1" w:styleId="ListLabel515">
    <w:name w:val="ListLabel 515"/>
    <w:qFormat/>
    <w:rPr>
      <w:rFonts w:eastAsia="Calibri"/>
      <w:color w:val="C9211E"/>
      <w:sz w:val="28"/>
    </w:rPr>
  </w:style>
  <w:style w:type="character" w:customStyle="1" w:styleId="ListLabel516">
    <w:name w:val="ListLabel 516"/>
    <w:qFormat/>
    <w:rPr>
      <w:rFonts w:eastAsia="Calibri"/>
      <w:color w:val="000000"/>
      <w:sz w:val="28"/>
      <w:u w:val="none"/>
      <w:lang w:val="uk-UA"/>
    </w:rPr>
  </w:style>
  <w:style w:type="character" w:customStyle="1" w:styleId="ListLabel517">
    <w:name w:val="ListLabel 517"/>
    <w:qFormat/>
    <w:rPr>
      <w:rFonts w:eastAsia="Calibri" w:cs="Times New Roman"/>
      <w:b/>
      <w:bCs/>
      <w:kern w:val="2"/>
      <w:sz w:val="28"/>
      <w:szCs w:val="28"/>
      <w:lang w:val="uk-UA" w:eastAsia="ru-RU"/>
    </w:rPr>
  </w:style>
  <w:style w:type="character" w:customStyle="1" w:styleId="ListLabel518">
    <w:name w:val="ListLabel 518"/>
    <w:qFormat/>
    <w:rPr>
      <w:rFonts w:eastAsia="Calibri"/>
      <w:b/>
      <w:bCs/>
      <w:color w:val="000000"/>
      <w:sz w:val="28"/>
      <w:u w:val="none"/>
      <w:lang w:val="en-US"/>
    </w:rPr>
  </w:style>
  <w:style w:type="character" w:customStyle="1" w:styleId="ListLabel519">
    <w:name w:val="ListLabel 519"/>
    <w:qFormat/>
    <w:rPr>
      <w:b w:val="0"/>
      <w:bCs w:val="0"/>
      <w:color w:val="FF8000"/>
      <w:sz w:val="28"/>
      <w:szCs w:val="28"/>
      <w:highlight w:val="yellow"/>
      <w:lang w:val="ru-RU"/>
    </w:rPr>
  </w:style>
  <w:style w:type="character" w:customStyle="1" w:styleId="ListLabel520">
    <w:name w:val="ListLabel 520"/>
    <w:qFormat/>
    <w:rPr>
      <w:b w:val="0"/>
      <w:bCs w:val="0"/>
      <w:i w:val="0"/>
      <w:caps w:val="0"/>
      <w:smallCaps w:val="0"/>
      <w:color w:val="158466"/>
      <w:spacing w:val="0"/>
      <w:sz w:val="28"/>
      <w:szCs w:val="28"/>
      <w:highlight w:val="yellow"/>
      <w:lang w:val="uk-UA"/>
    </w:rPr>
  </w:style>
  <w:style w:type="character" w:customStyle="1" w:styleId="ListLabel521">
    <w:name w:val="ListLabel 521"/>
    <w:qFormat/>
    <w:rPr>
      <w:b/>
      <w:bCs/>
      <w:color w:val="FF8000"/>
      <w:sz w:val="28"/>
      <w:szCs w:val="28"/>
      <w:highlight w:val="yellow"/>
      <w:lang w:val="ru-RU"/>
    </w:rPr>
  </w:style>
  <w:style w:type="character" w:customStyle="1" w:styleId="ListLabel522">
    <w:name w:val="ListLabel 522"/>
    <w:qFormat/>
    <w:rPr>
      <w:rFonts w:cs="OpenSymbol"/>
    </w:rPr>
  </w:style>
  <w:style w:type="character" w:customStyle="1" w:styleId="ListLabel523">
    <w:name w:val="ListLabel 523"/>
    <w:qFormat/>
    <w:rPr>
      <w:rFonts w:cs="OpenSymbol"/>
    </w:rPr>
  </w:style>
  <w:style w:type="character" w:customStyle="1" w:styleId="ListLabel524">
    <w:name w:val="ListLabel 524"/>
    <w:qFormat/>
    <w:rPr>
      <w:rFonts w:cs="OpenSymbol"/>
    </w:rPr>
  </w:style>
  <w:style w:type="character" w:customStyle="1" w:styleId="ListLabel525">
    <w:name w:val="ListLabel 525"/>
    <w:qFormat/>
    <w:rPr>
      <w:rFonts w:cs="OpenSymbol"/>
    </w:rPr>
  </w:style>
  <w:style w:type="character" w:customStyle="1" w:styleId="ListLabel526">
    <w:name w:val="ListLabel 526"/>
    <w:qFormat/>
    <w:rPr>
      <w:rFonts w:cs="OpenSymbol"/>
    </w:rPr>
  </w:style>
  <w:style w:type="character" w:customStyle="1" w:styleId="ListLabel527">
    <w:name w:val="ListLabel 527"/>
    <w:qFormat/>
    <w:rPr>
      <w:rFonts w:cs="OpenSymbol"/>
    </w:rPr>
  </w:style>
  <w:style w:type="character" w:customStyle="1" w:styleId="ListLabel528">
    <w:name w:val="ListLabel 528"/>
    <w:qFormat/>
    <w:rPr>
      <w:rFonts w:cs="OpenSymbol"/>
    </w:rPr>
  </w:style>
  <w:style w:type="character" w:customStyle="1" w:styleId="ListLabel529">
    <w:name w:val="ListLabel 529"/>
    <w:qFormat/>
    <w:rPr>
      <w:rFonts w:cs="OpenSymbol"/>
    </w:rPr>
  </w:style>
  <w:style w:type="character" w:customStyle="1" w:styleId="ListLabel530">
    <w:name w:val="ListLabel 530"/>
    <w:qFormat/>
    <w:rPr>
      <w:rFonts w:cs="OpenSymbol"/>
    </w:rPr>
  </w:style>
  <w:style w:type="character" w:customStyle="1" w:styleId="ListLabel531">
    <w:name w:val="ListLabel 531"/>
    <w:qFormat/>
    <w:rPr>
      <w:rFonts w:cs="OpenSymbol"/>
    </w:rPr>
  </w:style>
  <w:style w:type="character" w:customStyle="1" w:styleId="ListLabel532">
    <w:name w:val="ListLabel 532"/>
    <w:qFormat/>
    <w:rPr>
      <w:rFonts w:cs="OpenSymbol"/>
    </w:rPr>
  </w:style>
  <w:style w:type="character" w:customStyle="1" w:styleId="ListLabel533">
    <w:name w:val="ListLabel 533"/>
    <w:qFormat/>
    <w:rPr>
      <w:rFonts w:cs="OpenSymbol"/>
    </w:rPr>
  </w:style>
  <w:style w:type="character" w:customStyle="1" w:styleId="ListLabel534">
    <w:name w:val="ListLabel 534"/>
    <w:qFormat/>
    <w:rPr>
      <w:rFonts w:cs="OpenSymbol"/>
    </w:rPr>
  </w:style>
  <w:style w:type="character" w:customStyle="1" w:styleId="ListLabel535">
    <w:name w:val="ListLabel 535"/>
    <w:qFormat/>
    <w:rPr>
      <w:rFonts w:cs="OpenSymbol"/>
    </w:rPr>
  </w:style>
  <w:style w:type="character" w:customStyle="1" w:styleId="ListLabel536">
    <w:name w:val="ListLabel 536"/>
    <w:qFormat/>
    <w:rPr>
      <w:rFonts w:cs="OpenSymbol"/>
    </w:rPr>
  </w:style>
  <w:style w:type="character" w:customStyle="1" w:styleId="ListLabel537">
    <w:name w:val="ListLabel 537"/>
    <w:qFormat/>
    <w:rPr>
      <w:rFonts w:cs="OpenSymbol"/>
    </w:rPr>
  </w:style>
  <w:style w:type="character" w:customStyle="1" w:styleId="ListLabel538">
    <w:name w:val="ListLabel 538"/>
    <w:qFormat/>
    <w:rPr>
      <w:rFonts w:cs="OpenSymbol"/>
    </w:rPr>
  </w:style>
  <w:style w:type="character" w:customStyle="1" w:styleId="ListLabel539">
    <w:name w:val="ListLabel 539"/>
    <w:qFormat/>
    <w:rPr>
      <w:rFonts w:cs="OpenSymbol"/>
    </w:rPr>
  </w:style>
  <w:style w:type="character" w:customStyle="1" w:styleId="ListLabel540">
    <w:name w:val="ListLabel 540"/>
    <w:qFormat/>
    <w:rPr>
      <w:rFonts w:cs="OpenSymbol"/>
    </w:rPr>
  </w:style>
  <w:style w:type="character" w:customStyle="1" w:styleId="ListLabel541">
    <w:name w:val="ListLabel 541"/>
    <w:qFormat/>
    <w:rPr>
      <w:rFonts w:cs="OpenSymbol"/>
    </w:rPr>
  </w:style>
  <w:style w:type="character" w:customStyle="1" w:styleId="ListLabel542">
    <w:name w:val="ListLabel 542"/>
    <w:qFormat/>
    <w:rPr>
      <w:rFonts w:cs="OpenSymbol"/>
    </w:rPr>
  </w:style>
  <w:style w:type="character" w:customStyle="1" w:styleId="ListLabel543">
    <w:name w:val="ListLabel 543"/>
    <w:qFormat/>
    <w:rPr>
      <w:rFonts w:cs="OpenSymbol"/>
    </w:rPr>
  </w:style>
  <w:style w:type="character" w:customStyle="1" w:styleId="ListLabel544">
    <w:name w:val="ListLabel 544"/>
    <w:qFormat/>
    <w:rPr>
      <w:rFonts w:cs="OpenSymbol"/>
    </w:rPr>
  </w:style>
  <w:style w:type="character" w:customStyle="1" w:styleId="ListLabel545">
    <w:name w:val="ListLabel 545"/>
    <w:qFormat/>
    <w:rPr>
      <w:rFonts w:cs="OpenSymbol"/>
    </w:rPr>
  </w:style>
  <w:style w:type="character" w:customStyle="1" w:styleId="ListLabel546">
    <w:name w:val="ListLabel 546"/>
    <w:qFormat/>
    <w:rPr>
      <w:rFonts w:cs="OpenSymbol"/>
    </w:rPr>
  </w:style>
  <w:style w:type="character" w:customStyle="1" w:styleId="ListLabel547">
    <w:name w:val="ListLabel 547"/>
    <w:qFormat/>
    <w:rPr>
      <w:rFonts w:cs="OpenSymbol"/>
    </w:rPr>
  </w:style>
  <w:style w:type="character" w:customStyle="1" w:styleId="ListLabel548">
    <w:name w:val="ListLabel 548"/>
    <w:qFormat/>
    <w:rPr>
      <w:rFonts w:cs="OpenSymbol"/>
    </w:rPr>
  </w:style>
  <w:style w:type="character" w:customStyle="1" w:styleId="ListLabel549">
    <w:name w:val="ListLabel 549"/>
    <w:qFormat/>
    <w:rPr>
      <w:rFonts w:cs="OpenSymbol"/>
    </w:rPr>
  </w:style>
  <w:style w:type="character" w:customStyle="1" w:styleId="ListLabel550">
    <w:name w:val="ListLabel 550"/>
    <w:qFormat/>
    <w:rPr>
      <w:rFonts w:cs="OpenSymbol"/>
    </w:rPr>
  </w:style>
  <w:style w:type="character" w:customStyle="1" w:styleId="ListLabel551">
    <w:name w:val="ListLabel 551"/>
    <w:qFormat/>
    <w:rPr>
      <w:rFonts w:cs="OpenSymbol"/>
    </w:rPr>
  </w:style>
  <w:style w:type="character" w:customStyle="1" w:styleId="ListLabel552">
    <w:name w:val="ListLabel 552"/>
    <w:qFormat/>
    <w:rPr>
      <w:rFonts w:cs="OpenSymbol"/>
    </w:rPr>
  </w:style>
  <w:style w:type="character" w:customStyle="1" w:styleId="ListLabel553">
    <w:name w:val="ListLabel 553"/>
    <w:qFormat/>
    <w:rPr>
      <w:rFonts w:cs="OpenSymbol"/>
    </w:rPr>
  </w:style>
  <w:style w:type="character" w:customStyle="1" w:styleId="ListLabel554">
    <w:name w:val="ListLabel 554"/>
    <w:qFormat/>
    <w:rPr>
      <w:rFonts w:cs="OpenSymbol"/>
    </w:rPr>
  </w:style>
  <w:style w:type="character" w:customStyle="1" w:styleId="ListLabel555">
    <w:name w:val="ListLabel 555"/>
    <w:qFormat/>
    <w:rPr>
      <w:rFonts w:cs="OpenSymbol"/>
    </w:rPr>
  </w:style>
  <w:style w:type="character" w:customStyle="1" w:styleId="ListLabel556">
    <w:name w:val="ListLabel 556"/>
    <w:qFormat/>
    <w:rPr>
      <w:rFonts w:cs="OpenSymbol"/>
    </w:rPr>
  </w:style>
  <w:style w:type="character" w:customStyle="1" w:styleId="ListLabel557">
    <w:name w:val="ListLabel 557"/>
    <w:qFormat/>
    <w:rPr>
      <w:rFonts w:cs="OpenSymbol"/>
    </w:rPr>
  </w:style>
  <w:style w:type="character" w:customStyle="1" w:styleId="ListLabel558">
    <w:name w:val="ListLabel 558"/>
    <w:qFormat/>
    <w:rPr>
      <w:rFonts w:cs="OpenSymbol"/>
    </w:rPr>
  </w:style>
  <w:style w:type="character" w:customStyle="1" w:styleId="ListLabel559">
    <w:name w:val="ListLabel 559"/>
    <w:qFormat/>
    <w:rPr>
      <w:rFonts w:cs="OpenSymbol"/>
    </w:rPr>
  </w:style>
  <w:style w:type="character" w:customStyle="1" w:styleId="ListLabel560">
    <w:name w:val="ListLabel 560"/>
    <w:qFormat/>
    <w:rPr>
      <w:rFonts w:cs="OpenSymbol"/>
    </w:rPr>
  </w:style>
  <w:style w:type="character" w:customStyle="1" w:styleId="ListLabel561">
    <w:name w:val="ListLabel 561"/>
    <w:qFormat/>
    <w:rPr>
      <w:rFonts w:cs="OpenSymbol"/>
    </w:rPr>
  </w:style>
  <w:style w:type="character" w:customStyle="1" w:styleId="ListLabel562">
    <w:name w:val="ListLabel 562"/>
    <w:qFormat/>
    <w:rPr>
      <w:rFonts w:cs="OpenSymbol"/>
    </w:rPr>
  </w:style>
  <w:style w:type="character" w:customStyle="1" w:styleId="ListLabel563">
    <w:name w:val="ListLabel 563"/>
    <w:qFormat/>
    <w:rPr>
      <w:rFonts w:cs="OpenSymbol"/>
    </w:rPr>
  </w:style>
  <w:style w:type="character" w:customStyle="1" w:styleId="ListLabel564">
    <w:name w:val="ListLabel 564"/>
    <w:qFormat/>
    <w:rPr>
      <w:rFonts w:cs="OpenSymbol"/>
    </w:rPr>
  </w:style>
  <w:style w:type="character" w:customStyle="1" w:styleId="ListLabel565">
    <w:name w:val="ListLabel 565"/>
    <w:qFormat/>
    <w:rPr>
      <w:rFonts w:cs="OpenSymbol"/>
    </w:rPr>
  </w:style>
  <w:style w:type="character" w:customStyle="1" w:styleId="ListLabel566">
    <w:name w:val="ListLabel 566"/>
    <w:qFormat/>
    <w:rPr>
      <w:rFonts w:cs="OpenSymbol"/>
    </w:rPr>
  </w:style>
  <w:style w:type="character" w:customStyle="1" w:styleId="ListLabel567">
    <w:name w:val="ListLabel 567"/>
    <w:qFormat/>
    <w:rPr>
      <w:rFonts w:cs="OpenSymbol"/>
    </w:rPr>
  </w:style>
  <w:style w:type="character" w:customStyle="1" w:styleId="ListLabel568">
    <w:name w:val="ListLabel 568"/>
    <w:qFormat/>
    <w:rPr>
      <w:rFonts w:cs="OpenSymbol"/>
    </w:rPr>
  </w:style>
  <w:style w:type="character" w:customStyle="1" w:styleId="ListLabel569">
    <w:name w:val="ListLabel 569"/>
    <w:qFormat/>
    <w:rPr>
      <w:rFonts w:cs="OpenSymbol"/>
    </w:rPr>
  </w:style>
  <w:style w:type="character" w:customStyle="1" w:styleId="ListLabel570">
    <w:name w:val="ListLabel 570"/>
    <w:qFormat/>
    <w:rPr>
      <w:rFonts w:eastAsia="Calibri"/>
      <w:color w:val="000000"/>
      <w:sz w:val="28"/>
      <w:u w:val="none"/>
    </w:rPr>
  </w:style>
  <w:style w:type="character" w:customStyle="1" w:styleId="ListLabel571">
    <w:name w:val="ListLabel 571"/>
    <w:qFormat/>
    <w:rPr>
      <w:rFonts w:eastAsia="Calibri"/>
      <w:color w:val="000000"/>
      <w:sz w:val="28"/>
      <w:u w:val="none"/>
      <w:lang w:val="en-US"/>
    </w:rPr>
  </w:style>
  <w:style w:type="character" w:customStyle="1" w:styleId="ListLabel572">
    <w:name w:val="ListLabel 572"/>
    <w:qFormat/>
    <w:rPr>
      <w:color w:val="000000"/>
      <w:sz w:val="28"/>
      <w:u w:val="none"/>
    </w:rPr>
  </w:style>
  <w:style w:type="character" w:customStyle="1" w:styleId="ListLabel573">
    <w:name w:val="ListLabel 573"/>
    <w:qFormat/>
    <w:rPr>
      <w:rFonts w:eastAsia="Calibri"/>
      <w:color w:val="C9211E"/>
      <w:sz w:val="28"/>
    </w:rPr>
  </w:style>
  <w:style w:type="character" w:customStyle="1" w:styleId="ListLabel574">
    <w:name w:val="ListLabel 574"/>
    <w:qFormat/>
    <w:rPr>
      <w:rFonts w:eastAsia="Calibri"/>
      <w:color w:val="000000"/>
      <w:sz w:val="28"/>
      <w:u w:val="none"/>
      <w:lang w:val="uk-UA"/>
    </w:rPr>
  </w:style>
  <w:style w:type="character" w:customStyle="1" w:styleId="ListLabel575">
    <w:name w:val="ListLabel 575"/>
    <w:qFormat/>
    <w:rPr>
      <w:rFonts w:eastAsia="Calibri" w:cs="Times New Roman"/>
      <w:b/>
      <w:bCs/>
      <w:kern w:val="2"/>
      <w:sz w:val="28"/>
      <w:szCs w:val="28"/>
      <w:lang w:val="uk-UA" w:eastAsia="ru-RU"/>
    </w:rPr>
  </w:style>
  <w:style w:type="character" w:customStyle="1" w:styleId="ListLabel576">
    <w:name w:val="ListLabel 576"/>
    <w:qFormat/>
    <w:rPr>
      <w:rFonts w:eastAsia="Calibri"/>
      <w:b/>
      <w:bCs/>
      <w:color w:val="000000"/>
      <w:sz w:val="28"/>
      <w:u w:val="none"/>
      <w:lang w:val="en-US"/>
    </w:rPr>
  </w:style>
  <w:style w:type="character" w:customStyle="1" w:styleId="ListLabel577">
    <w:name w:val="ListLabel 577"/>
    <w:qFormat/>
    <w:rPr>
      <w:b w:val="0"/>
      <w:bCs w:val="0"/>
      <w:color w:val="FF8000"/>
      <w:sz w:val="28"/>
      <w:szCs w:val="28"/>
      <w:highlight w:val="yellow"/>
      <w:lang w:val="ru-RU"/>
    </w:rPr>
  </w:style>
  <w:style w:type="character" w:customStyle="1" w:styleId="ListLabel578">
    <w:name w:val="ListLabel 578"/>
    <w:qFormat/>
    <w:rPr>
      <w:b w:val="0"/>
      <w:bCs w:val="0"/>
      <w:i w:val="0"/>
      <w:caps w:val="0"/>
      <w:smallCaps w:val="0"/>
      <w:color w:val="158466"/>
      <w:spacing w:val="0"/>
      <w:sz w:val="28"/>
      <w:szCs w:val="28"/>
      <w:highlight w:val="yellow"/>
      <w:lang w:val="uk-UA"/>
    </w:rPr>
  </w:style>
  <w:style w:type="character" w:customStyle="1" w:styleId="ListLabel579">
    <w:name w:val="ListLabel 579"/>
    <w:qFormat/>
    <w:rPr>
      <w:b/>
      <w:bCs/>
      <w:color w:val="FF8000"/>
      <w:sz w:val="28"/>
      <w:szCs w:val="28"/>
      <w:highlight w:val="yellow"/>
      <w:lang w:val="ru-RU"/>
    </w:rPr>
  </w:style>
  <w:style w:type="character" w:customStyle="1" w:styleId="ListLabel580">
    <w:name w:val="ListLabel 580"/>
    <w:qFormat/>
    <w:rPr>
      <w:rFonts w:cs="OpenSymbol"/>
      <w:b w:val="0"/>
      <w:sz w:val="28"/>
    </w:rPr>
  </w:style>
  <w:style w:type="character" w:customStyle="1" w:styleId="ListLabel581">
    <w:name w:val="ListLabel 581"/>
    <w:qFormat/>
    <w:rPr>
      <w:rFonts w:cs="OpenSymbol"/>
    </w:rPr>
  </w:style>
  <w:style w:type="character" w:customStyle="1" w:styleId="ListLabel582">
    <w:name w:val="ListLabel 582"/>
    <w:qFormat/>
    <w:rPr>
      <w:rFonts w:cs="OpenSymbol"/>
    </w:rPr>
  </w:style>
  <w:style w:type="character" w:customStyle="1" w:styleId="ListLabel583">
    <w:name w:val="ListLabel 583"/>
    <w:qFormat/>
    <w:rPr>
      <w:rFonts w:cs="OpenSymbol"/>
    </w:rPr>
  </w:style>
  <w:style w:type="character" w:customStyle="1" w:styleId="ListLabel584">
    <w:name w:val="ListLabel 584"/>
    <w:qFormat/>
    <w:rPr>
      <w:rFonts w:cs="OpenSymbol"/>
    </w:rPr>
  </w:style>
  <w:style w:type="character" w:customStyle="1" w:styleId="ListLabel585">
    <w:name w:val="ListLabel 585"/>
    <w:qFormat/>
    <w:rPr>
      <w:rFonts w:cs="OpenSymbol"/>
    </w:rPr>
  </w:style>
  <w:style w:type="character" w:customStyle="1" w:styleId="ListLabel586">
    <w:name w:val="ListLabel 586"/>
    <w:qFormat/>
    <w:rPr>
      <w:rFonts w:cs="OpenSymbol"/>
    </w:rPr>
  </w:style>
  <w:style w:type="character" w:customStyle="1" w:styleId="ListLabel587">
    <w:name w:val="ListLabel 587"/>
    <w:qFormat/>
    <w:rPr>
      <w:rFonts w:cs="OpenSymbol"/>
    </w:rPr>
  </w:style>
  <w:style w:type="character" w:customStyle="1" w:styleId="ListLabel588">
    <w:name w:val="ListLabel 588"/>
    <w:qFormat/>
    <w:rPr>
      <w:rFonts w:cs="OpenSymbol"/>
    </w:rPr>
  </w:style>
  <w:style w:type="character" w:customStyle="1" w:styleId="ListLabel589">
    <w:name w:val="ListLabel 589"/>
    <w:qFormat/>
    <w:rPr>
      <w:rFonts w:cs="OpenSymbol"/>
      <w:b w:val="0"/>
      <w:sz w:val="28"/>
    </w:rPr>
  </w:style>
  <w:style w:type="character" w:customStyle="1" w:styleId="ListLabel590">
    <w:name w:val="ListLabel 590"/>
    <w:qFormat/>
    <w:rPr>
      <w:rFonts w:cs="OpenSymbol"/>
    </w:rPr>
  </w:style>
  <w:style w:type="character" w:customStyle="1" w:styleId="ListLabel591">
    <w:name w:val="ListLabel 591"/>
    <w:qFormat/>
    <w:rPr>
      <w:rFonts w:cs="OpenSymbol"/>
    </w:rPr>
  </w:style>
  <w:style w:type="character" w:customStyle="1" w:styleId="ListLabel592">
    <w:name w:val="ListLabel 592"/>
    <w:qFormat/>
    <w:rPr>
      <w:rFonts w:cs="OpenSymbol"/>
    </w:rPr>
  </w:style>
  <w:style w:type="character" w:customStyle="1" w:styleId="ListLabel593">
    <w:name w:val="ListLabel 593"/>
    <w:qFormat/>
    <w:rPr>
      <w:rFonts w:cs="OpenSymbol"/>
    </w:rPr>
  </w:style>
  <w:style w:type="character" w:customStyle="1" w:styleId="ListLabel594">
    <w:name w:val="ListLabel 594"/>
    <w:qFormat/>
    <w:rPr>
      <w:rFonts w:cs="OpenSymbol"/>
    </w:rPr>
  </w:style>
  <w:style w:type="character" w:customStyle="1" w:styleId="ListLabel595">
    <w:name w:val="ListLabel 595"/>
    <w:qFormat/>
    <w:rPr>
      <w:rFonts w:cs="OpenSymbol"/>
    </w:rPr>
  </w:style>
  <w:style w:type="character" w:customStyle="1" w:styleId="ListLabel596">
    <w:name w:val="ListLabel 596"/>
    <w:qFormat/>
    <w:rPr>
      <w:rFonts w:cs="OpenSymbol"/>
    </w:rPr>
  </w:style>
  <w:style w:type="character" w:customStyle="1" w:styleId="ListLabel597">
    <w:name w:val="ListLabel 597"/>
    <w:qFormat/>
    <w:rPr>
      <w:rFonts w:cs="OpenSymbol"/>
    </w:rPr>
  </w:style>
  <w:style w:type="character" w:customStyle="1" w:styleId="ListLabel598">
    <w:name w:val="ListLabel 598"/>
    <w:qFormat/>
    <w:rPr>
      <w:rFonts w:cs="OpenSymbol"/>
      <w:b w:val="0"/>
      <w:sz w:val="28"/>
    </w:rPr>
  </w:style>
  <w:style w:type="character" w:customStyle="1" w:styleId="ListLabel599">
    <w:name w:val="ListLabel 599"/>
    <w:qFormat/>
    <w:rPr>
      <w:rFonts w:cs="OpenSymbol"/>
    </w:rPr>
  </w:style>
  <w:style w:type="character" w:customStyle="1" w:styleId="ListLabel600">
    <w:name w:val="ListLabel 600"/>
    <w:qFormat/>
    <w:rPr>
      <w:rFonts w:cs="OpenSymbol"/>
    </w:rPr>
  </w:style>
  <w:style w:type="character" w:customStyle="1" w:styleId="ListLabel601">
    <w:name w:val="ListLabel 601"/>
    <w:qFormat/>
    <w:rPr>
      <w:rFonts w:cs="OpenSymbol"/>
    </w:rPr>
  </w:style>
  <w:style w:type="character" w:customStyle="1" w:styleId="ListLabel602">
    <w:name w:val="ListLabel 602"/>
    <w:qFormat/>
    <w:rPr>
      <w:rFonts w:cs="OpenSymbol"/>
    </w:rPr>
  </w:style>
  <w:style w:type="character" w:customStyle="1" w:styleId="ListLabel603">
    <w:name w:val="ListLabel 603"/>
    <w:qFormat/>
    <w:rPr>
      <w:rFonts w:cs="OpenSymbol"/>
    </w:rPr>
  </w:style>
  <w:style w:type="character" w:customStyle="1" w:styleId="ListLabel604">
    <w:name w:val="ListLabel 604"/>
    <w:qFormat/>
    <w:rPr>
      <w:rFonts w:cs="OpenSymbol"/>
    </w:rPr>
  </w:style>
  <w:style w:type="character" w:customStyle="1" w:styleId="ListLabel605">
    <w:name w:val="ListLabel 605"/>
    <w:qFormat/>
    <w:rPr>
      <w:rFonts w:cs="OpenSymbol"/>
    </w:rPr>
  </w:style>
  <w:style w:type="character" w:customStyle="1" w:styleId="ListLabel606">
    <w:name w:val="ListLabel 606"/>
    <w:qFormat/>
    <w:rPr>
      <w:rFonts w:cs="OpenSymbol"/>
    </w:rPr>
  </w:style>
  <w:style w:type="character" w:customStyle="1" w:styleId="ListLabel607">
    <w:name w:val="ListLabel 607"/>
    <w:qFormat/>
    <w:rPr>
      <w:rFonts w:eastAsia="Calibri"/>
      <w:color w:val="000000"/>
      <w:sz w:val="28"/>
      <w:u w:val="none"/>
    </w:rPr>
  </w:style>
  <w:style w:type="character" w:customStyle="1" w:styleId="ListLabel608">
    <w:name w:val="ListLabel 608"/>
    <w:qFormat/>
    <w:rPr>
      <w:rFonts w:eastAsia="Calibri"/>
      <w:color w:val="000000"/>
      <w:sz w:val="28"/>
      <w:u w:val="none"/>
      <w:lang w:val="en-US"/>
    </w:rPr>
  </w:style>
  <w:style w:type="character" w:customStyle="1" w:styleId="ListLabel609">
    <w:name w:val="ListLabel 609"/>
    <w:qFormat/>
    <w:rPr>
      <w:color w:val="000000"/>
      <w:sz w:val="28"/>
      <w:u w:val="none"/>
    </w:rPr>
  </w:style>
  <w:style w:type="character" w:customStyle="1" w:styleId="ListLabel610">
    <w:name w:val="ListLabel 610"/>
    <w:qFormat/>
    <w:rPr>
      <w:rFonts w:eastAsia="Calibri"/>
      <w:color w:val="C9211E"/>
      <w:sz w:val="28"/>
    </w:rPr>
  </w:style>
  <w:style w:type="character" w:customStyle="1" w:styleId="ListLabel611">
    <w:name w:val="ListLabel 611"/>
    <w:qFormat/>
    <w:rPr>
      <w:rFonts w:eastAsia="Calibri"/>
      <w:color w:val="000000"/>
      <w:sz w:val="28"/>
      <w:u w:val="none"/>
      <w:lang w:val="uk-UA"/>
    </w:rPr>
  </w:style>
  <w:style w:type="character" w:customStyle="1" w:styleId="ListLabel612">
    <w:name w:val="ListLabel 612"/>
    <w:qFormat/>
    <w:rPr>
      <w:rFonts w:eastAsia="Calibri" w:cs="Times New Roman"/>
      <w:b/>
      <w:bCs/>
      <w:kern w:val="2"/>
      <w:sz w:val="28"/>
      <w:szCs w:val="28"/>
      <w:lang w:val="uk-UA" w:eastAsia="ru-RU"/>
    </w:rPr>
  </w:style>
  <w:style w:type="character" w:customStyle="1" w:styleId="ListLabel613">
    <w:name w:val="ListLabel 613"/>
    <w:qFormat/>
    <w:rPr>
      <w:rFonts w:eastAsia="Calibri"/>
      <w:b/>
      <w:bCs/>
      <w:color w:val="000000"/>
      <w:sz w:val="28"/>
      <w:u w:val="none"/>
      <w:lang w:val="en-US"/>
    </w:rPr>
  </w:style>
  <w:style w:type="character" w:customStyle="1" w:styleId="ListLabel614">
    <w:name w:val="ListLabel 614"/>
    <w:qFormat/>
    <w:rPr>
      <w:b w:val="0"/>
      <w:bCs w:val="0"/>
      <w:color w:val="FF8000"/>
      <w:sz w:val="28"/>
      <w:szCs w:val="28"/>
      <w:highlight w:val="yellow"/>
      <w:lang w:val="ru-RU"/>
    </w:rPr>
  </w:style>
  <w:style w:type="character" w:customStyle="1" w:styleId="ListLabel615">
    <w:name w:val="ListLabel 615"/>
    <w:qFormat/>
    <w:rPr>
      <w:b w:val="0"/>
      <w:bCs w:val="0"/>
      <w:i w:val="0"/>
      <w:caps w:val="0"/>
      <w:smallCaps w:val="0"/>
      <w:color w:val="158466"/>
      <w:spacing w:val="0"/>
      <w:sz w:val="28"/>
      <w:szCs w:val="28"/>
      <w:highlight w:val="yellow"/>
      <w:lang w:val="uk-UA"/>
    </w:rPr>
  </w:style>
  <w:style w:type="character" w:customStyle="1" w:styleId="ListLabel616">
    <w:name w:val="ListLabel 616"/>
    <w:qFormat/>
    <w:rPr>
      <w:b/>
      <w:bCs/>
      <w:color w:val="FF8000"/>
      <w:sz w:val="28"/>
      <w:szCs w:val="28"/>
      <w:highlight w:val="yellow"/>
      <w:lang w:val="ru-RU"/>
    </w:rPr>
  </w:style>
  <w:style w:type="character" w:customStyle="1" w:styleId="ListLabel617">
    <w:name w:val="ListLabel 617"/>
    <w:qFormat/>
    <w:rPr>
      <w:rFonts w:cs="OpenSymbol"/>
      <w:b w:val="0"/>
      <w:sz w:val="28"/>
    </w:rPr>
  </w:style>
  <w:style w:type="character" w:customStyle="1" w:styleId="ListLabel618">
    <w:name w:val="ListLabel 618"/>
    <w:qFormat/>
    <w:rPr>
      <w:rFonts w:cs="OpenSymbol"/>
    </w:rPr>
  </w:style>
  <w:style w:type="character" w:customStyle="1" w:styleId="ListLabel619">
    <w:name w:val="ListLabel 619"/>
    <w:qFormat/>
    <w:rPr>
      <w:rFonts w:cs="OpenSymbol"/>
    </w:rPr>
  </w:style>
  <w:style w:type="character" w:customStyle="1" w:styleId="ListLabel620">
    <w:name w:val="ListLabel 620"/>
    <w:qFormat/>
    <w:rPr>
      <w:rFonts w:cs="OpenSymbol"/>
    </w:rPr>
  </w:style>
  <w:style w:type="character" w:customStyle="1" w:styleId="ListLabel621">
    <w:name w:val="ListLabel 621"/>
    <w:qFormat/>
    <w:rPr>
      <w:rFonts w:cs="OpenSymbol"/>
    </w:rPr>
  </w:style>
  <w:style w:type="character" w:customStyle="1" w:styleId="ListLabel622">
    <w:name w:val="ListLabel 622"/>
    <w:qFormat/>
    <w:rPr>
      <w:rFonts w:cs="OpenSymbol"/>
    </w:rPr>
  </w:style>
  <w:style w:type="character" w:customStyle="1" w:styleId="ListLabel623">
    <w:name w:val="ListLabel 623"/>
    <w:qFormat/>
    <w:rPr>
      <w:rFonts w:cs="OpenSymbol"/>
    </w:rPr>
  </w:style>
  <w:style w:type="character" w:customStyle="1" w:styleId="ListLabel624">
    <w:name w:val="ListLabel 624"/>
    <w:qFormat/>
    <w:rPr>
      <w:rFonts w:cs="OpenSymbol"/>
    </w:rPr>
  </w:style>
  <w:style w:type="character" w:customStyle="1" w:styleId="ListLabel625">
    <w:name w:val="ListLabel 625"/>
    <w:qFormat/>
    <w:rPr>
      <w:rFonts w:cs="OpenSymbol"/>
    </w:rPr>
  </w:style>
  <w:style w:type="character" w:customStyle="1" w:styleId="ListLabel626">
    <w:name w:val="ListLabel 626"/>
    <w:qFormat/>
    <w:rPr>
      <w:rFonts w:cs="OpenSymbol"/>
      <w:b w:val="0"/>
      <w:sz w:val="28"/>
    </w:rPr>
  </w:style>
  <w:style w:type="character" w:customStyle="1" w:styleId="ListLabel627">
    <w:name w:val="ListLabel 627"/>
    <w:qFormat/>
    <w:rPr>
      <w:rFonts w:cs="OpenSymbol"/>
    </w:rPr>
  </w:style>
  <w:style w:type="character" w:customStyle="1" w:styleId="ListLabel628">
    <w:name w:val="ListLabel 628"/>
    <w:qFormat/>
    <w:rPr>
      <w:rFonts w:cs="OpenSymbol"/>
    </w:rPr>
  </w:style>
  <w:style w:type="character" w:customStyle="1" w:styleId="ListLabel629">
    <w:name w:val="ListLabel 629"/>
    <w:qFormat/>
    <w:rPr>
      <w:rFonts w:cs="OpenSymbol"/>
    </w:rPr>
  </w:style>
  <w:style w:type="character" w:customStyle="1" w:styleId="ListLabel630">
    <w:name w:val="ListLabel 630"/>
    <w:qFormat/>
    <w:rPr>
      <w:rFonts w:cs="OpenSymbol"/>
    </w:rPr>
  </w:style>
  <w:style w:type="character" w:customStyle="1" w:styleId="ListLabel631">
    <w:name w:val="ListLabel 631"/>
    <w:qFormat/>
    <w:rPr>
      <w:rFonts w:cs="OpenSymbol"/>
    </w:rPr>
  </w:style>
  <w:style w:type="character" w:customStyle="1" w:styleId="ListLabel632">
    <w:name w:val="ListLabel 632"/>
    <w:qFormat/>
    <w:rPr>
      <w:rFonts w:cs="OpenSymbol"/>
    </w:rPr>
  </w:style>
  <w:style w:type="character" w:customStyle="1" w:styleId="ListLabel633">
    <w:name w:val="ListLabel 633"/>
    <w:qFormat/>
    <w:rPr>
      <w:rFonts w:cs="OpenSymbol"/>
    </w:rPr>
  </w:style>
  <w:style w:type="character" w:customStyle="1" w:styleId="ListLabel634">
    <w:name w:val="ListLabel 634"/>
    <w:qFormat/>
    <w:rPr>
      <w:rFonts w:cs="OpenSymbol"/>
    </w:rPr>
  </w:style>
  <w:style w:type="character" w:customStyle="1" w:styleId="ListLabel635">
    <w:name w:val="ListLabel 635"/>
    <w:qFormat/>
    <w:rPr>
      <w:rFonts w:cs="OpenSymbol"/>
      <w:b w:val="0"/>
      <w:sz w:val="28"/>
    </w:rPr>
  </w:style>
  <w:style w:type="character" w:customStyle="1" w:styleId="ListLabel636">
    <w:name w:val="ListLabel 636"/>
    <w:qFormat/>
    <w:rPr>
      <w:rFonts w:cs="OpenSymbol"/>
    </w:rPr>
  </w:style>
  <w:style w:type="character" w:customStyle="1" w:styleId="ListLabel637">
    <w:name w:val="ListLabel 637"/>
    <w:qFormat/>
    <w:rPr>
      <w:rFonts w:cs="OpenSymbol"/>
    </w:rPr>
  </w:style>
  <w:style w:type="character" w:customStyle="1" w:styleId="ListLabel638">
    <w:name w:val="ListLabel 638"/>
    <w:qFormat/>
    <w:rPr>
      <w:rFonts w:cs="OpenSymbol"/>
    </w:rPr>
  </w:style>
  <w:style w:type="character" w:customStyle="1" w:styleId="ListLabel639">
    <w:name w:val="ListLabel 639"/>
    <w:qFormat/>
    <w:rPr>
      <w:rFonts w:cs="OpenSymbol"/>
    </w:rPr>
  </w:style>
  <w:style w:type="character" w:customStyle="1" w:styleId="ListLabel640">
    <w:name w:val="ListLabel 640"/>
    <w:qFormat/>
    <w:rPr>
      <w:rFonts w:cs="OpenSymbol"/>
    </w:rPr>
  </w:style>
  <w:style w:type="character" w:customStyle="1" w:styleId="ListLabel641">
    <w:name w:val="ListLabel 641"/>
    <w:qFormat/>
    <w:rPr>
      <w:rFonts w:cs="OpenSymbol"/>
    </w:rPr>
  </w:style>
  <w:style w:type="character" w:customStyle="1" w:styleId="ListLabel642">
    <w:name w:val="ListLabel 642"/>
    <w:qFormat/>
    <w:rPr>
      <w:rFonts w:cs="OpenSymbol"/>
    </w:rPr>
  </w:style>
  <w:style w:type="character" w:customStyle="1" w:styleId="ListLabel643">
    <w:name w:val="ListLabel 643"/>
    <w:qFormat/>
    <w:rPr>
      <w:rFonts w:cs="OpenSymbol"/>
    </w:rPr>
  </w:style>
  <w:style w:type="character" w:customStyle="1" w:styleId="ListLabel644">
    <w:name w:val="ListLabel 644"/>
    <w:qFormat/>
    <w:rPr>
      <w:rFonts w:eastAsia="Calibri"/>
      <w:color w:val="000000"/>
      <w:sz w:val="28"/>
      <w:u w:val="none"/>
    </w:rPr>
  </w:style>
  <w:style w:type="character" w:customStyle="1" w:styleId="ListLabel645">
    <w:name w:val="ListLabel 645"/>
    <w:qFormat/>
    <w:rPr>
      <w:rFonts w:eastAsia="Calibri"/>
      <w:color w:val="000000"/>
      <w:sz w:val="28"/>
      <w:u w:val="none"/>
      <w:lang w:val="en-US"/>
    </w:rPr>
  </w:style>
  <w:style w:type="character" w:customStyle="1" w:styleId="ListLabel646">
    <w:name w:val="ListLabel 646"/>
    <w:qFormat/>
    <w:rPr>
      <w:color w:val="000000"/>
      <w:sz w:val="28"/>
      <w:u w:val="none"/>
    </w:rPr>
  </w:style>
  <w:style w:type="character" w:customStyle="1" w:styleId="ListLabel647">
    <w:name w:val="ListLabel 647"/>
    <w:qFormat/>
    <w:rPr>
      <w:rFonts w:eastAsia="Calibri"/>
      <w:color w:val="C9211E"/>
      <w:sz w:val="28"/>
    </w:rPr>
  </w:style>
  <w:style w:type="character" w:customStyle="1" w:styleId="ListLabel648">
    <w:name w:val="ListLabel 648"/>
    <w:qFormat/>
    <w:rPr>
      <w:rFonts w:eastAsia="Calibri"/>
      <w:color w:val="000000"/>
      <w:sz w:val="28"/>
      <w:u w:val="none"/>
      <w:lang w:val="uk-UA"/>
    </w:rPr>
  </w:style>
  <w:style w:type="character" w:customStyle="1" w:styleId="ListLabel649">
    <w:name w:val="ListLabel 649"/>
    <w:qFormat/>
    <w:rPr>
      <w:rFonts w:eastAsia="Calibri" w:cs="Times New Roman"/>
      <w:b/>
      <w:bCs/>
      <w:kern w:val="2"/>
      <w:sz w:val="28"/>
      <w:szCs w:val="28"/>
      <w:lang w:val="uk-UA" w:eastAsia="ru-RU"/>
    </w:rPr>
  </w:style>
  <w:style w:type="character" w:customStyle="1" w:styleId="ListLabel650">
    <w:name w:val="ListLabel 650"/>
    <w:qFormat/>
    <w:rPr>
      <w:rFonts w:eastAsia="Calibri"/>
      <w:b/>
      <w:bCs/>
      <w:color w:val="000000"/>
      <w:sz w:val="28"/>
      <w:u w:val="none"/>
      <w:lang w:val="en-US"/>
    </w:rPr>
  </w:style>
  <w:style w:type="character" w:customStyle="1" w:styleId="ListLabel651">
    <w:name w:val="ListLabel 651"/>
    <w:qFormat/>
    <w:rPr>
      <w:b w:val="0"/>
      <w:bCs w:val="0"/>
      <w:color w:val="FF8000"/>
      <w:sz w:val="28"/>
      <w:szCs w:val="28"/>
      <w:highlight w:val="yellow"/>
      <w:lang w:val="ru-RU"/>
    </w:rPr>
  </w:style>
  <w:style w:type="character" w:customStyle="1" w:styleId="ListLabel652">
    <w:name w:val="ListLabel 652"/>
    <w:qFormat/>
    <w:rPr>
      <w:b w:val="0"/>
      <w:bCs w:val="0"/>
      <w:i w:val="0"/>
      <w:caps w:val="0"/>
      <w:smallCaps w:val="0"/>
      <w:color w:val="158466"/>
      <w:spacing w:val="0"/>
      <w:sz w:val="28"/>
      <w:szCs w:val="28"/>
      <w:highlight w:val="yellow"/>
      <w:lang w:val="uk-UA"/>
    </w:rPr>
  </w:style>
  <w:style w:type="character" w:customStyle="1" w:styleId="ListLabel653">
    <w:name w:val="ListLabel 653"/>
    <w:qFormat/>
    <w:rPr>
      <w:b/>
      <w:bCs/>
      <w:color w:val="FF8000"/>
      <w:sz w:val="28"/>
      <w:szCs w:val="28"/>
      <w:highlight w:val="yellow"/>
      <w:lang w:val="ru-RU"/>
    </w:rPr>
  </w:style>
  <w:style w:type="character" w:customStyle="1" w:styleId="ListLabel654">
    <w:name w:val="ListLabel 654"/>
    <w:qFormat/>
    <w:rPr>
      <w:rFonts w:cs="OpenSymbol"/>
      <w:b w:val="0"/>
      <w:sz w:val="28"/>
    </w:rPr>
  </w:style>
  <w:style w:type="character" w:customStyle="1" w:styleId="ListLabel655">
    <w:name w:val="ListLabel 655"/>
    <w:qFormat/>
    <w:rPr>
      <w:rFonts w:cs="OpenSymbol"/>
    </w:rPr>
  </w:style>
  <w:style w:type="character" w:customStyle="1" w:styleId="ListLabel656">
    <w:name w:val="ListLabel 656"/>
    <w:qFormat/>
    <w:rPr>
      <w:rFonts w:cs="OpenSymbol"/>
    </w:rPr>
  </w:style>
  <w:style w:type="character" w:customStyle="1" w:styleId="ListLabel657">
    <w:name w:val="ListLabel 657"/>
    <w:qFormat/>
    <w:rPr>
      <w:rFonts w:cs="OpenSymbol"/>
    </w:rPr>
  </w:style>
  <w:style w:type="character" w:customStyle="1" w:styleId="ListLabel658">
    <w:name w:val="ListLabel 658"/>
    <w:qFormat/>
    <w:rPr>
      <w:rFonts w:cs="OpenSymbol"/>
    </w:rPr>
  </w:style>
  <w:style w:type="character" w:customStyle="1" w:styleId="ListLabel659">
    <w:name w:val="ListLabel 659"/>
    <w:qFormat/>
    <w:rPr>
      <w:rFonts w:cs="OpenSymbol"/>
    </w:rPr>
  </w:style>
  <w:style w:type="character" w:customStyle="1" w:styleId="ListLabel660">
    <w:name w:val="ListLabel 660"/>
    <w:qFormat/>
    <w:rPr>
      <w:rFonts w:cs="OpenSymbol"/>
    </w:rPr>
  </w:style>
  <w:style w:type="character" w:customStyle="1" w:styleId="ListLabel661">
    <w:name w:val="ListLabel 661"/>
    <w:qFormat/>
    <w:rPr>
      <w:rFonts w:cs="OpenSymbol"/>
    </w:rPr>
  </w:style>
  <w:style w:type="character" w:customStyle="1" w:styleId="ListLabel662">
    <w:name w:val="ListLabel 662"/>
    <w:qFormat/>
    <w:rPr>
      <w:rFonts w:cs="OpenSymbol"/>
    </w:rPr>
  </w:style>
  <w:style w:type="character" w:customStyle="1" w:styleId="ListLabel663">
    <w:name w:val="ListLabel 663"/>
    <w:qFormat/>
    <w:rPr>
      <w:rFonts w:cs="OpenSymbol"/>
      <w:b w:val="0"/>
      <w:sz w:val="28"/>
    </w:rPr>
  </w:style>
  <w:style w:type="character" w:customStyle="1" w:styleId="ListLabel664">
    <w:name w:val="ListLabel 664"/>
    <w:qFormat/>
    <w:rPr>
      <w:rFonts w:cs="OpenSymbol"/>
    </w:rPr>
  </w:style>
  <w:style w:type="character" w:customStyle="1" w:styleId="ListLabel665">
    <w:name w:val="ListLabel 665"/>
    <w:qFormat/>
    <w:rPr>
      <w:rFonts w:cs="OpenSymbol"/>
    </w:rPr>
  </w:style>
  <w:style w:type="character" w:customStyle="1" w:styleId="ListLabel666">
    <w:name w:val="ListLabel 666"/>
    <w:qFormat/>
    <w:rPr>
      <w:rFonts w:cs="OpenSymbol"/>
    </w:rPr>
  </w:style>
  <w:style w:type="character" w:customStyle="1" w:styleId="ListLabel667">
    <w:name w:val="ListLabel 667"/>
    <w:qFormat/>
    <w:rPr>
      <w:rFonts w:cs="OpenSymbol"/>
    </w:rPr>
  </w:style>
  <w:style w:type="character" w:customStyle="1" w:styleId="ListLabel668">
    <w:name w:val="ListLabel 668"/>
    <w:qFormat/>
    <w:rPr>
      <w:rFonts w:cs="OpenSymbol"/>
    </w:rPr>
  </w:style>
  <w:style w:type="character" w:customStyle="1" w:styleId="ListLabel669">
    <w:name w:val="ListLabel 669"/>
    <w:qFormat/>
    <w:rPr>
      <w:rFonts w:cs="OpenSymbol"/>
    </w:rPr>
  </w:style>
  <w:style w:type="character" w:customStyle="1" w:styleId="ListLabel670">
    <w:name w:val="ListLabel 670"/>
    <w:qFormat/>
    <w:rPr>
      <w:rFonts w:cs="OpenSymbol"/>
    </w:rPr>
  </w:style>
  <w:style w:type="character" w:customStyle="1" w:styleId="ListLabel671">
    <w:name w:val="ListLabel 671"/>
    <w:qFormat/>
    <w:rPr>
      <w:rFonts w:cs="OpenSymbol"/>
    </w:rPr>
  </w:style>
  <w:style w:type="character" w:customStyle="1" w:styleId="ListLabel672">
    <w:name w:val="ListLabel 672"/>
    <w:qFormat/>
    <w:rPr>
      <w:rFonts w:cs="OpenSymbol"/>
      <w:b w:val="0"/>
      <w:sz w:val="28"/>
    </w:rPr>
  </w:style>
  <w:style w:type="character" w:customStyle="1" w:styleId="ListLabel673">
    <w:name w:val="ListLabel 673"/>
    <w:qFormat/>
    <w:rPr>
      <w:rFonts w:cs="OpenSymbol"/>
    </w:rPr>
  </w:style>
  <w:style w:type="character" w:customStyle="1" w:styleId="ListLabel674">
    <w:name w:val="ListLabel 674"/>
    <w:qFormat/>
    <w:rPr>
      <w:rFonts w:cs="OpenSymbol"/>
    </w:rPr>
  </w:style>
  <w:style w:type="character" w:customStyle="1" w:styleId="ListLabel675">
    <w:name w:val="ListLabel 675"/>
    <w:qFormat/>
    <w:rPr>
      <w:rFonts w:cs="OpenSymbol"/>
    </w:rPr>
  </w:style>
  <w:style w:type="character" w:customStyle="1" w:styleId="ListLabel676">
    <w:name w:val="ListLabel 676"/>
    <w:qFormat/>
    <w:rPr>
      <w:rFonts w:cs="OpenSymbol"/>
    </w:rPr>
  </w:style>
  <w:style w:type="character" w:customStyle="1" w:styleId="ListLabel677">
    <w:name w:val="ListLabel 677"/>
    <w:qFormat/>
    <w:rPr>
      <w:rFonts w:cs="OpenSymbol"/>
    </w:rPr>
  </w:style>
  <w:style w:type="character" w:customStyle="1" w:styleId="ListLabel678">
    <w:name w:val="ListLabel 678"/>
    <w:qFormat/>
    <w:rPr>
      <w:rFonts w:cs="OpenSymbol"/>
    </w:rPr>
  </w:style>
  <w:style w:type="character" w:customStyle="1" w:styleId="ListLabel679">
    <w:name w:val="ListLabel 679"/>
    <w:qFormat/>
    <w:rPr>
      <w:rFonts w:cs="OpenSymbol"/>
    </w:rPr>
  </w:style>
  <w:style w:type="character" w:customStyle="1" w:styleId="ListLabel680">
    <w:name w:val="ListLabel 680"/>
    <w:qFormat/>
    <w:rPr>
      <w:rFonts w:cs="OpenSymbol"/>
    </w:rPr>
  </w:style>
  <w:style w:type="character" w:customStyle="1" w:styleId="ListLabel681">
    <w:name w:val="ListLabel 681"/>
    <w:qFormat/>
    <w:rPr>
      <w:rFonts w:eastAsia="Calibri"/>
      <w:color w:val="000000"/>
      <w:sz w:val="28"/>
      <w:u w:val="none"/>
    </w:rPr>
  </w:style>
  <w:style w:type="character" w:customStyle="1" w:styleId="ListLabel682">
    <w:name w:val="ListLabel 682"/>
    <w:qFormat/>
    <w:rPr>
      <w:rFonts w:eastAsia="Calibri"/>
      <w:color w:val="000000"/>
      <w:sz w:val="28"/>
      <w:u w:val="none"/>
      <w:lang w:val="en-US"/>
    </w:rPr>
  </w:style>
  <w:style w:type="character" w:customStyle="1" w:styleId="ListLabel683">
    <w:name w:val="ListLabel 683"/>
    <w:qFormat/>
    <w:rPr>
      <w:rFonts w:eastAsia="Calibri"/>
      <w:color w:val="000000"/>
      <w:sz w:val="28"/>
      <w:u w:val="none"/>
      <w:lang w:val="uk-UA"/>
    </w:rPr>
  </w:style>
  <w:style w:type="character" w:customStyle="1" w:styleId="ListLabel684">
    <w:name w:val="ListLabel 684"/>
    <w:qFormat/>
    <w:rPr>
      <w:color w:val="000000"/>
      <w:sz w:val="28"/>
      <w:u w:val="none"/>
    </w:rPr>
  </w:style>
  <w:style w:type="character" w:customStyle="1" w:styleId="ListLabel685">
    <w:name w:val="ListLabel 685"/>
    <w:qFormat/>
    <w:rPr>
      <w:rFonts w:eastAsia="Calibri"/>
      <w:color w:val="C9211E"/>
      <w:sz w:val="28"/>
    </w:rPr>
  </w:style>
  <w:style w:type="character" w:customStyle="1" w:styleId="ListLabel686">
    <w:name w:val="ListLabel 686"/>
    <w:qFormat/>
    <w:rPr>
      <w:rFonts w:eastAsia="Calibri" w:cs="Times New Roman"/>
      <w:b/>
      <w:bCs/>
      <w:kern w:val="2"/>
      <w:sz w:val="28"/>
      <w:szCs w:val="28"/>
      <w:lang w:val="uk-UA" w:eastAsia="ru-RU"/>
    </w:rPr>
  </w:style>
  <w:style w:type="character" w:customStyle="1" w:styleId="ListLabel687">
    <w:name w:val="ListLabel 687"/>
    <w:qFormat/>
    <w:rPr>
      <w:rFonts w:eastAsia="Calibri"/>
      <w:b/>
      <w:bCs/>
      <w:color w:val="000000"/>
      <w:sz w:val="28"/>
      <w:u w:val="none"/>
      <w:lang w:val="en-US"/>
    </w:rPr>
  </w:style>
  <w:style w:type="character" w:customStyle="1" w:styleId="ListLabel688">
    <w:name w:val="ListLabel 688"/>
    <w:qFormat/>
    <w:rPr>
      <w:b w:val="0"/>
      <w:bCs w:val="0"/>
      <w:color w:val="FF8000"/>
      <w:sz w:val="28"/>
      <w:szCs w:val="28"/>
      <w:highlight w:val="yellow"/>
      <w:lang w:val="ru-RU"/>
    </w:rPr>
  </w:style>
  <w:style w:type="character" w:customStyle="1" w:styleId="ListLabel689">
    <w:name w:val="ListLabel 689"/>
    <w:qFormat/>
    <w:rPr>
      <w:b w:val="0"/>
      <w:bCs w:val="0"/>
      <w:i w:val="0"/>
      <w:caps w:val="0"/>
      <w:smallCaps w:val="0"/>
      <w:color w:val="158466"/>
      <w:spacing w:val="0"/>
      <w:sz w:val="28"/>
      <w:szCs w:val="28"/>
      <w:highlight w:val="yellow"/>
      <w:lang w:val="uk-UA"/>
    </w:rPr>
  </w:style>
  <w:style w:type="character" w:customStyle="1" w:styleId="ListLabel690">
    <w:name w:val="ListLabel 690"/>
    <w:qFormat/>
    <w:rPr>
      <w:b/>
      <w:bCs/>
      <w:color w:val="FF8000"/>
      <w:sz w:val="28"/>
      <w:szCs w:val="28"/>
      <w:highlight w:val="yellow"/>
      <w:lang w:val="ru-RU"/>
    </w:rPr>
  </w:style>
  <w:style w:type="character" w:customStyle="1" w:styleId="ListLabel691">
    <w:name w:val="ListLabel 691"/>
    <w:qFormat/>
    <w:rPr>
      <w:rFonts w:cs="OpenSymbol"/>
      <w:b w:val="0"/>
      <w:sz w:val="28"/>
    </w:rPr>
  </w:style>
  <w:style w:type="character" w:customStyle="1" w:styleId="ListLabel692">
    <w:name w:val="ListLabel 692"/>
    <w:qFormat/>
    <w:rPr>
      <w:rFonts w:cs="OpenSymbol"/>
    </w:rPr>
  </w:style>
  <w:style w:type="character" w:customStyle="1" w:styleId="ListLabel693">
    <w:name w:val="ListLabel 693"/>
    <w:qFormat/>
    <w:rPr>
      <w:rFonts w:cs="OpenSymbol"/>
    </w:rPr>
  </w:style>
  <w:style w:type="character" w:customStyle="1" w:styleId="ListLabel694">
    <w:name w:val="ListLabel 694"/>
    <w:qFormat/>
    <w:rPr>
      <w:rFonts w:cs="OpenSymbol"/>
    </w:rPr>
  </w:style>
  <w:style w:type="character" w:customStyle="1" w:styleId="ListLabel695">
    <w:name w:val="ListLabel 695"/>
    <w:qFormat/>
    <w:rPr>
      <w:rFonts w:cs="OpenSymbol"/>
    </w:rPr>
  </w:style>
  <w:style w:type="character" w:customStyle="1" w:styleId="ListLabel696">
    <w:name w:val="ListLabel 696"/>
    <w:qFormat/>
    <w:rPr>
      <w:rFonts w:cs="OpenSymbol"/>
    </w:rPr>
  </w:style>
  <w:style w:type="character" w:customStyle="1" w:styleId="ListLabel697">
    <w:name w:val="ListLabel 697"/>
    <w:qFormat/>
    <w:rPr>
      <w:rFonts w:cs="OpenSymbol"/>
    </w:rPr>
  </w:style>
  <w:style w:type="character" w:customStyle="1" w:styleId="ListLabel698">
    <w:name w:val="ListLabel 698"/>
    <w:qFormat/>
    <w:rPr>
      <w:rFonts w:cs="OpenSymbol"/>
    </w:rPr>
  </w:style>
  <w:style w:type="character" w:customStyle="1" w:styleId="ListLabel699">
    <w:name w:val="ListLabel 699"/>
    <w:qFormat/>
    <w:rPr>
      <w:rFonts w:cs="OpenSymbol"/>
    </w:rPr>
  </w:style>
  <w:style w:type="character" w:customStyle="1" w:styleId="ListLabel700">
    <w:name w:val="ListLabel 700"/>
    <w:qFormat/>
    <w:rPr>
      <w:rFonts w:cs="OpenSymbol"/>
      <w:b w:val="0"/>
      <w:sz w:val="28"/>
    </w:rPr>
  </w:style>
  <w:style w:type="character" w:customStyle="1" w:styleId="ListLabel701">
    <w:name w:val="ListLabel 701"/>
    <w:qFormat/>
    <w:rPr>
      <w:rFonts w:cs="OpenSymbol"/>
    </w:rPr>
  </w:style>
  <w:style w:type="character" w:customStyle="1" w:styleId="ListLabel702">
    <w:name w:val="ListLabel 702"/>
    <w:qFormat/>
    <w:rPr>
      <w:rFonts w:cs="OpenSymbol"/>
    </w:rPr>
  </w:style>
  <w:style w:type="character" w:customStyle="1" w:styleId="ListLabel703">
    <w:name w:val="ListLabel 703"/>
    <w:qFormat/>
    <w:rPr>
      <w:rFonts w:cs="OpenSymbol"/>
    </w:rPr>
  </w:style>
  <w:style w:type="character" w:customStyle="1" w:styleId="ListLabel704">
    <w:name w:val="ListLabel 704"/>
    <w:qFormat/>
    <w:rPr>
      <w:rFonts w:cs="OpenSymbol"/>
    </w:rPr>
  </w:style>
  <w:style w:type="character" w:customStyle="1" w:styleId="ListLabel705">
    <w:name w:val="ListLabel 705"/>
    <w:qFormat/>
    <w:rPr>
      <w:rFonts w:cs="OpenSymbol"/>
    </w:rPr>
  </w:style>
  <w:style w:type="character" w:customStyle="1" w:styleId="ListLabel706">
    <w:name w:val="ListLabel 706"/>
    <w:qFormat/>
    <w:rPr>
      <w:rFonts w:cs="OpenSymbol"/>
    </w:rPr>
  </w:style>
  <w:style w:type="character" w:customStyle="1" w:styleId="ListLabel707">
    <w:name w:val="ListLabel 707"/>
    <w:qFormat/>
    <w:rPr>
      <w:rFonts w:cs="OpenSymbol"/>
    </w:rPr>
  </w:style>
  <w:style w:type="character" w:customStyle="1" w:styleId="ListLabel708">
    <w:name w:val="ListLabel 708"/>
    <w:qFormat/>
    <w:rPr>
      <w:rFonts w:cs="OpenSymbol"/>
    </w:rPr>
  </w:style>
  <w:style w:type="character" w:customStyle="1" w:styleId="ListLabel709">
    <w:name w:val="ListLabel 709"/>
    <w:qFormat/>
    <w:rPr>
      <w:rFonts w:cs="OpenSymbol"/>
      <w:b w:val="0"/>
      <w:sz w:val="28"/>
    </w:rPr>
  </w:style>
  <w:style w:type="character" w:customStyle="1" w:styleId="ListLabel710">
    <w:name w:val="ListLabel 710"/>
    <w:qFormat/>
    <w:rPr>
      <w:rFonts w:cs="OpenSymbol"/>
    </w:rPr>
  </w:style>
  <w:style w:type="character" w:customStyle="1" w:styleId="ListLabel711">
    <w:name w:val="ListLabel 711"/>
    <w:qFormat/>
    <w:rPr>
      <w:rFonts w:cs="OpenSymbol"/>
    </w:rPr>
  </w:style>
  <w:style w:type="character" w:customStyle="1" w:styleId="ListLabel712">
    <w:name w:val="ListLabel 712"/>
    <w:qFormat/>
    <w:rPr>
      <w:rFonts w:cs="OpenSymbol"/>
    </w:rPr>
  </w:style>
  <w:style w:type="character" w:customStyle="1" w:styleId="ListLabel713">
    <w:name w:val="ListLabel 713"/>
    <w:qFormat/>
    <w:rPr>
      <w:rFonts w:cs="OpenSymbol"/>
    </w:rPr>
  </w:style>
  <w:style w:type="character" w:customStyle="1" w:styleId="ListLabel714">
    <w:name w:val="ListLabel 714"/>
    <w:qFormat/>
    <w:rPr>
      <w:rFonts w:cs="OpenSymbol"/>
    </w:rPr>
  </w:style>
  <w:style w:type="character" w:customStyle="1" w:styleId="ListLabel715">
    <w:name w:val="ListLabel 715"/>
    <w:qFormat/>
    <w:rPr>
      <w:rFonts w:cs="OpenSymbol"/>
    </w:rPr>
  </w:style>
  <w:style w:type="character" w:customStyle="1" w:styleId="ListLabel716">
    <w:name w:val="ListLabel 716"/>
    <w:qFormat/>
    <w:rPr>
      <w:rFonts w:cs="OpenSymbol"/>
    </w:rPr>
  </w:style>
  <w:style w:type="character" w:customStyle="1" w:styleId="ListLabel717">
    <w:name w:val="ListLabel 717"/>
    <w:qFormat/>
    <w:rPr>
      <w:rFonts w:cs="OpenSymbol"/>
    </w:rPr>
  </w:style>
  <w:style w:type="character" w:customStyle="1" w:styleId="ListLabel718">
    <w:name w:val="ListLabel 718"/>
    <w:qFormat/>
    <w:rPr>
      <w:rFonts w:eastAsia="Calibri"/>
      <w:color w:val="000000"/>
      <w:sz w:val="28"/>
      <w:u w:val="none"/>
    </w:rPr>
  </w:style>
  <w:style w:type="character" w:customStyle="1" w:styleId="ListLabel719">
    <w:name w:val="ListLabel 719"/>
    <w:qFormat/>
    <w:rPr>
      <w:rFonts w:eastAsia="Calibri"/>
      <w:color w:val="000000"/>
      <w:sz w:val="28"/>
      <w:u w:val="none"/>
      <w:lang w:val="en-US"/>
    </w:rPr>
  </w:style>
  <w:style w:type="character" w:customStyle="1" w:styleId="ListLabel720">
    <w:name w:val="ListLabel 720"/>
    <w:qFormat/>
    <w:rPr>
      <w:rFonts w:eastAsia="Calibri"/>
      <w:color w:val="000000"/>
      <w:sz w:val="28"/>
      <w:u w:val="none"/>
      <w:lang w:val="uk-UA"/>
    </w:rPr>
  </w:style>
  <w:style w:type="character" w:customStyle="1" w:styleId="ListLabel721">
    <w:name w:val="ListLabel 721"/>
    <w:qFormat/>
    <w:rPr>
      <w:color w:val="000000"/>
      <w:sz w:val="28"/>
      <w:u w:val="none"/>
    </w:rPr>
  </w:style>
  <w:style w:type="character" w:customStyle="1" w:styleId="ListLabel722">
    <w:name w:val="ListLabel 722"/>
    <w:qFormat/>
    <w:rPr>
      <w:rFonts w:eastAsia="Calibri"/>
      <w:color w:val="C9211E"/>
      <w:sz w:val="28"/>
    </w:rPr>
  </w:style>
  <w:style w:type="character" w:customStyle="1" w:styleId="ListLabel723">
    <w:name w:val="ListLabel 723"/>
    <w:qFormat/>
    <w:rPr>
      <w:rFonts w:eastAsia="Calibri" w:cs="Times New Roman"/>
      <w:b/>
      <w:bCs/>
      <w:kern w:val="2"/>
      <w:sz w:val="28"/>
      <w:szCs w:val="28"/>
      <w:lang w:val="uk-UA" w:eastAsia="ru-RU"/>
    </w:rPr>
  </w:style>
  <w:style w:type="character" w:customStyle="1" w:styleId="ListLabel724">
    <w:name w:val="ListLabel 724"/>
    <w:qFormat/>
    <w:rPr>
      <w:rFonts w:eastAsia="Calibri"/>
      <w:b/>
      <w:bCs/>
      <w:color w:val="000000"/>
      <w:sz w:val="28"/>
      <w:u w:val="none"/>
      <w:lang w:val="en-US"/>
    </w:rPr>
  </w:style>
  <w:style w:type="character" w:customStyle="1" w:styleId="ListLabel725">
    <w:name w:val="ListLabel 725"/>
    <w:qFormat/>
    <w:rPr>
      <w:b w:val="0"/>
      <w:bCs w:val="0"/>
      <w:color w:val="FF8000"/>
      <w:sz w:val="28"/>
      <w:szCs w:val="28"/>
      <w:highlight w:val="yellow"/>
      <w:lang w:val="ru-RU"/>
    </w:rPr>
  </w:style>
  <w:style w:type="character" w:customStyle="1" w:styleId="ListLabel726">
    <w:name w:val="ListLabel 726"/>
    <w:qFormat/>
    <w:rPr>
      <w:b w:val="0"/>
      <w:bCs w:val="0"/>
      <w:i w:val="0"/>
      <w:caps w:val="0"/>
      <w:smallCaps w:val="0"/>
      <w:color w:val="158466"/>
      <w:spacing w:val="0"/>
      <w:sz w:val="28"/>
      <w:szCs w:val="28"/>
      <w:highlight w:val="yellow"/>
      <w:lang w:val="uk-UA"/>
    </w:rPr>
  </w:style>
  <w:style w:type="character" w:customStyle="1" w:styleId="ListLabel727">
    <w:name w:val="ListLabel 727"/>
    <w:qFormat/>
    <w:rPr>
      <w:b/>
      <w:bCs/>
      <w:color w:val="FF8000"/>
      <w:sz w:val="28"/>
      <w:szCs w:val="28"/>
      <w:highlight w:val="yellow"/>
      <w:lang w:val="ru-RU"/>
    </w:rPr>
  </w:style>
  <w:style w:type="character" w:customStyle="1" w:styleId="ListLabel728">
    <w:name w:val="ListLabel 728"/>
    <w:qFormat/>
    <w:rPr>
      <w:rFonts w:cs="OpenSymbol"/>
      <w:b w:val="0"/>
      <w:sz w:val="28"/>
    </w:rPr>
  </w:style>
  <w:style w:type="character" w:customStyle="1" w:styleId="ListLabel729">
    <w:name w:val="ListLabel 729"/>
    <w:qFormat/>
    <w:rPr>
      <w:rFonts w:cs="OpenSymbol"/>
    </w:rPr>
  </w:style>
  <w:style w:type="character" w:customStyle="1" w:styleId="ListLabel730">
    <w:name w:val="ListLabel 730"/>
    <w:qFormat/>
    <w:rPr>
      <w:rFonts w:cs="OpenSymbol"/>
    </w:rPr>
  </w:style>
  <w:style w:type="character" w:customStyle="1" w:styleId="ListLabel731">
    <w:name w:val="ListLabel 731"/>
    <w:qFormat/>
    <w:rPr>
      <w:rFonts w:cs="OpenSymbol"/>
    </w:rPr>
  </w:style>
  <w:style w:type="character" w:customStyle="1" w:styleId="ListLabel732">
    <w:name w:val="ListLabel 732"/>
    <w:qFormat/>
    <w:rPr>
      <w:rFonts w:cs="OpenSymbol"/>
    </w:rPr>
  </w:style>
  <w:style w:type="character" w:customStyle="1" w:styleId="ListLabel733">
    <w:name w:val="ListLabel 733"/>
    <w:qFormat/>
    <w:rPr>
      <w:rFonts w:cs="OpenSymbol"/>
    </w:rPr>
  </w:style>
  <w:style w:type="character" w:customStyle="1" w:styleId="ListLabel734">
    <w:name w:val="ListLabel 734"/>
    <w:qFormat/>
    <w:rPr>
      <w:rFonts w:cs="OpenSymbol"/>
    </w:rPr>
  </w:style>
  <w:style w:type="character" w:customStyle="1" w:styleId="ListLabel735">
    <w:name w:val="ListLabel 735"/>
    <w:qFormat/>
    <w:rPr>
      <w:rFonts w:cs="OpenSymbol"/>
    </w:rPr>
  </w:style>
  <w:style w:type="character" w:customStyle="1" w:styleId="ListLabel736">
    <w:name w:val="ListLabel 736"/>
    <w:qFormat/>
    <w:rPr>
      <w:rFonts w:cs="OpenSymbol"/>
    </w:rPr>
  </w:style>
  <w:style w:type="character" w:customStyle="1" w:styleId="ListLabel737">
    <w:name w:val="ListLabel 737"/>
    <w:qFormat/>
    <w:rPr>
      <w:rFonts w:cs="OpenSymbol"/>
      <w:b w:val="0"/>
      <w:sz w:val="28"/>
    </w:rPr>
  </w:style>
  <w:style w:type="character" w:customStyle="1" w:styleId="ListLabel738">
    <w:name w:val="ListLabel 738"/>
    <w:qFormat/>
    <w:rPr>
      <w:rFonts w:cs="OpenSymbol"/>
    </w:rPr>
  </w:style>
  <w:style w:type="character" w:customStyle="1" w:styleId="ListLabel739">
    <w:name w:val="ListLabel 739"/>
    <w:qFormat/>
    <w:rPr>
      <w:rFonts w:cs="OpenSymbol"/>
    </w:rPr>
  </w:style>
  <w:style w:type="character" w:customStyle="1" w:styleId="ListLabel740">
    <w:name w:val="ListLabel 740"/>
    <w:qFormat/>
    <w:rPr>
      <w:rFonts w:cs="OpenSymbol"/>
    </w:rPr>
  </w:style>
  <w:style w:type="character" w:customStyle="1" w:styleId="ListLabel741">
    <w:name w:val="ListLabel 741"/>
    <w:qFormat/>
    <w:rPr>
      <w:rFonts w:cs="OpenSymbol"/>
    </w:rPr>
  </w:style>
  <w:style w:type="character" w:customStyle="1" w:styleId="ListLabel742">
    <w:name w:val="ListLabel 742"/>
    <w:qFormat/>
    <w:rPr>
      <w:rFonts w:cs="OpenSymbol"/>
    </w:rPr>
  </w:style>
  <w:style w:type="character" w:customStyle="1" w:styleId="ListLabel743">
    <w:name w:val="ListLabel 743"/>
    <w:qFormat/>
    <w:rPr>
      <w:rFonts w:cs="OpenSymbol"/>
    </w:rPr>
  </w:style>
  <w:style w:type="character" w:customStyle="1" w:styleId="ListLabel744">
    <w:name w:val="ListLabel 744"/>
    <w:qFormat/>
    <w:rPr>
      <w:rFonts w:cs="OpenSymbol"/>
    </w:rPr>
  </w:style>
  <w:style w:type="character" w:customStyle="1" w:styleId="ListLabel745">
    <w:name w:val="ListLabel 745"/>
    <w:qFormat/>
    <w:rPr>
      <w:rFonts w:cs="OpenSymbol"/>
    </w:rPr>
  </w:style>
  <w:style w:type="character" w:customStyle="1" w:styleId="ListLabel746">
    <w:name w:val="ListLabel 746"/>
    <w:qFormat/>
    <w:rPr>
      <w:rFonts w:cs="OpenSymbol"/>
      <w:b w:val="0"/>
      <w:sz w:val="28"/>
    </w:rPr>
  </w:style>
  <w:style w:type="character" w:customStyle="1" w:styleId="ListLabel747">
    <w:name w:val="ListLabel 747"/>
    <w:qFormat/>
    <w:rPr>
      <w:rFonts w:cs="OpenSymbol"/>
    </w:rPr>
  </w:style>
  <w:style w:type="character" w:customStyle="1" w:styleId="ListLabel748">
    <w:name w:val="ListLabel 748"/>
    <w:qFormat/>
    <w:rPr>
      <w:rFonts w:cs="OpenSymbol"/>
    </w:rPr>
  </w:style>
  <w:style w:type="character" w:customStyle="1" w:styleId="ListLabel749">
    <w:name w:val="ListLabel 749"/>
    <w:qFormat/>
    <w:rPr>
      <w:rFonts w:cs="OpenSymbol"/>
    </w:rPr>
  </w:style>
  <w:style w:type="character" w:customStyle="1" w:styleId="ListLabel750">
    <w:name w:val="ListLabel 750"/>
    <w:qFormat/>
    <w:rPr>
      <w:rFonts w:cs="OpenSymbol"/>
    </w:rPr>
  </w:style>
  <w:style w:type="character" w:customStyle="1" w:styleId="ListLabel751">
    <w:name w:val="ListLabel 751"/>
    <w:qFormat/>
    <w:rPr>
      <w:rFonts w:cs="OpenSymbol"/>
    </w:rPr>
  </w:style>
  <w:style w:type="character" w:customStyle="1" w:styleId="ListLabel752">
    <w:name w:val="ListLabel 752"/>
    <w:qFormat/>
    <w:rPr>
      <w:rFonts w:cs="OpenSymbol"/>
    </w:rPr>
  </w:style>
  <w:style w:type="character" w:customStyle="1" w:styleId="ListLabel753">
    <w:name w:val="ListLabel 753"/>
    <w:qFormat/>
    <w:rPr>
      <w:rFonts w:cs="OpenSymbol"/>
    </w:rPr>
  </w:style>
  <w:style w:type="character" w:customStyle="1" w:styleId="ListLabel754">
    <w:name w:val="ListLabel 754"/>
    <w:qFormat/>
    <w:rPr>
      <w:rFonts w:cs="OpenSymbol"/>
    </w:rPr>
  </w:style>
  <w:style w:type="character" w:customStyle="1" w:styleId="ListLabel755">
    <w:name w:val="ListLabel 755"/>
    <w:qFormat/>
    <w:rPr>
      <w:rFonts w:cs="OpenSymbol"/>
    </w:rPr>
  </w:style>
  <w:style w:type="character" w:customStyle="1" w:styleId="ListLabel756">
    <w:name w:val="ListLabel 756"/>
    <w:qFormat/>
    <w:rPr>
      <w:rFonts w:cs="OpenSymbol"/>
    </w:rPr>
  </w:style>
  <w:style w:type="character" w:customStyle="1" w:styleId="ListLabel757">
    <w:name w:val="ListLabel 757"/>
    <w:qFormat/>
    <w:rPr>
      <w:rFonts w:cs="OpenSymbol"/>
    </w:rPr>
  </w:style>
  <w:style w:type="character" w:customStyle="1" w:styleId="ListLabel758">
    <w:name w:val="ListLabel 758"/>
    <w:qFormat/>
    <w:rPr>
      <w:rFonts w:cs="OpenSymbol"/>
    </w:rPr>
  </w:style>
  <w:style w:type="character" w:customStyle="1" w:styleId="ListLabel759">
    <w:name w:val="ListLabel 759"/>
    <w:qFormat/>
    <w:rPr>
      <w:rFonts w:cs="OpenSymbol"/>
    </w:rPr>
  </w:style>
  <w:style w:type="character" w:customStyle="1" w:styleId="ListLabel760">
    <w:name w:val="ListLabel 760"/>
    <w:qFormat/>
    <w:rPr>
      <w:rFonts w:cs="OpenSymbol"/>
    </w:rPr>
  </w:style>
  <w:style w:type="character" w:customStyle="1" w:styleId="ListLabel761">
    <w:name w:val="ListLabel 761"/>
    <w:qFormat/>
    <w:rPr>
      <w:rFonts w:cs="OpenSymbol"/>
    </w:rPr>
  </w:style>
  <w:style w:type="character" w:customStyle="1" w:styleId="ListLabel762">
    <w:name w:val="ListLabel 762"/>
    <w:qFormat/>
    <w:rPr>
      <w:rFonts w:cs="OpenSymbol"/>
    </w:rPr>
  </w:style>
  <w:style w:type="character" w:customStyle="1" w:styleId="ListLabel763">
    <w:name w:val="ListLabel 763"/>
    <w:qFormat/>
    <w:rPr>
      <w:rFonts w:cs="OpenSymbol"/>
    </w:rPr>
  </w:style>
  <w:style w:type="character" w:customStyle="1" w:styleId="ListLabel764">
    <w:name w:val="ListLabel 764"/>
    <w:qFormat/>
    <w:rPr>
      <w:rFonts w:cs="OpenSymbol"/>
    </w:rPr>
  </w:style>
  <w:style w:type="character" w:customStyle="1" w:styleId="ListLabel765">
    <w:name w:val="ListLabel 765"/>
    <w:qFormat/>
    <w:rPr>
      <w:rFonts w:cs="OpenSymbol"/>
    </w:rPr>
  </w:style>
  <w:style w:type="character" w:customStyle="1" w:styleId="ListLabel766">
    <w:name w:val="ListLabel 766"/>
    <w:qFormat/>
    <w:rPr>
      <w:rFonts w:cs="OpenSymbol"/>
    </w:rPr>
  </w:style>
  <w:style w:type="character" w:customStyle="1" w:styleId="ListLabel767">
    <w:name w:val="ListLabel 767"/>
    <w:qFormat/>
    <w:rPr>
      <w:rFonts w:cs="OpenSymbol"/>
    </w:rPr>
  </w:style>
  <w:style w:type="character" w:customStyle="1" w:styleId="ListLabel768">
    <w:name w:val="ListLabel 768"/>
    <w:qFormat/>
    <w:rPr>
      <w:rFonts w:cs="OpenSymbol"/>
    </w:rPr>
  </w:style>
  <w:style w:type="character" w:customStyle="1" w:styleId="ListLabel769">
    <w:name w:val="ListLabel 769"/>
    <w:qFormat/>
    <w:rPr>
      <w:rFonts w:cs="OpenSymbol"/>
    </w:rPr>
  </w:style>
  <w:style w:type="character" w:customStyle="1" w:styleId="ListLabel770">
    <w:name w:val="ListLabel 770"/>
    <w:qFormat/>
    <w:rPr>
      <w:rFonts w:cs="OpenSymbol"/>
    </w:rPr>
  </w:style>
  <w:style w:type="character" w:customStyle="1" w:styleId="ListLabel771">
    <w:name w:val="ListLabel 771"/>
    <w:qFormat/>
    <w:rPr>
      <w:rFonts w:cs="OpenSymbol"/>
    </w:rPr>
  </w:style>
  <w:style w:type="character" w:customStyle="1" w:styleId="ListLabel772">
    <w:name w:val="ListLabel 772"/>
    <w:qFormat/>
    <w:rPr>
      <w:rFonts w:cs="OpenSymbol"/>
    </w:rPr>
  </w:style>
  <w:style w:type="character" w:customStyle="1" w:styleId="ListLabel773">
    <w:name w:val="ListLabel 773"/>
    <w:qFormat/>
    <w:rPr>
      <w:rFonts w:cs="OpenSymbol"/>
    </w:rPr>
  </w:style>
  <w:style w:type="character" w:customStyle="1" w:styleId="ListLabel774">
    <w:name w:val="ListLabel 774"/>
    <w:qFormat/>
    <w:rPr>
      <w:rFonts w:cs="OpenSymbol"/>
    </w:rPr>
  </w:style>
  <w:style w:type="character" w:customStyle="1" w:styleId="ListLabel775">
    <w:name w:val="ListLabel 775"/>
    <w:qFormat/>
    <w:rPr>
      <w:rFonts w:cs="OpenSymbol"/>
    </w:rPr>
  </w:style>
  <w:style w:type="character" w:customStyle="1" w:styleId="ListLabel776">
    <w:name w:val="ListLabel 776"/>
    <w:qFormat/>
    <w:rPr>
      <w:rFonts w:cs="OpenSymbol"/>
    </w:rPr>
  </w:style>
  <w:style w:type="character" w:customStyle="1" w:styleId="ListLabel777">
    <w:name w:val="ListLabel 777"/>
    <w:qFormat/>
    <w:rPr>
      <w:rFonts w:cs="OpenSymbol"/>
    </w:rPr>
  </w:style>
  <w:style w:type="character" w:customStyle="1" w:styleId="ListLabel778">
    <w:name w:val="ListLabel 778"/>
    <w:qFormat/>
    <w:rPr>
      <w:rFonts w:cs="OpenSymbol"/>
    </w:rPr>
  </w:style>
  <w:style w:type="character" w:customStyle="1" w:styleId="ListLabel779">
    <w:name w:val="ListLabel 779"/>
    <w:qFormat/>
    <w:rPr>
      <w:rFonts w:cs="OpenSymbol"/>
    </w:rPr>
  </w:style>
  <w:style w:type="character" w:customStyle="1" w:styleId="ListLabel780">
    <w:name w:val="ListLabel 780"/>
    <w:qFormat/>
    <w:rPr>
      <w:rFonts w:cs="OpenSymbol"/>
    </w:rPr>
  </w:style>
  <w:style w:type="character" w:customStyle="1" w:styleId="ListLabel781">
    <w:name w:val="ListLabel 781"/>
    <w:qFormat/>
    <w:rPr>
      <w:rFonts w:cs="OpenSymbol"/>
    </w:rPr>
  </w:style>
  <w:style w:type="character" w:customStyle="1" w:styleId="ListLabel782">
    <w:name w:val="ListLabel 782"/>
    <w:qFormat/>
    <w:rPr>
      <w:rFonts w:cs="OpenSymbol"/>
    </w:rPr>
  </w:style>
  <w:style w:type="character" w:customStyle="1" w:styleId="ListLabel783">
    <w:name w:val="ListLabel 783"/>
    <w:qFormat/>
    <w:rPr>
      <w:rFonts w:cs="OpenSymbol"/>
    </w:rPr>
  </w:style>
  <w:style w:type="character" w:customStyle="1" w:styleId="ListLabel784">
    <w:name w:val="ListLabel 784"/>
    <w:qFormat/>
    <w:rPr>
      <w:rFonts w:cs="OpenSymbol"/>
    </w:rPr>
  </w:style>
  <w:style w:type="character" w:customStyle="1" w:styleId="ListLabel785">
    <w:name w:val="ListLabel 785"/>
    <w:qFormat/>
    <w:rPr>
      <w:rFonts w:cs="OpenSymbol"/>
    </w:rPr>
  </w:style>
  <w:style w:type="character" w:customStyle="1" w:styleId="ListLabel786">
    <w:name w:val="ListLabel 786"/>
    <w:qFormat/>
    <w:rPr>
      <w:rFonts w:cs="OpenSymbol"/>
    </w:rPr>
  </w:style>
  <w:style w:type="character" w:customStyle="1" w:styleId="ListLabel787">
    <w:name w:val="ListLabel 787"/>
    <w:qFormat/>
    <w:rPr>
      <w:rFonts w:cs="OpenSymbol"/>
    </w:rPr>
  </w:style>
  <w:style w:type="character" w:customStyle="1" w:styleId="ListLabel788">
    <w:name w:val="ListLabel 788"/>
    <w:qFormat/>
    <w:rPr>
      <w:rFonts w:cs="OpenSymbol"/>
    </w:rPr>
  </w:style>
  <w:style w:type="character" w:customStyle="1" w:styleId="ListLabel789">
    <w:name w:val="ListLabel 789"/>
    <w:qFormat/>
    <w:rPr>
      <w:rFonts w:cs="OpenSymbol"/>
    </w:rPr>
  </w:style>
  <w:style w:type="character" w:customStyle="1" w:styleId="ListLabel790">
    <w:name w:val="ListLabel 790"/>
    <w:qFormat/>
    <w:rPr>
      <w:rFonts w:cs="OpenSymbol"/>
    </w:rPr>
  </w:style>
  <w:style w:type="character" w:customStyle="1" w:styleId="ListLabel791">
    <w:name w:val="ListLabel 791"/>
    <w:qFormat/>
    <w:rPr>
      <w:rFonts w:cs="OpenSymbol"/>
    </w:rPr>
  </w:style>
  <w:style w:type="character" w:customStyle="1" w:styleId="ListLabel792">
    <w:name w:val="ListLabel 792"/>
    <w:qFormat/>
    <w:rPr>
      <w:rFonts w:cs="OpenSymbol"/>
    </w:rPr>
  </w:style>
  <w:style w:type="character" w:customStyle="1" w:styleId="ListLabel793">
    <w:name w:val="ListLabel 793"/>
    <w:qFormat/>
    <w:rPr>
      <w:rFonts w:cs="OpenSymbol"/>
    </w:rPr>
  </w:style>
  <w:style w:type="character" w:customStyle="1" w:styleId="ListLabel794">
    <w:name w:val="ListLabel 794"/>
    <w:qFormat/>
    <w:rPr>
      <w:rFonts w:cs="OpenSymbol"/>
    </w:rPr>
  </w:style>
  <w:style w:type="character" w:customStyle="1" w:styleId="ListLabel795">
    <w:name w:val="ListLabel 795"/>
    <w:qFormat/>
    <w:rPr>
      <w:rFonts w:cs="OpenSymbol"/>
    </w:rPr>
  </w:style>
  <w:style w:type="character" w:customStyle="1" w:styleId="ListLabel796">
    <w:name w:val="ListLabel 796"/>
    <w:qFormat/>
    <w:rPr>
      <w:rFonts w:cs="OpenSymbol"/>
    </w:rPr>
  </w:style>
  <w:style w:type="character" w:customStyle="1" w:styleId="ListLabel797">
    <w:name w:val="ListLabel 797"/>
    <w:qFormat/>
    <w:rPr>
      <w:rFonts w:cs="OpenSymbol"/>
    </w:rPr>
  </w:style>
  <w:style w:type="character" w:customStyle="1" w:styleId="ListLabel798">
    <w:name w:val="ListLabel 798"/>
    <w:qFormat/>
    <w:rPr>
      <w:rFonts w:cs="OpenSymbol"/>
    </w:rPr>
  </w:style>
  <w:style w:type="character" w:customStyle="1" w:styleId="ListLabel799">
    <w:name w:val="ListLabel 799"/>
    <w:qFormat/>
    <w:rPr>
      <w:rFonts w:cs="OpenSymbol"/>
    </w:rPr>
  </w:style>
  <w:style w:type="character" w:customStyle="1" w:styleId="ListLabel800">
    <w:name w:val="ListLabel 800"/>
    <w:qFormat/>
    <w:rPr>
      <w:rFonts w:cs="OpenSymbol"/>
    </w:rPr>
  </w:style>
  <w:style w:type="character" w:customStyle="1" w:styleId="ListLabel801">
    <w:name w:val="ListLabel 801"/>
    <w:qFormat/>
    <w:rPr>
      <w:rFonts w:cs="OpenSymbol"/>
    </w:rPr>
  </w:style>
  <w:style w:type="character" w:customStyle="1" w:styleId="ListLabel802">
    <w:name w:val="ListLabel 802"/>
    <w:qFormat/>
    <w:rPr>
      <w:rFonts w:cs="OpenSymbol"/>
    </w:rPr>
  </w:style>
  <w:style w:type="character" w:customStyle="1" w:styleId="ListLabel803">
    <w:name w:val="ListLabel 803"/>
    <w:qFormat/>
    <w:rPr>
      <w:rFonts w:cs="OpenSymbol"/>
    </w:rPr>
  </w:style>
  <w:style w:type="character" w:customStyle="1" w:styleId="ListLabel804">
    <w:name w:val="ListLabel 804"/>
    <w:qFormat/>
    <w:rPr>
      <w:rFonts w:cs="OpenSymbol"/>
    </w:rPr>
  </w:style>
  <w:style w:type="character" w:customStyle="1" w:styleId="ListLabel805">
    <w:name w:val="ListLabel 805"/>
    <w:qFormat/>
    <w:rPr>
      <w:rFonts w:cs="OpenSymbol"/>
    </w:rPr>
  </w:style>
  <w:style w:type="character" w:customStyle="1" w:styleId="ListLabel806">
    <w:name w:val="ListLabel 806"/>
    <w:qFormat/>
    <w:rPr>
      <w:rFonts w:cs="OpenSymbol"/>
    </w:rPr>
  </w:style>
  <w:style w:type="character" w:customStyle="1" w:styleId="ListLabel807">
    <w:name w:val="ListLabel 807"/>
    <w:qFormat/>
    <w:rPr>
      <w:rFonts w:cs="OpenSymbol"/>
    </w:rPr>
  </w:style>
  <w:style w:type="character" w:customStyle="1" w:styleId="ListLabel808">
    <w:name w:val="ListLabel 808"/>
    <w:qFormat/>
    <w:rPr>
      <w:rFonts w:cs="OpenSymbol"/>
    </w:rPr>
  </w:style>
  <w:style w:type="character" w:customStyle="1" w:styleId="ListLabel809">
    <w:name w:val="ListLabel 809"/>
    <w:qFormat/>
    <w:rPr>
      <w:rFonts w:cs="OpenSymbol"/>
    </w:rPr>
  </w:style>
  <w:style w:type="character" w:customStyle="1" w:styleId="ListLabel810">
    <w:name w:val="ListLabel 810"/>
    <w:qFormat/>
    <w:rPr>
      <w:rFonts w:cs="OpenSymbol"/>
    </w:rPr>
  </w:style>
  <w:style w:type="character" w:customStyle="1" w:styleId="ListLabel811">
    <w:name w:val="ListLabel 811"/>
    <w:qFormat/>
    <w:rPr>
      <w:rFonts w:cs="OpenSymbol"/>
    </w:rPr>
  </w:style>
  <w:style w:type="character" w:customStyle="1" w:styleId="ListLabel812">
    <w:name w:val="ListLabel 812"/>
    <w:qFormat/>
    <w:rPr>
      <w:rFonts w:cs="OpenSymbol"/>
    </w:rPr>
  </w:style>
  <w:style w:type="character" w:customStyle="1" w:styleId="ListLabel813">
    <w:name w:val="ListLabel 813"/>
    <w:qFormat/>
    <w:rPr>
      <w:rFonts w:cs="OpenSymbol"/>
    </w:rPr>
  </w:style>
  <w:style w:type="character" w:customStyle="1" w:styleId="ListLabel814">
    <w:name w:val="ListLabel 814"/>
    <w:qFormat/>
    <w:rPr>
      <w:rFonts w:cs="OpenSymbol"/>
    </w:rPr>
  </w:style>
  <w:style w:type="character" w:customStyle="1" w:styleId="ListLabel815">
    <w:name w:val="ListLabel 815"/>
    <w:qFormat/>
    <w:rPr>
      <w:rFonts w:cs="OpenSymbol"/>
    </w:rPr>
  </w:style>
  <w:style w:type="character" w:customStyle="1" w:styleId="ListLabel816">
    <w:name w:val="ListLabel 816"/>
    <w:qFormat/>
    <w:rPr>
      <w:rFonts w:cs="OpenSymbol"/>
    </w:rPr>
  </w:style>
  <w:style w:type="character" w:customStyle="1" w:styleId="ListLabel817">
    <w:name w:val="ListLabel 817"/>
    <w:qFormat/>
    <w:rPr>
      <w:rFonts w:cs="OpenSymbol"/>
    </w:rPr>
  </w:style>
  <w:style w:type="character" w:customStyle="1" w:styleId="ListLabel818">
    <w:name w:val="ListLabel 818"/>
    <w:qFormat/>
    <w:rPr>
      <w:rFonts w:cs="OpenSymbol"/>
    </w:rPr>
  </w:style>
  <w:style w:type="character" w:customStyle="1" w:styleId="ListLabel819">
    <w:name w:val="ListLabel 819"/>
    <w:qFormat/>
    <w:rPr>
      <w:rFonts w:cs="OpenSymbol"/>
    </w:rPr>
  </w:style>
  <w:style w:type="character" w:customStyle="1" w:styleId="ListLabel820">
    <w:name w:val="ListLabel 820"/>
    <w:qFormat/>
    <w:rPr>
      <w:rFonts w:cs="OpenSymbol"/>
    </w:rPr>
  </w:style>
  <w:style w:type="character" w:customStyle="1" w:styleId="ListLabel821">
    <w:name w:val="ListLabel 821"/>
    <w:qFormat/>
    <w:rPr>
      <w:rFonts w:cs="OpenSymbol"/>
    </w:rPr>
  </w:style>
  <w:style w:type="character" w:customStyle="1" w:styleId="ListLabel822">
    <w:name w:val="ListLabel 822"/>
    <w:qFormat/>
    <w:rPr>
      <w:rFonts w:cs="OpenSymbol"/>
    </w:rPr>
  </w:style>
  <w:style w:type="character" w:customStyle="1" w:styleId="ListLabel823">
    <w:name w:val="ListLabel 823"/>
    <w:qFormat/>
    <w:rPr>
      <w:rFonts w:cs="OpenSymbol"/>
    </w:rPr>
  </w:style>
  <w:style w:type="character" w:customStyle="1" w:styleId="ListLabel824">
    <w:name w:val="ListLabel 824"/>
    <w:qFormat/>
    <w:rPr>
      <w:rFonts w:cs="OpenSymbol"/>
    </w:rPr>
  </w:style>
  <w:style w:type="character" w:customStyle="1" w:styleId="ListLabel825">
    <w:name w:val="ListLabel 825"/>
    <w:qFormat/>
    <w:rPr>
      <w:rFonts w:cs="OpenSymbol"/>
    </w:rPr>
  </w:style>
  <w:style w:type="character" w:customStyle="1" w:styleId="ListLabel826">
    <w:name w:val="ListLabel 826"/>
    <w:qFormat/>
    <w:rPr>
      <w:rFonts w:cs="OpenSymbol"/>
    </w:rPr>
  </w:style>
  <w:style w:type="character" w:customStyle="1" w:styleId="ListLabel827">
    <w:name w:val="ListLabel 827"/>
    <w:qFormat/>
    <w:rPr>
      <w:rFonts w:cs="OpenSymbol"/>
    </w:rPr>
  </w:style>
  <w:style w:type="character" w:customStyle="1" w:styleId="ListLabel828">
    <w:name w:val="ListLabel 828"/>
    <w:qFormat/>
    <w:rPr>
      <w:rFonts w:cs="OpenSymbol"/>
    </w:rPr>
  </w:style>
  <w:style w:type="character" w:customStyle="1" w:styleId="ListLabel829">
    <w:name w:val="ListLabel 829"/>
    <w:qFormat/>
    <w:rPr>
      <w:rFonts w:cs="OpenSymbol"/>
    </w:rPr>
  </w:style>
  <w:style w:type="character" w:customStyle="1" w:styleId="ListLabel830">
    <w:name w:val="ListLabel 830"/>
    <w:qFormat/>
    <w:rPr>
      <w:rFonts w:cs="OpenSymbol"/>
    </w:rPr>
  </w:style>
  <w:style w:type="character" w:customStyle="1" w:styleId="ListLabel831">
    <w:name w:val="ListLabel 831"/>
    <w:qFormat/>
    <w:rPr>
      <w:rFonts w:cs="OpenSymbol"/>
    </w:rPr>
  </w:style>
  <w:style w:type="character" w:customStyle="1" w:styleId="ListLabel832">
    <w:name w:val="ListLabel 832"/>
    <w:qFormat/>
    <w:rPr>
      <w:rFonts w:cs="OpenSymbol"/>
    </w:rPr>
  </w:style>
  <w:style w:type="character" w:customStyle="1" w:styleId="ListLabel833">
    <w:name w:val="ListLabel 833"/>
    <w:qFormat/>
    <w:rPr>
      <w:rFonts w:cs="OpenSymbol"/>
    </w:rPr>
  </w:style>
  <w:style w:type="character" w:customStyle="1" w:styleId="ListLabel834">
    <w:name w:val="ListLabel 834"/>
    <w:qFormat/>
    <w:rPr>
      <w:rFonts w:cs="OpenSymbol"/>
    </w:rPr>
  </w:style>
  <w:style w:type="character" w:customStyle="1" w:styleId="ListLabel835">
    <w:name w:val="ListLabel 835"/>
    <w:qFormat/>
    <w:rPr>
      <w:rFonts w:eastAsia="Calibri"/>
      <w:color w:val="000000"/>
      <w:sz w:val="28"/>
      <w:u w:val="none"/>
    </w:rPr>
  </w:style>
  <w:style w:type="character" w:customStyle="1" w:styleId="ListLabel836">
    <w:name w:val="ListLabel 836"/>
    <w:qFormat/>
    <w:rPr>
      <w:rFonts w:eastAsia="Calibri"/>
      <w:color w:val="000000"/>
      <w:sz w:val="28"/>
      <w:u w:val="none"/>
      <w:lang w:val="en-US"/>
    </w:rPr>
  </w:style>
  <w:style w:type="character" w:customStyle="1" w:styleId="ListLabel837">
    <w:name w:val="ListLabel 837"/>
    <w:qFormat/>
    <w:rPr>
      <w:rFonts w:eastAsia="Calibri"/>
      <w:color w:val="000000"/>
      <w:sz w:val="28"/>
      <w:u w:val="none"/>
      <w:lang w:val="uk-UA"/>
    </w:rPr>
  </w:style>
  <w:style w:type="character" w:customStyle="1" w:styleId="ListLabel838">
    <w:name w:val="ListLabel 838"/>
    <w:qFormat/>
    <w:rPr>
      <w:color w:val="000000"/>
      <w:sz w:val="28"/>
      <w:u w:val="none"/>
    </w:rPr>
  </w:style>
  <w:style w:type="character" w:customStyle="1" w:styleId="ListLabel839">
    <w:name w:val="ListLabel 839"/>
    <w:qFormat/>
    <w:rPr>
      <w:rFonts w:eastAsia="Calibri"/>
      <w:color w:val="C9211E"/>
      <w:sz w:val="28"/>
    </w:rPr>
  </w:style>
  <w:style w:type="character" w:customStyle="1" w:styleId="ListLabel840">
    <w:name w:val="ListLabel 840"/>
    <w:qFormat/>
    <w:rPr>
      <w:rFonts w:eastAsia="Calibri" w:cs="Times New Roman"/>
      <w:b/>
      <w:bCs/>
      <w:kern w:val="2"/>
      <w:sz w:val="28"/>
      <w:szCs w:val="28"/>
      <w:lang w:val="uk-UA" w:eastAsia="ru-RU"/>
    </w:rPr>
  </w:style>
  <w:style w:type="character" w:customStyle="1" w:styleId="ListLabel841">
    <w:name w:val="ListLabel 841"/>
    <w:qFormat/>
    <w:rPr>
      <w:rFonts w:eastAsia="Calibri"/>
      <w:b/>
      <w:bCs/>
      <w:color w:val="000000"/>
      <w:sz w:val="28"/>
      <w:u w:val="none"/>
      <w:lang w:val="en-US"/>
    </w:rPr>
  </w:style>
  <w:style w:type="character" w:customStyle="1" w:styleId="ListLabel842">
    <w:name w:val="ListLabel 842"/>
    <w:qFormat/>
    <w:rPr>
      <w:b w:val="0"/>
      <w:bCs w:val="0"/>
      <w:color w:val="FF8000"/>
      <w:sz w:val="28"/>
      <w:szCs w:val="28"/>
      <w:highlight w:val="yellow"/>
      <w:lang w:val="ru-RU"/>
    </w:rPr>
  </w:style>
  <w:style w:type="character" w:customStyle="1" w:styleId="ListLabel843">
    <w:name w:val="ListLabel 843"/>
    <w:qFormat/>
    <w:rPr>
      <w:b w:val="0"/>
      <w:bCs w:val="0"/>
      <w:i w:val="0"/>
      <w:caps w:val="0"/>
      <w:smallCaps w:val="0"/>
      <w:color w:val="158466"/>
      <w:spacing w:val="0"/>
      <w:sz w:val="28"/>
      <w:szCs w:val="28"/>
      <w:highlight w:val="yellow"/>
      <w:lang w:val="uk-UA"/>
    </w:rPr>
  </w:style>
  <w:style w:type="character" w:customStyle="1" w:styleId="ListLabel844">
    <w:name w:val="ListLabel 844"/>
    <w:qFormat/>
  </w:style>
  <w:style w:type="character" w:customStyle="1" w:styleId="ListLabel845">
    <w:name w:val="ListLabel 845"/>
    <w:qFormat/>
    <w:rPr>
      <w:rFonts w:ascii="Times New Roman" w:eastAsia="Times New Roman" w:hAnsi="Times New Roman" w:cs="Times New Roman"/>
      <w:b w:val="0"/>
      <w:bCs w:val="0"/>
      <w:i w:val="0"/>
      <w:caps w:val="0"/>
      <w:smallCaps w:val="0"/>
      <w:strike w:val="0"/>
      <w:dstrike w:val="0"/>
      <w:color w:val="3366CC"/>
      <w:spacing w:val="0"/>
      <w:kern w:val="2"/>
      <w:sz w:val="28"/>
      <w:szCs w:val="28"/>
      <w:highlight w:val="white"/>
      <w:u w:val="none"/>
      <w:effect w:val="none"/>
      <w:lang w:val="uk-UA" w:eastAsia="ru-RU"/>
    </w:rPr>
  </w:style>
  <w:style w:type="character" w:customStyle="1" w:styleId="ListLabel846">
    <w:name w:val="ListLabel 846"/>
    <w:qFormat/>
    <w:rPr>
      <w:sz w:val="28"/>
      <w:szCs w:val="28"/>
      <w:lang w:val="uk-UA"/>
    </w:rPr>
  </w:style>
  <w:style w:type="character" w:customStyle="1" w:styleId="ListLabel847">
    <w:name w:val="ListLabel 847"/>
    <w:qFormat/>
    <w:rPr>
      <w:b/>
      <w:bCs/>
      <w:color w:val="FF8000"/>
      <w:sz w:val="28"/>
      <w:szCs w:val="28"/>
      <w:highlight w:val="yellow"/>
      <w:lang w:val="ru-RU"/>
    </w:rPr>
  </w:style>
  <w:style w:type="character" w:customStyle="1" w:styleId="ListLabel848">
    <w:name w:val="ListLabel 848"/>
    <w:qFormat/>
    <w:rPr>
      <w:rFonts w:cs="OpenSymbol"/>
      <w:b w:val="0"/>
      <w:sz w:val="28"/>
    </w:rPr>
  </w:style>
  <w:style w:type="character" w:customStyle="1" w:styleId="ListLabel849">
    <w:name w:val="ListLabel 849"/>
    <w:qFormat/>
    <w:rPr>
      <w:rFonts w:cs="OpenSymbol"/>
    </w:rPr>
  </w:style>
  <w:style w:type="character" w:customStyle="1" w:styleId="ListLabel850">
    <w:name w:val="ListLabel 850"/>
    <w:qFormat/>
    <w:rPr>
      <w:rFonts w:cs="OpenSymbol"/>
    </w:rPr>
  </w:style>
  <w:style w:type="character" w:customStyle="1" w:styleId="ListLabel851">
    <w:name w:val="ListLabel 851"/>
    <w:qFormat/>
    <w:rPr>
      <w:rFonts w:cs="OpenSymbol"/>
    </w:rPr>
  </w:style>
  <w:style w:type="character" w:customStyle="1" w:styleId="ListLabel852">
    <w:name w:val="ListLabel 852"/>
    <w:qFormat/>
    <w:rPr>
      <w:rFonts w:cs="OpenSymbol"/>
    </w:rPr>
  </w:style>
  <w:style w:type="character" w:customStyle="1" w:styleId="ListLabel853">
    <w:name w:val="ListLabel 853"/>
    <w:qFormat/>
    <w:rPr>
      <w:rFonts w:cs="OpenSymbol"/>
    </w:rPr>
  </w:style>
  <w:style w:type="character" w:customStyle="1" w:styleId="ListLabel854">
    <w:name w:val="ListLabel 854"/>
    <w:qFormat/>
    <w:rPr>
      <w:rFonts w:cs="OpenSymbol"/>
    </w:rPr>
  </w:style>
  <w:style w:type="character" w:customStyle="1" w:styleId="ListLabel855">
    <w:name w:val="ListLabel 855"/>
    <w:qFormat/>
    <w:rPr>
      <w:rFonts w:cs="OpenSymbol"/>
    </w:rPr>
  </w:style>
  <w:style w:type="character" w:customStyle="1" w:styleId="ListLabel856">
    <w:name w:val="ListLabel 856"/>
    <w:qFormat/>
    <w:rPr>
      <w:rFonts w:cs="OpenSymbol"/>
    </w:rPr>
  </w:style>
  <w:style w:type="character" w:customStyle="1" w:styleId="ListLabel857">
    <w:name w:val="ListLabel 857"/>
    <w:qFormat/>
    <w:rPr>
      <w:rFonts w:cs="OpenSymbol"/>
      <w:b w:val="0"/>
      <w:sz w:val="28"/>
    </w:rPr>
  </w:style>
  <w:style w:type="character" w:customStyle="1" w:styleId="ListLabel858">
    <w:name w:val="ListLabel 858"/>
    <w:qFormat/>
    <w:rPr>
      <w:rFonts w:cs="OpenSymbol"/>
    </w:rPr>
  </w:style>
  <w:style w:type="character" w:customStyle="1" w:styleId="ListLabel859">
    <w:name w:val="ListLabel 859"/>
    <w:qFormat/>
    <w:rPr>
      <w:rFonts w:cs="OpenSymbol"/>
    </w:rPr>
  </w:style>
  <w:style w:type="character" w:customStyle="1" w:styleId="ListLabel860">
    <w:name w:val="ListLabel 860"/>
    <w:qFormat/>
    <w:rPr>
      <w:rFonts w:cs="OpenSymbol"/>
    </w:rPr>
  </w:style>
  <w:style w:type="character" w:customStyle="1" w:styleId="ListLabel861">
    <w:name w:val="ListLabel 861"/>
    <w:qFormat/>
    <w:rPr>
      <w:rFonts w:cs="OpenSymbol"/>
    </w:rPr>
  </w:style>
  <w:style w:type="character" w:customStyle="1" w:styleId="ListLabel862">
    <w:name w:val="ListLabel 862"/>
    <w:qFormat/>
    <w:rPr>
      <w:rFonts w:cs="OpenSymbol"/>
    </w:rPr>
  </w:style>
  <w:style w:type="character" w:customStyle="1" w:styleId="ListLabel863">
    <w:name w:val="ListLabel 863"/>
    <w:qFormat/>
    <w:rPr>
      <w:rFonts w:cs="OpenSymbol"/>
    </w:rPr>
  </w:style>
  <w:style w:type="character" w:customStyle="1" w:styleId="ListLabel864">
    <w:name w:val="ListLabel 864"/>
    <w:qFormat/>
    <w:rPr>
      <w:rFonts w:cs="OpenSymbol"/>
    </w:rPr>
  </w:style>
  <w:style w:type="character" w:customStyle="1" w:styleId="ListLabel865">
    <w:name w:val="ListLabel 865"/>
    <w:qFormat/>
    <w:rPr>
      <w:rFonts w:cs="OpenSymbol"/>
    </w:rPr>
  </w:style>
  <w:style w:type="character" w:customStyle="1" w:styleId="ListLabel866">
    <w:name w:val="ListLabel 866"/>
    <w:qFormat/>
    <w:rPr>
      <w:rFonts w:cs="OpenSymbol"/>
      <w:b w:val="0"/>
      <w:sz w:val="28"/>
    </w:rPr>
  </w:style>
  <w:style w:type="character" w:customStyle="1" w:styleId="ListLabel867">
    <w:name w:val="ListLabel 867"/>
    <w:qFormat/>
    <w:rPr>
      <w:rFonts w:cs="OpenSymbol"/>
    </w:rPr>
  </w:style>
  <w:style w:type="character" w:customStyle="1" w:styleId="ListLabel868">
    <w:name w:val="ListLabel 868"/>
    <w:qFormat/>
    <w:rPr>
      <w:rFonts w:cs="OpenSymbol"/>
    </w:rPr>
  </w:style>
  <w:style w:type="character" w:customStyle="1" w:styleId="ListLabel869">
    <w:name w:val="ListLabel 869"/>
    <w:qFormat/>
    <w:rPr>
      <w:rFonts w:cs="OpenSymbol"/>
    </w:rPr>
  </w:style>
  <w:style w:type="character" w:customStyle="1" w:styleId="ListLabel870">
    <w:name w:val="ListLabel 870"/>
    <w:qFormat/>
    <w:rPr>
      <w:rFonts w:cs="OpenSymbol"/>
    </w:rPr>
  </w:style>
  <w:style w:type="character" w:customStyle="1" w:styleId="ListLabel871">
    <w:name w:val="ListLabel 871"/>
    <w:qFormat/>
    <w:rPr>
      <w:rFonts w:cs="OpenSymbol"/>
    </w:rPr>
  </w:style>
  <w:style w:type="character" w:customStyle="1" w:styleId="ListLabel872">
    <w:name w:val="ListLabel 872"/>
    <w:qFormat/>
    <w:rPr>
      <w:rFonts w:cs="OpenSymbol"/>
    </w:rPr>
  </w:style>
  <w:style w:type="character" w:customStyle="1" w:styleId="ListLabel873">
    <w:name w:val="ListLabel 873"/>
    <w:qFormat/>
    <w:rPr>
      <w:rFonts w:cs="OpenSymbol"/>
    </w:rPr>
  </w:style>
  <w:style w:type="character" w:customStyle="1" w:styleId="ListLabel874">
    <w:name w:val="ListLabel 874"/>
    <w:qFormat/>
    <w:rPr>
      <w:rFonts w:cs="OpenSymbol"/>
    </w:rPr>
  </w:style>
  <w:style w:type="character" w:customStyle="1" w:styleId="ListLabel875">
    <w:name w:val="ListLabel 875"/>
    <w:qFormat/>
    <w:rPr>
      <w:rFonts w:cs="OpenSymbol"/>
    </w:rPr>
  </w:style>
  <w:style w:type="character" w:customStyle="1" w:styleId="ListLabel876">
    <w:name w:val="ListLabel 876"/>
    <w:qFormat/>
    <w:rPr>
      <w:rFonts w:cs="OpenSymbol"/>
    </w:rPr>
  </w:style>
  <w:style w:type="character" w:customStyle="1" w:styleId="ListLabel877">
    <w:name w:val="ListLabel 877"/>
    <w:qFormat/>
    <w:rPr>
      <w:rFonts w:cs="OpenSymbol"/>
    </w:rPr>
  </w:style>
  <w:style w:type="character" w:customStyle="1" w:styleId="ListLabel878">
    <w:name w:val="ListLabel 878"/>
    <w:qFormat/>
    <w:rPr>
      <w:rFonts w:cs="OpenSymbol"/>
    </w:rPr>
  </w:style>
  <w:style w:type="character" w:customStyle="1" w:styleId="ListLabel879">
    <w:name w:val="ListLabel 879"/>
    <w:qFormat/>
    <w:rPr>
      <w:rFonts w:cs="OpenSymbol"/>
    </w:rPr>
  </w:style>
  <w:style w:type="character" w:customStyle="1" w:styleId="ListLabel880">
    <w:name w:val="ListLabel 880"/>
    <w:qFormat/>
    <w:rPr>
      <w:rFonts w:cs="OpenSymbol"/>
    </w:rPr>
  </w:style>
  <w:style w:type="character" w:customStyle="1" w:styleId="ListLabel881">
    <w:name w:val="ListLabel 881"/>
    <w:qFormat/>
    <w:rPr>
      <w:rFonts w:cs="OpenSymbol"/>
    </w:rPr>
  </w:style>
  <w:style w:type="character" w:customStyle="1" w:styleId="ListLabel882">
    <w:name w:val="ListLabel 882"/>
    <w:qFormat/>
    <w:rPr>
      <w:rFonts w:cs="OpenSymbol"/>
    </w:rPr>
  </w:style>
  <w:style w:type="character" w:customStyle="1" w:styleId="ListLabel883">
    <w:name w:val="ListLabel 883"/>
    <w:qFormat/>
    <w:rPr>
      <w:rFonts w:cs="OpenSymbol"/>
    </w:rPr>
  </w:style>
  <w:style w:type="character" w:customStyle="1" w:styleId="ListLabel884">
    <w:name w:val="ListLabel 884"/>
    <w:qFormat/>
    <w:rPr>
      <w:rFonts w:cs="OpenSymbol"/>
    </w:rPr>
  </w:style>
  <w:style w:type="character" w:customStyle="1" w:styleId="ListLabel885">
    <w:name w:val="ListLabel 885"/>
    <w:qFormat/>
    <w:rPr>
      <w:rFonts w:cs="OpenSymbol"/>
    </w:rPr>
  </w:style>
  <w:style w:type="character" w:customStyle="1" w:styleId="ListLabel886">
    <w:name w:val="ListLabel 886"/>
    <w:qFormat/>
    <w:rPr>
      <w:rFonts w:cs="OpenSymbol"/>
    </w:rPr>
  </w:style>
  <w:style w:type="character" w:customStyle="1" w:styleId="ListLabel887">
    <w:name w:val="ListLabel 887"/>
    <w:qFormat/>
    <w:rPr>
      <w:rFonts w:cs="OpenSymbol"/>
    </w:rPr>
  </w:style>
  <w:style w:type="character" w:customStyle="1" w:styleId="ListLabel888">
    <w:name w:val="ListLabel 888"/>
    <w:qFormat/>
    <w:rPr>
      <w:rFonts w:cs="OpenSymbol"/>
    </w:rPr>
  </w:style>
  <w:style w:type="character" w:customStyle="1" w:styleId="ListLabel889">
    <w:name w:val="ListLabel 889"/>
    <w:qFormat/>
    <w:rPr>
      <w:rFonts w:cs="OpenSymbol"/>
    </w:rPr>
  </w:style>
  <w:style w:type="character" w:customStyle="1" w:styleId="ListLabel890">
    <w:name w:val="ListLabel 890"/>
    <w:qFormat/>
    <w:rPr>
      <w:rFonts w:cs="OpenSymbol"/>
    </w:rPr>
  </w:style>
  <w:style w:type="character" w:customStyle="1" w:styleId="ListLabel891">
    <w:name w:val="ListLabel 891"/>
    <w:qFormat/>
    <w:rPr>
      <w:rFonts w:cs="OpenSymbol"/>
    </w:rPr>
  </w:style>
  <w:style w:type="character" w:customStyle="1" w:styleId="ListLabel892">
    <w:name w:val="ListLabel 892"/>
    <w:qFormat/>
    <w:rPr>
      <w:rFonts w:cs="OpenSymbol"/>
    </w:rPr>
  </w:style>
  <w:style w:type="character" w:customStyle="1" w:styleId="ListLabel893">
    <w:name w:val="ListLabel 893"/>
    <w:qFormat/>
    <w:rPr>
      <w:rFonts w:cs="OpenSymbol"/>
    </w:rPr>
  </w:style>
  <w:style w:type="character" w:customStyle="1" w:styleId="ListLabel894">
    <w:name w:val="ListLabel 894"/>
    <w:qFormat/>
    <w:rPr>
      <w:rFonts w:cs="OpenSymbol"/>
    </w:rPr>
  </w:style>
  <w:style w:type="character" w:customStyle="1" w:styleId="ListLabel895">
    <w:name w:val="ListLabel 895"/>
    <w:qFormat/>
    <w:rPr>
      <w:rFonts w:cs="OpenSymbol"/>
    </w:rPr>
  </w:style>
  <w:style w:type="character" w:customStyle="1" w:styleId="ListLabel896">
    <w:name w:val="ListLabel 896"/>
    <w:qFormat/>
    <w:rPr>
      <w:rFonts w:cs="OpenSymbol"/>
    </w:rPr>
  </w:style>
  <w:style w:type="character" w:customStyle="1" w:styleId="ListLabel897">
    <w:name w:val="ListLabel 897"/>
    <w:qFormat/>
    <w:rPr>
      <w:rFonts w:cs="OpenSymbol"/>
    </w:rPr>
  </w:style>
  <w:style w:type="character" w:customStyle="1" w:styleId="ListLabel898">
    <w:name w:val="ListLabel 898"/>
    <w:qFormat/>
    <w:rPr>
      <w:rFonts w:cs="OpenSymbol"/>
    </w:rPr>
  </w:style>
  <w:style w:type="character" w:customStyle="1" w:styleId="ListLabel899">
    <w:name w:val="ListLabel 899"/>
    <w:qFormat/>
    <w:rPr>
      <w:rFonts w:cs="OpenSymbol"/>
    </w:rPr>
  </w:style>
  <w:style w:type="character" w:customStyle="1" w:styleId="ListLabel900">
    <w:name w:val="ListLabel 900"/>
    <w:qFormat/>
    <w:rPr>
      <w:rFonts w:cs="OpenSymbol"/>
    </w:rPr>
  </w:style>
  <w:style w:type="character" w:customStyle="1" w:styleId="ListLabel901">
    <w:name w:val="ListLabel 901"/>
    <w:qFormat/>
    <w:rPr>
      <w:rFonts w:cs="OpenSymbol"/>
    </w:rPr>
  </w:style>
  <w:style w:type="character" w:customStyle="1" w:styleId="ListLabel902">
    <w:name w:val="ListLabel 902"/>
    <w:qFormat/>
    <w:rPr>
      <w:rFonts w:cs="OpenSymbol"/>
    </w:rPr>
  </w:style>
  <w:style w:type="character" w:customStyle="1" w:styleId="ListLabel903">
    <w:name w:val="ListLabel 903"/>
    <w:qFormat/>
    <w:rPr>
      <w:rFonts w:cs="OpenSymbol"/>
    </w:rPr>
  </w:style>
  <w:style w:type="character" w:customStyle="1" w:styleId="ListLabel904">
    <w:name w:val="ListLabel 904"/>
    <w:qFormat/>
    <w:rPr>
      <w:rFonts w:cs="OpenSymbol"/>
    </w:rPr>
  </w:style>
  <w:style w:type="character" w:customStyle="1" w:styleId="ListLabel905">
    <w:name w:val="ListLabel 905"/>
    <w:qFormat/>
    <w:rPr>
      <w:rFonts w:cs="OpenSymbol"/>
    </w:rPr>
  </w:style>
  <w:style w:type="character" w:customStyle="1" w:styleId="ListLabel906">
    <w:name w:val="ListLabel 906"/>
    <w:qFormat/>
    <w:rPr>
      <w:rFonts w:cs="OpenSymbol"/>
    </w:rPr>
  </w:style>
  <w:style w:type="character" w:customStyle="1" w:styleId="ListLabel907">
    <w:name w:val="ListLabel 907"/>
    <w:qFormat/>
    <w:rPr>
      <w:rFonts w:cs="OpenSymbol"/>
    </w:rPr>
  </w:style>
  <w:style w:type="character" w:customStyle="1" w:styleId="ListLabel908">
    <w:name w:val="ListLabel 908"/>
    <w:qFormat/>
    <w:rPr>
      <w:rFonts w:cs="OpenSymbol"/>
    </w:rPr>
  </w:style>
  <w:style w:type="character" w:customStyle="1" w:styleId="ListLabel909">
    <w:name w:val="ListLabel 909"/>
    <w:qFormat/>
    <w:rPr>
      <w:rFonts w:cs="OpenSymbol"/>
    </w:rPr>
  </w:style>
  <w:style w:type="character" w:customStyle="1" w:styleId="ListLabel910">
    <w:name w:val="ListLabel 910"/>
    <w:qFormat/>
    <w:rPr>
      <w:rFonts w:cs="OpenSymbol"/>
    </w:rPr>
  </w:style>
  <w:style w:type="character" w:customStyle="1" w:styleId="ListLabel911">
    <w:name w:val="ListLabel 911"/>
    <w:qFormat/>
    <w:rPr>
      <w:rFonts w:cs="OpenSymbol"/>
    </w:rPr>
  </w:style>
  <w:style w:type="character" w:customStyle="1" w:styleId="ListLabel912">
    <w:name w:val="ListLabel 912"/>
    <w:qFormat/>
    <w:rPr>
      <w:rFonts w:cs="OpenSymbol"/>
    </w:rPr>
  </w:style>
  <w:style w:type="character" w:customStyle="1" w:styleId="ListLabel913">
    <w:name w:val="ListLabel 913"/>
    <w:qFormat/>
    <w:rPr>
      <w:rFonts w:cs="OpenSymbol"/>
    </w:rPr>
  </w:style>
  <w:style w:type="character" w:customStyle="1" w:styleId="ListLabel914">
    <w:name w:val="ListLabel 914"/>
    <w:qFormat/>
    <w:rPr>
      <w:rFonts w:cs="OpenSymbol"/>
    </w:rPr>
  </w:style>
  <w:style w:type="character" w:customStyle="1" w:styleId="ListLabel915">
    <w:name w:val="ListLabel 915"/>
    <w:qFormat/>
    <w:rPr>
      <w:rFonts w:cs="OpenSymbol"/>
    </w:rPr>
  </w:style>
  <w:style w:type="character" w:customStyle="1" w:styleId="ListLabel916">
    <w:name w:val="ListLabel 916"/>
    <w:qFormat/>
    <w:rPr>
      <w:rFonts w:cs="OpenSymbol"/>
    </w:rPr>
  </w:style>
  <w:style w:type="character" w:customStyle="1" w:styleId="ListLabel917">
    <w:name w:val="ListLabel 917"/>
    <w:qFormat/>
    <w:rPr>
      <w:rFonts w:cs="OpenSymbol"/>
    </w:rPr>
  </w:style>
  <w:style w:type="character" w:customStyle="1" w:styleId="ListLabel918">
    <w:name w:val="ListLabel 918"/>
    <w:qFormat/>
    <w:rPr>
      <w:rFonts w:cs="OpenSymbol"/>
    </w:rPr>
  </w:style>
  <w:style w:type="character" w:customStyle="1" w:styleId="ListLabel919">
    <w:name w:val="ListLabel 919"/>
    <w:qFormat/>
    <w:rPr>
      <w:rFonts w:cs="OpenSymbol"/>
    </w:rPr>
  </w:style>
  <w:style w:type="character" w:customStyle="1" w:styleId="ListLabel920">
    <w:name w:val="ListLabel 920"/>
    <w:qFormat/>
    <w:rPr>
      <w:rFonts w:cs="OpenSymbol"/>
    </w:rPr>
  </w:style>
  <w:style w:type="character" w:customStyle="1" w:styleId="ListLabel921">
    <w:name w:val="ListLabel 921"/>
    <w:qFormat/>
    <w:rPr>
      <w:rFonts w:cs="OpenSymbol"/>
    </w:rPr>
  </w:style>
  <w:style w:type="character" w:customStyle="1" w:styleId="ListLabel922">
    <w:name w:val="ListLabel 922"/>
    <w:qFormat/>
    <w:rPr>
      <w:rFonts w:cs="OpenSymbol"/>
    </w:rPr>
  </w:style>
  <w:style w:type="character" w:customStyle="1" w:styleId="ListLabel923">
    <w:name w:val="ListLabel 923"/>
    <w:qFormat/>
    <w:rPr>
      <w:rFonts w:cs="OpenSymbol"/>
    </w:rPr>
  </w:style>
  <w:style w:type="character" w:customStyle="1" w:styleId="ListLabel924">
    <w:name w:val="ListLabel 924"/>
    <w:qFormat/>
    <w:rPr>
      <w:rFonts w:cs="OpenSymbol"/>
    </w:rPr>
  </w:style>
  <w:style w:type="character" w:customStyle="1" w:styleId="ListLabel925">
    <w:name w:val="ListLabel 925"/>
    <w:qFormat/>
    <w:rPr>
      <w:rFonts w:cs="OpenSymbol"/>
    </w:rPr>
  </w:style>
  <w:style w:type="character" w:customStyle="1" w:styleId="ListLabel926">
    <w:name w:val="ListLabel 926"/>
    <w:qFormat/>
    <w:rPr>
      <w:rFonts w:cs="OpenSymbol"/>
    </w:rPr>
  </w:style>
  <w:style w:type="character" w:customStyle="1" w:styleId="ListLabel927">
    <w:name w:val="ListLabel 927"/>
    <w:qFormat/>
    <w:rPr>
      <w:rFonts w:cs="OpenSymbol"/>
    </w:rPr>
  </w:style>
  <w:style w:type="character" w:customStyle="1" w:styleId="ListLabel928">
    <w:name w:val="ListLabel 928"/>
    <w:qFormat/>
    <w:rPr>
      <w:rFonts w:cs="OpenSymbol"/>
    </w:rPr>
  </w:style>
  <w:style w:type="character" w:customStyle="1" w:styleId="ListLabel929">
    <w:name w:val="ListLabel 929"/>
    <w:qFormat/>
    <w:rPr>
      <w:rFonts w:cs="OpenSymbol"/>
    </w:rPr>
  </w:style>
  <w:style w:type="character" w:customStyle="1" w:styleId="ListLabel930">
    <w:name w:val="ListLabel 930"/>
    <w:qFormat/>
    <w:rPr>
      <w:rFonts w:cs="OpenSymbol"/>
    </w:rPr>
  </w:style>
  <w:style w:type="character" w:customStyle="1" w:styleId="ListLabel931">
    <w:name w:val="ListLabel 931"/>
    <w:qFormat/>
    <w:rPr>
      <w:rFonts w:cs="OpenSymbol"/>
    </w:rPr>
  </w:style>
  <w:style w:type="character" w:customStyle="1" w:styleId="ListLabel932">
    <w:name w:val="ListLabel 932"/>
    <w:qFormat/>
    <w:rPr>
      <w:rFonts w:cs="OpenSymbol"/>
    </w:rPr>
  </w:style>
  <w:style w:type="character" w:customStyle="1" w:styleId="ListLabel933">
    <w:name w:val="ListLabel 933"/>
    <w:qFormat/>
    <w:rPr>
      <w:rFonts w:cs="OpenSymbol"/>
    </w:rPr>
  </w:style>
  <w:style w:type="character" w:customStyle="1" w:styleId="ListLabel934">
    <w:name w:val="ListLabel 934"/>
    <w:qFormat/>
    <w:rPr>
      <w:rFonts w:cs="OpenSymbol"/>
    </w:rPr>
  </w:style>
  <w:style w:type="character" w:customStyle="1" w:styleId="ListLabel935">
    <w:name w:val="ListLabel 935"/>
    <w:qFormat/>
    <w:rPr>
      <w:rFonts w:cs="OpenSymbol"/>
    </w:rPr>
  </w:style>
  <w:style w:type="character" w:customStyle="1" w:styleId="ListLabel936">
    <w:name w:val="ListLabel 936"/>
    <w:qFormat/>
    <w:rPr>
      <w:rFonts w:cs="OpenSymbol"/>
    </w:rPr>
  </w:style>
  <w:style w:type="character" w:customStyle="1" w:styleId="ListLabel937">
    <w:name w:val="ListLabel 937"/>
    <w:qFormat/>
    <w:rPr>
      <w:rFonts w:cs="OpenSymbol"/>
    </w:rPr>
  </w:style>
  <w:style w:type="character" w:customStyle="1" w:styleId="ListLabel938">
    <w:name w:val="ListLabel 938"/>
    <w:qFormat/>
    <w:rPr>
      <w:rFonts w:cs="OpenSymbol"/>
    </w:rPr>
  </w:style>
  <w:style w:type="character" w:customStyle="1" w:styleId="ListLabel939">
    <w:name w:val="ListLabel 939"/>
    <w:qFormat/>
    <w:rPr>
      <w:rFonts w:cs="OpenSymbol"/>
    </w:rPr>
  </w:style>
  <w:style w:type="character" w:customStyle="1" w:styleId="ListLabel940">
    <w:name w:val="ListLabel 940"/>
    <w:qFormat/>
    <w:rPr>
      <w:rFonts w:cs="OpenSymbol"/>
    </w:rPr>
  </w:style>
  <w:style w:type="character" w:customStyle="1" w:styleId="ListLabel941">
    <w:name w:val="ListLabel 941"/>
    <w:qFormat/>
    <w:rPr>
      <w:rFonts w:cs="OpenSymbol"/>
    </w:rPr>
  </w:style>
  <w:style w:type="character" w:customStyle="1" w:styleId="ListLabel942">
    <w:name w:val="ListLabel 942"/>
    <w:qFormat/>
    <w:rPr>
      <w:rFonts w:cs="OpenSymbol"/>
    </w:rPr>
  </w:style>
  <w:style w:type="character" w:customStyle="1" w:styleId="ListLabel943">
    <w:name w:val="ListLabel 943"/>
    <w:qFormat/>
    <w:rPr>
      <w:rFonts w:cs="OpenSymbol"/>
    </w:rPr>
  </w:style>
  <w:style w:type="character" w:customStyle="1" w:styleId="ListLabel944">
    <w:name w:val="ListLabel 944"/>
    <w:qFormat/>
    <w:rPr>
      <w:rFonts w:cs="OpenSymbol"/>
    </w:rPr>
  </w:style>
  <w:style w:type="character" w:customStyle="1" w:styleId="ListLabel945">
    <w:name w:val="ListLabel 945"/>
    <w:qFormat/>
    <w:rPr>
      <w:rFonts w:cs="OpenSymbol"/>
    </w:rPr>
  </w:style>
  <w:style w:type="character" w:customStyle="1" w:styleId="ListLabel946">
    <w:name w:val="ListLabel 946"/>
    <w:qFormat/>
    <w:rPr>
      <w:rFonts w:cs="OpenSymbol"/>
    </w:rPr>
  </w:style>
  <w:style w:type="character" w:customStyle="1" w:styleId="ListLabel947">
    <w:name w:val="ListLabel 947"/>
    <w:qFormat/>
    <w:rPr>
      <w:rFonts w:cs="OpenSymbol"/>
    </w:rPr>
  </w:style>
  <w:style w:type="character" w:customStyle="1" w:styleId="ListLabel948">
    <w:name w:val="ListLabel 948"/>
    <w:qFormat/>
    <w:rPr>
      <w:rFonts w:cs="OpenSymbol"/>
    </w:rPr>
  </w:style>
  <w:style w:type="character" w:customStyle="1" w:styleId="ListLabel949">
    <w:name w:val="ListLabel 949"/>
    <w:qFormat/>
    <w:rPr>
      <w:rFonts w:cs="OpenSymbol"/>
    </w:rPr>
  </w:style>
  <w:style w:type="character" w:customStyle="1" w:styleId="ListLabel950">
    <w:name w:val="ListLabel 950"/>
    <w:qFormat/>
    <w:rPr>
      <w:rFonts w:cs="OpenSymbol"/>
    </w:rPr>
  </w:style>
  <w:style w:type="character" w:customStyle="1" w:styleId="ListLabel951">
    <w:name w:val="ListLabel 951"/>
    <w:qFormat/>
    <w:rPr>
      <w:rFonts w:cs="OpenSymbol"/>
    </w:rPr>
  </w:style>
  <w:style w:type="character" w:customStyle="1" w:styleId="ListLabel952">
    <w:name w:val="ListLabel 952"/>
    <w:qFormat/>
    <w:rPr>
      <w:rFonts w:cs="OpenSymbol"/>
    </w:rPr>
  </w:style>
  <w:style w:type="character" w:customStyle="1" w:styleId="ListLabel953">
    <w:name w:val="ListLabel 953"/>
    <w:qFormat/>
    <w:rPr>
      <w:rFonts w:cs="OpenSymbol"/>
    </w:rPr>
  </w:style>
  <w:style w:type="character" w:customStyle="1" w:styleId="ListLabel954">
    <w:name w:val="ListLabel 954"/>
    <w:qFormat/>
    <w:rPr>
      <w:rFonts w:cs="OpenSymbol"/>
    </w:rPr>
  </w:style>
  <w:style w:type="character" w:customStyle="1" w:styleId="ListLabel955">
    <w:name w:val="ListLabel 955"/>
    <w:qFormat/>
    <w:rPr>
      <w:rFonts w:eastAsia="Calibri"/>
      <w:color w:val="000000"/>
      <w:sz w:val="28"/>
      <w:u w:val="none"/>
    </w:rPr>
  </w:style>
  <w:style w:type="character" w:customStyle="1" w:styleId="ListLabel956">
    <w:name w:val="ListLabel 956"/>
    <w:qFormat/>
    <w:rPr>
      <w:rFonts w:eastAsia="Calibri"/>
      <w:color w:val="000000"/>
      <w:sz w:val="28"/>
      <w:u w:val="none"/>
      <w:lang w:val="en-US"/>
    </w:rPr>
  </w:style>
  <w:style w:type="character" w:customStyle="1" w:styleId="ListLabel957">
    <w:name w:val="ListLabel 957"/>
    <w:qFormat/>
    <w:rPr>
      <w:rFonts w:eastAsia="Calibri"/>
      <w:color w:val="000000"/>
      <w:sz w:val="28"/>
      <w:u w:val="none"/>
      <w:lang w:val="uk-UA"/>
    </w:rPr>
  </w:style>
  <w:style w:type="character" w:customStyle="1" w:styleId="ListLabel958">
    <w:name w:val="ListLabel 958"/>
    <w:qFormat/>
    <w:rPr>
      <w:color w:val="000000"/>
      <w:sz w:val="28"/>
      <w:u w:val="none"/>
    </w:rPr>
  </w:style>
  <w:style w:type="character" w:customStyle="1" w:styleId="ListLabel959">
    <w:name w:val="ListLabel 959"/>
    <w:qFormat/>
    <w:rPr>
      <w:rFonts w:eastAsia="Calibri"/>
      <w:color w:val="C9211E"/>
      <w:sz w:val="28"/>
    </w:rPr>
  </w:style>
  <w:style w:type="character" w:customStyle="1" w:styleId="ListLabel960">
    <w:name w:val="ListLabel 960"/>
    <w:qFormat/>
    <w:rPr>
      <w:rFonts w:eastAsia="Calibri" w:cs="Times New Roman"/>
      <w:b/>
      <w:bCs/>
      <w:kern w:val="2"/>
      <w:sz w:val="28"/>
      <w:szCs w:val="28"/>
      <w:lang w:val="uk-UA" w:eastAsia="ru-RU"/>
    </w:rPr>
  </w:style>
  <w:style w:type="character" w:customStyle="1" w:styleId="ListLabel961">
    <w:name w:val="ListLabel 961"/>
    <w:qFormat/>
    <w:rPr>
      <w:rFonts w:eastAsia="Calibri"/>
      <w:b/>
      <w:bCs/>
      <w:color w:val="000000"/>
      <w:sz w:val="28"/>
      <w:u w:val="none"/>
      <w:lang w:val="en-US"/>
    </w:rPr>
  </w:style>
  <w:style w:type="character" w:customStyle="1" w:styleId="ListLabel962">
    <w:name w:val="ListLabel 962"/>
    <w:qFormat/>
    <w:rPr>
      <w:b w:val="0"/>
      <w:bCs w:val="0"/>
      <w:color w:val="FF8000"/>
      <w:sz w:val="28"/>
      <w:szCs w:val="28"/>
      <w:highlight w:val="yellow"/>
      <w:lang w:val="ru-RU"/>
    </w:rPr>
  </w:style>
  <w:style w:type="character" w:customStyle="1" w:styleId="ListLabel963">
    <w:name w:val="ListLabel 963"/>
    <w:qFormat/>
    <w:rPr>
      <w:b w:val="0"/>
      <w:bCs w:val="0"/>
      <w:i w:val="0"/>
      <w:caps w:val="0"/>
      <w:smallCaps w:val="0"/>
      <w:color w:val="158466"/>
      <w:spacing w:val="0"/>
      <w:sz w:val="28"/>
      <w:szCs w:val="28"/>
      <w:highlight w:val="yellow"/>
      <w:lang w:val="uk-UA"/>
    </w:rPr>
  </w:style>
  <w:style w:type="character" w:customStyle="1" w:styleId="ListLabel964">
    <w:name w:val="ListLabel 964"/>
    <w:qFormat/>
    <w:rPr>
      <w:rFonts w:ascii="Times New Roman" w:eastAsia="Times New Roman" w:hAnsi="Times New Roman" w:cs="Times New Roman"/>
      <w:b w:val="0"/>
      <w:bCs w:val="0"/>
      <w:i w:val="0"/>
      <w:caps w:val="0"/>
      <w:smallCaps w:val="0"/>
      <w:strike w:val="0"/>
      <w:dstrike w:val="0"/>
      <w:color w:val="000000"/>
      <w:spacing w:val="0"/>
      <w:kern w:val="2"/>
      <w:sz w:val="28"/>
      <w:szCs w:val="28"/>
      <w:highlight w:val="yellow"/>
      <w:u w:val="none"/>
      <w:effect w:val="none"/>
      <w:lang w:val="uk-UA"/>
    </w:rPr>
  </w:style>
  <w:style w:type="character" w:customStyle="1" w:styleId="ListLabel965">
    <w:name w:val="ListLabel 965"/>
    <w:qFormat/>
    <w:rPr>
      <w:rFonts w:ascii="Times New Roman" w:eastAsia="Times New Roman" w:hAnsi="Times New Roman" w:cs="Times New Roman"/>
      <w:b w:val="0"/>
      <w:bCs w:val="0"/>
      <w:i w:val="0"/>
      <w:caps w:val="0"/>
      <w:smallCaps w:val="0"/>
      <w:strike w:val="0"/>
      <w:dstrike w:val="0"/>
      <w:color w:val="2C2C2C"/>
      <w:spacing w:val="0"/>
      <w:kern w:val="2"/>
      <w:sz w:val="28"/>
      <w:szCs w:val="28"/>
      <w:highlight w:val="yellow"/>
      <w:u w:val="none"/>
      <w:effect w:val="none"/>
      <w:lang w:val="en-US"/>
    </w:rPr>
  </w:style>
  <w:style w:type="character" w:customStyle="1" w:styleId="ListLabel966">
    <w:name w:val="ListLabel 966"/>
    <w:qFormat/>
  </w:style>
  <w:style w:type="character" w:customStyle="1" w:styleId="ListLabel967">
    <w:name w:val="ListLabel 967"/>
    <w:qFormat/>
    <w:rPr>
      <w:rFonts w:eastAsia="Times New Roman" w:cs="Times New Roman"/>
      <w:b w:val="0"/>
      <w:bCs w:val="0"/>
      <w:i w:val="0"/>
      <w:caps w:val="0"/>
      <w:smallCaps w:val="0"/>
      <w:strike w:val="0"/>
      <w:dstrike w:val="0"/>
      <w:color w:val="3366CC"/>
      <w:spacing w:val="0"/>
      <w:kern w:val="2"/>
      <w:sz w:val="28"/>
      <w:szCs w:val="28"/>
      <w:highlight w:val="white"/>
      <w:u w:val="none"/>
      <w:effect w:val="none"/>
      <w:lang w:val="uk-UA" w:eastAsia="ru-RU"/>
    </w:rPr>
  </w:style>
  <w:style w:type="character" w:customStyle="1" w:styleId="ListLabel968">
    <w:name w:val="ListLabel 968"/>
    <w:qFormat/>
    <w:rPr>
      <w:sz w:val="28"/>
      <w:szCs w:val="28"/>
      <w:lang w:val="uk-UA"/>
    </w:rPr>
  </w:style>
  <w:style w:type="character" w:customStyle="1" w:styleId="ListLabel969">
    <w:name w:val="ListLabel 969"/>
    <w:qFormat/>
    <w:rPr>
      <w:b/>
      <w:bCs/>
      <w:color w:val="FF8000"/>
      <w:sz w:val="28"/>
      <w:szCs w:val="28"/>
      <w:highlight w:val="yellow"/>
      <w:lang w:val="ru-RU"/>
    </w:rPr>
  </w:style>
  <w:style w:type="character" w:customStyle="1" w:styleId="ListLabel970">
    <w:name w:val="ListLabel 970"/>
    <w:qFormat/>
    <w:rPr>
      <w:rFonts w:cs="OpenSymbol"/>
      <w:b w:val="0"/>
      <w:sz w:val="28"/>
    </w:rPr>
  </w:style>
  <w:style w:type="character" w:customStyle="1" w:styleId="ListLabel971">
    <w:name w:val="ListLabel 971"/>
    <w:qFormat/>
    <w:rPr>
      <w:rFonts w:cs="OpenSymbol"/>
    </w:rPr>
  </w:style>
  <w:style w:type="character" w:customStyle="1" w:styleId="ListLabel972">
    <w:name w:val="ListLabel 972"/>
    <w:qFormat/>
    <w:rPr>
      <w:rFonts w:cs="OpenSymbol"/>
    </w:rPr>
  </w:style>
  <w:style w:type="character" w:customStyle="1" w:styleId="ListLabel973">
    <w:name w:val="ListLabel 973"/>
    <w:qFormat/>
    <w:rPr>
      <w:rFonts w:cs="OpenSymbol"/>
    </w:rPr>
  </w:style>
  <w:style w:type="character" w:customStyle="1" w:styleId="ListLabel974">
    <w:name w:val="ListLabel 974"/>
    <w:qFormat/>
    <w:rPr>
      <w:rFonts w:cs="OpenSymbol"/>
    </w:rPr>
  </w:style>
  <w:style w:type="character" w:customStyle="1" w:styleId="ListLabel975">
    <w:name w:val="ListLabel 975"/>
    <w:qFormat/>
    <w:rPr>
      <w:rFonts w:cs="OpenSymbol"/>
    </w:rPr>
  </w:style>
  <w:style w:type="character" w:customStyle="1" w:styleId="ListLabel976">
    <w:name w:val="ListLabel 976"/>
    <w:qFormat/>
    <w:rPr>
      <w:rFonts w:cs="OpenSymbol"/>
    </w:rPr>
  </w:style>
  <w:style w:type="character" w:customStyle="1" w:styleId="ListLabel977">
    <w:name w:val="ListLabel 977"/>
    <w:qFormat/>
    <w:rPr>
      <w:rFonts w:cs="OpenSymbol"/>
    </w:rPr>
  </w:style>
  <w:style w:type="character" w:customStyle="1" w:styleId="ListLabel978">
    <w:name w:val="ListLabel 978"/>
    <w:qFormat/>
    <w:rPr>
      <w:rFonts w:cs="OpenSymbol"/>
    </w:rPr>
  </w:style>
  <w:style w:type="character" w:customStyle="1" w:styleId="ListLabel979">
    <w:name w:val="ListLabel 979"/>
    <w:qFormat/>
    <w:rPr>
      <w:rFonts w:cs="OpenSymbol"/>
      <w:b w:val="0"/>
      <w:sz w:val="28"/>
    </w:rPr>
  </w:style>
  <w:style w:type="character" w:customStyle="1" w:styleId="ListLabel980">
    <w:name w:val="ListLabel 980"/>
    <w:qFormat/>
    <w:rPr>
      <w:rFonts w:cs="OpenSymbol"/>
    </w:rPr>
  </w:style>
  <w:style w:type="character" w:customStyle="1" w:styleId="ListLabel981">
    <w:name w:val="ListLabel 981"/>
    <w:qFormat/>
    <w:rPr>
      <w:rFonts w:cs="OpenSymbol"/>
    </w:rPr>
  </w:style>
  <w:style w:type="character" w:customStyle="1" w:styleId="ListLabel982">
    <w:name w:val="ListLabel 982"/>
    <w:qFormat/>
    <w:rPr>
      <w:rFonts w:cs="OpenSymbol"/>
    </w:rPr>
  </w:style>
  <w:style w:type="character" w:customStyle="1" w:styleId="ListLabel983">
    <w:name w:val="ListLabel 983"/>
    <w:qFormat/>
    <w:rPr>
      <w:rFonts w:cs="OpenSymbol"/>
    </w:rPr>
  </w:style>
  <w:style w:type="character" w:customStyle="1" w:styleId="ListLabel984">
    <w:name w:val="ListLabel 984"/>
    <w:qFormat/>
    <w:rPr>
      <w:rFonts w:cs="OpenSymbol"/>
    </w:rPr>
  </w:style>
  <w:style w:type="character" w:customStyle="1" w:styleId="ListLabel985">
    <w:name w:val="ListLabel 985"/>
    <w:qFormat/>
    <w:rPr>
      <w:rFonts w:cs="OpenSymbol"/>
    </w:rPr>
  </w:style>
  <w:style w:type="character" w:customStyle="1" w:styleId="ListLabel986">
    <w:name w:val="ListLabel 986"/>
    <w:qFormat/>
    <w:rPr>
      <w:rFonts w:cs="OpenSymbol"/>
    </w:rPr>
  </w:style>
  <w:style w:type="character" w:customStyle="1" w:styleId="ListLabel987">
    <w:name w:val="ListLabel 987"/>
    <w:qFormat/>
    <w:rPr>
      <w:rFonts w:cs="OpenSymbol"/>
    </w:rPr>
  </w:style>
  <w:style w:type="character" w:customStyle="1" w:styleId="ListLabel988">
    <w:name w:val="ListLabel 988"/>
    <w:qFormat/>
    <w:rPr>
      <w:rFonts w:cs="OpenSymbol"/>
      <w:b w:val="0"/>
      <w:sz w:val="28"/>
    </w:rPr>
  </w:style>
  <w:style w:type="character" w:customStyle="1" w:styleId="ListLabel989">
    <w:name w:val="ListLabel 989"/>
    <w:qFormat/>
    <w:rPr>
      <w:rFonts w:cs="OpenSymbol"/>
    </w:rPr>
  </w:style>
  <w:style w:type="character" w:customStyle="1" w:styleId="ListLabel990">
    <w:name w:val="ListLabel 990"/>
    <w:qFormat/>
    <w:rPr>
      <w:rFonts w:cs="OpenSymbol"/>
    </w:rPr>
  </w:style>
  <w:style w:type="character" w:customStyle="1" w:styleId="ListLabel991">
    <w:name w:val="ListLabel 991"/>
    <w:qFormat/>
    <w:rPr>
      <w:rFonts w:cs="OpenSymbol"/>
    </w:rPr>
  </w:style>
  <w:style w:type="character" w:customStyle="1" w:styleId="ListLabel992">
    <w:name w:val="ListLabel 992"/>
    <w:qFormat/>
    <w:rPr>
      <w:rFonts w:cs="OpenSymbol"/>
    </w:rPr>
  </w:style>
  <w:style w:type="character" w:customStyle="1" w:styleId="ListLabel993">
    <w:name w:val="ListLabel 993"/>
    <w:qFormat/>
    <w:rPr>
      <w:rFonts w:cs="OpenSymbol"/>
    </w:rPr>
  </w:style>
  <w:style w:type="character" w:customStyle="1" w:styleId="ListLabel994">
    <w:name w:val="ListLabel 994"/>
    <w:qFormat/>
    <w:rPr>
      <w:rFonts w:cs="OpenSymbol"/>
    </w:rPr>
  </w:style>
  <w:style w:type="character" w:customStyle="1" w:styleId="ListLabel995">
    <w:name w:val="ListLabel 995"/>
    <w:qFormat/>
    <w:rPr>
      <w:rFonts w:cs="OpenSymbol"/>
    </w:rPr>
  </w:style>
  <w:style w:type="character" w:customStyle="1" w:styleId="ListLabel996">
    <w:name w:val="ListLabel 996"/>
    <w:qFormat/>
    <w:rPr>
      <w:rFonts w:cs="OpenSymbol"/>
    </w:rPr>
  </w:style>
  <w:style w:type="character" w:customStyle="1" w:styleId="ListLabel997">
    <w:name w:val="ListLabel 997"/>
    <w:qFormat/>
    <w:rPr>
      <w:rFonts w:cs="OpenSymbol"/>
    </w:rPr>
  </w:style>
  <w:style w:type="character" w:customStyle="1" w:styleId="ListLabel998">
    <w:name w:val="ListLabel 998"/>
    <w:qFormat/>
    <w:rPr>
      <w:rFonts w:cs="OpenSymbol"/>
    </w:rPr>
  </w:style>
  <w:style w:type="character" w:customStyle="1" w:styleId="ListLabel999">
    <w:name w:val="ListLabel 999"/>
    <w:qFormat/>
    <w:rPr>
      <w:rFonts w:cs="OpenSymbol"/>
    </w:rPr>
  </w:style>
  <w:style w:type="character" w:customStyle="1" w:styleId="ListLabel1000">
    <w:name w:val="ListLabel 1000"/>
    <w:qFormat/>
    <w:rPr>
      <w:rFonts w:cs="OpenSymbol"/>
    </w:rPr>
  </w:style>
  <w:style w:type="character" w:customStyle="1" w:styleId="ListLabel1001">
    <w:name w:val="ListLabel 1001"/>
    <w:qFormat/>
    <w:rPr>
      <w:rFonts w:cs="OpenSymbol"/>
    </w:rPr>
  </w:style>
  <w:style w:type="character" w:customStyle="1" w:styleId="ListLabel1002">
    <w:name w:val="ListLabel 1002"/>
    <w:qFormat/>
    <w:rPr>
      <w:rFonts w:cs="OpenSymbol"/>
    </w:rPr>
  </w:style>
  <w:style w:type="character" w:customStyle="1" w:styleId="ListLabel1003">
    <w:name w:val="ListLabel 1003"/>
    <w:qFormat/>
    <w:rPr>
      <w:rFonts w:cs="OpenSymbol"/>
    </w:rPr>
  </w:style>
  <w:style w:type="character" w:customStyle="1" w:styleId="ListLabel1004">
    <w:name w:val="ListLabel 1004"/>
    <w:qFormat/>
    <w:rPr>
      <w:rFonts w:cs="OpenSymbol"/>
    </w:rPr>
  </w:style>
  <w:style w:type="character" w:customStyle="1" w:styleId="ListLabel1005">
    <w:name w:val="ListLabel 1005"/>
    <w:qFormat/>
    <w:rPr>
      <w:rFonts w:cs="OpenSymbol"/>
    </w:rPr>
  </w:style>
  <w:style w:type="character" w:customStyle="1" w:styleId="ListLabel1006">
    <w:name w:val="ListLabel 1006"/>
    <w:qFormat/>
    <w:rPr>
      <w:rFonts w:cs="OpenSymbol"/>
    </w:rPr>
  </w:style>
  <w:style w:type="character" w:customStyle="1" w:styleId="ListLabel1007">
    <w:name w:val="ListLabel 1007"/>
    <w:qFormat/>
    <w:rPr>
      <w:rFonts w:cs="OpenSymbol"/>
    </w:rPr>
  </w:style>
  <w:style w:type="character" w:customStyle="1" w:styleId="ListLabel1008">
    <w:name w:val="ListLabel 1008"/>
    <w:qFormat/>
    <w:rPr>
      <w:rFonts w:cs="OpenSymbol"/>
    </w:rPr>
  </w:style>
  <w:style w:type="character" w:customStyle="1" w:styleId="ListLabel1009">
    <w:name w:val="ListLabel 1009"/>
    <w:qFormat/>
    <w:rPr>
      <w:rFonts w:cs="OpenSymbol"/>
    </w:rPr>
  </w:style>
  <w:style w:type="character" w:customStyle="1" w:styleId="ListLabel1010">
    <w:name w:val="ListLabel 1010"/>
    <w:qFormat/>
    <w:rPr>
      <w:rFonts w:cs="OpenSymbol"/>
    </w:rPr>
  </w:style>
  <w:style w:type="character" w:customStyle="1" w:styleId="ListLabel1011">
    <w:name w:val="ListLabel 1011"/>
    <w:qFormat/>
    <w:rPr>
      <w:rFonts w:cs="OpenSymbol"/>
    </w:rPr>
  </w:style>
  <w:style w:type="character" w:customStyle="1" w:styleId="ListLabel1012">
    <w:name w:val="ListLabel 1012"/>
    <w:qFormat/>
    <w:rPr>
      <w:rFonts w:cs="OpenSymbol"/>
    </w:rPr>
  </w:style>
  <w:style w:type="character" w:customStyle="1" w:styleId="ListLabel1013">
    <w:name w:val="ListLabel 1013"/>
    <w:qFormat/>
    <w:rPr>
      <w:rFonts w:cs="OpenSymbol"/>
    </w:rPr>
  </w:style>
  <w:style w:type="character" w:customStyle="1" w:styleId="ListLabel1014">
    <w:name w:val="ListLabel 1014"/>
    <w:qFormat/>
    <w:rPr>
      <w:rFonts w:cs="OpenSymbol"/>
    </w:rPr>
  </w:style>
  <w:style w:type="character" w:customStyle="1" w:styleId="ListLabel1015">
    <w:name w:val="ListLabel 1015"/>
    <w:qFormat/>
    <w:rPr>
      <w:rFonts w:cs="OpenSymbol"/>
    </w:rPr>
  </w:style>
  <w:style w:type="character" w:customStyle="1" w:styleId="ListLabel1016">
    <w:name w:val="ListLabel 1016"/>
    <w:qFormat/>
    <w:rPr>
      <w:rFonts w:cs="OpenSymbol"/>
    </w:rPr>
  </w:style>
  <w:style w:type="character" w:customStyle="1" w:styleId="ListLabel1017">
    <w:name w:val="ListLabel 1017"/>
    <w:qFormat/>
    <w:rPr>
      <w:rFonts w:cs="OpenSymbol"/>
    </w:rPr>
  </w:style>
  <w:style w:type="character" w:customStyle="1" w:styleId="ListLabel1018">
    <w:name w:val="ListLabel 1018"/>
    <w:qFormat/>
    <w:rPr>
      <w:rFonts w:cs="OpenSymbol"/>
    </w:rPr>
  </w:style>
  <w:style w:type="character" w:customStyle="1" w:styleId="ListLabel1019">
    <w:name w:val="ListLabel 1019"/>
    <w:qFormat/>
    <w:rPr>
      <w:rFonts w:cs="OpenSymbol"/>
    </w:rPr>
  </w:style>
  <w:style w:type="character" w:customStyle="1" w:styleId="ListLabel1020">
    <w:name w:val="ListLabel 1020"/>
    <w:qFormat/>
    <w:rPr>
      <w:rFonts w:cs="OpenSymbol"/>
    </w:rPr>
  </w:style>
  <w:style w:type="character" w:customStyle="1" w:styleId="ListLabel1021">
    <w:name w:val="ListLabel 1021"/>
    <w:qFormat/>
    <w:rPr>
      <w:rFonts w:cs="OpenSymbol"/>
    </w:rPr>
  </w:style>
  <w:style w:type="character" w:customStyle="1" w:styleId="ListLabel1022">
    <w:name w:val="ListLabel 1022"/>
    <w:qFormat/>
    <w:rPr>
      <w:rFonts w:cs="OpenSymbol"/>
    </w:rPr>
  </w:style>
  <w:style w:type="character" w:customStyle="1" w:styleId="ListLabel1023">
    <w:name w:val="ListLabel 1023"/>
    <w:qFormat/>
    <w:rPr>
      <w:rFonts w:cs="OpenSymbol"/>
    </w:rPr>
  </w:style>
  <w:style w:type="character" w:customStyle="1" w:styleId="ListLabel1024">
    <w:name w:val="ListLabel 1024"/>
    <w:qFormat/>
    <w:rPr>
      <w:rFonts w:cs="OpenSymbol"/>
    </w:rPr>
  </w:style>
  <w:style w:type="character" w:customStyle="1" w:styleId="ListLabel1025">
    <w:name w:val="ListLabel 1025"/>
    <w:qFormat/>
    <w:rPr>
      <w:rFonts w:cs="OpenSymbol"/>
    </w:rPr>
  </w:style>
  <w:style w:type="character" w:customStyle="1" w:styleId="ListLabel1026">
    <w:name w:val="ListLabel 1026"/>
    <w:qFormat/>
    <w:rPr>
      <w:rFonts w:cs="OpenSymbol"/>
    </w:rPr>
  </w:style>
  <w:style w:type="character" w:customStyle="1" w:styleId="ListLabel1027">
    <w:name w:val="ListLabel 1027"/>
    <w:qFormat/>
    <w:rPr>
      <w:rFonts w:cs="OpenSymbol"/>
    </w:rPr>
  </w:style>
  <w:style w:type="character" w:customStyle="1" w:styleId="ListLabel1028">
    <w:name w:val="ListLabel 1028"/>
    <w:qFormat/>
    <w:rPr>
      <w:rFonts w:cs="OpenSymbol"/>
    </w:rPr>
  </w:style>
  <w:style w:type="character" w:customStyle="1" w:styleId="ListLabel1029">
    <w:name w:val="ListLabel 1029"/>
    <w:qFormat/>
    <w:rPr>
      <w:rFonts w:cs="OpenSymbol"/>
    </w:rPr>
  </w:style>
  <w:style w:type="character" w:customStyle="1" w:styleId="ListLabel1030">
    <w:name w:val="ListLabel 1030"/>
    <w:qFormat/>
    <w:rPr>
      <w:rFonts w:cs="OpenSymbol"/>
    </w:rPr>
  </w:style>
  <w:style w:type="character" w:customStyle="1" w:styleId="ListLabel1031">
    <w:name w:val="ListLabel 1031"/>
    <w:qFormat/>
    <w:rPr>
      <w:rFonts w:cs="OpenSymbol"/>
    </w:rPr>
  </w:style>
  <w:style w:type="character" w:customStyle="1" w:styleId="ListLabel1032">
    <w:name w:val="ListLabel 1032"/>
    <w:qFormat/>
    <w:rPr>
      <w:rFonts w:cs="OpenSymbol"/>
    </w:rPr>
  </w:style>
  <w:style w:type="character" w:customStyle="1" w:styleId="ListLabel1033">
    <w:name w:val="ListLabel 1033"/>
    <w:qFormat/>
    <w:rPr>
      <w:rFonts w:cs="OpenSymbol"/>
    </w:rPr>
  </w:style>
  <w:style w:type="character" w:customStyle="1" w:styleId="ListLabel1034">
    <w:name w:val="ListLabel 1034"/>
    <w:qFormat/>
    <w:rPr>
      <w:rFonts w:cs="OpenSymbol"/>
    </w:rPr>
  </w:style>
  <w:style w:type="character" w:customStyle="1" w:styleId="ListLabel1035">
    <w:name w:val="ListLabel 1035"/>
    <w:qFormat/>
    <w:rPr>
      <w:rFonts w:cs="OpenSymbol"/>
    </w:rPr>
  </w:style>
  <w:style w:type="character" w:customStyle="1" w:styleId="ListLabel1036">
    <w:name w:val="ListLabel 1036"/>
    <w:qFormat/>
    <w:rPr>
      <w:rFonts w:cs="OpenSymbol"/>
    </w:rPr>
  </w:style>
  <w:style w:type="character" w:customStyle="1" w:styleId="ListLabel1037">
    <w:name w:val="ListLabel 1037"/>
    <w:qFormat/>
    <w:rPr>
      <w:rFonts w:cs="OpenSymbol"/>
    </w:rPr>
  </w:style>
  <w:style w:type="character" w:customStyle="1" w:styleId="ListLabel1038">
    <w:name w:val="ListLabel 1038"/>
    <w:qFormat/>
    <w:rPr>
      <w:rFonts w:cs="OpenSymbol"/>
    </w:rPr>
  </w:style>
  <w:style w:type="character" w:customStyle="1" w:styleId="ListLabel1039">
    <w:name w:val="ListLabel 1039"/>
    <w:qFormat/>
    <w:rPr>
      <w:rFonts w:cs="OpenSymbol"/>
    </w:rPr>
  </w:style>
  <w:style w:type="character" w:customStyle="1" w:styleId="ListLabel1040">
    <w:name w:val="ListLabel 1040"/>
    <w:qFormat/>
    <w:rPr>
      <w:rFonts w:cs="OpenSymbol"/>
    </w:rPr>
  </w:style>
  <w:style w:type="character" w:customStyle="1" w:styleId="ListLabel1041">
    <w:name w:val="ListLabel 1041"/>
    <w:qFormat/>
    <w:rPr>
      <w:rFonts w:cs="OpenSymbol"/>
    </w:rPr>
  </w:style>
  <w:style w:type="character" w:customStyle="1" w:styleId="ListLabel1042">
    <w:name w:val="ListLabel 1042"/>
    <w:qFormat/>
    <w:rPr>
      <w:rFonts w:cs="OpenSymbol"/>
    </w:rPr>
  </w:style>
  <w:style w:type="character" w:customStyle="1" w:styleId="ListLabel1043">
    <w:name w:val="ListLabel 1043"/>
    <w:qFormat/>
    <w:rPr>
      <w:rFonts w:cs="OpenSymbol"/>
    </w:rPr>
  </w:style>
  <w:style w:type="character" w:customStyle="1" w:styleId="ListLabel1044">
    <w:name w:val="ListLabel 1044"/>
    <w:qFormat/>
    <w:rPr>
      <w:rFonts w:cs="OpenSymbol"/>
    </w:rPr>
  </w:style>
  <w:style w:type="character" w:customStyle="1" w:styleId="ListLabel1045">
    <w:name w:val="ListLabel 1045"/>
    <w:qFormat/>
    <w:rPr>
      <w:rFonts w:cs="OpenSymbol"/>
    </w:rPr>
  </w:style>
  <w:style w:type="character" w:customStyle="1" w:styleId="ListLabel1046">
    <w:name w:val="ListLabel 1046"/>
    <w:qFormat/>
    <w:rPr>
      <w:rFonts w:cs="OpenSymbol"/>
    </w:rPr>
  </w:style>
  <w:style w:type="character" w:customStyle="1" w:styleId="ListLabel1047">
    <w:name w:val="ListLabel 1047"/>
    <w:qFormat/>
    <w:rPr>
      <w:rFonts w:cs="OpenSymbol"/>
    </w:rPr>
  </w:style>
  <w:style w:type="character" w:customStyle="1" w:styleId="ListLabel1048">
    <w:name w:val="ListLabel 1048"/>
    <w:qFormat/>
    <w:rPr>
      <w:rFonts w:cs="OpenSymbol"/>
    </w:rPr>
  </w:style>
  <w:style w:type="character" w:customStyle="1" w:styleId="ListLabel1049">
    <w:name w:val="ListLabel 1049"/>
    <w:qFormat/>
    <w:rPr>
      <w:rFonts w:cs="OpenSymbol"/>
    </w:rPr>
  </w:style>
  <w:style w:type="character" w:customStyle="1" w:styleId="ListLabel1050">
    <w:name w:val="ListLabel 1050"/>
    <w:qFormat/>
    <w:rPr>
      <w:rFonts w:cs="OpenSymbol"/>
    </w:rPr>
  </w:style>
  <w:style w:type="character" w:customStyle="1" w:styleId="ListLabel1051">
    <w:name w:val="ListLabel 1051"/>
    <w:qFormat/>
    <w:rPr>
      <w:rFonts w:cs="OpenSymbol"/>
    </w:rPr>
  </w:style>
  <w:style w:type="character" w:customStyle="1" w:styleId="ListLabel1052">
    <w:name w:val="ListLabel 1052"/>
    <w:qFormat/>
    <w:rPr>
      <w:rFonts w:cs="OpenSymbol"/>
    </w:rPr>
  </w:style>
  <w:style w:type="character" w:customStyle="1" w:styleId="ListLabel1053">
    <w:name w:val="ListLabel 1053"/>
    <w:qFormat/>
    <w:rPr>
      <w:rFonts w:cs="OpenSymbol"/>
    </w:rPr>
  </w:style>
  <w:style w:type="character" w:customStyle="1" w:styleId="ListLabel1054">
    <w:name w:val="ListLabel 1054"/>
    <w:qFormat/>
    <w:rPr>
      <w:rFonts w:cs="OpenSymbol"/>
    </w:rPr>
  </w:style>
  <w:style w:type="character" w:customStyle="1" w:styleId="ListLabel1055">
    <w:name w:val="ListLabel 1055"/>
    <w:qFormat/>
    <w:rPr>
      <w:rFonts w:cs="OpenSymbol"/>
    </w:rPr>
  </w:style>
  <w:style w:type="character" w:customStyle="1" w:styleId="ListLabel1056">
    <w:name w:val="ListLabel 1056"/>
    <w:qFormat/>
    <w:rPr>
      <w:rFonts w:cs="OpenSymbol"/>
    </w:rPr>
  </w:style>
  <w:style w:type="character" w:customStyle="1" w:styleId="ListLabel1057">
    <w:name w:val="ListLabel 1057"/>
    <w:qFormat/>
    <w:rPr>
      <w:rFonts w:cs="OpenSymbol"/>
    </w:rPr>
  </w:style>
  <w:style w:type="character" w:customStyle="1" w:styleId="ListLabel1058">
    <w:name w:val="ListLabel 1058"/>
    <w:qFormat/>
    <w:rPr>
      <w:rFonts w:cs="OpenSymbol"/>
    </w:rPr>
  </w:style>
  <w:style w:type="character" w:customStyle="1" w:styleId="ListLabel1059">
    <w:name w:val="ListLabel 1059"/>
    <w:qFormat/>
    <w:rPr>
      <w:rFonts w:cs="OpenSymbol"/>
    </w:rPr>
  </w:style>
  <w:style w:type="character" w:customStyle="1" w:styleId="ListLabel1060">
    <w:name w:val="ListLabel 1060"/>
    <w:qFormat/>
    <w:rPr>
      <w:rFonts w:cs="OpenSymbol"/>
    </w:rPr>
  </w:style>
  <w:style w:type="character" w:customStyle="1" w:styleId="ListLabel1061">
    <w:name w:val="ListLabel 1061"/>
    <w:qFormat/>
    <w:rPr>
      <w:rFonts w:cs="OpenSymbol"/>
    </w:rPr>
  </w:style>
  <w:style w:type="character" w:customStyle="1" w:styleId="ListLabel1062">
    <w:name w:val="ListLabel 1062"/>
    <w:qFormat/>
    <w:rPr>
      <w:rFonts w:cs="OpenSymbol"/>
    </w:rPr>
  </w:style>
  <w:style w:type="character" w:customStyle="1" w:styleId="ListLabel1063">
    <w:name w:val="ListLabel 1063"/>
    <w:qFormat/>
    <w:rPr>
      <w:rFonts w:cs="OpenSymbol"/>
    </w:rPr>
  </w:style>
  <w:style w:type="character" w:customStyle="1" w:styleId="ListLabel1064">
    <w:name w:val="ListLabel 1064"/>
    <w:qFormat/>
    <w:rPr>
      <w:rFonts w:cs="OpenSymbol"/>
    </w:rPr>
  </w:style>
  <w:style w:type="character" w:customStyle="1" w:styleId="ListLabel1065">
    <w:name w:val="ListLabel 1065"/>
    <w:qFormat/>
    <w:rPr>
      <w:rFonts w:cs="OpenSymbol"/>
    </w:rPr>
  </w:style>
  <w:style w:type="character" w:customStyle="1" w:styleId="ListLabel1066">
    <w:name w:val="ListLabel 1066"/>
    <w:qFormat/>
    <w:rPr>
      <w:rFonts w:cs="OpenSymbol"/>
    </w:rPr>
  </w:style>
  <w:style w:type="character" w:customStyle="1" w:styleId="ListLabel1067">
    <w:name w:val="ListLabel 1067"/>
    <w:qFormat/>
    <w:rPr>
      <w:rFonts w:cs="OpenSymbol"/>
    </w:rPr>
  </w:style>
  <w:style w:type="character" w:customStyle="1" w:styleId="ListLabel1068">
    <w:name w:val="ListLabel 1068"/>
    <w:qFormat/>
    <w:rPr>
      <w:rFonts w:cs="OpenSymbol"/>
    </w:rPr>
  </w:style>
  <w:style w:type="character" w:customStyle="1" w:styleId="ListLabel1069">
    <w:name w:val="ListLabel 1069"/>
    <w:qFormat/>
    <w:rPr>
      <w:rFonts w:cs="OpenSymbol"/>
    </w:rPr>
  </w:style>
  <w:style w:type="character" w:customStyle="1" w:styleId="ListLabel1070">
    <w:name w:val="ListLabel 1070"/>
    <w:qFormat/>
    <w:rPr>
      <w:rFonts w:cs="OpenSymbol"/>
    </w:rPr>
  </w:style>
  <w:style w:type="character" w:customStyle="1" w:styleId="ListLabel1071">
    <w:name w:val="ListLabel 1071"/>
    <w:qFormat/>
    <w:rPr>
      <w:rFonts w:cs="OpenSymbol"/>
    </w:rPr>
  </w:style>
  <w:style w:type="character" w:customStyle="1" w:styleId="ListLabel1072">
    <w:name w:val="ListLabel 1072"/>
    <w:qFormat/>
    <w:rPr>
      <w:rFonts w:cs="OpenSymbol"/>
    </w:rPr>
  </w:style>
  <w:style w:type="character" w:customStyle="1" w:styleId="ListLabel1073">
    <w:name w:val="ListLabel 1073"/>
    <w:qFormat/>
    <w:rPr>
      <w:rFonts w:cs="OpenSymbol"/>
    </w:rPr>
  </w:style>
  <w:style w:type="character" w:customStyle="1" w:styleId="ListLabel1074">
    <w:name w:val="ListLabel 1074"/>
    <w:qFormat/>
    <w:rPr>
      <w:rFonts w:cs="OpenSymbol"/>
    </w:rPr>
  </w:style>
  <w:style w:type="character" w:customStyle="1" w:styleId="ListLabel1075">
    <w:name w:val="ListLabel 1075"/>
    <w:qFormat/>
    <w:rPr>
      <w:rFonts w:cs="OpenSymbol"/>
    </w:rPr>
  </w:style>
  <w:style w:type="character" w:customStyle="1" w:styleId="ListLabel1076">
    <w:name w:val="ListLabel 1076"/>
    <w:qFormat/>
    <w:rPr>
      <w:rFonts w:cs="OpenSymbol"/>
    </w:rPr>
  </w:style>
  <w:style w:type="character" w:customStyle="1" w:styleId="ListLabel1077">
    <w:name w:val="ListLabel 1077"/>
    <w:qFormat/>
    <w:rPr>
      <w:rFonts w:cs="OpenSymbol"/>
    </w:rPr>
  </w:style>
  <w:style w:type="character" w:customStyle="1" w:styleId="ListLabel1078">
    <w:name w:val="ListLabel 1078"/>
    <w:qFormat/>
    <w:rPr>
      <w:rFonts w:cs="OpenSymbol"/>
    </w:rPr>
  </w:style>
  <w:style w:type="character" w:customStyle="1" w:styleId="ListLabel1079">
    <w:name w:val="ListLabel 1079"/>
    <w:qFormat/>
    <w:rPr>
      <w:rFonts w:cs="OpenSymbol"/>
    </w:rPr>
  </w:style>
  <w:style w:type="character" w:customStyle="1" w:styleId="ListLabel1080">
    <w:name w:val="ListLabel 1080"/>
    <w:qFormat/>
    <w:rPr>
      <w:rFonts w:cs="OpenSymbol"/>
    </w:rPr>
  </w:style>
  <w:style w:type="character" w:customStyle="1" w:styleId="ListLabel1081">
    <w:name w:val="ListLabel 1081"/>
    <w:qFormat/>
    <w:rPr>
      <w:rFonts w:cs="OpenSymbol"/>
    </w:rPr>
  </w:style>
  <w:style w:type="character" w:customStyle="1" w:styleId="ListLabel1082">
    <w:name w:val="ListLabel 1082"/>
    <w:qFormat/>
    <w:rPr>
      <w:rFonts w:cs="OpenSymbol"/>
    </w:rPr>
  </w:style>
  <w:style w:type="character" w:customStyle="1" w:styleId="ListLabel1083">
    <w:name w:val="ListLabel 1083"/>
    <w:qFormat/>
    <w:rPr>
      <w:rFonts w:cs="OpenSymbol"/>
    </w:rPr>
  </w:style>
  <w:style w:type="character" w:customStyle="1" w:styleId="ListLabel1084">
    <w:name w:val="ListLabel 1084"/>
    <w:qFormat/>
    <w:rPr>
      <w:rFonts w:cs="OpenSymbol"/>
    </w:rPr>
  </w:style>
  <w:style w:type="character" w:customStyle="1" w:styleId="ListLabel1085">
    <w:name w:val="ListLabel 1085"/>
    <w:qFormat/>
    <w:rPr>
      <w:rFonts w:cs="OpenSymbol"/>
    </w:rPr>
  </w:style>
  <w:style w:type="character" w:customStyle="1" w:styleId="ListLabel1086">
    <w:name w:val="ListLabel 1086"/>
    <w:qFormat/>
    <w:rPr>
      <w:rFonts w:cs="OpenSymbol"/>
    </w:rPr>
  </w:style>
  <w:style w:type="character" w:customStyle="1" w:styleId="ListLabel1087">
    <w:name w:val="ListLabel 1087"/>
    <w:qFormat/>
    <w:rPr>
      <w:rFonts w:cs="OpenSymbol"/>
    </w:rPr>
  </w:style>
  <w:style w:type="character" w:customStyle="1" w:styleId="ListLabel1088">
    <w:name w:val="ListLabel 1088"/>
    <w:qFormat/>
    <w:rPr>
      <w:rFonts w:cs="OpenSymbol"/>
    </w:rPr>
  </w:style>
  <w:style w:type="character" w:customStyle="1" w:styleId="ListLabel1089">
    <w:name w:val="ListLabel 1089"/>
    <w:qFormat/>
    <w:rPr>
      <w:rFonts w:cs="OpenSymbol"/>
    </w:rPr>
  </w:style>
  <w:style w:type="character" w:customStyle="1" w:styleId="ListLabel1090">
    <w:name w:val="ListLabel 1090"/>
    <w:qFormat/>
    <w:rPr>
      <w:rFonts w:cs="OpenSymbol"/>
    </w:rPr>
  </w:style>
  <w:style w:type="character" w:customStyle="1" w:styleId="ListLabel1091">
    <w:name w:val="ListLabel 1091"/>
    <w:qFormat/>
    <w:rPr>
      <w:rFonts w:cs="OpenSymbol"/>
    </w:rPr>
  </w:style>
  <w:style w:type="character" w:customStyle="1" w:styleId="ListLabel1092">
    <w:name w:val="ListLabel 1092"/>
    <w:qFormat/>
    <w:rPr>
      <w:rFonts w:cs="OpenSymbol"/>
    </w:rPr>
  </w:style>
  <w:style w:type="character" w:customStyle="1" w:styleId="ListLabel1093">
    <w:name w:val="ListLabel 1093"/>
    <w:qFormat/>
    <w:rPr>
      <w:rFonts w:cs="OpenSymbol"/>
    </w:rPr>
  </w:style>
  <w:style w:type="character" w:customStyle="1" w:styleId="ListLabel1094">
    <w:name w:val="ListLabel 1094"/>
    <w:qFormat/>
    <w:rPr>
      <w:rFonts w:cs="OpenSymbol"/>
    </w:rPr>
  </w:style>
  <w:style w:type="character" w:customStyle="1" w:styleId="ListLabel1095">
    <w:name w:val="ListLabel 1095"/>
    <w:qFormat/>
    <w:rPr>
      <w:rFonts w:cs="OpenSymbol"/>
    </w:rPr>
  </w:style>
  <w:style w:type="character" w:customStyle="1" w:styleId="ListLabel1096">
    <w:name w:val="ListLabel 1096"/>
    <w:qFormat/>
    <w:rPr>
      <w:rFonts w:cs="OpenSymbol"/>
    </w:rPr>
  </w:style>
  <w:style w:type="character" w:customStyle="1" w:styleId="ListLabel1097">
    <w:name w:val="ListLabel 1097"/>
    <w:qFormat/>
    <w:rPr>
      <w:rFonts w:cs="OpenSymbol"/>
    </w:rPr>
  </w:style>
  <w:style w:type="character" w:customStyle="1" w:styleId="ListLabel1098">
    <w:name w:val="ListLabel 1098"/>
    <w:qFormat/>
    <w:rPr>
      <w:rFonts w:cs="OpenSymbol"/>
    </w:rPr>
  </w:style>
  <w:style w:type="character" w:customStyle="1" w:styleId="ListLabel1099">
    <w:name w:val="ListLabel 1099"/>
    <w:qFormat/>
    <w:rPr>
      <w:rFonts w:cs="OpenSymbol"/>
    </w:rPr>
  </w:style>
  <w:style w:type="character" w:customStyle="1" w:styleId="ListLabel1100">
    <w:name w:val="ListLabel 1100"/>
    <w:qFormat/>
    <w:rPr>
      <w:rFonts w:cs="OpenSymbol"/>
    </w:rPr>
  </w:style>
  <w:style w:type="character" w:customStyle="1" w:styleId="ListLabel1101">
    <w:name w:val="ListLabel 1101"/>
    <w:qFormat/>
    <w:rPr>
      <w:rFonts w:cs="OpenSymbol"/>
    </w:rPr>
  </w:style>
  <w:style w:type="character" w:customStyle="1" w:styleId="ListLabel1102">
    <w:name w:val="ListLabel 1102"/>
    <w:qFormat/>
    <w:rPr>
      <w:rFonts w:cs="OpenSymbol"/>
    </w:rPr>
  </w:style>
  <w:style w:type="character" w:customStyle="1" w:styleId="ListLabel1103">
    <w:name w:val="ListLabel 1103"/>
    <w:qFormat/>
    <w:rPr>
      <w:rFonts w:cs="OpenSymbol"/>
    </w:rPr>
  </w:style>
  <w:style w:type="character" w:customStyle="1" w:styleId="ListLabel1104">
    <w:name w:val="ListLabel 1104"/>
    <w:qFormat/>
    <w:rPr>
      <w:rFonts w:cs="OpenSymbol"/>
    </w:rPr>
  </w:style>
  <w:style w:type="character" w:customStyle="1" w:styleId="ListLabel1105">
    <w:name w:val="ListLabel 1105"/>
    <w:qFormat/>
    <w:rPr>
      <w:rFonts w:cs="OpenSymbol"/>
    </w:rPr>
  </w:style>
  <w:style w:type="character" w:customStyle="1" w:styleId="ListLabel1106">
    <w:name w:val="ListLabel 1106"/>
    <w:qFormat/>
    <w:rPr>
      <w:rFonts w:cs="OpenSymbol"/>
    </w:rPr>
  </w:style>
  <w:style w:type="character" w:customStyle="1" w:styleId="ListLabel1107">
    <w:name w:val="ListLabel 1107"/>
    <w:qFormat/>
    <w:rPr>
      <w:rFonts w:cs="OpenSymbol"/>
    </w:rPr>
  </w:style>
  <w:style w:type="character" w:customStyle="1" w:styleId="ListLabel1108">
    <w:name w:val="ListLabel 1108"/>
    <w:qFormat/>
    <w:rPr>
      <w:rFonts w:cs="OpenSymbol"/>
    </w:rPr>
  </w:style>
  <w:style w:type="character" w:customStyle="1" w:styleId="ListLabel1109">
    <w:name w:val="ListLabel 1109"/>
    <w:qFormat/>
    <w:rPr>
      <w:rFonts w:cs="OpenSymbol"/>
    </w:rPr>
  </w:style>
  <w:style w:type="character" w:customStyle="1" w:styleId="ListLabel1110">
    <w:name w:val="ListLabel 1110"/>
    <w:qFormat/>
    <w:rPr>
      <w:rFonts w:cs="OpenSymbol"/>
    </w:rPr>
  </w:style>
  <w:style w:type="character" w:customStyle="1" w:styleId="ListLabel1111">
    <w:name w:val="ListLabel 1111"/>
    <w:qFormat/>
    <w:rPr>
      <w:rFonts w:cs="OpenSymbol"/>
    </w:rPr>
  </w:style>
  <w:style w:type="character" w:customStyle="1" w:styleId="ListLabel1112">
    <w:name w:val="ListLabel 1112"/>
    <w:qFormat/>
    <w:rPr>
      <w:rFonts w:cs="OpenSymbol"/>
    </w:rPr>
  </w:style>
  <w:style w:type="character" w:customStyle="1" w:styleId="ListLabel1113">
    <w:name w:val="ListLabel 1113"/>
    <w:qFormat/>
    <w:rPr>
      <w:rFonts w:cs="OpenSymbol"/>
    </w:rPr>
  </w:style>
  <w:style w:type="character" w:customStyle="1" w:styleId="ListLabel1114">
    <w:name w:val="ListLabel 1114"/>
    <w:qFormat/>
    <w:rPr>
      <w:rFonts w:cs="OpenSymbol"/>
    </w:rPr>
  </w:style>
  <w:style w:type="character" w:customStyle="1" w:styleId="ListLabel1115">
    <w:name w:val="ListLabel 1115"/>
    <w:qFormat/>
    <w:rPr>
      <w:rFonts w:cs="OpenSymbol"/>
    </w:rPr>
  </w:style>
  <w:style w:type="character" w:customStyle="1" w:styleId="ListLabel1116">
    <w:name w:val="ListLabel 1116"/>
    <w:qFormat/>
    <w:rPr>
      <w:rFonts w:cs="OpenSymbol"/>
    </w:rPr>
  </w:style>
  <w:style w:type="character" w:customStyle="1" w:styleId="ListLabel1117">
    <w:name w:val="ListLabel 1117"/>
    <w:qFormat/>
    <w:rPr>
      <w:rFonts w:cs="OpenSymbol"/>
    </w:rPr>
  </w:style>
  <w:style w:type="character" w:customStyle="1" w:styleId="ListLabel1118">
    <w:name w:val="ListLabel 1118"/>
    <w:qFormat/>
    <w:rPr>
      <w:rFonts w:cs="OpenSymbol"/>
    </w:rPr>
  </w:style>
  <w:style w:type="character" w:customStyle="1" w:styleId="ListLabel1119">
    <w:name w:val="ListLabel 1119"/>
    <w:qFormat/>
    <w:rPr>
      <w:rFonts w:cs="OpenSymbol"/>
    </w:rPr>
  </w:style>
  <w:style w:type="character" w:customStyle="1" w:styleId="ListLabel1120">
    <w:name w:val="ListLabel 1120"/>
    <w:qFormat/>
    <w:rPr>
      <w:rFonts w:cs="OpenSymbol"/>
    </w:rPr>
  </w:style>
  <w:style w:type="character" w:customStyle="1" w:styleId="ListLabel1121">
    <w:name w:val="ListLabel 1121"/>
    <w:qFormat/>
    <w:rPr>
      <w:rFonts w:cs="OpenSymbol"/>
    </w:rPr>
  </w:style>
  <w:style w:type="character" w:customStyle="1" w:styleId="ListLabel1122">
    <w:name w:val="ListLabel 1122"/>
    <w:qFormat/>
    <w:rPr>
      <w:rFonts w:cs="OpenSymbol"/>
    </w:rPr>
  </w:style>
  <w:style w:type="character" w:customStyle="1" w:styleId="ListLabel1123">
    <w:name w:val="ListLabel 1123"/>
    <w:qFormat/>
    <w:rPr>
      <w:rFonts w:cs="OpenSymbol"/>
    </w:rPr>
  </w:style>
  <w:style w:type="character" w:customStyle="1" w:styleId="ListLabel1124">
    <w:name w:val="ListLabel 1124"/>
    <w:qFormat/>
    <w:rPr>
      <w:rFonts w:cs="OpenSymbol"/>
    </w:rPr>
  </w:style>
  <w:style w:type="character" w:customStyle="1" w:styleId="ListLabel1125">
    <w:name w:val="ListLabel 1125"/>
    <w:qFormat/>
    <w:rPr>
      <w:rFonts w:cs="OpenSymbol"/>
    </w:rPr>
  </w:style>
  <w:style w:type="character" w:customStyle="1" w:styleId="ListLabel1126">
    <w:name w:val="ListLabel 1126"/>
    <w:qFormat/>
    <w:rPr>
      <w:rFonts w:cs="OpenSymbol"/>
    </w:rPr>
  </w:style>
  <w:style w:type="character" w:customStyle="1" w:styleId="ListLabel1127">
    <w:name w:val="ListLabel 1127"/>
    <w:qFormat/>
    <w:rPr>
      <w:rFonts w:cs="OpenSymbol"/>
    </w:rPr>
  </w:style>
  <w:style w:type="character" w:customStyle="1" w:styleId="ListLabel1128">
    <w:name w:val="ListLabel 1128"/>
    <w:qFormat/>
    <w:rPr>
      <w:rFonts w:cs="OpenSymbol"/>
    </w:rPr>
  </w:style>
  <w:style w:type="character" w:customStyle="1" w:styleId="ListLabel1129">
    <w:name w:val="ListLabel 1129"/>
    <w:qFormat/>
    <w:rPr>
      <w:rFonts w:cs="OpenSymbol"/>
    </w:rPr>
  </w:style>
  <w:style w:type="character" w:customStyle="1" w:styleId="ListLabel1130">
    <w:name w:val="ListLabel 1130"/>
    <w:qFormat/>
    <w:rPr>
      <w:rFonts w:cs="OpenSymbol"/>
    </w:rPr>
  </w:style>
  <w:style w:type="character" w:customStyle="1" w:styleId="ListLabel1131">
    <w:name w:val="ListLabel 1131"/>
    <w:qFormat/>
    <w:rPr>
      <w:rFonts w:eastAsia="Calibri"/>
      <w:color w:val="000000"/>
      <w:sz w:val="28"/>
      <w:u w:val="none"/>
    </w:rPr>
  </w:style>
  <w:style w:type="character" w:customStyle="1" w:styleId="ListLabel1132">
    <w:name w:val="ListLabel 1132"/>
    <w:qFormat/>
    <w:rPr>
      <w:rFonts w:eastAsia="Calibri"/>
      <w:color w:val="000000"/>
      <w:sz w:val="28"/>
      <w:u w:val="none"/>
      <w:lang w:val="en-US"/>
    </w:rPr>
  </w:style>
  <w:style w:type="character" w:customStyle="1" w:styleId="ListLabel1133">
    <w:name w:val="ListLabel 1133"/>
    <w:qFormat/>
    <w:rPr>
      <w:rFonts w:eastAsia="Calibri"/>
      <w:color w:val="000000"/>
      <w:sz w:val="28"/>
      <w:u w:val="none"/>
      <w:lang w:val="uk-UA"/>
    </w:rPr>
  </w:style>
  <w:style w:type="character" w:customStyle="1" w:styleId="ListLabel1134">
    <w:name w:val="ListLabel 1134"/>
    <w:qFormat/>
    <w:rPr>
      <w:color w:val="000000"/>
      <w:sz w:val="28"/>
      <w:u w:val="none"/>
    </w:rPr>
  </w:style>
  <w:style w:type="character" w:customStyle="1" w:styleId="ListLabel1135">
    <w:name w:val="ListLabel 1135"/>
    <w:qFormat/>
    <w:rPr>
      <w:rFonts w:eastAsia="Calibri"/>
      <w:color w:val="C9211E"/>
      <w:sz w:val="28"/>
    </w:rPr>
  </w:style>
  <w:style w:type="character" w:customStyle="1" w:styleId="ListLabel1136">
    <w:name w:val="ListLabel 1136"/>
    <w:qFormat/>
    <w:rPr>
      <w:rFonts w:eastAsia="Calibri" w:cs="Times New Roman"/>
      <w:b/>
      <w:bCs/>
      <w:kern w:val="2"/>
      <w:sz w:val="28"/>
      <w:szCs w:val="28"/>
      <w:lang w:val="uk-UA" w:eastAsia="ru-RU"/>
    </w:rPr>
  </w:style>
  <w:style w:type="character" w:customStyle="1" w:styleId="ListLabel1137">
    <w:name w:val="ListLabel 1137"/>
    <w:qFormat/>
    <w:rPr>
      <w:rFonts w:eastAsia="Calibri"/>
      <w:b/>
      <w:bCs/>
      <w:color w:val="000000"/>
      <w:sz w:val="28"/>
      <w:u w:val="none"/>
      <w:lang w:val="en-US"/>
    </w:rPr>
  </w:style>
  <w:style w:type="character" w:customStyle="1" w:styleId="ListLabel1138">
    <w:name w:val="ListLabel 1138"/>
    <w:qFormat/>
    <w:rPr>
      <w:b w:val="0"/>
      <w:bCs w:val="0"/>
      <w:color w:val="FF8000"/>
      <w:sz w:val="28"/>
      <w:szCs w:val="28"/>
      <w:highlight w:val="yellow"/>
      <w:lang w:val="ru-RU"/>
    </w:rPr>
  </w:style>
  <w:style w:type="character" w:customStyle="1" w:styleId="ListLabel1139">
    <w:name w:val="ListLabel 1139"/>
    <w:qFormat/>
    <w:rPr>
      <w:b w:val="0"/>
      <w:bCs w:val="0"/>
      <w:i w:val="0"/>
      <w:caps w:val="0"/>
      <w:smallCaps w:val="0"/>
      <w:color w:val="158466"/>
      <w:spacing w:val="0"/>
      <w:sz w:val="28"/>
      <w:szCs w:val="28"/>
      <w:highlight w:val="yellow"/>
      <w:lang w:val="uk-UA"/>
    </w:rPr>
  </w:style>
  <w:style w:type="character" w:customStyle="1" w:styleId="ListLabel1140">
    <w:name w:val="ListLabel 1140"/>
    <w:qFormat/>
    <w:rPr>
      <w:rFonts w:eastAsia="Times New Roman" w:cs="Times New Roman"/>
      <w:b w:val="0"/>
      <w:bCs w:val="0"/>
      <w:i w:val="0"/>
      <w:caps w:val="0"/>
      <w:smallCaps w:val="0"/>
      <w:strike w:val="0"/>
      <w:dstrike w:val="0"/>
      <w:color w:val="000000"/>
      <w:spacing w:val="0"/>
      <w:kern w:val="2"/>
      <w:sz w:val="28"/>
      <w:szCs w:val="28"/>
      <w:highlight w:val="yellow"/>
      <w:u w:val="none"/>
      <w:effect w:val="none"/>
      <w:lang w:val="uk-UA"/>
    </w:rPr>
  </w:style>
  <w:style w:type="character" w:customStyle="1" w:styleId="ListLabel1141">
    <w:name w:val="ListLabel 1141"/>
    <w:qFormat/>
    <w:rPr>
      <w:rFonts w:eastAsia="Times New Roman" w:cs="Times New Roman"/>
      <w:b w:val="0"/>
      <w:bCs w:val="0"/>
      <w:i w:val="0"/>
      <w:caps w:val="0"/>
      <w:smallCaps w:val="0"/>
      <w:strike w:val="0"/>
      <w:dstrike w:val="0"/>
      <w:color w:val="2C2C2C"/>
      <w:spacing w:val="0"/>
      <w:kern w:val="2"/>
      <w:sz w:val="28"/>
      <w:szCs w:val="28"/>
      <w:highlight w:val="yellow"/>
      <w:u w:val="none"/>
      <w:effect w:val="none"/>
      <w:lang w:val="en-US"/>
    </w:rPr>
  </w:style>
  <w:style w:type="character" w:customStyle="1" w:styleId="ListLabel1142">
    <w:name w:val="ListLabel 1142"/>
    <w:qFormat/>
  </w:style>
  <w:style w:type="character" w:customStyle="1" w:styleId="ListLabel1143">
    <w:name w:val="ListLabel 1143"/>
    <w:qFormat/>
  </w:style>
  <w:style w:type="character" w:customStyle="1" w:styleId="ListLabel1144">
    <w:name w:val="ListLabel 1144"/>
    <w:qFormat/>
    <w:rPr>
      <w:rFonts w:eastAsia="Times New Roman" w:cs="Times New Roman"/>
      <w:b w:val="0"/>
      <w:bCs w:val="0"/>
      <w:i w:val="0"/>
      <w:caps w:val="0"/>
      <w:smallCaps w:val="0"/>
      <w:strike w:val="0"/>
      <w:dstrike w:val="0"/>
      <w:color w:val="3366CC"/>
      <w:spacing w:val="0"/>
      <w:kern w:val="2"/>
      <w:sz w:val="28"/>
      <w:szCs w:val="28"/>
      <w:highlight w:val="white"/>
      <w:u w:val="none"/>
      <w:effect w:val="none"/>
      <w:lang w:val="uk-UA" w:eastAsia="ru-RU"/>
    </w:rPr>
  </w:style>
  <w:style w:type="character" w:customStyle="1" w:styleId="ListLabel1145">
    <w:name w:val="ListLabel 1145"/>
    <w:qFormat/>
    <w:rPr>
      <w:sz w:val="28"/>
      <w:szCs w:val="28"/>
      <w:lang w:val="uk-UA"/>
    </w:rPr>
  </w:style>
  <w:style w:type="character" w:customStyle="1" w:styleId="ListLabel1146">
    <w:name w:val="ListLabel 1146"/>
    <w:qFormat/>
    <w:rPr>
      <w:b/>
      <w:bCs/>
      <w:color w:val="FF8000"/>
      <w:sz w:val="28"/>
      <w:szCs w:val="28"/>
      <w:highlight w:val="yellow"/>
      <w:lang w:val="ru-RU"/>
    </w:rPr>
  </w:style>
  <w:style w:type="character" w:customStyle="1" w:styleId="ListLabel1147">
    <w:name w:val="ListLabel 1147"/>
    <w:qFormat/>
    <w:rPr>
      <w:rFonts w:cs="OpenSymbol"/>
      <w:b w:val="0"/>
      <w:sz w:val="28"/>
    </w:rPr>
  </w:style>
  <w:style w:type="character" w:customStyle="1" w:styleId="ListLabel1148">
    <w:name w:val="ListLabel 1148"/>
    <w:qFormat/>
    <w:rPr>
      <w:rFonts w:cs="OpenSymbol"/>
    </w:rPr>
  </w:style>
  <w:style w:type="character" w:customStyle="1" w:styleId="ListLabel1149">
    <w:name w:val="ListLabel 1149"/>
    <w:qFormat/>
    <w:rPr>
      <w:rFonts w:cs="OpenSymbol"/>
    </w:rPr>
  </w:style>
  <w:style w:type="character" w:customStyle="1" w:styleId="ListLabel1150">
    <w:name w:val="ListLabel 1150"/>
    <w:qFormat/>
    <w:rPr>
      <w:rFonts w:cs="OpenSymbol"/>
    </w:rPr>
  </w:style>
  <w:style w:type="character" w:customStyle="1" w:styleId="ListLabel1151">
    <w:name w:val="ListLabel 1151"/>
    <w:qFormat/>
    <w:rPr>
      <w:rFonts w:cs="OpenSymbol"/>
    </w:rPr>
  </w:style>
  <w:style w:type="character" w:customStyle="1" w:styleId="ListLabel1152">
    <w:name w:val="ListLabel 1152"/>
    <w:qFormat/>
    <w:rPr>
      <w:rFonts w:cs="OpenSymbol"/>
    </w:rPr>
  </w:style>
  <w:style w:type="character" w:customStyle="1" w:styleId="ListLabel1153">
    <w:name w:val="ListLabel 1153"/>
    <w:qFormat/>
    <w:rPr>
      <w:rFonts w:cs="OpenSymbol"/>
    </w:rPr>
  </w:style>
  <w:style w:type="character" w:customStyle="1" w:styleId="ListLabel1154">
    <w:name w:val="ListLabel 1154"/>
    <w:qFormat/>
    <w:rPr>
      <w:rFonts w:cs="OpenSymbol"/>
    </w:rPr>
  </w:style>
  <w:style w:type="character" w:customStyle="1" w:styleId="ListLabel1155">
    <w:name w:val="ListLabel 1155"/>
    <w:qFormat/>
    <w:rPr>
      <w:rFonts w:cs="OpenSymbol"/>
    </w:rPr>
  </w:style>
  <w:style w:type="character" w:customStyle="1" w:styleId="ListLabel1156">
    <w:name w:val="ListLabel 1156"/>
    <w:qFormat/>
    <w:rPr>
      <w:rFonts w:cs="OpenSymbol"/>
      <w:b w:val="0"/>
      <w:sz w:val="28"/>
    </w:rPr>
  </w:style>
  <w:style w:type="character" w:customStyle="1" w:styleId="ListLabel1157">
    <w:name w:val="ListLabel 1157"/>
    <w:qFormat/>
    <w:rPr>
      <w:rFonts w:cs="OpenSymbol"/>
    </w:rPr>
  </w:style>
  <w:style w:type="character" w:customStyle="1" w:styleId="ListLabel1158">
    <w:name w:val="ListLabel 1158"/>
    <w:qFormat/>
    <w:rPr>
      <w:rFonts w:cs="OpenSymbol"/>
    </w:rPr>
  </w:style>
  <w:style w:type="character" w:customStyle="1" w:styleId="ListLabel1159">
    <w:name w:val="ListLabel 1159"/>
    <w:qFormat/>
    <w:rPr>
      <w:rFonts w:cs="OpenSymbol"/>
    </w:rPr>
  </w:style>
  <w:style w:type="character" w:customStyle="1" w:styleId="ListLabel1160">
    <w:name w:val="ListLabel 1160"/>
    <w:qFormat/>
    <w:rPr>
      <w:rFonts w:cs="OpenSymbol"/>
    </w:rPr>
  </w:style>
  <w:style w:type="character" w:customStyle="1" w:styleId="ListLabel1161">
    <w:name w:val="ListLabel 1161"/>
    <w:qFormat/>
    <w:rPr>
      <w:rFonts w:cs="OpenSymbol"/>
    </w:rPr>
  </w:style>
  <w:style w:type="character" w:customStyle="1" w:styleId="ListLabel1162">
    <w:name w:val="ListLabel 1162"/>
    <w:qFormat/>
    <w:rPr>
      <w:rFonts w:cs="OpenSymbol"/>
    </w:rPr>
  </w:style>
  <w:style w:type="character" w:customStyle="1" w:styleId="ListLabel1163">
    <w:name w:val="ListLabel 1163"/>
    <w:qFormat/>
    <w:rPr>
      <w:rFonts w:cs="OpenSymbol"/>
    </w:rPr>
  </w:style>
  <w:style w:type="character" w:customStyle="1" w:styleId="ListLabel1164">
    <w:name w:val="ListLabel 1164"/>
    <w:qFormat/>
    <w:rPr>
      <w:rFonts w:cs="OpenSymbol"/>
    </w:rPr>
  </w:style>
  <w:style w:type="character" w:customStyle="1" w:styleId="ListLabel1165">
    <w:name w:val="ListLabel 1165"/>
    <w:qFormat/>
    <w:rPr>
      <w:rFonts w:cs="OpenSymbol"/>
      <w:b w:val="0"/>
      <w:sz w:val="28"/>
    </w:rPr>
  </w:style>
  <w:style w:type="character" w:customStyle="1" w:styleId="ListLabel1166">
    <w:name w:val="ListLabel 1166"/>
    <w:qFormat/>
    <w:rPr>
      <w:rFonts w:cs="OpenSymbol"/>
    </w:rPr>
  </w:style>
  <w:style w:type="character" w:customStyle="1" w:styleId="ListLabel1167">
    <w:name w:val="ListLabel 1167"/>
    <w:qFormat/>
    <w:rPr>
      <w:rFonts w:cs="OpenSymbol"/>
    </w:rPr>
  </w:style>
  <w:style w:type="character" w:customStyle="1" w:styleId="ListLabel1168">
    <w:name w:val="ListLabel 1168"/>
    <w:qFormat/>
    <w:rPr>
      <w:rFonts w:cs="OpenSymbol"/>
    </w:rPr>
  </w:style>
  <w:style w:type="character" w:customStyle="1" w:styleId="ListLabel1169">
    <w:name w:val="ListLabel 1169"/>
    <w:qFormat/>
    <w:rPr>
      <w:rFonts w:cs="OpenSymbol"/>
    </w:rPr>
  </w:style>
  <w:style w:type="character" w:customStyle="1" w:styleId="ListLabel1170">
    <w:name w:val="ListLabel 1170"/>
    <w:qFormat/>
    <w:rPr>
      <w:rFonts w:cs="OpenSymbol"/>
    </w:rPr>
  </w:style>
  <w:style w:type="character" w:customStyle="1" w:styleId="ListLabel1171">
    <w:name w:val="ListLabel 1171"/>
    <w:qFormat/>
    <w:rPr>
      <w:rFonts w:cs="OpenSymbol"/>
    </w:rPr>
  </w:style>
  <w:style w:type="character" w:customStyle="1" w:styleId="ListLabel1172">
    <w:name w:val="ListLabel 1172"/>
    <w:qFormat/>
    <w:rPr>
      <w:rFonts w:cs="OpenSymbol"/>
    </w:rPr>
  </w:style>
  <w:style w:type="character" w:customStyle="1" w:styleId="ListLabel1173">
    <w:name w:val="ListLabel 1173"/>
    <w:qFormat/>
    <w:rPr>
      <w:rFonts w:cs="OpenSymbol"/>
    </w:rPr>
  </w:style>
  <w:style w:type="character" w:customStyle="1" w:styleId="ListLabel1174">
    <w:name w:val="ListLabel 1174"/>
    <w:qFormat/>
    <w:rPr>
      <w:rFonts w:cs="OpenSymbol"/>
    </w:rPr>
  </w:style>
  <w:style w:type="character" w:customStyle="1" w:styleId="ListLabel1175">
    <w:name w:val="ListLabel 1175"/>
    <w:qFormat/>
    <w:rPr>
      <w:rFonts w:cs="OpenSymbol"/>
    </w:rPr>
  </w:style>
  <w:style w:type="character" w:customStyle="1" w:styleId="ListLabel1176">
    <w:name w:val="ListLabel 1176"/>
    <w:qFormat/>
    <w:rPr>
      <w:rFonts w:cs="OpenSymbol"/>
    </w:rPr>
  </w:style>
  <w:style w:type="character" w:customStyle="1" w:styleId="ListLabel1177">
    <w:name w:val="ListLabel 1177"/>
    <w:qFormat/>
    <w:rPr>
      <w:rFonts w:cs="OpenSymbol"/>
    </w:rPr>
  </w:style>
  <w:style w:type="character" w:customStyle="1" w:styleId="ListLabel1178">
    <w:name w:val="ListLabel 1178"/>
    <w:qFormat/>
    <w:rPr>
      <w:rFonts w:cs="OpenSymbol"/>
    </w:rPr>
  </w:style>
  <w:style w:type="character" w:customStyle="1" w:styleId="ListLabel1179">
    <w:name w:val="ListLabel 1179"/>
    <w:qFormat/>
    <w:rPr>
      <w:rFonts w:cs="OpenSymbol"/>
    </w:rPr>
  </w:style>
  <w:style w:type="character" w:customStyle="1" w:styleId="ListLabel1180">
    <w:name w:val="ListLabel 1180"/>
    <w:qFormat/>
    <w:rPr>
      <w:rFonts w:cs="OpenSymbol"/>
    </w:rPr>
  </w:style>
  <w:style w:type="character" w:customStyle="1" w:styleId="ListLabel1181">
    <w:name w:val="ListLabel 1181"/>
    <w:qFormat/>
    <w:rPr>
      <w:rFonts w:cs="OpenSymbol"/>
    </w:rPr>
  </w:style>
  <w:style w:type="character" w:customStyle="1" w:styleId="ListLabel1182">
    <w:name w:val="ListLabel 1182"/>
    <w:qFormat/>
    <w:rPr>
      <w:rFonts w:cs="OpenSymbol"/>
    </w:rPr>
  </w:style>
  <w:style w:type="character" w:customStyle="1" w:styleId="ListLabel1183">
    <w:name w:val="ListLabel 1183"/>
    <w:qFormat/>
    <w:rPr>
      <w:rFonts w:cs="OpenSymbol"/>
    </w:rPr>
  </w:style>
  <w:style w:type="character" w:customStyle="1" w:styleId="ListLabel1184">
    <w:name w:val="ListLabel 1184"/>
    <w:qFormat/>
    <w:rPr>
      <w:rFonts w:cs="OpenSymbol"/>
    </w:rPr>
  </w:style>
  <w:style w:type="character" w:customStyle="1" w:styleId="ListLabel1185">
    <w:name w:val="ListLabel 1185"/>
    <w:qFormat/>
    <w:rPr>
      <w:rFonts w:cs="OpenSymbol"/>
    </w:rPr>
  </w:style>
  <w:style w:type="character" w:customStyle="1" w:styleId="ListLabel1186">
    <w:name w:val="ListLabel 1186"/>
    <w:qFormat/>
    <w:rPr>
      <w:rFonts w:cs="OpenSymbol"/>
    </w:rPr>
  </w:style>
  <w:style w:type="character" w:customStyle="1" w:styleId="ListLabel1187">
    <w:name w:val="ListLabel 1187"/>
    <w:qFormat/>
    <w:rPr>
      <w:rFonts w:cs="OpenSymbol"/>
    </w:rPr>
  </w:style>
  <w:style w:type="character" w:customStyle="1" w:styleId="ListLabel1188">
    <w:name w:val="ListLabel 1188"/>
    <w:qFormat/>
    <w:rPr>
      <w:rFonts w:cs="OpenSymbol"/>
    </w:rPr>
  </w:style>
  <w:style w:type="character" w:customStyle="1" w:styleId="ListLabel1189">
    <w:name w:val="ListLabel 1189"/>
    <w:qFormat/>
    <w:rPr>
      <w:rFonts w:cs="OpenSymbol"/>
    </w:rPr>
  </w:style>
  <w:style w:type="character" w:customStyle="1" w:styleId="ListLabel1190">
    <w:name w:val="ListLabel 1190"/>
    <w:qFormat/>
    <w:rPr>
      <w:rFonts w:cs="OpenSymbol"/>
    </w:rPr>
  </w:style>
  <w:style w:type="character" w:customStyle="1" w:styleId="ListLabel1191">
    <w:name w:val="ListLabel 1191"/>
    <w:qFormat/>
    <w:rPr>
      <w:rFonts w:cs="OpenSymbol"/>
    </w:rPr>
  </w:style>
  <w:style w:type="character" w:customStyle="1" w:styleId="ListLabel1192">
    <w:name w:val="ListLabel 1192"/>
    <w:qFormat/>
    <w:rPr>
      <w:rFonts w:cs="OpenSymbol"/>
    </w:rPr>
  </w:style>
  <w:style w:type="character" w:customStyle="1" w:styleId="ListLabel1193">
    <w:name w:val="ListLabel 1193"/>
    <w:qFormat/>
    <w:rPr>
      <w:rFonts w:cs="OpenSymbol"/>
    </w:rPr>
  </w:style>
  <w:style w:type="character" w:customStyle="1" w:styleId="ListLabel1194">
    <w:name w:val="ListLabel 1194"/>
    <w:qFormat/>
    <w:rPr>
      <w:rFonts w:cs="OpenSymbol"/>
    </w:rPr>
  </w:style>
  <w:style w:type="character" w:customStyle="1" w:styleId="ListLabel1195">
    <w:name w:val="ListLabel 1195"/>
    <w:qFormat/>
    <w:rPr>
      <w:rFonts w:cs="OpenSymbol"/>
    </w:rPr>
  </w:style>
  <w:style w:type="character" w:customStyle="1" w:styleId="ListLabel1196">
    <w:name w:val="ListLabel 1196"/>
    <w:qFormat/>
    <w:rPr>
      <w:rFonts w:cs="OpenSymbol"/>
    </w:rPr>
  </w:style>
  <w:style w:type="character" w:customStyle="1" w:styleId="ListLabel1197">
    <w:name w:val="ListLabel 1197"/>
    <w:qFormat/>
    <w:rPr>
      <w:rFonts w:cs="OpenSymbol"/>
    </w:rPr>
  </w:style>
  <w:style w:type="character" w:customStyle="1" w:styleId="ListLabel1198">
    <w:name w:val="ListLabel 1198"/>
    <w:qFormat/>
    <w:rPr>
      <w:rFonts w:cs="OpenSymbol"/>
    </w:rPr>
  </w:style>
  <w:style w:type="character" w:customStyle="1" w:styleId="ListLabel1199">
    <w:name w:val="ListLabel 1199"/>
    <w:qFormat/>
    <w:rPr>
      <w:rFonts w:cs="OpenSymbol"/>
    </w:rPr>
  </w:style>
  <w:style w:type="character" w:customStyle="1" w:styleId="ListLabel1200">
    <w:name w:val="ListLabel 1200"/>
    <w:qFormat/>
    <w:rPr>
      <w:rFonts w:cs="OpenSymbol"/>
    </w:rPr>
  </w:style>
  <w:style w:type="character" w:customStyle="1" w:styleId="ListLabel1201">
    <w:name w:val="ListLabel 1201"/>
    <w:qFormat/>
    <w:rPr>
      <w:rFonts w:cs="OpenSymbol"/>
    </w:rPr>
  </w:style>
  <w:style w:type="character" w:customStyle="1" w:styleId="ListLabel1202">
    <w:name w:val="ListLabel 1202"/>
    <w:qFormat/>
    <w:rPr>
      <w:rFonts w:cs="OpenSymbol"/>
    </w:rPr>
  </w:style>
  <w:style w:type="character" w:customStyle="1" w:styleId="ListLabel1203">
    <w:name w:val="ListLabel 1203"/>
    <w:qFormat/>
    <w:rPr>
      <w:rFonts w:cs="OpenSymbol"/>
    </w:rPr>
  </w:style>
  <w:style w:type="character" w:customStyle="1" w:styleId="ListLabel1204">
    <w:name w:val="ListLabel 1204"/>
    <w:qFormat/>
    <w:rPr>
      <w:rFonts w:cs="OpenSymbol"/>
    </w:rPr>
  </w:style>
  <w:style w:type="character" w:customStyle="1" w:styleId="ListLabel1205">
    <w:name w:val="ListLabel 1205"/>
    <w:qFormat/>
    <w:rPr>
      <w:rFonts w:cs="OpenSymbol"/>
    </w:rPr>
  </w:style>
  <w:style w:type="character" w:customStyle="1" w:styleId="ListLabel1206">
    <w:name w:val="ListLabel 1206"/>
    <w:qFormat/>
    <w:rPr>
      <w:rFonts w:cs="OpenSymbol"/>
    </w:rPr>
  </w:style>
  <w:style w:type="character" w:customStyle="1" w:styleId="ListLabel1207">
    <w:name w:val="ListLabel 1207"/>
    <w:qFormat/>
    <w:rPr>
      <w:rFonts w:cs="OpenSymbol"/>
    </w:rPr>
  </w:style>
  <w:style w:type="character" w:customStyle="1" w:styleId="ListLabel1208">
    <w:name w:val="ListLabel 1208"/>
    <w:qFormat/>
    <w:rPr>
      <w:rFonts w:cs="OpenSymbol"/>
    </w:rPr>
  </w:style>
  <w:style w:type="character" w:customStyle="1" w:styleId="ListLabel1209">
    <w:name w:val="ListLabel 1209"/>
    <w:qFormat/>
    <w:rPr>
      <w:rFonts w:cs="OpenSymbol"/>
    </w:rPr>
  </w:style>
  <w:style w:type="character" w:customStyle="1" w:styleId="ListLabel1210">
    <w:name w:val="ListLabel 1210"/>
    <w:qFormat/>
    <w:rPr>
      <w:rFonts w:cs="OpenSymbol"/>
    </w:rPr>
  </w:style>
  <w:style w:type="character" w:customStyle="1" w:styleId="ListLabel1211">
    <w:name w:val="ListLabel 1211"/>
    <w:qFormat/>
    <w:rPr>
      <w:rFonts w:cs="OpenSymbol"/>
    </w:rPr>
  </w:style>
  <w:style w:type="character" w:customStyle="1" w:styleId="ListLabel1212">
    <w:name w:val="ListLabel 1212"/>
    <w:qFormat/>
    <w:rPr>
      <w:rFonts w:cs="OpenSymbol"/>
    </w:rPr>
  </w:style>
  <w:style w:type="character" w:customStyle="1" w:styleId="ListLabel1213">
    <w:name w:val="ListLabel 1213"/>
    <w:qFormat/>
    <w:rPr>
      <w:rFonts w:cs="OpenSymbol"/>
    </w:rPr>
  </w:style>
  <w:style w:type="character" w:customStyle="1" w:styleId="ListLabel1214">
    <w:name w:val="ListLabel 1214"/>
    <w:qFormat/>
    <w:rPr>
      <w:rFonts w:cs="OpenSymbol"/>
    </w:rPr>
  </w:style>
  <w:style w:type="character" w:customStyle="1" w:styleId="ListLabel1215">
    <w:name w:val="ListLabel 1215"/>
    <w:qFormat/>
    <w:rPr>
      <w:rFonts w:cs="OpenSymbol"/>
    </w:rPr>
  </w:style>
  <w:style w:type="character" w:customStyle="1" w:styleId="ListLabel1216">
    <w:name w:val="ListLabel 1216"/>
    <w:qFormat/>
    <w:rPr>
      <w:rFonts w:cs="OpenSymbol"/>
    </w:rPr>
  </w:style>
  <w:style w:type="character" w:customStyle="1" w:styleId="ListLabel1217">
    <w:name w:val="ListLabel 1217"/>
    <w:qFormat/>
    <w:rPr>
      <w:rFonts w:cs="OpenSymbol"/>
    </w:rPr>
  </w:style>
  <w:style w:type="character" w:customStyle="1" w:styleId="ListLabel1218">
    <w:name w:val="ListLabel 1218"/>
    <w:qFormat/>
    <w:rPr>
      <w:rFonts w:cs="OpenSymbol"/>
    </w:rPr>
  </w:style>
  <w:style w:type="character" w:customStyle="1" w:styleId="ListLabel1219">
    <w:name w:val="ListLabel 1219"/>
    <w:qFormat/>
    <w:rPr>
      <w:rFonts w:cs="OpenSymbol"/>
    </w:rPr>
  </w:style>
  <w:style w:type="character" w:customStyle="1" w:styleId="ListLabel1220">
    <w:name w:val="ListLabel 1220"/>
    <w:qFormat/>
    <w:rPr>
      <w:rFonts w:cs="OpenSymbol"/>
    </w:rPr>
  </w:style>
  <w:style w:type="character" w:customStyle="1" w:styleId="ListLabel1221">
    <w:name w:val="ListLabel 1221"/>
    <w:qFormat/>
    <w:rPr>
      <w:rFonts w:cs="OpenSymbol"/>
    </w:rPr>
  </w:style>
  <w:style w:type="character" w:customStyle="1" w:styleId="ListLabel1222">
    <w:name w:val="ListLabel 1222"/>
    <w:qFormat/>
    <w:rPr>
      <w:rFonts w:cs="OpenSymbol"/>
    </w:rPr>
  </w:style>
  <w:style w:type="character" w:customStyle="1" w:styleId="ListLabel1223">
    <w:name w:val="ListLabel 1223"/>
    <w:qFormat/>
    <w:rPr>
      <w:rFonts w:cs="OpenSymbol"/>
    </w:rPr>
  </w:style>
  <w:style w:type="character" w:customStyle="1" w:styleId="ListLabel1224">
    <w:name w:val="ListLabel 1224"/>
    <w:qFormat/>
    <w:rPr>
      <w:rFonts w:cs="OpenSymbol"/>
    </w:rPr>
  </w:style>
  <w:style w:type="character" w:customStyle="1" w:styleId="ListLabel1225">
    <w:name w:val="ListLabel 1225"/>
    <w:qFormat/>
    <w:rPr>
      <w:rFonts w:cs="OpenSymbol"/>
    </w:rPr>
  </w:style>
  <w:style w:type="character" w:customStyle="1" w:styleId="ListLabel1226">
    <w:name w:val="ListLabel 1226"/>
    <w:qFormat/>
    <w:rPr>
      <w:rFonts w:cs="OpenSymbol"/>
    </w:rPr>
  </w:style>
  <w:style w:type="character" w:customStyle="1" w:styleId="ListLabel1227">
    <w:name w:val="ListLabel 1227"/>
    <w:qFormat/>
    <w:rPr>
      <w:rFonts w:cs="OpenSymbol"/>
    </w:rPr>
  </w:style>
  <w:style w:type="character" w:customStyle="1" w:styleId="ListLabel1228">
    <w:name w:val="ListLabel 1228"/>
    <w:qFormat/>
    <w:rPr>
      <w:rFonts w:cs="OpenSymbol"/>
    </w:rPr>
  </w:style>
  <w:style w:type="character" w:customStyle="1" w:styleId="ListLabel1229">
    <w:name w:val="ListLabel 1229"/>
    <w:qFormat/>
    <w:rPr>
      <w:rFonts w:cs="OpenSymbol"/>
    </w:rPr>
  </w:style>
  <w:style w:type="character" w:customStyle="1" w:styleId="ListLabel1230">
    <w:name w:val="ListLabel 1230"/>
    <w:qFormat/>
    <w:rPr>
      <w:rFonts w:cs="OpenSymbol"/>
    </w:rPr>
  </w:style>
  <w:style w:type="character" w:customStyle="1" w:styleId="ListLabel1231">
    <w:name w:val="ListLabel 1231"/>
    <w:qFormat/>
    <w:rPr>
      <w:rFonts w:cs="OpenSymbol"/>
    </w:rPr>
  </w:style>
  <w:style w:type="character" w:customStyle="1" w:styleId="ListLabel1232">
    <w:name w:val="ListLabel 1232"/>
    <w:qFormat/>
    <w:rPr>
      <w:rFonts w:cs="OpenSymbol"/>
    </w:rPr>
  </w:style>
  <w:style w:type="character" w:customStyle="1" w:styleId="ListLabel1233">
    <w:name w:val="ListLabel 1233"/>
    <w:qFormat/>
    <w:rPr>
      <w:rFonts w:cs="OpenSymbol"/>
    </w:rPr>
  </w:style>
  <w:style w:type="character" w:customStyle="1" w:styleId="ListLabel1234">
    <w:name w:val="ListLabel 1234"/>
    <w:qFormat/>
    <w:rPr>
      <w:rFonts w:cs="OpenSymbol"/>
    </w:rPr>
  </w:style>
  <w:style w:type="character" w:customStyle="1" w:styleId="ListLabel1235">
    <w:name w:val="ListLabel 1235"/>
    <w:qFormat/>
    <w:rPr>
      <w:rFonts w:cs="OpenSymbol"/>
    </w:rPr>
  </w:style>
  <w:style w:type="character" w:customStyle="1" w:styleId="ListLabel1236">
    <w:name w:val="ListLabel 1236"/>
    <w:qFormat/>
    <w:rPr>
      <w:rFonts w:cs="OpenSymbol"/>
    </w:rPr>
  </w:style>
  <w:style w:type="character" w:customStyle="1" w:styleId="ListLabel1237">
    <w:name w:val="ListLabel 1237"/>
    <w:qFormat/>
    <w:rPr>
      <w:rFonts w:cs="OpenSymbol"/>
    </w:rPr>
  </w:style>
  <w:style w:type="character" w:customStyle="1" w:styleId="ListLabel1238">
    <w:name w:val="ListLabel 1238"/>
    <w:qFormat/>
    <w:rPr>
      <w:rFonts w:cs="OpenSymbol"/>
    </w:rPr>
  </w:style>
  <w:style w:type="character" w:customStyle="1" w:styleId="ListLabel1239">
    <w:name w:val="ListLabel 1239"/>
    <w:qFormat/>
    <w:rPr>
      <w:rFonts w:cs="OpenSymbol"/>
    </w:rPr>
  </w:style>
  <w:style w:type="character" w:customStyle="1" w:styleId="ListLabel1240">
    <w:name w:val="ListLabel 1240"/>
    <w:qFormat/>
    <w:rPr>
      <w:rFonts w:cs="OpenSymbol"/>
    </w:rPr>
  </w:style>
  <w:style w:type="character" w:customStyle="1" w:styleId="ListLabel1241">
    <w:name w:val="ListLabel 1241"/>
    <w:qFormat/>
    <w:rPr>
      <w:rFonts w:cs="OpenSymbol"/>
    </w:rPr>
  </w:style>
  <w:style w:type="character" w:customStyle="1" w:styleId="ListLabel1242">
    <w:name w:val="ListLabel 1242"/>
    <w:qFormat/>
    <w:rPr>
      <w:rFonts w:cs="OpenSymbol"/>
    </w:rPr>
  </w:style>
  <w:style w:type="character" w:customStyle="1" w:styleId="ListLabel1243">
    <w:name w:val="ListLabel 1243"/>
    <w:qFormat/>
    <w:rPr>
      <w:rFonts w:cs="OpenSymbol"/>
    </w:rPr>
  </w:style>
  <w:style w:type="character" w:customStyle="1" w:styleId="ListLabel1244">
    <w:name w:val="ListLabel 1244"/>
    <w:qFormat/>
    <w:rPr>
      <w:rFonts w:cs="OpenSymbol"/>
    </w:rPr>
  </w:style>
  <w:style w:type="character" w:customStyle="1" w:styleId="ListLabel1245">
    <w:name w:val="ListLabel 1245"/>
    <w:qFormat/>
    <w:rPr>
      <w:rFonts w:cs="OpenSymbol"/>
    </w:rPr>
  </w:style>
  <w:style w:type="character" w:customStyle="1" w:styleId="ListLabel1246">
    <w:name w:val="ListLabel 1246"/>
    <w:qFormat/>
    <w:rPr>
      <w:rFonts w:cs="OpenSymbol"/>
    </w:rPr>
  </w:style>
  <w:style w:type="character" w:customStyle="1" w:styleId="ListLabel1247">
    <w:name w:val="ListLabel 1247"/>
    <w:qFormat/>
    <w:rPr>
      <w:rFonts w:cs="OpenSymbol"/>
    </w:rPr>
  </w:style>
  <w:style w:type="character" w:customStyle="1" w:styleId="ListLabel1248">
    <w:name w:val="ListLabel 1248"/>
    <w:qFormat/>
    <w:rPr>
      <w:rFonts w:cs="OpenSymbol"/>
    </w:rPr>
  </w:style>
  <w:style w:type="character" w:customStyle="1" w:styleId="ListLabel1249">
    <w:name w:val="ListLabel 1249"/>
    <w:qFormat/>
    <w:rPr>
      <w:rFonts w:cs="OpenSymbol"/>
    </w:rPr>
  </w:style>
  <w:style w:type="character" w:customStyle="1" w:styleId="ListLabel1250">
    <w:name w:val="ListLabel 1250"/>
    <w:qFormat/>
    <w:rPr>
      <w:rFonts w:cs="OpenSymbol"/>
    </w:rPr>
  </w:style>
  <w:style w:type="character" w:customStyle="1" w:styleId="ListLabel1251">
    <w:name w:val="ListLabel 1251"/>
    <w:qFormat/>
    <w:rPr>
      <w:rFonts w:cs="OpenSymbol"/>
    </w:rPr>
  </w:style>
  <w:style w:type="character" w:customStyle="1" w:styleId="ListLabel1252">
    <w:name w:val="ListLabel 1252"/>
    <w:qFormat/>
    <w:rPr>
      <w:rFonts w:cs="OpenSymbol"/>
    </w:rPr>
  </w:style>
  <w:style w:type="character" w:customStyle="1" w:styleId="ListLabel1253">
    <w:name w:val="ListLabel 1253"/>
    <w:qFormat/>
    <w:rPr>
      <w:rFonts w:cs="OpenSymbol"/>
    </w:rPr>
  </w:style>
  <w:style w:type="character" w:customStyle="1" w:styleId="ListLabel1254">
    <w:name w:val="ListLabel 1254"/>
    <w:qFormat/>
    <w:rPr>
      <w:rFonts w:cs="OpenSymbol"/>
    </w:rPr>
  </w:style>
  <w:style w:type="character" w:customStyle="1" w:styleId="ListLabel1255">
    <w:name w:val="ListLabel 1255"/>
    <w:qFormat/>
    <w:rPr>
      <w:rFonts w:cs="OpenSymbol"/>
    </w:rPr>
  </w:style>
  <w:style w:type="character" w:customStyle="1" w:styleId="ListLabel1256">
    <w:name w:val="ListLabel 1256"/>
    <w:qFormat/>
    <w:rPr>
      <w:rFonts w:cs="OpenSymbol"/>
    </w:rPr>
  </w:style>
  <w:style w:type="character" w:customStyle="1" w:styleId="ListLabel1257">
    <w:name w:val="ListLabel 1257"/>
    <w:qFormat/>
    <w:rPr>
      <w:rFonts w:cs="OpenSymbol"/>
    </w:rPr>
  </w:style>
  <w:style w:type="character" w:customStyle="1" w:styleId="ListLabel1258">
    <w:name w:val="ListLabel 1258"/>
    <w:qFormat/>
    <w:rPr>
      <w:rFonts w:cs="OpenSymbol"/>
    </w:rPr>
  </w:style>
  <w:style w:type="character" w:customStyle="1" w:styleId="ListLabel1259">
    <w:name w:val="ListLabel 1259"/>
    <w:qFormat/>
    <w:rPr>
      <w:rFonts w:cs="OpenSymbol"/>
    </w:rPr>
  </w:style>
  <w:style w:type="character" w:customStyle="1" w:styleId="ListLabel1260">
    <w:name w:val="ListLabel 1260"/>
    <w:qFormat/>
    <w:rPr>
      <w:rFonts w:cs="OpenSymbol"/>
    </w:rPr>
  </w:style>
  <w:style w:type="character" w:customStyle="1" w:styleId="ListLabel1261">
    <w:name w:val="ListLabel 1261"/>
    <w:qFormat/>
    <w:rPr>
      <w:rFonts w:cs="OpenSymbol"/>
    </w:rPr>
  </w:style>
  <w:style w:type="character" w:customStyle="1" w:styleId="ListLabel1262">
    <w:name w:val="ListLabel 1262"/>
    <w:qFormat/>
    <w:rPr>
      <w:rFonts w:cs="OpenSymbol"/>
    </w:rPr>
  </w:style>
  <w:style w:type="character" w:customStyle="1" w:styleId="ListLabel1263">
    <w:name w:val="ListLabel 1263"/>
    <w:qFormat/>
    <w:rPr>
      <w:rFonts w:cs="OpenSymbol"/>
    </w:rPr>
  </w:style>
  <w:style w:type="character" w:customStyle="1" w:styleId="ListLabel1264">
    <w:name w:val="ListLabel 1264"/>
    <w:qFormat/>
    <w:rPr>
      <w:rFonts w:cs="OpenSymbol"/>
    </w:rPr>
  </w:style>
  <w:style w:type="character" w:customStyle="1" w:styleId="ListLabel1265">
    <w:name w:val="ListLabel 1265"/>
    <w:qFormat/>
    <w:rPr>
      <w:rFonts w:cs="OpenSymbol"/>
    </w:rPr>
  </w:style>
  <w:style w:type="character" w:customStyle="1" w:styleId="ListLabel1266">
    <w:name w:val="ListLabel 1266"/>
    <w:qFormat/>
    <w:rPr>
      <w:rFonts w:cs="OpenSymbol"/>
    </w:rPr>
  </w:style>
  <w:style w:type="character" w:customStyle="1" w:styleId="ListLabel1267">
    <w:name w:val="ListLabel 1267"/>
    <w:qFormat/>
    <w:rPr>
      <w:rFonts w:cs="OpenSymbol"/>
    </w:rPr>
  </w:style>
  <w:style w:type="character" w:customStyle="1" w:styleId="ListLabel1268">
    <w:name w:val="ListLabel 1268"/>
    <w:qFormat/>
    <w:rPr>
      <w:rFonts w:cs="OpenSymbol"/>
    </w:rPr>
  </w:style>
  <w:style w:type="character" w:customStyle="1" w:styleId="ListLabel1269">
    <w:name w:val="ListLabel 1269"/>
    <w:qFormat/>
    <w:rPr>
      <w:rFonts w:cs="OpenSymbol"/>
    </w:rPr>
  </w:style>
  <w:style w:type="character" w:customStyle="1" w:styleId="ListLabel1270">
    <w:name w:val="ListLabel 1270"/>
    <w:qFormat/>
    <w:rPr>
      <w:rFonts w:cs="OpenSymbol"/>
    </w:rPr>
  </w:style>
  <w:style w:type="character" w:customStyle="1" w:styleId="ListLabel1271">
    <w:name w:val="ListLabel 1271"/>
    <w:qFormat/>
    <w:rPr>
      <w:rFonts w:cs="OpenSymbol"/>
    </w:rPr>
  </w:style>
  <w:style w:type="character" w:customStyle="1" w:styleId="ListLabel1272">
    <w:name w:val="ListLabel 1272"/>
    <w:qFormat/>
    <w:rPr>
      <w:rFonts w:cs="OpenSymbol"/>
    </w:rPr>
  </w:style>
  <w:style w:type="character" w:customStyle="1" w:styleId="ListLabel1273">
    <w:name w:val="ListLabel 1273"/>
    <w:qFormat/>
    <w:rPr>
      <w:rFonts w:cs="OpenSymbol"/>
    </w:rPr>
  </w:style>
  <w:style w:type="character" w:customStyle="1" w:styleId="ListLabel1274">
    <w:name w:val="ListLabel 1274"/>
    <w:qFormat/>
    <w:rPr>
      <w:rFonts w:cs="OpenSymbol"/>
    </w:rPr>
  </w:style>
  <w:style w:type="character" w:customStyle="1" w:styleId="ListLabel1275">
    <w:name w:val="ListLabel 1275"/>
    <w:qFormat/>
    <w:rPr>
      <w:rFonts w:cs="OpenSymbol"/>
    </w:rPr>
  </w:style>
  <w:style w:type="character" w:customStyle="1" w:styleId="ListLabel1276">
    <w:name w:val="ListLabel 1276"/>
    <w:qFormat/>
    <w:rPr>
      <w:rFonts w:cs="OpenSymbol"/>
    </w:rPr>
  </w:style>
  <w:style w:type="character" w:customStyle="1" w:styleId="ListLabel1277">
    <w:name w:val="ListLabel 1277"/>
    <w:qFormat/>
    <w:rPr>
      <w:rFonts w:cs="OpenSymbol"/>
    </w:rPr>
  </w:style>
  <w:style w:type="character" w:customStyle="1" w:styleId="ListLabel1278">
    <w:name w:val="ListLabel 1278"/>
    <w:qFormat/>
    <w:rPr>
      <w:rFonts w:cs="OpenSymbol"/>
    </w:rPr>
  </w:style>
  <w:style w:type="character" w:customStyle="1" w:styleId="ListLabel1279">
    <w:name w:val="ListLabel 1279"/>
    <w:qFormat/>
    <w:rPr>
      <w:rFonts w:cs="OpenSymbol"/>
    </w:rPr>
  </w:style>
  <w:style w:type="character" w:customStyle="1" w:styleId="ListLabel1280">
    <w:name w:val="ListLabel 1280"/>
    <w:qFormat/>
    <w:rPr>
      <w:rFonts w:cs="OpenSymbol"/>
    </w:rPr>
  </w:style>
  <w:style w:type="character" w:customStyle="1" w:styleId="ListLabel1281">
    <w:name w:val="ListLabel 1281"/>
    <w:qFormat/>
    <w:rPr>
      <w:rFonts w:cs="OpenSymbol"/>
    </w:rPr>
  </w:style>
  <w:style w:type="character" w:customStyle="1" w:styleId="ListLabel1282">
    <w:name w:val="ListLabel 1282"/>
    <w:qFormat/>
    <w:rPr>
      <w:rFonts w:cs="OpenSymbol"/>
    </w:rPr>
  </w:style>
  <w:style w:type="character" w:customStyle="1" w:styleId="ListLabel1283">
    <w:name w:val="ListLabel 1283"/>
    <w:qFormat/>
    <w:rPr>
      <w:rFonts w:cs="OpenSymbol"/>
    </w:rPr>
  </w:style>
  <w:style w:type="character" w:customStyle="1" w:styleId="ListLabel1284">
    <w:name w:val="ListLabel 1284"/>
    <w:qFormat/>
    <w:rPr>
      <w:rFonts w:cs="OpenSymbol"/>
    </w:rPr>
  </w:style>
  <w:style w:type="character" w:customStyle="1" w:styleId="ListLabel1285">
    <w:name w:val="ListLabel 1285"/>
    <w:qFormat/>
    <w:rPr>
      <w:rFonts w:cs="OpenSymbol"/>
    </w:rPr>
  </w:style>
  <w:style w:type="character" w:customStyle="1" w:styleId="ListLabel1286">
    <w:name w:val="ListLabel 1286"/>
    <w:qFormat/>
    <w:rPr>
      <w:rFonts w:cs="OpenSymbol"/>
    </w:rPr>
  </w:style>
  <w:style w:type="character" w:customStyle="1" w:styleId="ListLabel1287">
    <w:name w:val="ListLabel 1287"/>
    <w:qFormat/>
    <w:rPr>
      <w:rFonts w:cs="OpenSymbol"/>
    </w:rPr>
  </w:style>
  <w:style w:type="character" w:customStyle="1" w:styleId="ListLabel1288">
    <w:name w:val="ListLabel 1288"/>
    <w:qFormat/>
    <w:rPr>
      <w:rFonts w:cs="OpenSymbol"/>
    </w:rPr>
  </w:style>
  <w:style w:type="character" w:customStyle="1" w:styleId="ListLabel1289">
    <w:name w:val="ListLabel 1289"/>
    <w:qFormat/>
    <w:rPr>
      <w:rFonts w:cs="OpenSymbol"/>
    </w:rPr>
  </w:style>
  <w:style w:type="character" w:customStyle="1" w:styleId="ListLabel1290">
    <w:name w:val="ListLabel 1290"/>
    <w:qFormat/>
    <w:rPr>
      <w:rFonts w:cs="OpenSymbol"/>
    </w:rPr>
  </w:style>
  <w:style w:type="character" w:customStyle="1" w:styleId="ListLabel1291">
    <w:name w:val="ListLabel 1291"/>
    <w:qFormat/>
    <w:rPr>
      <w:rFonts w:cs="OpenSymbol"/>
    </w:rPr>
  </w:style>
  <w:style w:type="character" w:customStyle="1" w:styleId="ListLabel1292">
    <w:name w:val="ListLabel 1292"/>
    <w:qFormat/>
    <w:rPr>
      <w:rFonts w:cs="OpenSymbol"/>
    </w:rPr>
  </w:style>
  <w:style w:type="character" w:customStyle="1" w:styleId="ListLabel1293">
    <w:name w:val="ListLabel 1293"/>
    <w:qFormat/>
    <w:rPr>
      <w:rFonts w:cs="OpenSymbol"/>
    </w:rPr>
  </w:style>
  <w:style w:type="character" w:customStyle="1" w:styleId="ListLabel1294">
    <w:name w:val="ListLabel 1294"/>
    <w:qFormat/>
    <w:rPr>
      <w:rFonts w:cs="OpenSymbol"/>
    </w:rPr>
  </w:style>
  <w:style w:type="character" w:customStyle="1" w:styleId="ListLabel1295">
    <w:name w:val="ListLabel 1295"/>
    <w:qFormat/>
    <w:rPr>
      <w:rFonts w:cs="OpenSymbol"/>
    </w:rPr>
  </w:style>
  <w:style w:type="character" w:customStyle="1" w:styleId="ListLabel1296">
    <w:name w:val="ListLabel 1296"/>
    <w:qFormat/>
    <w:rPr>
      <w:rFonts w:cs="OpenSymbol"/>
    </w:rPr>
  </w:style>
  <w:style w:type="character" w:customStyle="1" w:styleId="ListLabel1297">
    <w:name w:val="ListLabel 1297"/>
    <w:qFormat/>
    <w:rPr>
      <w:rFonts w:cs="OpenSymbol"/>
    </w:rPr>
  </w:style>
  <w:style w:type="character" w:customStyle="1" w:styleId="ListLabel1298">
    <w:name w:val="ListLabel 1298"/>
    <w:qFormat/>
    <w:rPr>
      <w:rFonts w:cs="OpenSymbol"/>
    </w:rPr>
  </w:style>
  <w:style w:type="character" w:customStyle="1" w:styleId="ListLabel1299">
    <w:name w:val="ListLabel 1299"/>
    <w:qFormat/>
    <w:rPr>
      <w:rFonts w:cs="OpenSymbol"/>
    </w:rPr>
  </w:style>
  <w:style w:type="character" w:customStyle="1" w:styleId="ListLabel1300">
    <w:name w:val="ListLabel 1300"/>
    <w:qFormat/>
    <w:rPr>
      <w:rFonts w:cs="OpenSymbol"/>
    </w:rPr>
  </w:style>
  <w:style w:type="character" w:customStyle="1" w:styleId="ListLabel1301">
    <w:name w:val="ListLabel 1301"/>
    <w:qFormat/>
    <w:rPr>
      <w:rFonts w:cs="OpenSymbol"/>
    </w:rPr>
  </w:style>
  <w:style w:type="character" w:customStyle="1" w:styleId="ListLabel1302">
    <w:name w:val="ListLabel 1302"/>
    <w:qFormat/>
    <w:rPr>
      <w:rFonts w:cs="OpenSymbol"/>
    </w:rPr>
  </w:style>
  <w:style w:type="character" w:customStyle="1" w:styleId="ListLabel1303">
    <w:name w:val="ListLabel 1303"/>
    <w:qFormat/>
    <w:rPr>
      <w:rFonts w:cs="OpenSymbol"/>
    </w:rPr>
  </w:style>
  <w:style w:type="character" w:customStyle="1" w:styleId="ListLabel1304">
    <w:name w:val="ListLabel 1304"/>
    <w:qFormat/>
    <w:rPr>
      <w:rFonts w:cs="OpenSymbol"/>
    </w:rPr>
  </w:style>
  <w:style w:type="character" w:customStyle="1" w:styleId="ListLabel1305">
    <w:name w:val="ListLabel 1305"/>
    <w:qFormat/>
    <w:rPr>
      <w:rFonts w:cs="OpenSymbol"/>
    </w:rPr>
  </w:style>
  <w:style w:type="character" w:customStyle="1" w:styleId="ListLabel1306">
    <w:name w:val="ListLabel 1306"/>
    <w:qFormat/>
    <w:rPr>
      <w:rFonts w:cs="OpenSymbol"/>
    </w:rPr>
  </w:style>
  <w:style w:type="character" w:customStyle="1" w:styleId="ListLabel1307">
    <w:name w:val="ListLabel 1307"/>
    <w:qFormat/>
    <w:rPr>
      <w:rFonts w:cs="OpenSymbol"/>
    </w:rPr>
  </w:style>
  <w:style w:type="character" w:customStyle="1" w:styleId="ListLabel1308">
    <w:name w:val="ListLabel 1308"/>
    <w:qFormat/>
    <w:rPr>
      <w:rFonts w:ascii="Source Sans Pro Web;Helvetica N" w:hAnsi="Source Sans Pro Web;Helvetica N" w:cs="OpenSymbol"/>
      <w:sz w:val="25"/>
    </w:rPr>
  </w:style>
  <w:style w:type="character" w:customStyle="1" w:styleId="ListLabel1309">
    <w:name w:val="ListLabel 1309"/>
    <w:qFormat/>
    <w:rPr>
      <w:rFonts w:cs="OpenSymbol"/>
    </w:rPr>
  </w:style>
  <w:style w:type="character" w:customStyle="1" w:styleId="ListLabel1310">
    <w:name w:val="ListLabel 1310"/>
    <w:qFormat/>
    <w:rPr>
      <w:rFonts w:cs="OpenSymbol"/>
    </w:rPr>
  </w:style>
  <w:style w:type="character" w:customStyle="1" w:styleId="ListLabel1311">
    <w:name w:val="ListLabel 1311"/>
    <w:qFormat/>
    <w:rPr>
      <w:rFonts w:cs="OpenSymbol"/>
    </w:rPr>
  </w:style>
  <w:style w:type="character" w:customStyle="1" w:styleId="ListLabel1312">
    <w:name w:val="ListLabel 1312"/>
    <w:qFormat/>
    <w:rPr>
      <w:rFonts w:cs="OpenSymbol"/>
    </w:rPr>
  </w:style>
  <w:style w:type="character" w:customStyle="1" w:styleId="ListLabel1313">
    <w:name w:val="ListLabel 1313"/>
    <w:qFormat/>
    <w:rPr>
      <w:rFonts w:cs="OpenSymbol"/>
    </w:rPr>
  </w:style>
  <w:style w:type="character" w:customStyle="1" w:styleId="ListLabel1314">
    <w:name w:val="ListLabel 1314"/>
    <w:qFormat/>
    <w:rPr>
      <w:rFonts w:cs="OpenSymbol"/>
    </w:rPr>
  </w:style>
  <w:style w:type="character" w:customStyle="1" w:styleId="ListLabel1315">
    <w:name w:val="ListLabel 1315"/>
    <w:qFormat/>
    <w:rPr>
      <w:rFonts w:cs="OpenSymbol"/>
    </w:rPr>
  </w:style>
  <w:style w:type="character" w:customStyle="1" w:styleId="ListLabel1316">
    <w:name w:val="ListLabel 1316"/>
    <w:qFormat/>
    <w:rPr>
      <w:rFonts w:cs="OpenSymbol"/>
    </w:rPr>
  </w:style>
  <w:style w:type="character" w:customStyle="1" w:styleId="ListLabel1317">
    <w:name w:val="ListLabel 1317"/>
    <w:qFormat/>
    <w:rPr>
      <w:rFonts w:cs="OpenSymbol"/>
    </w:rPr>
  </w:style>
  <w:style w:type="character" w:customStyle="1" w:styleId="ListLabel1318">
    <w:name w:val="ListLabel 1318"/>
    <w:qFormat/>
    <w:rPr>
      <w:rFonts w:cs="OpenSymbol"/>
    </w:rPr>
  </w:style>
  <w:style w:type="character" w:customStyle="1" w:styleId="ListLabel1319">
    <w:name w:val="ListLabel 1319"/>
    <w:qFormat/>
    <w:rPr>
      <w:rFonts w:cs="OpenSymbol"/>
    </w:rPr>
  </w:style>
  <w:style w:type="character" w:customStyle="1" w:styleId="ListLabel1320">
    <w:name w:val="ListLabel 1320"/>
    <w:qFormat/>
    <w:rPr>
      <w:rFonts w:cs="OpenSymbol"/>
    </w:rPr>
  </w:style>
  <w:style w:type="character" w:customStyle="1" w:styleId="ListLabel1321">
    <w:name w:val="ListLabel 1321"/>
    <w:qFormat/>
    <w:rPr>
      <w:rFonts w:cs="OpenSymbol"/>
    </w:rPr>
  </w:style>
  <w:style w:type="character" w:customStyle="1" w:styleId="ListLabel1322">
    <w:name w:val="ListLabel 1322"/>
    <w:qFormat/>
    <w:rPr>
      <w:rFonts w:cs="OpenSymbol"/>
    </w:rPr>
  </w:style>
  <w:style w:type="character" w:customStyle="1" w:styleId="ListLabel1323">
    <w:name w:val="ListLabel 1323"/>
    <w:qFormat/>
    <w:rPr>
      <w:rFonts w:cs="OpenSymbol"/>
    </w:rPr>
  </w:style>
  <w:style w:type="character" w:customStyle="1" w:styleId="ListLabel1324">
    <w:name w:val="ListLabel 1324"/>
    <w:qFormat/>
    <w:rPr>
      <w:rFonts w:cs="OpenSymbol"/>
    </w:rPr>
  </w:style>
  <w:style w:type="character" w:customStyle="1" w:styleId="ListLabel1325">
    <w:name w:val="ListLabel 1325"/>
    <w:qFormat/>
    <w:rPr>
      <w:rFonts w:cs="OpenSymbol"/>
    </w:rPr>
  </w:style>
  <w:style w:type="character" w:customStyle="1" w:styleId="ListLabel1326">
    <w:name w:val="ListLabel 1326"/>
    <w:qFormat/>
    <w:rPr>
      <w:rFonts w:eastAsia="Calibri"/>
      <w:color w:val="000000"/>
      <w:sz w:val="28"/>
      <w:u w:val="none"/>
    </w:rPr>
  </w:style>
  <w:style w:type="character" w:customStyle="1" w:styleId="ListLabel1327">
    <w:name w:val="ListLabel 1327"/>
    <w:qFormat/>
    <w:rPr>
      <w:rFonts w:eastAsia="Calibri"/>
      <w:color w:val="000000"/>
      <w:sz w:val="28"/>
      <w:u w:val="none"/>
      <w:lang w:val="en-US"/>
    </w:rPr>
  </w:style>
  <w:style w:type="character" w:customStyle="1" w:styleId="ListLabel1328">
    <w:name w:val="ListLabel 1328"/>
    <w:qFormat/>
    <w:rPr>
      <w:rFonts w:eastAsia="Calibri"/>
      <w:color w:val="000000"/>
      <w:sz w:val="28"/>
      <w:u w:val="none"/>
      <w:lang w:val="uk-UA"/>
    </w:rPr>
  </w:style>
  <w:style w:type="character" w:customStyle="1" w:styleId="ListLabel1329">
    <w:name w:val="ListLabel 1329"/>
    <w:qFormat/>
    <w:rPr>
      <w:color w:val="000000"/>
      <w:sz w:val="28"/>
      <w:u w:val="none"/>
    </w:rPr>
  </w:style>
  <w:style w:type="character" w:customStyle="1" w:styleId="ListLabel1330">
    <w:name w:val="ListLabel 1330"/>
    <w:qFormat/>
    <w:rPr>
      <w:rFonts w:eastAsia="Calibri"/>
      <w:color w:val="C9211E"/>
      <w:sz w:val="28"/>
    </w:rPr>
  </w:style>
  <w:style w:type="character" w:customStyle="1" w:styleId="ListLabel1331">
    <w:name w:val="ListLabel 1331"/>
    <w:qFormat/>
    <w:rPr>
      <w:rFonts w:eastAsia="Calibri" w:cs="Times New Roman"/>
      <w:b/>
      <w:bCs/>
      <w:kern w:val="2"/>
      <w:sz w:val="28"/>
      <w:szCs w:val="28"/>
      <w:lang w:val="uk-UA" w:eastAsia="ru-RU"/>
    </w:rPr>
  </w:style>
  <w:style w:type="character" w:customStyle="1" w:styleId="ListLabel1332">
    <w:name w:val="ListLabel 1332"/>
    <w:qFormat/>
    <w:rPr>
      <w:rFonts w:eastAsia="Calibri"/>
      <w:b/>
      <w:bCs/>
      <w:color w:val="000000"/>
      <w:sz w:val="28"/>
      <w:u w:val="none"/>
      <w:lang w:val="en-US"/>
    </w:rPr>
  </w:style>
  <w:style w:type="character" w:customStyle="1" w:styleId="ListLabel1333">
    <w:name w:val="ListLabel 1333"/>
    <w:qFormat/>
    <w:rPr>
      <w:b w:val="0"/>
      <w:bCs w:val="0"/>
      <w:color w:val="FF8000"/>
      <w:sz w:val="28"/>
      <w:szCs w:val="28"/>
      <w:highlight w:val="yellow"/>
      <w:lang w:val="ru-RU"/>
    </w:rPr>
  </w:style>
  <w:style w:type="character" w:customStyle="1" w:styleId="ListLabel1334">
    <w:name w:val="ListLabel 1334"/>
    <w:qFormat/>
    <w:rPr>
      <w:b w:val="0"/>
      <w:bCs w:val="0"/>
      <w:i w:val="0"/>
      <w:caps w:val="0"/>
      <w:smallCaps w:val="0"/>
      <w:color w:val="158466"/>
      <w:spacing w:val="0"/>
      <w:sz w:val="28"/>
      <w:szCs w:val="28"/>
      <w:highlight w:val="yellow"/>
      <w:lang w:val="uk-UA"/>
    </w:rPr>
  </w:style>
  <w:style w:type="character" w:customStyle="1" w:styleId="ListLabel1335">
    <w:name w:val="ListLabel 1335"/>
    <w:qFormat/>
    <w:rPr>
      <w:rFonts w:eastAsia="Times New Roman" w:cs="Times New Roman"/>
      <w:b w:val="0"/>
      <w:bCs w:val="0"/>
      <w:i w:val="0"/>
      <w:caps w:val="0"/>
      <w:smallCaps w:val="0"/>
      <w:strike w:val="0"/>
      <w:dstrike w:val="0"/>
      <w:color w:val="000000"/>
      <w:spacing w:val="0"/>
      <w:kern w:val="2"/>
      <w:sz w:val="28"/>
      <w:szCs w:val="28"/>
      <w:highlight w:val="yellow"/>
      <w:u w:val="none"/>
      <w:effect w:val="none"/>
      <w:lang w:val="uk-UA"/>
    </w:rPr>
  </w:style>
  <w:style w:type="character" w:customStyle="1" w:styleId="ListLabel1336">
    <w:name w:val="ListLabel 1336"/>
    <w:qFormat/>
    <w:rPr>
      <w:rFonts w:eastAsia="Times New Roman" w:cs="Times New Roman"/>
      <w:b w:val="0"/>
      <w:bCs w:val="0"/>
      <w:i w:val="0"/>
      <w:caps w:val="0"/>
      <w:smallCaps w:val="0"/>
      <w:strike w:val="0"/>
      <w:dstrike w:val="0"/>
      <w:color w:val="2C2C2C"/>
      <w:spacing w:val="0"/>
      <w:kern w:val="2"/>
      <w:sz w:val="28"/>
      <w:szCs w:val="28"/>
      <w:highlight w:val="yellow"/>
      <w:u w:val="none"/>
      <w:effect w:val="none"/>
      <w:lang w:val="en-US"/>
    </w:rPr>
  </w:style>
  <w:style w:type="character" w:customStyle="1" w:styleId="ListLabel1337">
    <w:name w:val="ListLabel 1337"/>
    <w:qFormat/>
    <w:rPr>
      <w:rFonts w:ascii="Times New Roman" w:hAnsi="Times New Roman"/>
      <w:b w:val="0"/>
      <w:i w:val="0"/>
      <w:caps w:val="0"/>
      <w:smallCaps w:val="0"/>
      <w:color w:val="FF8000"/>
      <w:spacing w:val="0"/>
      <w:sz w:val="28"/>
      <w:szCs w:val="28"/>
      <w:u w:val="single"/>
      <w:bdr w:val="single" w:sz="2" w:space="1" w:color="000000"/>
    </w:rPr>
  </w:style>
  <w:style w:type="character" w:customStyle="1" w:styleId="ListLabel1338">
    <w:name w:val="ListLabel 1338"/>
    <w:qFormat/>
    <w:rPr>
      <w:rFonts w:ascii="Times New Roman" w:hAnsi="Times New Roman"/>
      <w:b w:val="0"/>
      <w:i w:val="0"/>
      <w:caps w:val="0"/>
      <w:smallCaps w:val="0"/>
      <w:color w:val="FF8000"/>
      <w:spacing w:val="0"/>
      <w:sz w:val="28"/>
      <w:szCs w:val="28"/>
      <w:u w:val="single"/>
    </w:rPr>
  </w:style>
  <w:style w:type="character" w:customStyle="1" w:styleId="ListLabel1339">
    <w:name w:val="ListLabel 1339"/>
    <w:qFormat/>
    <w:rPr>
      <w:rFonts w:ascii="Times New Roman" w:hAnsi="Times New Roman"/>
      <w:b w:val="0"/>
      <w:strike w:val="0"/>
      <w:dstrike w:val="0"/>
      <w:color w:val="FF8000"/>
      <w:sz w:val="28"/>
      <w:szCs w:val="28"/>
      <w:highlight w:val="darkBlue"/>
      <w:u w:val="none"/>
      <w:effect w:val="none"/>
    </w:rPr>
  </w:style>
  <w:style w:type="character" w:customStyle="1" w:styleId="ListLabel1340">
    <w:name w:val="ListLabel 1340"/>
    <w:qFormat/>
    <w:rPr>
      <w:rFonts w:ascii="Times New Roman" w:hAnsi="Times New Roman" w:cs="Arial"/>
      <w:color w:val="FF8000"/>
      <w:sz w:val="28"/>
      <w:szCs w:val="28"/>
      <w:highlight w:val="yellow"/>
    </w:rPr>
  </w:style>
  <w:style w:type="character" w:customStyle="1" w:styleId="ListLabel1341">
    <w:name w:val="ListLabel 1341"/>
    <w:qFormat/>
    <w:rPr>
      <w:rFonts w:cs="Arial"/>
      <w:color w:val="FF8000"/>
    </w:rPr>
  </w:style>
  <w:style w:type="character" w:customStyle="1" w:styleId="ListLabel1342">
    <w:name w:val="ListLabel 1342"/>
    <w:qFormat/>
  </w:style>
  <w:style w:type="character" w:customStyle="1" w:styleId="ListLabel1343">
    <w:name w:val="ListLabel 1343"/>
    <w:qFormat/>
  </w:style>
  <w:style w:type="character" w:customStyle="1" w:styleId="ListLabel1344">
    <w:name w:val="ListLabel 1344"/>
    <w:qFormat/>
    <w:rPr>
      <w:rFonts w:ascii="Source Sans Pro Web;Helvetica N" w:hAnsi="Source Sans Pro Web;Helvetica N"/>
      <w:color w:val="005EA2"/>
      <w:spacing w:val="0"/>
      <w:sz w:val="25"/>
      <w:u w:val="single"/>
    </w:rPr>
  </w:style>
  <w:style w:type="character" w:customStyle="1" w:styleId="ListLabel1345">
    <w:name w:val="ListLabel 1345"/>
    <w:qFormat/>
    <w:rPr>
      <w:rFonts w:ascii="Source Sans Pro Web;Helvetica N" w:hAnsi="Source Sans Pro Web;Helvetica N"/>
      <w:color w:val="005EA2"/>
      <w:spacing w:val="0"/>
      <w:sz w:val="25"/>
      <w:u w:val="single"/>
      <w:bdr w:val="single" w:sz="2" w:space="11" w:color="EAC2AE"/>
    </w:rPr>
  </w:style>
  <w:style w:type="character" w:customStyle="1" w:styleId="ListLabel1346">
    <w:name w:val="ListLabel 1346"/>
    <w:qFormat/>
    <w:rPr>
      <w:color w:val="005EA2"/>
      <w:u w:val="single"/>
    </w:rPr>
  </w:style>
  <w:style w:type="character" w:customStyle="1" w:styleId="ListLabel1347">
    <w:name w:val="ListLabel 1347"/>
    <w:qFormat/>
    <w:rPr>
      <w:rFonts w:ascii="Source Sans Pro Web;Helvetica N" w:hAnsi="Source Sans Pro Web;Helvetica N"/>
      <w:color w:val="005EA2"/>
      <w:spacing w:val="0"/>
      <w:u w:val="single"/>
    </w:rPr>
  </w:style>
  <w:style w:type="character" w:customStyle="1" w:styleId="ListLabel1348">
    <w:name w:val="ListLabel 1348"/>
    <w:qFormat/>
    <w:rPr>
      <w:rFonts w:eastAsia="Times New Roman" w:cs="Times New Roman"/>
      <w:b w:val="0"/>
      <w:bCs w:val="0"/>
      <w:i w:val="0"/>
      <w:caps w:val="0"/>
      <w:smallCaps w:val="0"/>
      <w:strike w:val="0"/>
      <w:dstrike w:val="0"/>
      <w:color w:val="3366CC"/>
      <w:spacing w:val="0"/>
      <w:kern w:val="2"/>
      <w:sz w:val="28"/>
      <w:szCs w:val="28"/>
      <w:highlight w:val="white"/>
      <w:u w:val="none"/>
      <w:effect w:val="none"/>
      <w:lang w:val="uk-UA" w:eastAsia="ru-RU"/>
    </w:rPr>
  </w:style>
  <w:style w:type="character" w:customStyle="1" w:styleId="ListLabel1349">
    <w:name w:val="ListLabel 1349"/>
    <w:qFormat/>
    <w:rPr>
      <w:sz w:val="28"/>
      <w:szCs w:val="28"/>
      <w:lang w:val="uk-UA"/>
    </w:rPr>
  </w:style>
  <w:style w:type="character" w:customStyle="1" w:styleId="ListLabel1350">
    <w:name w:val="ListLabel 1350"/>
    <w:qFormat/>
    <w:rPr>
      <w:b/>
      <w:bCs/>
      <w:color w:val="FF8000"/>
      <w:sz w:val="28"/>
      <w:szCs w:val="28"/>
      <w:highlight w:val="yellow"/>
      <w:lang w:val="ru-RU"/>
    </w:rPr>
  </w:style>
  <w:style w:type="character" w:customStyle="1" w:styleId="ListLabel1351">
    <w:name w:val="ListLabel 1351"/>
    <w:qFormat/>
    <w:rPr>
      <w:rFonts w:cs="OpenSymbol"/>
      <w:b w:val="0"/>
      <w:sz w:val="28"/>
    </w:rPr>
  </w:style>
  <w:style w:type="character" w:customStyle="1" w:styleId="ListLabel1352">
    <w:name w:val="ListLabel 1352"/>
    <w:qFormat/>
    <w:rPr>
      <w:rFonts w:cs="OpenSymbol"/>
    </w:rPr>
  </w:style>
  <w:style w:type="character" w:customStyle="1" w:styleId="ListLabel1353">
    <w:name w:val="ListLabel 1353"/>
    <w:qFormat/>
    <w:rPr>
      <w:rFonts w:cs="OpenSymbol"/>
    </w:rPr>
  </w:style>
  <w:style w:type="character" w:customStyle="1" w:styleId="ListLabel1354">
    <w:name w:val="ListLabel 1354"/>
    <w:qFormat/>
    <w:rPr>
      <w:rFonts w:cs="OpenSymbol"/>
    </w:rPr>
  </w:style>
  <w:style w:type="character" w:customStyle="1" w:styleId="ListLabel1355">
    <w:name w:val="ListLabel 1355"/>
    <w:qFormat/>
    <w:rPr>
      <w:rFonts w:cs="OpenSymbol"/>
    </w:rPr>
  </w:style>
  <w:style w:type="character" w:customStyle="1" w:styleId="ListLabel1356">
    <w:name w:val="ListLabel 1356"/>
    <w:qFormat/>
    <w:rPr>
      <w:rFonts w:cs="OpenSymbol"/>
    </w:rPr>
  </w:style>
  <w:style w:type="character" w:customStyle="1" w:styleId="ListLabel1357">
    <w:name w:val="ListLabel 1357"/>
    <w:qFormat/>
    <w:rPr>
      <w:rFonts w:cs="OpenSymbol"/>
    </w:rPr>
  </w:style>
  <w:style w:type="character" w:customStyle="1" w:styleId="ListLabel1358">
    <w:name w:val="ListLabel 1358"/>
    <w:qFormat/>
    <w:rPr>
      <w:rFonts w:cs="OpenSymbol"/>
    </w:rPr>
  </w:style>
  <w:style w:type="character" w:customStyle="1" w:styleId="ListLabel1359">
    <w:name w:val="ListLabel 1359"/>
    <w:qFormat/>
    <w:rPr>
      <w:rFonts w:cs="OpenSymbol"/>
    </w:rPr>
  </w:style>
  <w:style w:type="character" w:customStyle="1" w:styleId="ListLabel1360">
    <w:name w:val="ListLabel 1360"/>
    <w:qFormat/>
    <w:rPr>
      <w:rFonts w:cs="OpenSymbol"/>
      <w:b w:val="0"/>
      <w:sz w:val="28"/>
    </w:rPr>
  </w:style>
  <w:style w:type="character" w:customStyle="1" w:styleId="ListLabel1361">
    <w:name w:val="ListLabel 1361"/>
    <w:qFormat/>
    <w:rPr>
      <w:rFonts w:cs="OpenSymbol"/>
    </w:rPr>
  </w:style>
  <w:style w:type="character" w:customStyle="1" w:styleId="ListLabel1362">
    <w:name w:val="ListLabel 1362"/>
    <w:qFormat/>
    <w:rPr>
      <w:rFonts w:cs="OpenSymbol"/>
    </w:rPr>
  </w:style>
  <w:style w:type="character" w:customStyle="1" w:styleId="ListLabel1363">
    <w:name w:val="ListLabel 1363"/>
    <w:qFormat/>
    <w:rPr>
      <w:rFonts w:cs="OpenSymbol"/>
    </w:rPr>
  </w:style>
  <w:style w:type="character" w:customStyle="1" w:styleId="ListLabel1364">
    <w:name w:val="ListLabel 1364"/>
    <w:qFormat/>
    <w:rPr>
      <w:rFonts w:cs="OpenSymbol"/>
    </w:rPr>
  </w:style>
  <w:style w:type="character" w:customStyle="1" w:styleId="ListLabel1365">
    <w:name w:val="ListLabel 1365"/>
    <w:qFormat/>
    <w:rPr>
      <w:rFonts w:cs="OpenSymbol"/>
    </w:rPr>
  </w:style>
  <w:style w:type="character" w:customStyle="1" w:styleId="ListLabel1366">
    <w:name w:val="ListLabel 1366"/>
    <w:qFormat/>
    <w:rPr>
      <w:rFonts w:cs="OpenSymbol"/>
    </w:rPr>
  </w:style>
  <w:style w:type="character" w:customStyle="1" w:styleId="ListLabel1367">
    <w:name w:val="ListLabel 1367"/>
    <w:qFormat/>
    <w:rPr>
      <w:rFonts w:cs="OpenSymbol"/>
    </w:rPr>
  </w:style>
  <w:style w:type="character" w:customStyle="1" w:styleId="ListLabel1368">
    <w:name w:val="ListLabel 1368"/>
    <w:qFormat/>
    <w:rPr>
      <w:rFonts w:cs="OpenSymbol"/>
    </w:rPr>
  </w:style>
  <w:style w:type="character" w:customStyle="1" w:styleId="ListLabel1369">
    <w:name w:val="ListLabel 1369"/>
    <w:qFormat/>
    <w:rPr>
      <w:rFonts w:cs="OpenSymbol"/>
      <w:b w:val="0"/>
      <w:sz w:val="28"/>
    </w:rPr>
  </w:style>
  <w:style w:type="character" w:customStyle="1" w:styleId="ListLabel1370">
    <w:name w:val="ListLabel 1370"/>
    <w:qFormat/>
    <w:rPr>
      <w:rFonts w:cs="OpenSymbol"/>
    </w:rPr>
  </w:style>
  <w:style w:type="character" w:customStyle="1" w:styleId="ListLabel1371">
    <w:name w:val="ListLabel 1371"/>
    <w:qFormat/>
    <w:rPr>
      <w:rFonts w:cs="OpenSymbol"/>
    </w:rPr>
  </w:style>
  <w:style w:type="character" w:customStyle="1" w:styleId="ListLabel1372">
    <w:name w:val="ListLabel 1372"/>
    <w:qFormat/>
    <w:rPr>
      <w:rFonts w:cs="OpenSymbol"/>
    </w:rPr>
  </w:style>
  <w:style w:type="character" w:customStyle="1" w:styleId="ListLabel1373">
    <w:name w:val="ListLabel 1373"/>
    <w:qFormat/>
    <w:rPr>
      <w:rFonts w:cs="OpenSymbol"/>
    </w:rPr>
  </w:style>
  <w:style w:type="character" w:customStyle="1" w:styleId="ListLabel1374">
    <w:name w:val="ListLabel 1374"/>
    <w:qFormat/>
    <w:rPr>
      <w:rFonts w:cs="OpenSymbol"/>
    </w:rPr>
  </w:style>
  <w:style w:type="character" w:customStyle="1" w:styleId="ListLabel1375">
    <w:name w:val="ListLabel 1375"/>
    <w:qFormat/>
    <w:rPr>
      <w:rFonts w:cs="OpenSymbol"/>
    </w:rPr>
  </w:style>
  <w:style w:type="character" w:customStyle="1" w:styleId="ListLabel1376">
    <w:name w:val="ListLabel 1376"/>
    <w:qFormat/>
    <w:rPr>
      <w:rFonts w:cs="OpenSymbol"/>
    </w:rPr>
  </w:style>
  <w:style w:type="character" w:customStyle="1" w:styleId="ListLabel1377">
    <w:name w:val="ListLabel 1377"/>
    <w:qFormat/>
    <w:rPr>
      <w:rFonts w:cs="OpenSymbol"/>
    </w:rPr>
  </w:style>
  <w:style w:type="character" w:customStyle="1" w:styleId="ListLabel1378">
    <w:name w:val="ListLabel 1378"/>
    <w:qFormat/>
    <w:rPr>
      <w:rFonts w:cs="OpenSymbol"/>
    </w:rPr>
  </w:style>
  <w:style w:type="character" w:customStyle="1" w:styleId="ListLabel1379">
    <w:name w:val="ListLabel 1379"/>
    <w:qFormat/>
    <w:rPr>
      <w:rFonts w:cs="OpenSymbol"/>
    </w:rPr>
  </w:style>
  <w:style w:type="character" w:customStyle="1" w:styleId="ListLabel1380">
    <w:name w:val="ListLabel 1380"/>
    <w:qFormat/>
    <w:rPr>
      <w:rFonts w:cs="OpenSymbol"/>
    </w:rPr>
  </w:style>
  <w:style w:type="character" w:customStyle="1" w:styleId="ListLabel1381">
    <w:name w:val="ListLabel 1381"/>
    <w:qFormat/>
    <w:rPr>
      <w:rFonts w:cs="OpenSymbol"/>
    </w:rPr>
  </w:style>
  <w:style w:type="character" w:customStyle="1" w:styleId="ListLabel1382">
    <w:name w:val="ListLabel 1382"/>
    <w:qFormat/>
    <w:rPr>
      <w:rFonts w:cs="OpenSymbol"/>
    </w:rPr>
  </w:style>
  <w:style w:type="character" w:customStyle="1" w:styleId="ListLabel1383">
    <w:name w:val="ListLabel 1383"/>
    <w:qFormat/>
    <w:rPr>
      <w:rFonts w:cs="OpenSymbol"/>
    </w:rPr>
  </w:style>
  <w:style w:type="character" w:customStyle="1" w:styleId="ListLabel1384">
    <w:name w:val="ListLabel 1384"/>
    <w:qFormat/>
    <w:rPr>
      <w:rFonts w:cs="OpenSymbol"/>
    </w:rPr>
  </w:style>
  <w:style w:type="character" w:customStyle="1" w:styleId="ListLabel1385">
    <w:name w:val="ListLabel 1385"/>
    <w:qFormat/>
    <w:rPr>
      <w:rFonts w:cs="OpenSymbol"/>
    </w:rPr>
  </w:style>
  <w:style w:type="character" w:customStyle="1" w:styleId="ListLabel1386">
    <w:name w:val="ListLabel 1386"/>
    <w:qFormat/>
    <w:rPr>
      <w:rFonts w:cs="OpenSymbol"/>
    </w:rPr>
  </w:style>
  <w:style w:type="character" w:customStyle="1" w:styleId="ListLabel1387">
    <w:name w:val="ListLabel 1387"/>
    <w:qFormat/>
    <w:rPr>
      <w:rFonts w:cs="OpenSymbol"/>
    </w:rPr>
  </w:style>
  <w:style w:type="character" w:customStyle="1" w:styleId="ListLabel1388">
    <w:name w:val="ListLabel 1388"/>
    <w:qFormat/>
    <w:rPr>
      <w:rFonts w:cs="OpenSymbol"/>
    </w:rPr>
  </w:style>
  <w:style w:type="character" w:customStyle="1" w:styleId="ListLabel1389">
    <w:name w:val="ListLabel 1389"/>
    <w:qFormat/>
    <w:rPr>
      <w:rFonts w:cs="OpenSymbol"/>
    </w:rPr>
  </w:style>
  <w:style w:type="character" w:customStyle="1" w:styleId="ListLabel1390">
    <w:name w:val="ListLabel 1390"/>
    <w:qFormat/>
    <w:rPr>
      <w:rFonts w:cs="OpenSymbol"/>
    </w:rPr>
  </w:style>
  <w:style w:type="character" w:customStyle="1" w:styleId="ListLabel1391">
    <w:name w:val="ListLabel 1391"/>
    <w:qFormat/>
    <w:rPr>
      <w:rFonts w:cs="OpenSymbol"/>
    </w:rPr>
  </w:style>
  <w:style w:type="character" w:customStyle="1" w:styleId="ListLabel1392">
    <w:name w:val="ListLabel 1392"/>
    <w:qFormat/>
    <w:rPr>
      <w:rFonts w:cs="OpenSymbol"/>
    </w:rPr>
  </w:style>
  <w:style w:type="character" w:customStyle="1" w:styleId="ListLabel1393">
    <w:name w:val="ListLabel 1393"/>
    <w:qFormat/>
    <w:rPr>
      <w:rFonts w:cs="OpenSymbol"/>
    </w:rPr>
  </w:style>
  <w:style w:type="character" w:customStyle="1" w:styleId="ListLabel1394">
    <w:name w:val="ListLabel 1394"/>
    <w:qFormat/>
    <w:rPr>
      <w:rFonts w:cs="OpenSymbol"/>
    </w:rPr>
  </w:style>
  <w:style w:type="character" w:customStyle="1" w:styleId="ListLabel1395">
    <w:name w:val="ListLabel 1395"/>
    <w:qFormat/>
    <w:rPr>
      <w:rFonts w:cs="OpenSymbol"/>
    </w:rPr>
  </w:style>
  <w:style w:type="character" w:customStyle="1" w:styleId="ListLabel1396">
    <w:name w:val="ListLabel 1396"/>
    <w:qFormat/>
    <w:rPr>
      <w:rFonts w:cs="OpenSymbol"/>
    </w:rPr>
  </w:style>
  <w:style w:type="character" w:customStyle="1" w:styleId="ListLabel1397">
    <w:name w:val="ListLabel 1397"/>
    <w:qFormat/>
    <w:rPr>
      <w:rFonts w:cs="OpenSymbol"/>
    </w:rPr>
  </w:style>
  <w:style w:type="character" w:customStyle="1" w:styleId="ListLabel1398">
    <w:name w:val="ListLabel 1398"/>
    <w:qFormat/>
    <w:rPr>
      <w:rFonts w:cs="OpenSymbol"/>
    </w:rPr>
  </w:style>
  <w:style w:type="character" w:customStyle="1" w:styleId="ListLabel1399">
    <w:name w:val="ListLabel 1399"/>
    <w:qFormat/>
    <w:rPr>
      <w:rFonts w:cs="OpenSymbol"/>
    </w:rPr>
  </w:style>
  <w:style w:type="character" w:customStyle="1" w:styleId="ListLabel1400">
    <w:name w:val="ListLabel 1400"/>
    <w:qFormat/>
    <w:rPr>
      <w:rFonts w:cs="OpenSymbol"/>
    </w:rPr>
  </w:style>
  <w:style w:type="character" w:customStyle="1" w:styleId="ListLabel1401">
    <w:name w:val="ListLabel 1401"/>
    <w:qFormat/>
    <w:rPr>
      <w:rFonts w:cs="OpenSymbol"/>
    </w:rPr>
  </w:style>
  <w:style w:type="character" w:customStyle="1" w:styleId="ListLabel1402">
    <w:name w:val="ListLabel 1402"/>
    <w:qFormat/>
    <w:rPr>
      <w:rFonts w:cs="OpenSymbol"/>
    </w:rPr>
  </w:style>
  <w:style w:type="character" w:customStyle="1" w:styleId="ListLabel1403">
    <w:name w:val="ListLabel 1403"/>
    <w:qFormat/>
    <w:rPr>
      <w:rFonts w:cs="OpenSymbol"/>
    </w:rPr>
  </w:style>
  <w:style w:type="character" w:customStyle="1" w:styleId="ListLabel1404">
    <w:name w:val="ListLabel 1404"/>
    <w:qFormat/>
    <w:rPr>
      <w:rFonts w:cs="OpenSymbol"/>
    </w:rPr>
  </w:style>
  <w:style w:type="character" w:customStyle="1" w:styleId="ListLabel1405">
    <w:name w:val="ListLabel 1405"/>
    <w:qFormat/>
    <w:rPr>
      <w:rFonts w:cs="OpenSymbol"/>
    </w:rPr>
  </w:style>
  <w:style w:type="character" w:customStyle="1" w:styleId="ListLabel1406">
    <w:name w:val="ListLabel 1406"/>
    <w:qFormat/>
    <w:rPr>
      <w:rFonts w:cs="OpenSymbol"/>
    </w:rPr>
  </w:style>
  <w:style w:type="character" w:customStyle="1" w:styleId="ListLabel1407">
    <w:name w:val="ListLabel 1407"/>
    <w:qFormat/>
    <w:rPr>
      <w:rFonts w:cs="OpenSymbol"/>
    </w:rPr>
  </w:style>
  <w:style w:type="character" w:customStyle="1" w:styleId="ListLabel1408">
    <w:name w:val="ListLabel 1408"/>
    <w:qFormat/>
    <w:rPr>
      <w:rFonts w:cs="OpenSymbol"/>
    </w:rPr>
  </w:style>
  <w:style w:type="character" w:customStyle="1" w:styleId="ListLabel1409">
    <w:name w:val="ListLabel 1409"/>
    <w:qFormat/>
    <w:rPr>
      <w:rFonts w:cs="OpenSymbol"/>
    </w:rPr>
  </w:style>
  <w:style w:type="character" w:customStyle="1" w:styleId="ListLabel1410">
    <w:name w:val="ListLabel 1410"/>
    <w:qFormat/>
    <w:rPr>
      <w:rFonts w:cs="OpenSymbol"/>
    </w:rPr>
  </w:style>
  <w:style w:type="character" w:customStyle="1" w:styleId="ListLabel1411">
    <w:name w:val="ListLabel 1411"/>
    <w:qFormat/>
    <w:rPr>
      <w:rFonts w:cs="OpenSymbol"/>
    </w:rPr>
  </w:style>
  <w:style w:type="character" w:customStyle="1" w:styleId="ListLabel1412">
    <w:name w:val="ListLabel 1412"/>
    <w:qFormat/>
    <w:rPr>
      <w:rFonts w:cs="OpenSymbol"/>
    </w:rPr>
  </w:style>
  <w:style w:type="character" w:customStyle="1" w:styleId="ListLabel1413">
    <w:name w:val="ListLabel 1413"/>
    <w:qFormat/>
    <w:rPr>
      <w:rFonts w:cs="OpenSymbol"/>
    </w:rPr>
  </w:style>
  <w:style w:type="character" w:customStyle="1" w:styleId="ListLabel1414">
    <w:name w:val="ListLabel 1414"/>
    <w:qFormat/>
    <w:rPr>
      <w:rFonts w:cs="OpenSymbol"/>
    </w:rPr>
  </w:style>
  <w:style w:type="character" w:customStyle="1" w:styleId="ListLabel1415">
    <w:name w:val="ListLabel 1415"/>
    <w:qFormat/>
    <w:rPr>
      <w:rFonts w:cs="OpenSymbol"/>
    </w:rPr>
  </w:style>
  <w:style w:type="character" w:customStyle="1" w:styleId="ListLabel1416">
    <w:name w:val="ListLabel 1416"/>
    <w:qFormat/>
    <w:rPr>
      <w:rFonts w:cs="OpenSymbol"/>
    </w:rPr>
  </w:style>
  <w:style w:type="character" w:customStyle="1" w:styleId="ListLabel1417">
    <w:name w:val="ListLabel 1417"/>
    <w:qFormat/>
    <w:rPr>
      <w:rFonts w:cs="OpenSymbol"/>
    </w:rPr>
  </w:style>
  <w:style w:type="character" w:customStyle="1" w:styleId="ListLabel1418">
    <w:name w:val="ListLabel 1418"/>
    <w:qFormat/>
    <w:rPr>
      <w:rFonts w:cs="OpenSymbol"/>
    </w:rPr>
  </w:style>
  <w:style w:type="character" w:customStyle="1" w:styleId="ListLabel1419">
    <w:name w:val="ListLabel 1419"/>
    <w:qFormat/>
    <w:rPr>
      <w:rFonts w:cs="OpenSymbol"/>
    </w:rPr>
  </w:style>
  <w:style w:type="character" w:customStyle="1" w:styleId="ListLabel1420">
    <w:name w:val="ListLabel 1420"/>
    <w:qFormat/>
    <w:rPr>
      <w:rFonts w:cs="OpenSymbol"/>
    </w:rPr>
  </w:style>
  <w:style w:type="character" w:customStyle="1" w:styleId="ListLabel1421">
    <w:name w:val="ListLabel 1421"/>
    <w:qFormat/>
    <w:rPr>
      <w:rFonts w:cs="OpenSymbol"/>
    </w:rPr>
  </w:style>
  <w:style w:type="character" w:customStyle="1" w:styleId="ListLabel1422">
    <w:name w:val="ListLabel 1422"/>
    <w:qFormat/>
    <w:rPr>
      <w:rFonts w:cs="OpenSymbol"/>
    </w:rPr>
  </w:style>
  <w:style w:type="character" w:customStyle="1" w:styleId="ListLabel1423">
    <w:name w:val="ListLabel 1423"/>
    <w:qFormat/>
    <w:rPr>
      <w:rFonts w:cs="OpenSymbol"/>
    </w:rPr>
  </w:style>
  <w:style w:type="character" w:customStyle="1" w:styleId="ListLabel1424">
    <w:name w:val="ListLabel 1424"/>
    <w:qFormat/>
    <w:rPr>
      <w:rFonts w:cs="OpenSymbol"/>
    </w:rPr>
  </w:style>
  <w:style w:type="character" w:customStyle="1" w:styleId="ListLabel1425">
    <w:name w:val="ListLabel 1425"/>
    <w:qFormat/>
    <w:rPr>
      <w:rFonts w:cs="OpenSymbol"/>
    </w:rPr>
  </w:style>
  <w:style w:type="character" w:customStyle="1" w:styleId="ListLabel1426">
    <w:name w:val="ListLabel 1426"/>
    <w:qFormat/>
    <w:rPr>
      <w:rFonts w:cs="OpenSymbol"/>
    </w:rPr>
  </w:style>
  <w:style w:type="character" w:customStyle="1" w:styleId="ListLabel1427">
    <w:name w:val="ListLabel 1427"/>
    <w:qFormat/>
    <w:rPr>
      <w:rFonts w:cs="OpenSymbol"/>
    </w:rPr>
  </w:style>
  <w:style w:type="character" w:customStyle="1" w:styleId="ListLabel1428">
    <w:name w:val="ListLabel 1428"/>
    <w:qFormat/>
    <w:rPr>
      <w:rFonts w:cs="OpenSymbol"/>
    </w:rPr>
  </w:style>
  <w:style w:type="character" w:customStyle="1" w:styleId="ListLabel1429">
    <w:name w:val="ListLabel 1429"/>
    <w:qFormat/>
    <w:rPr>
      <w:rFonts w:cs="OpenSymbol"/>
    </w:rPr>
  </w:style>
  <w:style w:type="character" w:customStyle="1" w:styleId="ListLabel1430">
    <w:name w:val="ListLabel 1430"/>
    <w:qFormat/>
    <w:rPr>
      <w:rFonts w:cs="OpenSymbol"/>
    </w:rPr>
  </w:style>
  <w:style w:type="character" w:customStyle="1" w:styleId="ListLabel1431">
    <w:name w:val="ListLabel 1431"/>
    <w:qFormat/>
    <w:rPr>
      <w:rFonts w:cs="OpenSymbol"/>
    </w:rPr>
  </w:style>
  <w:style w:type="character" w:customStyle="1" w:styleId="ListLabel1432">
    <w:name w:val="ListLabel 1432"/>
    <w:qFormat/>
    <w:rPr>
      <w:rFonts w:cs="OpenSymbol"/>
    </w:rPr>
  </w:style>
  <w:style w:type="character" w:customStyle="1" w:styleId="ListLabel1433">
    <w:name w:val="ListLabel 1433"/>
    <w:qFormat/>
    <w:rPr>
      <w:rFonts w:cs="OpenSymbol"/>
    </w:rPr>
  </w:style>
  <w:style w:type="character" w:customStyle="1" w:styleId="ListLabel1434">
    <w:name w:val="ListLabel 1434"/>
    <w:qFormat/>
    <w:rPr>
      <w:rFonts w:cs="OpenSymbol"/>
    </w:rPr>
  </w:style>
  <w:style w:type="character" w:customStyle="1" w:styleId="ListLabel1435">
    <w:name w:val="ListLabel 1435"/>
    <w:qFormat/>
    <w:rPr>
      <w:rFonts w:cs="OpenSymbol"/>
    </w:rPr>
  </w:style>
  <w:style w:type="character" w:customStyle="1" w:styleId="ListLabel1436">
    <w:name w:val="ListLabel 1436"/>
    <w:qFormat/>
    <w:rPr>
      <w:rFonts w:cs="OpenSymbol"/>
    </w:rPr>
  </w:style>
  <w:style w:type="character" w:customStyle="1" w:styleId="ListLabel1437">
    <w:name w:val="ListLabel 1437"/>
    <w:qFormat/>
    <w:rPr>
      <w:rFonts w:cs="OpenSymbol"/>
    </w:rPr>
  </w:style>
  <w:style w:type="character" w:customStyle="1" w:styleId="ListLabel1438">
    <w:name w:val="ListLabel 1438"/>
    <w:qFormat/>
    <w:rPr>
      <w:rFonts w:cs="OpenSymbol"/>
    </w:rPr>
  </w:style>
  <w:style w:type="character" w:customStyle="1" w:styleId="ListLabel1439">
    <w:name w:val="ListLabel 1439"/>
    <w:qFormat/>
    <w:rPr>
      <w:rFonts w:cs="OpenSymbol"/>
    </w:rPr>
  </w:style>
  <w:style w:type="character" w:customStyle="1" w:styleId="ListLabel1440">
    <w:name w:val="ListLabel 1440"/>
    <w:qFormat/>
    <w:rPr>
      <w:rFonts w:cs="OpenSymbol"/>
    </w:rPr>
  </w:style>
  <w:style w:type="character" w:customStyle="1" w:styleId="ListLabel1441">
    <w:name w:val="ListLabel 1441"/>
    <w:qFormat/>
    <w:rPr>
      <w:rFonts w:cs="OpenSymbol"/>
    </w:rPr>
  </w:style>
  <w:style w:type="character" w:customStyle="1" w:styleId="ListLabel1442">
    <w:name w:val="ListLabel 1442"/>
    <w:qFormat/>
    <w:rPr>
      <w:rFonts w:cs="OpenSymbol"/>
    </w:rPr>
  </w:style>
  <w:style w:type="character" w:customStyle="1" w:styleId="ListLabel1443">
    <w:name w:val="ListLabel 1443"/>
    <w:qFormat/>
    <w:rPr>
      <w:rFonts w:cs="OpenSymbol"/>
    </w:rPr>
  </w:style>
  <w:style w:type="character" w:customStyle="1" w:styleId="ListLabel1444">
    <w:name w:val="ListLabel 1444"/>
    <w:qFormat/>
    <w:rPr>
      <w:rFonts w:cs="OpenSymbol"/>
    </w:rPr>
  </w:style>
  <w:style w:type="character" w:customStyle="1" w:styleId="ListLabel1445">
    <w:name w:val="ListLabel 1445"/>
    <w:qFormat/>
    <w:rPr>
      <w:rFonts w:cs="OpenSymbol"/>
    </w:rPr>
  </w:style>
  <w:style w:type="character" w:customStyle="1" w:styleId="ListLabel1446">
    <w:name w:val="ListLabel 1446"/>
    <w:qFormat/>
    <w:rPr>
      <w:rFonts w:cs="OpenSymbol"/>
    </w:rPr>
  </w:style>
  <w:style w:type="character" w:customStyle="1" w:styleId="ListLabel1447">
    <w:name w:val="ListLabel 1447"/>
    <w:qFormat/>
    <w:rPr>
      <w:rFonts w:cs="OpenSymbol"/>
    </w:rPr>
  </w:style>
  <w:style w:type="character" w:customStyle="1" w:styleId="ListLabel1448">
    <w:name w:val="ListLabel 1448"/>
    <w:qFormat/>
    <w:rPr>
      <w:rFonts w:cs="OpenSymbol"/>
    </w:rPr>
  </w:style>
  <w:style w:type="character" w:customStyle="1" w:styleId="ListLabel1449">
    <w:name w:val="ListLabel 1449"/>
    <w:qFormat/>
    <w:rPr>
      <w:rFonts w:cs="OpenSymbol"/>
    </w:rPr>
  </w:style>
  <w:style w:type="character" w:customStyle="1" w:styleId="ListLabel1450">
    <w:name w:val="ListLabel 1450"/>
    <w:qFormat/>
    <w:rPr>
      <w:rFonts w:cs="OpenSymbol"/>
    </w:rPr>
  </w:style>
  <w:style w:type="character" w:customStyle="1" w:styleId="ListLabel1451">
    <w:name w:val="ListLabel 1451"/>
    <w:qFormat/>
    <w:rPr>
      <w:rFonts w:cs="OpenSymbol"/>
    </w:rPr>
  </w:style>
  <w:style w:type="character" w:customStyle="1" w:styleId="ListLabel1452">
    <w:name w:val="ListLabel 1452"/>
    <w:qFormat/>
    <w:rPr>
      <w:rFonts w:cs="OpenSymbol"/>
    </w:rPr>
  </w:style>
  <w:style w:type="character" w:customStyle="1" w:styleId="ListLabel1453">
    <w:name w:val="ListLabel 1453"/>
    <w:qFormat/>
    <w:rPr>
      <w:rFonts w:cs="OpenSymbol"/>
    </w:rPr>
  </w:style>
  <w:style w:type="character" w:customStyle="1" w:styleId="ListLabel1454">
    <w:name w:val="ListLabel 1454"/>
    <w:qFormat/>
    <w:rPr>
      <w:rFonts w:cs="OpenSymbol"/>
    </w:rPr>
  </w:style>
  <w:style w:type="character" w:customStyle="1" w:styleId="ListLabel1455">
    <w:name w:val="ListLabel 1455"/>
    <w:qFormat/>
    <w:rPr>
      <w:rFonts w:cs="OpenSymbol"/>
    </w:rPr>
  </w:style>
  <w:style w:type="character" w:customStyle="1" w:styleId="ListLabel1456">
    <w:name w:val="ListLabel 1456"/>
    <w:qFormat/>
    <w:rPr>
      <w:rFonts w:cs="OpenSymbol"/>
    </w:rPr>
  </w:style>
  <w:style w:type="character" w:customStyle="1" w:styleId="ListLabel1457">
    <w:name w:val="ListLabel 1457"/>
    <w:qFormat/>
    <w:rPr>
      <w:rFonts w:cs="OpenSymbol"/>
    </w:rPr>
  </w:style>
  <w:style w:type="character" w:customStyle="1" w:styleId="ListLabel1458">
    <w:name w:val="ListLabel 1458"/>
    <w:qFormat/>
    <w:rPr>
      <w:rFonts w:cs="OpenSymbol"/>
    </w:rPr>
  </w:style>
  <w:style w:type="character" w:customStyle="1" w:styleId="ListLabel1459">
    <w:name w:val="ListLabel 1459"/>
    <w:qFormat/>
    <w:rPr>
      <w:rFonts w:cs="OpenSymbol"/>
    </w:rPr>
  </w:style>
  <w:style w:type="character" w:customStyle="1" w:styleId="ListLabel1460">
    <w:name w:val="ListLabel 1460"/>
    <w:qFormat/>
    <w:rPr>
      <w:rFonts w:cs="OpenSymbol"/>
    </w:rPr>
  </w:style>
  <w:style w:type="character" w:customStyle="1" w:styleId="ListLabel1461">
    <w:name w:val="ListLabel 1461"/>
    <w:qFormat/>
    <w:rPr>
      <w:rFonts w:cs="OpenSymbol"/>
    </w:rPr>
  </w:style>
  <w:style w:type="character" w:customStyle="1" w:styleId="ListLabel1462">
    <w:name w:val="ListLabel 1462"/>
    <w:qFormat/>
    <w:rPr>
      <w:rFonts w:cs="OpenSymbol"/>
    </w:rPr>
  </w:style>
  <w:style w:type="character" w:customStyle="1" w:styleId="ListLabel1463">
    <w:name w:val="ListLabel 1463"/>
    <w:qFormat/>
    <w:rPr>
      <w:rFonts w:cs="OpenSymbol"/>
    </w:rPr>
  </w:style>
  <w:style w:type="character" w:customStyle="1" w:styleId="ListLabel1464">
    <w:name w:val="ListLabel 1464"/>
    <w:qFormat/>
    <w:rPr>
      <w:rFonts w:cs="OpenSymbol"/>
    </w:rPr>
  </w:style>
  <w:style w:type="character" w:customStyle="1" w:styleId="ListLabel1465">
    <w:name w:val="ListLabel 1465"/>
    <w:qFormat/>
    <w:rPr>
      <w:rFonts w:cs="OpenSymbol"/>
    </w:rPr>
  </w:style>
  <w:style w:type="character" w:customStyle="1" w:styleId="ListLabel1466">
    <w:name w:val="ListLabel 1466"/>
    <w:qFormat/>
    <w:rPr>
      <w:rFonts w:cs="OpenSymbol"/>
    </w:rPr>
  </w:style>
  <w:style w:type="character" w:customStyle="1" w:styleId="ListLabel1467">
    <w:name w:val="ListLabel 1467"/>
    <w:qFormat/>
    <w:rPr>
      <w:rFonts w:cs="OpenSymbol"/>
    </w:rPr>
  </w:style>
  <w:style w:type="character" w:customStyle="1" w:styleId="ListLabel1468">
    <w:name w:val="ListLabel 1468"/>
    <w:qFormat/>
    <w:rPr>
      <w:rFonts w:cs="OpenSymbol"/>
    </w:rPr>
  </w:style>
  <w:style w:type="character" w:customStyle="1" w:styleId="ListLabel1469">
    <w:name w:val="ListLabel 1469"/>
    <w:qFormat/>
    <w:rPr>
      <w:rFonts w:cs="OpenSymbol"/>
    </w:rPr>
  </w:style>
  <w:style w:type="character" w:customStyle="1" w:styleId="ListLabel1470">
    <w:name w:val="ListLabel 1470"/>
    <w:qFormat/>
    <w:rPr>
      <w:rFonts w:cs="OpenSymbol"/>
    </w:rPr>
  </w:style>
  <w:style w:type="character" w:customStyle="1" w:styleId="ListLabel1471">
    <w:name w:val="ListLabel 1471"/>
    <w:qFormat/>
    <w:rPr>
      <w:rFonts w:cs="OpenSymbol"/>
    </w:rPr>
  </w:style>
  <w:style w:type="character" w:customStyle="1" w:styleId="ListLabel1472">
    <w:name w:val="ListLabel 1472"/>
    <w:qFormat/>
    <w:rPr>
      <w:rFonts w:cs="OpenSymbol"/>
    </w:rPr>
  </w:style>
  <w:style w:type="character" w:customStyle="1" w:styleId="ListLabel1473">
    <w:name w:val="ListLabel 1473"/>
    <w:qFormat/>
    <w:rPr>
      <w:rFonts w:cs="OpenSymbol"/>
    </w:rPr>
  </w:style>
  <w:style w:type="character" w:customStyle="1" w:styleId="ListLabel1474">
    <w:name w:val="ListLabel 1474"/>
    <w:qFormat/>
    <w:rPr>
      <w:rFonts w:cs="OpenSymbol"/>
    </w:rPr>
  </w:style>
  <w:style w:type="character" w:customStyle="1" w:styleId="ListLabel1475">
    <w:name w:val="ListLabel 1475"/>
    <w:qFormat/>
    <w:rPr>
      <w:rFonts w:cs="OpenSymbol"/>
    </w:rPr>
  </w:style>
  <w:style w:type="character" w:customStyle="1" w:styleId="ListLabel1476">
    <w:name w:val="ListLabel 1476"/>
    <w:qFormat/>
    <w:rPr>
      <w:rFonts w:cs="OpenSymbol"/>
    </w:rPr>
  </w:style>
  <w:style w:type="character" w:customStyle="1" w:styleId="ListLabel1477">
    <w:name w:val="ListLabel 1477"/>
    <w:qFormat/>
    <w:rPr>
      <w:rFonts w:cs="OpenSymbol"/>
    </w:rPr>
  </w:style>
  <w:style w:type="character" w:customStyle="1" w:styleId="ListLabel1478">
    <w:name w:val="ListLabel 1478"/>
    <w:qFormat/>
    <w:rPr>
      <w:rFonts w:cs="OpenSymbol"/>
    </w:rPr>
  </w:style>
  <w:style w:type="character" w:customStyle="1" w:styleId="ListLabel1479">
    <w:name w:val="ListLabel 1479"/>
    <w:qFormat/>
    <w:rPr>
      <w:rFonts w:cs="OpenSymbol"/>
    </w:rPr>
  </w:style>
  <w:style w:type="character" w:customStyle="1" w:styleId="ListLabel1480">
    <w:name w:val="ListLabel 1480"/>
    <w:qFormat/>
    <w:rPr>
      <w:rFonts w:cs="OpenSymbol"/>
    </w:rPr>
  </w:style>
  <w:style w:type="character" w:customStyle="1" w:styleId="ListLabel1481">
    <w:name w:val="ListLabel 1481"/>
    <w:qFormat/>
    <w:rPr>
      <w:rFonts w:cs="OpenSymbol"/>
    </w:rPr>
  </w:style>
  <w:style w:type="character" w:customStyle="1" w:styleId="ListLabel1482">
    <w:name w:val="ListLabel 1482"/>
    <w:qFormat/>
    <w:rPr>
      <w:rFonts w:cs="OpenSymbol"/>
    </w:rPr>
  </w:style>
  <w:style w:type="character" w:customStyle="1" w:styleId="ListLabel1483">
    <w:name w:val="ListLabel 1483"/>
    <w:qFormat/>
    <w:rPr>
      <w:rFonts w:cs="OpenSymbol"/>
    </w:rPr>
  </w:style>
  <w:style w:type="character" w:customStyle="1" w:styleId="ListLabel1484">
    <w:name w:val="ListLabel 1484"/>
    <w:qFormat/>
    <w:rPr>
      <w:rFonts w:cs="OpenSymbol"/>
    </w:rPr>
  </w:style>
  <w:style w:type="character" w:customStyle="1" w:styleId="ListLabel1485">
    <w:name w:val="ListLabel 1485"/>
    <w:qFormat/>
    <w:rPr>
      <w:rFonts w:cs="OpenSymbol"/>
    </w:rPr>
  </w:style>
  <w:style w:type="character" w:customStyle="1" w:styleId="ListLabel1486">
    <w:name w:val="ListLabel 1486"/>
    <w:qFormat/>
    <w:rPr>
      <w:rFonts w:cs="OpenSymbol"/>
    </w:rPr>
  </w:style>
  <w:style w:type="character" w:customStyle="1" w:styleId="ListLabel1487">
    <w:name w:val="ListLabel 1487"/>
    <w:qFormat/>
    <w:rPr>
      <w:rFonts w:cs="OpenSymbol"/>
    </w:rPr>
  </w:style>
  <w:style w:type="character" w:customStyle="1" w:styleId="ListLabel1488">
    <w:name w:val="ListLabel 1488"/>
    <w:qFormat/>
    <w:rPr>
      <w:rFonts w:cs="OpenSymbol"/>
    </w:rPr>
  </w:style>
  <w:style w:type="character" w:customStyle="1" w:styleId="ListLabel1489">
    <w:name w:val="ListLabel 1489"/>
    <w:qFormat/>
    <w:rPr>
      <w:rFonts w:cs="OpenSymbol"/>
    </w:rPr>
  </w:style>
  <w:style w:type="character" w:customStyle="1" w:styleId="ListLabel1490">
    <w:name w:val="ListLabel 1490"/>
    <w:qFormat/>
    <w:rPr>
      <w:rFonts w:cs="OpenSymbol"/>
    </w:rPr>
  </w:style>
  <w:style w:type="character" w:customStyle="1" w:styleId="ListLabel1491">
    <w:name w:val="ListLabel 1491"/>
    <w:qFormat/>
    <w:rPr>
      <w:rFonts w:cs="OpenSymbol"/>
    </w:rPr>
  </w:style>
  <w:style w:type="character" w:customStyle="1" w:styleId="ListLabel1492">
    <w:name w:val="ListLabel 1492"/>
    <w:qFormat/>
    <w:rPr>
      <w:rFonts w:cs="OpenSymbol"/>
    </w:rPr>
  </w:style>
  <w:style w:type="character" w:customStyle="1" w:styleId="ListLabel1493">
    <w:name w:val="ListLabel 1493"/>
    <w:qFormat/>
    <w:rPr>
      <w:rFonts w:cs="OpenSymbol"/>
    </w:rPr>
  </w:style>
  <w:style w:type="character" w:customStyle="1" w:styleId="ListLabel1494">
    <w:name w:val="ListLabel 1494"/>
    <w:qFormat/>
    <w:rPr>
      <w:rFonts w:cs="OpenSymbol"/>
    </w:rPr>
  </w:style>
  <w:style w:type="character" w:customStyle="1" w:styleId="ListLabel1495">
    <w:name w:val="ListLabel 1495"/>
    <w:qFormat/>
    <w:rPr>
      <w:rFonts w:cs="OpenSymbol"/>
    </w:rPr>
  </w:style>
  <w:style w:type="character" w:customStyle="1" w:styleId="ListLabel1496">
    <w:name w:val="ListLabel 1496"/>
    <w:qFormat/>
    <w:rPr>
      <w:rFonts w:cs="OpenSymbol"/>
    </w:rPr>
  </w:style>
  <w:style w:type="character" w:customStyle="1" w:styleId="ListLabel1497">
    <w:name w:val="ListLabel 1497"/>
    <w:qFormat/>
    <w:rPr>
      <w:rFonts w:cs="OpenSymbol"/>
    </w:rPr>
  </w:style>
  <w:style w:type="character" w:customStyle="1" w:styleId="ListLabel1498">
    <w:name w:val="ListLabel 1498"/>
    <w:qFormat/>
    <w:rPr>
      <w:rFonts w:cs="OpenSymbol"/>
    </w:rPr>
  </w:style>
  <w:style w:type="character" w:customStyle="1" w:styleId="ListLabel1499">
    <w:name w:val="ListLabel 1499"/>
    <w:qFormat/>
    <w:rPr>
      <w:rFonts w:cs="OpenSymbol"/>
    </w:rPr>
  </w:style>
  <w:style w:type="character" w:customStyle="1" w:styleId="ListLabel1500">
    <w:name w:val="ListLabel 1500"/>
    <w:qFormat/>
    <w:rPr>
      <w:rFonts w:cs="OpenSymbol"/>
    </w:rPr>
  </w:style>
  <w:style w:type="character" w:customStyle="1" w:styleId="ListLabel1501">
    <w:name w:val="ListLabel 1501"/>
    <w:qFormat/>
    <w:rPr>
      <w:rFonts w:cs="OpenSymbol"/>
    </w:rPr>
  </w:style>
  <w:style w:type="character" w:customStyle="1" w:styleId="ListLabel1502">
    <w:name w:val="ListLabel 1502"/>
    <w:qFormat/>
    <w:rPr>
      <w:rFonts w:cs="OpenSymbol"/>
    </w:rPr>
  </w:style>
  <w:style w:type="character" w:customStyle="1" w:styleId="ListLabel1503">
    <w:name w:val="ListLabel 1503"/>
    <w:qFormat/>
    <w:rPr>
      <w:rFonts w:cs="OpenSymbol"/>
    </w:rPr>
  </w:style>
  <w:style w:type="character" w:customStyle="1" w:styleId="ListLabel1504">
    <w:name w:val="ListLabel 1504"/>
    <w:qFormat/>
    <w:rPr>
      <w:rFonts w:cs="OpenSymbol"/>
    </w:rPr>
  </w:style>
  <w:style w:type="character" w:customStyle="1" w:styleId="ListLabel1505">
    <w:name w:val="ListLabel 1505"/>
    <w:qFormat/>
    <w:rPr>
      <w:rFonts w:cs="OpenSymbol"/>
    </w:rPr>
  </w:style>
  <w:style w:type="character" w:customStyle="1" w:styleId="ListLabel1506">
    <w:name w:val="ListLabel 1506"/>
    <w:qFormat/>
    <w:rPr>
      <w:rFonts w:cs="OpenSymbol"/>
    </w:rPr>
  </w:style>
  <w:style w:type="character" w:customStyle="1" w:styleId="ListLabel1507">
    <w:name w:val="ListLabel 1507"/>
    <w:qFormat/>
    <w:rPr>
      <w:rFonts w:cs="OpenSymbol"/>
    </w:rPr>
  </w:style>
  <w:style w:type="character" w:customStyle="1" w:styleId="ListLabel1508">
    <w:name w:val="ListLabel 1508"/>
    <w:qFormat/>
    <w:rPr>
      <w:rFonts w:cs="OpenSymbol"/>
    </w:rPr>
  </w:style>
  <w:style w:type="character" w:customStyle="1" w:styleId="ListLabel1509">
    <w:name w:val="ListLabel 1509"/>
    <w:qFormat/>
    <w:rPr>
      <w:rFonts w:cs="OpenSymbol"/>
    </w:rPr>
  </w:style>
  <w:style w:type="character" w:customStyle="1" w:styleId="ListLabel1510">
    <w:name w:val="ListLabel 1510"/>
    <w:qFormat/>
    <w:rPr>
      <w:rFonts w:cs="OpenSymbol"/>
    </w:rPr>
  </w:style>
  <w:style w:type="character" w:customStyle="1" w:styleId="ListLabel1511">
    <w:name w:val="ListLabel 1511"/>
    <w:qFormat/>
    <w:rPr>
      <w:rFonts w:cs="OpenSymbol"/>
    </w:rPr>
  </w:style>
  <w:style w:type="character" w:customStyle="1" w:styleId="ListLabel1512">
    <w:name w:val="ListLabel 1512"/>
    <w:qFormat/>
    <w:rPr>
      <w:rFonts w:ascii="Source Sans Pro Web;Helvetica N" w:hAnsi="Source Sans Pro Web;Helvetica N" w:cs="OpenSymbol"/>
      <w:sz w:val="25"/>
    </w:rPr>
  </w:style>
  <w:style w:type="character" w:customStyle="1" w:styleId="ListLabel1513">
    <w:name w:val="ListLabel 1513"/>
    <w:qFormat/>
    <w:rPr>
      <w:rFonts w:cs="OpenSymbol"/>
    </w:rPr>
  </w:style>
  <w:style w:type="character" w:customStyle="1" w:styleId="ListLabel1514">
    <w:name w:val="ListLabel 1514"/>
    <w:qFormat/>
    <w:rPr>
      <w:rFonts w:cs="OpenSymbol"/>
    </w:rPr>
  </w:style>
  <w:style w:type="character" w:customStyle="1" w:styleId="ListLabel1515">
    <w:name w:val="ListLabel 1515"/>
    <w:qFormat/>
    <w:rPr>
      <w:rFonts w:cs="OpenSymbol"/>
    </w:rPr>
  </w:style>
  <w:style w:type="character" w:customStyle="1" w:styleId="ListLabel1516">
    <w:name w:val="ListLabel 1516"/>
    <w:qFormat/>
    <w:rPr>
      <w:rFonts w:cs="OpenSymbol"/>
    </w:rPr>
  </w:style>
  <w:style w:type="character" w:customStyle="1" w:styleId="ListLabel1517">
    <w:name w:val="ListLabel 1517"/>
    <w:qFormat/>
    <w:rPr>
      <w:rFonts w:cs="OpenSymbol"/>
    </w:rPr>
  </w:style>
  <w:style w:type="character" w:customStyle="1" w:styleId="ListLabel1518">
    <w:name w:val="ListLabel 1518"/>
    <w:qFormat/>
    <w:rPr>
      <w:rFonts w:cs="OpenSymbol"/>
    </w:rPr>
  </w:style>
  <w:style w:type="character" w:customStyle="1" w:styleId="ListLabel1519">
    <w:name w:val="ListLabel 1519"/>
    <w:qFormat/>
    <w:rPr>
      <w:rFonts w:cs="OpenSymbol"/>
    </w:rPr>
  </w:style>
  <w:style w:type="character" w:customStyle="1" w:styleId="ListLabel1520">
    <w:name w:val="ListLabel 1520"/>
    <w:qFormat/>
    <w:rPr>
      <w:rFonts w:cs="OpenSymbol"/>
    </w:rPr>
  </w:style>
  <w:style w:type="character" w:customStyle="1" w:styleId="ListLabel1521">
    <w:name w:val="ListLabel 1521"/>
    <w:qFormat/>
    <w:rPr>
      <w:rFonts w:cs="OpenSymbol"/>
    </w:rPr>
  </w:style>
  <w:style w:type="character" w:customStyle="1" w:styleId="ListLabel1522">
    <w:name w:val="ListLabel 1522"/>
    <w:qFormat/>
    <w:rPr>
      <w:rFonts w:cs="OpenSymbol"/>
    </w:rPr>
  </w:style>
  <w:style w:type="character" w:customStyle="1" w:styleId="ListLabel1523">
    <w:name w:val="ListLabel 1523"/>
    <w:qFormat/>
    <w:rPr>
      <w:rFonts w:cs="OpenSymbol"/>
    </w:rPr>
  </w:style>
  <w:style w:type="character" w:customStyle="1" w:styleId="ListLabel1524">
    <w:name w:val="ListLabel 1524"/>
    <w:qFormat/>
    <w:rPr>
      <w:rFonts w:cs="OpenSymbol"/>
    </w:rPr>
  </w:style>
  <w:style w:type="character" w:customStyle="1" w:styleId="ListLabel1525">
    <w:name w:val="ListLabel 1525"/>
    <w:qFormat/>
    <w:rPr>
      <w:rFonts w:cs="OpenSymbol"/>
    </w:rPr>
  </w:style>
  <w:style w:type="character" w:customStyle="1" w:styleId="ListLabel1526">
    <w:name w:val="ListLabel 1526"/>
    <w:qFormat/>
    <w:rPr>
      <w:rFonts w:cs="OpenSymbol"/>
    </w:rPr>
  </w:style>
  <w:style w:type="character" w:customStyle="1" w:styleId="ListLabel1527">
    <w:name w:val="ListLabel 1527"/>
    <w:qFormat/>
    <w:rPr>
      <w:rFonts w:cs="OpenSymbol"/>
    </w:rPr>
  </w:style>
  <w:style w:type="character" w:customStyle="1" w:styleId="ListLabel1528">
    <w:name w:val="ListLabel 1528"/>
    <w:qFormat/>
    <w:rPr>
      <w:rFonts w:cs="OpenSymbol"/>
    </w:rPr>
  </w:style>
  <w:style w:type="character" w:customStyle="1" w:styleId="ListLabel1529">
    <w:name w:val="ListLabel 1529"/>
    <w:qFormat/>
    <w:rPr>
      <w:rFonts w:cs="OpenSymbol"/>
    </w:rPr>
  </w:style>
  <w:style w:type="character" w:customStyle="1" w:styleId="ListLabel1530">
    <w:name w:val="ListLabel 1530"/>
    <w:qFormat/>
    <w:rPr>
      <w:rFonts w:eastAsia="Calibri"/>
      <w:color w:val="000000"/>
      <w:sz w:val="28"/>
      <w:u w:val="none"/>
    </w:rPr>
  </w:style>
  <w:style w:type="character" w:customStyle="1" w:styleId="ListLabel1531">
    <w:name w:val="ListLabel 1531"/>
    <w:qFormat/>
    <w:rPr>
      <w:rFonts w:eastAsia="Calibri"/>
      <w:color w:val="000000"/>
      <w:sz w:val="28"/>
      <w:u w:val="none"/>
      <w:lang w:val="en-US"/>
    </w:rPr>
  </w:style>
  <w:style w:type="character" w:customStyle="1" w:styleId="ListLabel1532">
    <w:name w:val="ListLabel 1532"/>
    <w:qFormat/>
    <w:rPr>
      <w:rFonts w:eastAsia="Calibri"/>
      <w:color w:val="000000"/>
      <w:sz w:val="28"/>
      <w:u w:val="none"/>
      <w:lang w:val="uk-UA"/>
    </w:rPr>
  </w:style>
  <w:style w:type="character" w:customStyle="1" w:styleId="ListLabel1533">
    <w:name w:val="ListLabel 1533"/>
    <w:qFormat/>
    <w:rPr>
      <w:color w:val="000000"/>
      <w:sz w:val="28"/>
      <w:u w:val="none"/>
    </w:rPr>
  </w:style>
  <w:style w:type="character" w:customStyle="1" w:styleId="ListLabel1534">
    <w:name w:val="ListLabel 1534"/>
    <w:qFormat/>
    <w:rPr>
      <w:rFonts w:eastAsia="Calibri"/>
      <w:color w:val="C9211E"/>
      <w:sz w:val="28"/>
    </w:rPr>
  </w:style>
  <w:style w:type="character" w:customStyle="1" w:styleId="ListLabel1535">
    <w:name w:val="ListLabel 1535"/>
    <w:qFormat/>
    <w:rPr>
      <w:rFonts w:eastAsia="Calibri" w:cs="Times New Roman"/>
      <w:b/>
      <w:bCs/>
      <w:kern w:val="2"/>
      <w:sz w:val="28"/>
      <w:szCs w:val="28"/>
      <w:lang w:val="uk-UA" w:eastAsia="ru-RU"/>
    </w:rPr>
  </w:style>
  <w:style w:type="character" w:customStyle="1" w:styleId="ListLabel1536">
    <w:name w:val="ListLabel 1536"/>
    <w:qFormat/>
    <w:rPr>
      <w:rFonts w:eastAsia="Calibri"/>
      <w:b/>
      <w:bCs/>
      <w:color w:val="000000"/>
      <w:sz w:val="28"/>
      <w:u w:val="none"/>
      <w:lang w:val="en-US"/>
    </w:rPr>
  </w:style>
  <w:style w:type="character" w:customStyle="1" w:styleId="ListLabel1537">
    <w:name w:val="ListLabel 1537"/>
    <w:qFormat/>
    <w:rPr>
      <w:b w:val="0"/>
      <w:bCs w:val="0"/>
      <w:color w:val="FF8000"/>
      <w:sz w:val="28"/>
      <w:szCs w:val="28"/>
      <w:highlight w:val="yellow"/>
      <w:lang w:val="ru-RU"/>
    </w:rPr>
  </w:style>
  <w:style w:type="character" w:customStyle="1" w:styleId="ListLabel1538">
    <w:name w:val="ListLabel 1538"/>
    <w:qFormat/>
    <w:rPr>
      <w:b w:val="0"/>
      <w:bCs w:val="0"/>
      <w:i w:val="0"/>
      <w:caps w:val="0"/>
      <w:smallCaps w:val="0"/>
      <w:color w:val="158466"/>
      <w:spacing w:val="0"/>
      <w:sz w:val="28"/>
      <w:szCs w:val="28"/>
      <w:highlight w:val="yellow"/>
      <w:lang w:val="uk-UA"/>
    </w:rPr>
  </w:style>
  <w:style w:type="character" w:customStyle="1" w:styleId="ListLabel1539">
    <w:name w:val="ListLabel 1539"/>
    <w:qFormat/>
    <w:rPr>
      <w:rFonts w:eastAsia="Times New Roman" w:cs="Times New Roman"/>
      <w:b w:val="0"/>
      <w:bCs w:val="0"/>
      <w:i w:val="0"/>
      <w:caps w:val="0"/>
      <w:smallCaps w:val="0"/>
      <w:strike w:val="0"/>
      <w:dstrike w:val="0"/>
      <w:color w:val="000000"/>
      <w:spacing w:val="0"/>
      <w:kern w:val="2"/>
      <w:sz w:val="28"/>
      <w:szCs w:val="28"/>
      <w:highlight w:val="yellow"/>
      <w:u w:val="none"/>
      <w:effect w:val="none"/>
      <w:lang w:val="uk-UA"/>
    </w:rPr>
  </w:style>
  <w:style w:type="character" w:customStyle="1" w:styleId="ListLabel1540">
    <w:name w:val="ListLabel 1540"/>
    <w:qFormat/>
    <w:rPr>
      <w:rFonts w:eastAsia="Times New Roman" w:cs="Times New Roman"/>
      <w:b w:val="0"/>
      <w:bCs w:val="0"/>
      <w:i w:val="0"/>
      <w:caps w:val="0"/>
      <w:smallCaps w:val="0"/>
      <w:strike w:val="0"/>
      <w:dstrike w:val="0"/>
      <w:color w:val="2C2C2C"/>
      <w:spacing w:val="0"/>
      <w:kern w:val="2"/>
      <w:sz w:val="28"/>
      <w:szCs w:val="28"/>
      <w:highlight w:val="yellow"/>
      <w:u w:val="none"/>
      <w:effect w:val="none"/>
      <w:lang w:val="en-US"/>
    </w:rPr>
  </w:style>
  <w:style w:type="character" w:customStyle="1" w:styleId="ListLabel1541">
    <w:name w:val="ListLabel 1541"/>
    <w:qFormat/>
    <w:rPr>
      <w:b w:val="0"/>
      <w:i w:val="0"/>
      <w:caps w:val="0"/>
      <w:smallCaps w:val="0"/>
      <w:color w:val="FF8000"/>
      <w:spacing w:val="0"/>
      <w:sz w:val="28"/>
      <w:szCs w:val="28"/>
      <w:u w:val="single"/>
      <w:bdr w:val="single" w:sz="2" w:space="1" w:color="000000"/>
    </w:rPr>
  </w:style>
  <w:style w:type="character" w:customStyle="1" w:styleId="ListLabel1542">
    <w:name w:val="ListLabel 1542"/>
    <w:qFormat/>
    <w:rPr>
      <w:b w:val="0"/>
      <w:i w:val="0"/>
      <w:caps w:val="0"/>
      <w:smallCaps w:val="0"/>
      <w:color w:val="FF8000"/>
      <w:spacing w:val="0"/>
      <w:sz w:val="28"/>
      <w:szCs w:val="28"/>
      <w:u w:val="single"/>
    </w:rPr>
  </w:style>
  <w:style w:type="character" w:customStyle="1" w:styleId="ListLabel1543">
    <w:name w:val="ListLabel 1543"/>
    <w:qFormat/>
    <w:rPr>
      <w:b w:val="0"/>
      <w:strike w:val="0"/>
      <w:dstrike w:val="0"/>
      <w:color w:val="FF8000"/>
      <w:sz w:val="28"/>
      <w:szCs w:val="28"/>
      <w:highlight w:val="darkBlue"/>
      <w:u w:val="none"/>
      <w:effect w:val="none"/>
    </w:rPr>
  </w:style>
  <w:style w:type="character" w:customStyle="1" w:styleId="ListLabel1544">
    <w:name w:val="ListLabel 1544"/>
    <w:qFormat/>
    <w:rPr>
      <w:rFonts w:cs="Arial"/>
      <w:color w:val="FF8000"/>
      <w:sz w:val="28"/>
      <w:szCs w:val="28"/>
      <w:highlight w:val="yellow"/>
    </w:rPr>
  </w:style>
  <w:style w:type="character" w:customStyle="1" w:styleId="ListLabel1545">
    <w:name w:val="ListLabel 1545"/>
    <w:qFormat/>
    <w:rPr>
      <w:rFonts w:cs="Arial"/>
      <w:color w:val="FF8000"/>
    </w:rPr>
  </w:style>
  <w:style w:type="character" w:customStyle="1" w:styleId="ListLabel1546">
    <w:name w:val="ListLabel 1546"/>
    <w:qFormat/>
  </w:style>
  <w:style w:type="character" w:customStyle="1" w:styleId="ListLabel1547">
    <w:name w:val="ListLabel 1547"/>
    <w:qFormat/>
  </w:style>
  <w:style w:type="character" w:customStyle="1" w:styleId="ListLabel1548">
    <w:name w:val="ListLabel 1548"/>
    <w:qFormat/>
    <w:rPr>
      <w:rFonts w:ascii="Source Sans Pro Web;Helvetica N" w:hAnsi="Source Sans Pro Web;Helvetica N"/>
      <w:color w:val="005EA2"/>
      <w:spacing w:val="0"/>
      <w:sz w:val="25"/>
      <w:u w:val="single"/>
    </w:rPr>
  </w:style>
  <w:style w:type="character" w:customStyle="1" w:styleId="ListLabel1549">
    <w:name w:val="ListLabel 1549"/>
    <w:qFormat/>
    <w:rPr>
      <w:rFonts w:ascii="Source Sans Pro Web;Helvetica N" w:hAnsi="Source Sans Pro Web;Helvetica N"/>
      <w:color w:val="005EA2"/>
      <w:spacing w:val="0"/>
      <w:sz w:val="25"/>
      <w:u w:val="single"/>
      <w:bdr w:val="single" w:sz="2" w:space="11" w:color="EAC2AE"/>
    </w:rPr>
  </w:style>
  <w:style w:type="character" w:customStyle="1" w:styleId="ListLabel1550">
    <w:name w:val="ListLabel 1550"/>
    <w:qFormat/>
    <w:rPr>
      <w:color w:val="005EA2"/>
      <w:u w:val="single"/>
    </w:rPr>
  </w:style>
  <w:style w:type="character" w:customStyle="1" w:styleId="ListLabel1551">
    <w:name w:val="ListLabel 1551"/>
    <w:qFormat/>
    <w:rPr>
      <w:rFonts w:ascii="Source Sans Pro Web;Helvetica N" w:hAnsi="Source Sans Pro Web;Helvetica N"/>
      <w:color w:val="005EA2"/>
      <w:spacing w:val="0"/>
      <w:u w:val="single"/>
    </w:rPr>
  </w:style>
  <w:style w:type="character" w:customStyle="1" w:styleId="ListLabel1552">
    <w:name w:val="ListLabel 1552"/>
    <w:qFormat/>
    <w:rPr>
      <w:rFonts w:eastAsia="Times New Roman" w:cs="Times New Roman"/>
      <w:b w:val="0"/>
      <w:bCs w:val="0"/>
      <w:i w:val="0"/>
      <w:caps w:val="0"/>
      <w:smallCaps w:val="0"/>
      <w:strike w:val="0"/>
      <w:dstrike w:val="0"/>
      <w:color w:val="3366CC"/>
      <w:spacing w:val="0"/>
      <w:kern w:val="2"/>
      <w:sz w:val="28"/>
      <w:szCs w:val="28"/>
      <w:highlight w:val="white"/>
      <w:u w:val="none"/>
      <w:effect w:val="none"/>
      <w:lang w:val="uk-UA" w:eastAsia="ru-RU"/>
    </w:rPr>
  </w:style>
  <w:style w:type="character" w:customStyle="1" w:styleId="ListLabel1553">
    <w:name w:val="ListLabel 1553"/>
    <w:qFormat/>
    <w:rPr>
      <w:sz w:val="28"/>
      <w:szCs w:val="28"/>
      <w:lang w:val="uk-UA"/>
    </w:rPr>
  </w:style>
  <w:style w:type="character" w:customStyle="1" w:styleId="ListLabel1554">
    <w:name w:val="ListLabel 1554"/>
    <w:qFormat/>
    <w:rPr>
      <w:b/>
      <w:bCs/>
      <w:color w:val="FF8000"/>
      <w:sz w:val="28"/>
      <w:szCs w:val="28"/>
      <w:highlight w:val="yellow"/>
      <w:lang w:val="ru-RU"/>
    </w:rPr>
  </w:style>
  <w:style w:type="character" w:customStyle="1" w:styleId="ListLabel1555">
    <w:name w:val="ListLabel 1555"/>
    <w:qFormat/>
    <w:rPr>
      <w:rFonts w:cs="OpenSymbol"/>
      <w:b w:val="0"/>
      <w:sz w:val="28"/>
    </w:rPr>
  </w:style>
  <w:style w:type="character" w:customStyle="1" w:styleId="ListLabel1556">
    <w:name w:val="ListLabel 1556"/>
    <w:qFormat/>
    <w:rPr>
      <w:rFonts w:cs="OpenSymbol"/>
    </w:rPr>
  </w:style>
  <w:style w:type="character" w:customStyle="1" w:styleId="ListLabel1557">
    <w:name w:val="ListLabel 1557"/>
    <w:qFormat/>
    <w:rPr>
      <w:rFonts w:cs="OpenSymbol"/>
    </w:rPr>
  </w:style>
  <w:style w:type="character" w:customStyle="1" w:styleId="ListLabel1558">
    <w:name w:val="ListLabel 1558"/>
    <w:qFormat/>
    <w:rPr>
      <w:rFonts w:cs="OpenSymbol"/>
    </w:rPr>
  </w:style>
  <w:style w:type="character" w:customStyle="1" w:styleId="ListLabel1559">
    <w:name w:val="ListLabel 1559"/>
    <w:qFormat/>
    <w:rPr>
      <w:rFonts w:cs="OpenSymbol"/>
    </w:rPr>
  </w:style>
  <w:style w:type="character" w:customStyle="1" w:styleId="ListLabel1560">
    <w:name w:val="ListLabel 1560"/>
    <w:qFormat/>
    <w:rPr>
      <w:rFonts w:cs="OpenSymbol"/>
    </w:rPr>
  </w:style>
  <w:style w:type="character" w:customStyle="1" w:styleId="ListLabel1561">
    <w:name w:val="ListLabel 1561"/>
    <w:qFormat/>
    <w:rPr>
      <w:rFonts w:cs="OpenSymbol"/>
    </w:rPr>
  </w:style>
  <w:style w:type="character" w:customStyle="1" w:styleId="ListLabel1562">
    <w:name w:val="ListLabel 1562"/>
    <w:qFormat/>
    <w:rPr>
      <w:rFonts w:cs="OpenSymbol"/>
    </w:rPr>
  </w:style>
  <w:style w:type="character" w:customStyle="1" w:styleId="ListLabel1563">
    <w:name w:val="ListLabel 1563"/>
    <w:qFormat/>
    <w:rPr>
      <w:rFonts w:cs="OpenSymbol"/>
    </w:rPr>
  </w:style>
  <w:style w:type="character" w:customStyle="1" w:styleId="ListLabel1564">
    <w:name w:val="ListLabel 1564"/>
    <w:qFormat/>
    <w:rPr>
      <w:rFonts w:cs="OpenSymbol"/>
      <w:b w:val="0"/>
      <w:sz w:val="28"/>
    </w:rPr>
  </w:style>
  <w:style w:type="character" w:customStyle="1" w:styleId="ListLabel1565">
    <w:name w:val="ListLabel 1565"/>
    <w:qFormat/>
    <w:rPr>
      <w:rFonts w:cs="OpenSymbol"/>
    </w:rPr>
  </w:style>
  <w:style w:type="character" w:customStyle="1" w:styleId="ListLabel1566">
    <w:name w:val="ListLabel 1566"/>
    <w:qFormat/>
    <w:rPr>
      <w:rFonts w:cs="OpenSymbol"/>
    </w:rPr>
  </w:style>
  <w:style w:type="character" w:customStyle="1" w:styleId="ListLabel1567">
    <w:name w:val="ListLabel 1567"/>
    <w:qFormat/>
    <w:rPr>
      <w:rFonts w:cs="OpenSymbol"/>
    </w:rPr>
  </w:style>
  <w:style w:type="character" w:customStyle="1" w:styleId="ListLabel1568">
    <w:name w:val="ListLabel 1568"/>
    <w:qFormat/>
    <w:rPr>
      <w:rFonts w:cs="OpenSymbol"/>
    </w:rPr>
  </w:style>
  <w:style w:type="character" w:customStyle="1" w:styleId="ListLabel1569">
    <w:name w:val="ListLabel 1569"/>
    <w:qFormat/>
    <w:rPr>
      <w:rFonts w:cs="OpenSymbol"/>
    </w:rPr>
  </w:style>
  <w:style w:type="character" w:customStyle="1" w:styleId="ListLabel1570">
    <w:name w:val="ListLabel 1570"/>
    <w:qFormat/>
    <w:rPr>
      <w:rFonts w:cs="OpenSymbol"/>
    </w:rPr>
  </w:style>
  <w:style w:type="character" w:customStyle="1" w:styleId="ListLabel1571">
    <w:name w:val="ListLabel 1571"/>
    <w:qFormat/>
    <w:rPr>
      <w:rFonts w:cs="OpenSymbol"/>
    </w:rPr>
  </w:style>
  <w:style w:type="character" w:customStyle="1" w:styleId="ListLabel1572">
    <w:name w:val="ListLabel 1572"/>
    <w:qFormat/>
    <w:rPr>
      <w:rFonts w:cs="OpenSymbol"/>
    </w:rPr>
  </w:style>
  <w:style w:type="character" w:customStyle="1" w:styleId="ListLabel1573">
    <w:name w:val="ListLabel 1573"/>
    <w:qFormat/>
    <w:rPr>
      <w:rFonts w:cs="OpenSymbol"/>
      <w:b w:val="0"/>
      <w:sz w:val="28"/>
    </w:rPr>
  </w:style>
  <w:style w:type="character" w:customStyle="1" w:styleId="ListLabel1574">
    <w:name w:val="ListLabel 1574"/>
    <w:qFormat/>
    <w:rPr>
      <w:rFonts w:cs="OpenSymbol"/>
    </w:rPr>
  </w:style>
  <w:style w:type="character" w:customStyle="1" w:styleId="ListLabel1575">
    <w:name w:val="ListLabel 1575"/>
    <w:qFormat/>
    <w:rPr>
      <w:rFonts w:cs="OpenSymbol"/>
    </w:rPr>
  </w:style>
  <w:style w:type="character" w:customStyle="1" w:styleId="ListLabel1576">
    <w:name w:val="ListLabel 1576"/>
    <w:qFormat/>
    <w:rPr>
      <w:rFonts w:cs="OpenSymbol"/>
    </w:rPr>
  </w:style>
  <w:style w:type="character" w:customStyle="1" w:styleId="ListLabel1577">
    <w:name w:val="ListLabel 1577"/>
    <w:qFormat/>
    <w:rPr>
      <w:rFonts w:cs="OpenSymbol"/>
    </w:rPr>
  </w:style>
  <w:style w:type="character" w:customStyle="1" w:styleId="ListLabel1578">
    <w:name w:val="ListLabel 1578"/>
    <w:qFormat/>
    <w:rPr>
      <w:rFonts w:cs="OpenSymbol"/>
    </w:rPr>
  </w:style>
  <w:style w:type="character" w:customStyle="1" w:styleId="ListLabel1579">
    <w:name w:val="ListLabel 1579"/>
    <w:qFormat/>
    <w:rPr>
      <w:rFonts w:cs="OpenSymbol"/>
    </w:rPr>
  </w:style>
  <w:style w:type="character" w:customStyle="1" w:styleId="ListLabel1580">
    <w:name w:val="ListLabel 1580"/>
    <w:qFormat/>
    <w:rPr>
      <w:rFonts w:cs="OpenSymbol"/>
    </w:rPr>
  </w:style>
  <w:style w:type="character" w:customStyle="1" w:styleId="ListLabel1581">
    <w:name w:val="ListLabel 1581"/>
    <w:qFormat/>
    <w:rPr>
      <w:rFonts w:cs="OpenSymbol"/>
    </w:rPr>
  </w:style>
  <w:style w:type="character" w:customStyle="1" w:styleId="ListLabel1582">
    <w:name w:val="ListLabel 1582"/>
    <w:qFormat/>
    <w:rPr>
      <w:rFonts w:cs="OpenSymbol"/>
    </w:rPr>
  </w:style>
  <w:style w:type="character" w:customStyle="1" w:styleId="ListLabel1583">
    <w:name w:val="ListLabel 1583"/>
    <w:qFormat/>
    <w:rPr>
      <w:rFonts w:cs="OpenSymbol"/>
    </w:rPr>
  </w:style>
  <w:style w:type="character" w:customStyle="1" w:styleId="ListLabel1584">
    <w:name w:val="ListLabel 1584"/>
    <w:qFormat/>
    <w:rPr>
      <w:rFonts w:cs="OpenSymbol"/>
    </w:rPr>
  </w:style>
  <w:style w:type="character" w:customStyle="1" w:styleId="ListLabel1585">
    <w:name w:val="ListLabel 1585"/>
    <w:qFormat/>
    <w:rPr>
      <w:rFonts w:cs="OpenSymbol"/>
    </w:rPr>
  </w:style>
  <w:style w:type="character" w:customStyle="1" w:styleId="ListLabel1586">
    <w:name w:val="ListLabel 1586"/>
    <w:qFormat/>
    <w:rPr>
      <w:rFonts w:cs="OpenSymbol"/>
    </w:rPr>
  </w:style>
  <w:style w:type="character" w:customStyle="1" w:styleId="ListLabel1587">
    <w:name w:val="ListLabel 1587"/>
    <w:qFormat/>
    <w:rPr>
      <w:rFonts w:cs="OpenSymbol"/>
    </w:rPr>
  </w:style>
  <w:style w:type="character" w:customStyle="1" w:styleId="ListLabel1588">
    <w:name w:val="ListLabel 1588"/>
    <w:qFormat/>
    <w:rPr>
      <w:rFonts w:cs="OpenSymbol"/>
    </w:rPr>
  </w:style>
  <w:style w:type="character" w:customStyle="1" w:styleId="ListLabel1589">
    <w:name w:val="ListLabel 1589"/>
    <w:qFormat/>
    <w:rPr>
      <w:rFonts w:cs="OpenSymbol"/>
    </w:rPr>
  </w:style>
  <w:style w:type="character" w:customStyle="1" w:styleId="ListLabel1590">
    <w:name w:val="ListLabel 1590"/>
    <w:qFormat/>
    <w:rPr>
      <w:rFonts w:cs="OpenSymbol"/>
    </w:rPr>
  </w:style>
  <w:style w:type="character" w:customStyle="1" w:styleId="ListLabel1591">
    <w:name w:val="ListLabel 1591"/>
    <w:qFormat/>
    <w:rPr>
      <w:rFonts w:cs="OpenSymbol"/>
    </w:rPr>
  </w:style>
  <w:style w:type="character" w:customStyle="1" w:styleId="ListLabel1592">
    <w:name w:val="ListLabel 1592"/>
    <w:qFormat/>
    <w:rPr>
      <w:rFonts w:cs="OpenSymbol"/>
    </w:rPr>
  </w:style>
  <w:style w:type="character" w:customStyle="1" w:styleId="ListLabel1593">
    <w:name w:val="ListLabel 1593"/>
    <w:qFormat/>
    <w:rPr>
      <w:rFonts w:cs="OpenSymbol"/>
    </w:rPr>
  </w:style>
  <w:style w:type="character" w:customStyle="1" w:styleId="ListLabel1594">
    <w:name w:val="ListLabel 1594"/>
    <w:qFormat/>
    <w:rPr>
      <w:rFonts w:cs="OpenSymbol"/>
    </w:rPr>
  </w:style>
  <w:style w:type="character" w:customStyle="1" w:styleId="ListLabel1595">
    <w:name w:val="ListLabel 1595"/>
    <w:qFormat/>
    <w:rPr>
      <w:rFonts w:cs="OpenSymbol"/>
    </w:rPr>
  </w:style>
  <w:style w:type="character" w:customStyle="1" w:styleId="ListLabel1596">
    <w:name w:val="ListLabel 1596"/>
    <w:qFormat/>
    <w:rPr>
      <w:rFonts w:cs="OpenSymbol"/>
    </w:rPr>
  </w:style>
  <w:style w:type="character" w:customStyle="1" w:styleId="ListLabel1597">
    <w:name w:val="ListLabel 1597"/>
    <w:qFormat/>
    <w:rPr>
      <w:rFonts w:cs="OpenSymbol"/>
    </w:rPr>
  </w:style>
  <w:style w:type="character" w:customStyle="1" w:styleId="ListLabel1598">
    <w:name w:val="ListLabel 1598"/>
    <w:qFormat/>
    <w:rPr>
      <w:rFonts w:cs="OpenSymbol"/>
    </w:rPr>
  </w:style>
  <w:style w:type="character" w:customStyle="1" w:styleId="ListLabel1599">
    <w:name w:val="ListLabel 1599"/>
    <w:qFormat/>
    <w:rPr>
      <w:rFonts w:cs="OpenSymbol"/>
    </w:rPr>
  </w:style>
  <w:style w:type="character" w:customStyle="1" w:styleId="ListLabel1600">
    <w:name w:val="ListLabel 1600"/>
    <w:qFormat/>
    <w:rPr>
      <w:rFonts w:cs="OpenSymbol"/>
    </w:rPr>
  </w:style>
  <w:style w:type="character" w:customStyle="1" w:styleId="ListLabel1601">
    <w:name w:val="ListLabel 1601"/>
    <w:qFormat/>
    <w:rPr>
      <w:rFonts w:cs="OpenSymbol"/>
    </w:rPr>
  </w:style>
  <w:style w:type="character" w:customStyle="1" w:styleId="ListLabel1602">
    <w:name w:val="ListLabel 1602"/>
    <w:qFormat/>
    <w:rPr>
      <w:rFonts w:cs="OpenSymbol"/>
    </w:rPr>
  </w:style>
  <w:style w:type="character" w:customStyle="1" w:styleId="ListLabel1603">
    <w:name w:val="ListLabel 1603"/>
    <w:qFormat/>
    <w:rPr>
      <w:rFonts w:cs="OpenSymbol"/>
    </w:rPr>
  </w:style>
  <w:style w:type="character" w:customStyle="1" w:styleId="ListLabel1604">
    <w:name w:val="ListLabel 1604"/>
    <w:qFormat/>
    <w:rPr>
      <w:rFonts w:cs="OpenSymbol"/>
    </w:rPr>
  </w:style>
  <w:style w:type="character" w:customStyle="1" w:styleId="ListLabel1605">
    <w:name w:val="ListLabel 1605"/>
    <w:qFormat/>
    <w:rPr>
      <w:rFonts w:cs="OpenSymbol"/>
    </w:rPr>
  </w:style>
  <w:style w:type="character" w:customStyle="1" w:styleId="ListLabel1606">
    <w:name w:val="ListLabel 1606"/>
    <w:qFormat/>
    <w:rPr>
      <w:rFonts w:cs="OpenSymbol"/>
    </w:rPr>
  </w:style>
  <w:style w:type="character" w:customStyle="1" w:styleId="ListLabel1607">
    <w:name w:val="ListLabel 1607"/>
    <w:qFormat/>
    <w:rPr>
      <w:rFonts w:cs="OpenSymbol"/>
    </w:rPr>
  </w:style>
  <w:style w:type="character" w:customStyle="1" w:styleId="ListLabel1608">
    <w:name w:val="ListLabel 1608"/>
    <w:qFormat/>
    <w:rPr>
      <w:rFonts w:cs="OpenSymbol"/>
    </w:rPr>
  </w:style>
  <w:style w:type="character" w:customStyle="1" w:styleId="ListLabel1609">
    <w:name w:val="ListLabel 1609"/>
    <w:qFormat/>
    <w:rPr>
      <w:rFonts w:cs="OpenSymbol"/>
    </w:rPr>
  </w:style>
  <w:style w:type="character" w:customStyle="1" w:styleId="ListLabel1610">
    <w:name w:val="ListLabel 1610"/>
    <w:qFormat/>
    <w:rPr>
      <w:rFonts w:cs="OpenSymbol"/>
    </w:rPr>
  </w:style>
  <w:style w:type="character" w:customStyle="1" w:styleId="ListLabel1611">
    <w:name w:val="ListLabel 1611"/>
    <w:qFormat/>
    <w:rPr>
      <w:rFonts w:cs="OpenSymbol"/>
    </w:rPr>
  </w:style>
  <w:style w:type="character" w:customStyle="1" w:styleId="ListLabel1612">
    <w:name w:val="ListLabel 1612"/>
    <w:qFormat/>
    <w:rPr>
      <w:rFonts w:cs="OpenSymbol"/>
    </w:rPr>
  </w:style>
  <w:style w:type="character" w:customStyle="1" w:styleId="ListLabel1613">
    <w:name w:val="ListLabel 1613"/>
    <w:qFormat/>
    <w:rPr>
      <w:rFonts w:cs="OpenSymbol"/>
    </w:rPr>
  </w:style>
  <w:style w:type="character" w:customStyle="1" w:styleId="ListLabel1614">
    <w:name w:val="ListLabel 1614"/>
    <w:qFormat/>
    <w:rPr>
      <w:rFonts w:cs="OpenSymbol"/>
    </w:rPr>
  </w:style>
  <w:style w:type="character" w:customStyle="1" w:styleId="ListLabel1615">
    <w:name w:val="ListLabel 1615"/>
    <w:qFormat/>
    <w:rPr>
      <w:rFonts w:cs="OpenSymbol"/>
    </w:rPr>
  </w:style>
  <w:style w:type="character" w:customStyle="1" w:styleId="ListLabel1616">
    <w:name w:val="ListLabel 1616"/>
    <w:qFormat/>
    <w:rPr>
      <w:rFonts w:cs="OpenSymbol"/>
    </w:rPr>
  </w:style>
  <w:style w:type="character" w:customStyle="1" w:styleId="ListLabel1617">
    <w:name w:val="ListLabel 1617"/>
    <w:qFormat/>
    <w:rPr>
      <w:rFonts w:cs="OpenSymbol"/>
    </w:rPr>
  </w:style>
  <w:style w:type="character" w:customStyle="1" w:styleId="ListLabel1618">
    <w:name w:val="ListLabel 1618"/>
    <w:qFormat/>
    <w:rPr>
      <w:rFonts w:cs="OpenSymbol"/>
    </w:rPr>
  </w:style>
  <w:style w:type="character" w:customStyle="1" w:styleId="ListLabel1619">
    <w:name w:val="ListLabel 1619"/>
    <w:qFormat/>
    <w:rPr>
      <w:rFonts w:cs="OpenSymbol"/>
    </w:rPr>
  </w:style>
  <w:style w:type="character" w:customStyle="1" w:styleId="ListLabel1620">
    <w:name w:val="ListLabel 1620"/>
    <w:qFormat/>
    <w:rPr>
      <w:rFonts w:cs="OpenSymbol"/>
    </w:rPr>
  </w:style>
  <w:style w:type="character" w:customStyle="1" w:styleId="ListLabel1621">
    <w:name w:val="ListLabel 1621"/>
    <w:qFormat/>
    <w:rPr>
      <w:rFonts w:cs="OpenSymbol"/>
    </w:rPr>
  </w:style>
  <w:style w:type="character" w:customStyle="1" w:styleId="ListLabel1622">
    <w:name w:val="ListLabel 1622"/>
    <w:qFormat/>
    <w:rPr>
      <w:rFonts w:cs="OpenSymbol"/>
    </w:rPr>
  </w:style>
  <w:style w:type="character" w:customStyle="1" w:styleId="ListLabel1623">
    <w:name w:val="ListLabel 1623"/>
    <w:qFormat/>
    <w:rPr>
      <w:rFonts w:cs="OpenSymbol"/>
    </w:rPr>
  </w:style>
  <w:style w:type="character" w:customStyle="1" w:styleId="ListLabel1624">
    <w:name w:val="ListLabel 1624"/>
    <w:qFormat/>
    <w:rPr>
      <w:rFonts w:cs="OpenSymbol"/>
    </w:rPr>
  </w:style>
  <w:style w:type="character" w:customStyle="1" w:styleId="ListLabel1625">
    <w:name w:val="ListLabel 1625"/>
    <w:qFormat/>
    <w:rPr>
      <w:rFonts w:cs="OpenSymbol"/>
    </w:rPr>
  </w:style>
  <w:style w:type="character" w:customStyle="1" w:styleId="ListLabel1626">
    <w:name w:val="ListLabel 1626"/>
    <w:qFormat/>
    <w:rPr>
      <w:rFonts w:cs="OpenSymbol"/>
    </w:rPr>
  </w:style>
  <w:style w:type="character" w:customStyle="1" w:styleId="ListLabel1627">
    <w:name w:val="ListLabel 1627"/>
    <w:qFormat/>
    <w:rPr>
      <w:rFonts w:cs="OpenSymbol"/>
    </w:rPr>
  </w:style>
  <w:style w:type="character" w:customStyle="1" w:styleId="ListLabel1628">
    <w:name w:val="ListLabel 1628"/>
    <w:qFormat/>
    <w:rPr>
      <w:rFonts w:cs="OpenSymbol"/>
    </w:rPr>
  </w:style>
  <w:style w:type="character" w:customStyle="1" w:styleId="ListLabel1629">
    <w:name w:val="ListLabel 1629"/>
    <w:qFormat/>
    <w:rPr>
      <w:rFonts w:cs="OpenSymbol"/>
    </w:rPr>
  </w:style>
  <w:style w:type="character" w:customStyle="1" w:styleId="ListLabel1630">
    <w:name w:val="ListLabel 1630"/>
    <w:qFormat/>
    <w:rPr>
      <w:rFonts w:cs="OpenSymbol"/>
    </w:rPr>
  </w:style>
  <w:style w:type="character" w:customStyle="1" w:styleId="ListLabel1631">
    <w:name w:val="ListLabel 1631"/>
    <w:qFormat/>
    <w:rPr>
      <w:rFonts w:cs="OpenSymbol"/>
    </w:rPr>
  </w:style>
  <w:style w:type="character" w:customStyle="1" w:styleId="ListLabel1632">
    <w:name w:val="ListLabel 1632"/>
    <w:qFormat/>
    <w:rPr>
      <w:rFonts w:cs="OpenSymbol"/>
    </w:rPr>
  </w:style>
  <w:style w:type="character" w:customStyle="1" w:styleId="ListLabel1633">
    <w:name w:val="ListLabel 1633"/>
    <w:qFormat/>
    <w:rPr>
      <w:rFonts w:cs="OpenSymbol"/>
    </w:rPr>
  </w:style>
  <w:style w:type="character" w:customStyle="1" w:styleId="ListLabel1634">
    <w:name w:val="ListLabel 1634"/>
    <w:qFormat/>
    <w:rPr>
      <w:rFonts w:cs="OpenSymbol"/>
    </w:rPr>
  </w:style>
  <w:style w:type="character" w:customStyle="1" w:styleId="ListLabel1635">
    <w:name w:val="ListLabel 1635"/>
    <w:qFormat/>
    <w:rPr>
      <w:rFonts w:cs="OpenSymbol"/>
    </w:rPr>
  </w:style>
  <w:style w:type="character" w:customStyle="1" w:styleId="ListLabel1636">
    <w:name w:val="ListLabel 1636"/>
    <w:qFormat/>
    <w:rPr>
      <w:rFonts w:cs="OpenSymbol"/>
    </w:rPr>
  </w:style>
  <w:style w:type="character" w:customStyle="1" w:styleId="ListLabel1637">
    <w:name w:val="ListLabel 1637"/>
    <w:qFormat/>
    <w:rPr>
      <w:rFonts w:cs="OpenSymbol"/>
    </w:rPr>
  </w:style>
  <w:style w:type="character" w:customStyle="1" w:styleId="ListLabel1638">
    <w:name w:val="ListLabel 1638"/>
    <w:qFormat/>
    <w:rPr>
      <w:rFonts w:cs="OpenSymbol"/>
    </w:rPr>
  </w:style>
  <w:style w:type="character" w:customStyle="1" w:styleId="ListLabel1639">
    <w:name w:val="ListLabel 1639"/>
    <w:qFormat/>
    <w:rPr>
      <w:rFonts w:cs="OpenSymbol"/>
    </w:rPr>
  </w:style>
  <w:style w:type="character" w:customStyle="1" w:styleId="ListLabel1640">
    <w:name w:val="ListLabel 1640"/>
    <w:qFormat/>
    <w:rPr>
      <w:rFonts w:cs="OpenSymbol"/>
    </w:rPr>
  </w:style>
  <w:style w:type="character" w:customStyle="1" w:styleId="ListLabel1641">
    <w:name w:val="ListLabel 1641"/>
    <w:qFormat/>
    <w:rPr>
      <w:rFonts w:cs="OpenSymbol"/>
    </w:rPr>
  </w:style>
  <w:style w:type="character" w:customStyle="1" w:styleId="ListLabel1642">
    <w:name w:val="ListLabel 1642"/>
    <w:qFormat/>
    <w:rPr>
      <w:rFonts w:cs="OpenSymbol"/>
    </w:rPr>
  </w:style>
  <w:style w:type="character" w:customStyle="1" w:styleId="ListLabel1643">
    <w:name w:val="ListLabel 1643"/>
    <w:qFormat/>
    <w:rPr>
      <w:rFonts w:cs="OpenSymbol"/>
    </w:rPr>
  </w:style>
  <w:style w:type="character" w:customStyle="1" w:styleId="ListLabel1644">
    <w:name w:val="ListLabel 1644"/>
    <w:qFormat/>
    <w:rPr>
      <w:rFonts w:cs="OpenSymbol"/>
    </w:rPr>
  </w:style>
  <w:style w:type="character" w:customStyle="1" w:styleId="ListLabel1645">
    <w:name w:val="ListLabel 1645"/>
    <w:qFormat/>
    <w:rPr>
      <w:rFonts w:cs="OpenSymbol"/>
    </w:rPr>
  </w:style>
  <w:style w:type="character" w:customStyle="1" w:styleId="ListLabel1646">
    <w:name w:val="ListLabel 1646"/>
    <w:qFormat/>
    <w:rPr>
      <w:rFonts w:cs="OpenSymbol"/>
    </w:rPr>
  </w:style>
  <w:style w:type="character" w:customStyle="1" w:styleId="ListLabel1647">
    <w:name w:val="ListLabel 1647"/>
    <w:qFormat/>
    <w:rPr>
      <w:rFonts w:cs="OpenSymbol"/>
    </w:rPr>
  </w:style>
  <w:style w:type="character" w:customStyle="1" w:styleId="ListLabel1648">
    <w:name w:val="ListLabel 1648"/>
    <w:qFormat/>
    <w:rPr>
      <w:rFonts w:cs="OpenSymbol"/>
    </w:rPr>
  </w:style>
  <w:style w:type="character" w:customStyle="1" w:styleId="ListLabel1649">
    <w:name w:val="ListLabel 1649"/>
    <w:qFormat/>
    <w:rPr>
      <w:rFonts w:cs="OpenSymbol"/>
    </w:rPr>
  </w:style>
  <w:style w:type="character" w:customStyle="1" w:styleId="ListLabel1650">
    <w:name w:val="ListLabel 1650"/>
    <w:qFormat/>
    <w:rPr>
      <w:rFonts w:cs="OpenSymbol"/>
    </w:rPr>
  </w:style>
  <w:style w:type="character" w:customStyle="1" w:styleId="ListLabel1651">
    <w:name w:val="ListLabel 1651"/>
    <w:qFormat/>
    <w:rPr>
      <w:rFonts w:cs="OpenSymbol"/>
    </w:rPr>
  </w:style>
  <w:style w:type="character" w:customStyle="1" w:styleId="ListLabel1652">
    <w:name w:val="ListLabel 1652"/>
    <w:qFormat/>
    <w:rPr>
      <w:rFonts w:cs="OpenSymbol"/>
    </w:rPr>
  </w:style>
  <w:style w:type="character" w:customStyle="1" w:styleId="ListLabel1653">
    <w:name w:val="ListLabel 1653"/>
    <w:qFormat/>
    <w:rPr>
      <w:rFonts w:cs="OpenSymbol"/>
    </w:rPr>
  </w:style>
  <w:style w:type="character" w:customStyle="1" w:styleId="ListLabel1654">
    <w:name w:val="ListLabel 1654"/>
    <w:qFormat/>
    <w:rPr>
      <w:rFonts w:cs="OpenSymbol"/>
    </w:rPr>
  </w:style>
  <w:style w:type="character" w:customStyle="1" w:styleId="ListLabel1655">
    <w:name w:val="ListLabel 1655"/>
    <w:qFormat/>
    <w:rPr>
      <w:rFonts w:cs="OpenSymbol"/>
    </w:rPr>
  </w:style>
  <w:style w:type="character" w:customStyle="1" w:styleId="ListLabel1656">
    <w:name w:val="ListLabel 1656"/>
    <w:qFormat/>
    <w:rPr>
      <w:rFonts w:cs="OpenSymbol"/>
    </w:rPr>
  </w:style>
  <w:style w:type="character" w:customStyle="1" w:styleId="ListLabel1657">
    <w:name w:val="ListLabel 1657"/>
    <w:qFormat/>
    <w:rPr>
      <w:rFonts w:cs="OpenSymbol"/>
    </w:rPr>
  </w:style>
  <w:style w:type="character" w:customStyle="1" w:styleId="ListLabel1658">
    <w:name w:val="ListLabel 1658"/>
    <w:qFormat/>
    <w:rPr>
      <w:rFonts w:cs="OpenSymbol"/>
    </w:rPr>
  </w:style>
  <w:style w:type="character" w:customStyle="1" w:styleId="ListLabel1659">
    <w:name w:val="ListLabel 1659"/>
    <w:qFormat/>
    <w:rPr>
      <w:rFonts w:cs="OpenSymbol"/>
    </w:rPr>
  </w:style>
  <w:style w:type="character" w:customStyle="1" w:styleId="ListLabel1660">
    <w:name w:val="ListLabel 1660"/>
    <w:qFormat/>
    <w:rPr>
      <w:rFonts w:cs="OpenSymbol"/>
    </w:rPr>
  </w:style>
  <w:style w:type="character" w:customStyle="1" w:styleId="ListLabel1661">
    <w:name w:val="ListLabel 1661"/>
    <w:qFormat/>
    <w:rPr>
      <w:rFonts w:cs="OpenSymbol"/>
    </w:rPr>
  </w:style>
  <w:style w:type="character" w:customStyle="1" w:styleId="ListLabel1662">
    <w:name w:val="ListLabel 1662"/>
    <w:qFormat/>
    <w:rPr>
      <w:rFonts w:cs="OpenSymbol"/>
    </w:rPr>
  </w:style>
  <w:style w:type="character" w:customStyle="1" w:styleId="ListLabel1663">
    <w:name w:val="ListLabel 1663"/>
    <w:qFormat/>
    <w:rPr>
      <w:rFonts w:cs="OpenSymbol"/>
    </w:rPr>
  </w:style>
  <w:style w:type="character" w:customStyle="1" w:styleId="ListLabel1664">
    <w:name w:val="ListLabel 1664"/>
    <w:qFormat/>
    <w:rPr>
      <w:rFonts w:cs="OpenSymbol"/>
    </w:rPr>
  </w:style>
  <w:style w:type="character" w:customStyle="1" w:styleId="ListLabel1665">
    <w:name w:val="ListLabel 1665"/>
    <w:qFormat/>
    <w:rPr>
      <w:rFonts w:cs="OpenSymbol"/>
    </w:rPr>
  </w:style>
  <w:style w:type="character" w:customStyle="1" w:styleId="ListLabel1666">
    <w:name w:val="ListLabel 1666"/>
    <w:qFormat/>
    <w:rPr>
      <w:rFonts w:cs="OpenSymbol"/>
    </w:rPr>
  </w:style>
  <w:style w:type="character" w:customStyle="1" w:styleId="ListLabel1667">
    <w:name w:val="ListLabel 1667"/>
    <w:qFormat/>
    <w:rPr>
      <w:rFonts w:cs="OpenSymbol"/>
    </w:rPr>
  </w:style>
  <w:style w:type="character" w:customStyle="1" w:styleId="ListLabel1668">
    <w:name w:val="ListLabel 1668"/>
    <w:qFormat/>
    <w:rPr>
      <w:rFonts w:cs="OpenSymbol"/>
    </w:rPr>
  </w:style>
  <w:style w:type="character" w:customStyle="1" w:styleId="ListLabel1669">
    <w:name w:val="ListLabel 1669"/>
    <w:qFormat/>
    <w:rPr>
      <w:rFonts w:cs="OpenSymbol"/>
    </w:rPr>
  </w:style>
  <w:style w:type="character" w:customStyle="1" w:styleId="ListLabel1670">
    <w:name w:val="ListLabel 1670"/>
    <w:qFormat/>
    <w:rPr>
      <w:rFonts w:cs="OpenSymbol"/>
    </w:rPr>
  </w:style>
  <w:style w:type="character" w:customStyle="1" w:styleId="ListLabel1671">
    <w:name w:val="ListLabel 1671"/>
    <w:qFormat/>
    <w:rPr>
      <w:rFonts w:cs="OpenSymbol"/>
    </w:rPr>
  </w:style>
  <w:style w:type="character" w:customStyle="1" w:styleId="ListLabel1672">
    <w:name w:val="ListLabel 1672"/>
    <w:qFormat/>
    <w:rPr>
      <w:rFonts w:cs="OpenSymbol"/>
    </w:rPr>
  </w:style>
  <w:style w:type="character" w:customStyle="1" w:styleId="ListLabel1673">
    <w:name w:val="ListLabel 1673"/>
    <w:qFormat/>
    <w:rPr>
      <w:rFonts w:cs="OpenSymbol"/>
    </w:rPr>
  </w:style>
  <w:style w:type="character" w:customStyle="1" w:styleId="ListLabel1674">
    <w:name w:val="ListLabel 1674"/>
    <w:qFormat/>
    <w:rPr>
      <w:rFonts w:cs="OpenSymbol"/>
    </w:rPr>
  </w:style>
  <w:style w:type="character" w:customStyle="1" w:styleId="ListLabel1675">
    <w:name w:val="ListLabel 1675"/>
    <w:qFormat/>
    <w:rPr>
      <w:rFonts w:cs="OpenSymbol"/>
    </w:rPr>
  </w:style>
  <w:style w:type="character" w:customStyle="1" w:styleId="ListLabel1676">
    <w:name w:val="ListLabel 1676"/>
    <w:qFormat/>
    <w:rPr>
      <w:rFonts w:cs="OpenSymbol"/>
    </w:rPr>
  </w:style>
  <w:style w:type="character" w:customStyle="1" w:styleId="ListLabel1677">
    <w:name w:val="ListLabel 1677"/>
    <w:qFormat/>
    <w:rPr>
      <w:rFonts w:cs="OpenSymbol"/>
    </w:rPr>
  </w:style>
  <w:style w:type="character" w:customStyle="1" w:styleId="ListLabel1678">
    <w:name w:val="ListLabel 1678"/>
    <w:qFormat/>
    <w:rPr>
      <w:rFonts w:cs="OpenSymbol"/>
    </w:rPr>
  </w:style>
  <w:style w:type="character" w:customStyle="1" w:styleId="ListLabel1679">
    <w:name w:val="ListLabel 1679"/>
    <w:qFormat/>
    <w:rPr>
      <w:rFonts w:cs="OpenSymbol"/>
    </w:rPr>
  </w:style>
  <w:style w:type="character" w:customStyle="1" w:styleId="ListLabel1680">
    <w:name w:val="ListLabel 1680"/>
    <w:qFormat/>
    <w:rPr>
      <w:rFonts w:cs="OpenSymbol"/>
    </w:rPr>
  </w:style>
  <w:style w:type="character" w:customStyle="1" w:styleId="ListLabel1681">
    <w:name w:val="ListLabel 1681"/>
    <w:qFormat/>
    <w:rPr>
      <w:rFonts w:cs="OpenSymbol"/>
    </w:rPr>
  </w:style>
  <w:style w:type="character" w:customStyle="1" w:styleId="ListLabel1682">
    <w:name w:val="ListLabel 1682"/>
    <w:qFormat/>
    <w:rPr>
      <w:rFonts w:cs="OpenSymbol"/>
    </w:rPr>
  </w:style>
  <w:style w:type="character" w:customStyle="1" w:styleId="ListLabel1683">
    <w:name w:val="ListLabel 1683"/>
    <w:qFormat/>
    <w:rPr>
      <w:rFonts w:cs="OpenSymbol"/>
    </w:rPr>
  </w:style>
  <w:style w:type="character" w:customStyle="1" w:styleId="ListLabel1684">
    <w:name w:val="ListLabel 1684"/>
    <w:qFormat/>
    <w:rPr>
      <w:rFonts w:cs="OpenSymbol"/>
    </w:rPr>
  </w:style>
  <w:style w:type="character" w:customStyle="1" w:styleId="ListLabel1685">
    <w:name w:val="ListLabel 1685"/>
    <w:qFormat/>
    <w:rPr>
      <w:rFonts w:cs="OpenSymbol"/>
    </w:rPr>
  </w:style>
  <w:style w:type="character" w:customStyle="1" w:styleId="ListLabel1686">
    <w:name w:val="ListLabel 1686"/>
    <w:qFormat/>
    <w:rPr>
      <w:rFonts w:cs="OpenSymbol"/>
    </w:rPr>
  </w:style>
  <w:style w:type="character" w:customStyle="1" w:styleId="ListLabel1687">
    <w:name w:val="ListLabel 1687"/>
    <w:qFormat/>
    <w:rPr>
      <w:rFonts w:cs="OpenSymbol"/>
    </w:rPr>
  </w:style>
  <w:style w:type="character" w:customStyle="1" w:styleId="ListLabel1688">
    <w:name w:val="ListLabel 1688"/>
    <w:qFormat/>
    <w:rPr>
      <w:rFonts w:cs="OpenSymbol"/>
    </w:rPr>
  </w:style>
  <w:style w:type="character" w:customStyle="1" w:styleId="ListLabel1689">
    <w:name w:val="ListLabel 1689"/>
    <w:qFormat/>
    <w:rPr>
      <w:rFonts w:cs="OpenSymbol"/>
    </w:rPr>
  </w:style>
  <w:style w:type="character" w:customStyle="1" w:styleId="ListLabel1690">
    <w:name w:val="ListLabel 1690"/>
    <w:qFormat/>
    <w:rPr>
      <w:rFonts w:cs="OpenSymbol"/>
    </w:rPr>
  </w:style>
  <w:style w:type="character" w:customStyle="1" w:styleId="ListLabel1691">
    <w:name w:val="ListLabel 1691"/>
    <w:qFormat/>
    <w:rPr>
      <w:rFonts w:cs="OpenSymbol"/>
    </w:rPr>
  </w:style>
  <w:style w:type="character" w:customStyle="1" w:styleId="ListLabel1692">
    <w:name w:val="ListLabel 1692"/>
    <w:qFormat/>
    <w:rPr>
      <w:rFonts w:cs="OpenSymbol"/>
    </w:rPr>
  </w:style>
  <w:style w:type="character" w:customStyle="1" w:styleId="ListLabel1693">
    <w:name w:val="ListLabel 1693"/>
    <w:qFormat/>
    <w:rPr>
      <w:rFonts w:cs="OpenSymbol"/>
    </w:rPr>
  </w:style>
  <w:style w:type="character" w:customStyle="1" w:styleId="ListLabel1694">
    <w:name w:val="ListLabel 1694"/>
    <w:qFormat/>
    <w:rPr>
      <w:rFonts w:cs="OpenSymbol"/>
    </w:rPr>
  </w:style>
  <w:style w:type="character" w:customStyle="1" w:styleId="ListLabel1695">
    <w:name w:val="ListLabel 1695"/>
    <w:qFormat/>
    <w:rPr>
      <w:rFonts w:cs="OpenSymbol"/>
    </w:rPr>
  </w:style>
  <w:style w:type="character" w:customStyle="1" w:styleId="ListLabel1696">
    <w:name w:val="ListLabel 1696"/>
    <w:qFormat/>
    <w:rPr>
      <w:rFonts w:cs="OpenSymbol"/>
    </w:rPr>
  </w:style>
  <w:style w:type="character" w:customStyle="1" w:styleId="ListLabel1697">
    <w:name w:val="ListLabel 1697"/>
    <w:qFormat/>
    <w:rPr>
      <w:rFonts w:cs="OpenSymbol"/>
    </w:rPr>
  </w:style>
  <w:style w:type="character" w:customStyle="1" w:styleId="ListLabel1698">
    <w:name w:val="ListLabel 1698"/>
    <w:qFormat/>
    <w:rPr>
      <w:rFonts w:cs="OpenSymbol"/>
    </w:rPr>
  </w:style>
  <w:style w:type="character" w:customStyle="1" w:styleId="ListLabel1699">
    <w:name w:val="ListLabel 1699"/>
    <w:qFormat/>
    <w:rPr>
      <w:rFonts w:cs="OpenSymbol"/>
    </w:rPr>
  </w:style>
  <w:style w:type="character" w:customStyle="1" w:styleId="ListLabel1700">
    <w:name w:val="ListLabel 1700"/>
    <w:qFormat/>
    <w:rPr>
      <w:rFonts w:cs="OpenSymbol"/>
    </w:rPr>
  </w:style>
  <w:style w:type="character" w:customStyle="1" w:styleId="ListLabel1701">
    <w:name w:val="ListLabel 1701"/>
    <w:qFormat/>
    <w:rPr>
      <w:rFonts w:cs="OpenSymbol"/>
    </w:rPr>
  </w:style>
  <w:style w:type="character" w:customStyle="1" w:styleId="ListLabel1702">
    <w:name w:val="ListLabel 1702"/>
    <w:qFormat/>
    <w:rPr>
      <w:rFonts w:cs="OpenSymbol"/>
    </w:rPr>
  </w:style>
  <w:style w:type="character" w:customStyle="1" w:styleId="ListLabel1703">
    <w:name w:val="ListLabel 1703"/>
    <w:qFormat/>
    <w:rPr>
      <w:rFonts w:cs="OpenSymbol"/>
    </w:rPr>
  </w:style>
  <w:style w:type="character" w:customStyle="1" w:styleId="ListLabel1704">
    <w:name w:val="ListLabel 1704"/>
    <w:qFormat/>
    <w:rPr>
      <w:rFonts w:cs="OpenSymbol"/>
    </w:rPr>
  </w:style>
  <w:style w:type="character" w:customStyle="1" w:styleId="ListLabel1705">
    <w:name w:val="ListLabel 1705"/>
    <w:qFormat/>
    <w:rPr>
      <w:rFonts w:cs="OpenSymbol"/>
    </w:rPr>
  </w:style>
  <w:style w:type="character" w:customStyle="1" w:styleId="ListLabel1706">
    <w:name w:val="ListLabel 1706"/>
    <w:qFormat/>
    <w:rPr>
      <w:rFonts w:cs="OpenSymbol"/>
    </w:rPr>
  </w:style>
  <w:style w:type="character" w:customStyle="1" w:styleId="ListLabel1707">
    <w:name w:val="ListLabel 1707"/>
    <w:qFormat/>
    <w:rPr>
      <w:rFonts w:cs="OpenSymbol"/>
    </w:rPr>
  </w:style>
  <w:style w:type="character" w:customStyle="1" w:styleId="ListLabel1708">
    <w:name w:val="ListLabel 1708"/>
    <w:qFormat/>
    <w:rPr>
      <w:rFonts w:cs="OpenSymbol"/>
    </w:rPr>
  </w:style>
  <w:style w:type="character" w:customStyle="1" w:styleId="ListLabel1709">
    <w:name w:val="ListLabel 1709"/>
    <w:qFormat/>
    <w:rPr>
      <w:rFonts w:cs="OpenSymbol"/>
    </w:rPr>
  </w:style>
  <w:style w:type="character" w:customStyle="1" w:styleId="ListLabel1710">
    <w:name w:val="ListLabel 1710"/>
    <w:qFormat/>
    <w:rPr>
      <w:rFonts w:cs="OpenSymbol"/>
    </w:rPr>
  </w:style>
  <w:style w:type="character" w:customStyle="1" w:styleId="ListLabel1711">
    <w:name w:val="ListLabel 1711"/>
    <w:qFormat/>
    <w:rPr>
      <w:rFonts w:cs="OpenSymbol"/>
    </w:rPr>
  </w:style>
  <w:style w:type="character" w:customStyle="1" w:styleId="ListLabel1712">
    <w:name w:val="ListLabel 1712"/>
    <w:qFormat/>
    <w:rPr>
      <w:rFonts w:cs="OpenSymbol"/>
    </w:rPr>
  </w:style>
  <w:style w:type="character" w:customStyle="1" w:styleId="ListLabel1713">
    <w:name w:val="ListLabel 1713"/>
    <w:qFormat/>
    <w:rPr>
      <w:rFonts w:cs="OpenSymbol"/>
    </w:rPr>
  </w:style>
  <w:style w:type="character" w:customStyle="1" w:styleId="ListLabel1714">
    <w:name w:val="ListLabel 1714"/>
    <w:qFormat/>
    <w:rPr>
      <w:rFonts w:cs="OpenSymbol"/>
    </w:rPr>
  </w:style>
  <w:style w:type="character" w:customStyle="1" w:styleId="ListLabel1715">
    <w:name w:val="ListLabel 1715"/>
    <w:qFormat/>
    <w:rPr>
      <w:rFonts w:cs="OpenSymbol"/>
    </w:rPr>
  </w:style>
  <w:style w:type="character" w:customStyle="1" w:styleId="ListLabel1716">
    <w:name w:val="ListLabel 1716"/>
    <w:qFormat/>
    <w:rPr>
      <w:rFonts w:ascii="Source Sans Pro Web;Helvetica N" w:hAnsi="Source Sans Pro Web;Helvetica N" w:cs="OpenSymbol"/>
      <w:sz w:val="25"/>
    </w:rPr>
  </w:style>
  <w:style w:type="character" w:customStyle="1" w:styleId="ListLabel1717">
    <w:name w:val="ListLabel 1717"/>
    <w:qFormat/>
    <w:rPr>
      <w:rFonts w:cs="OpenSymbol"/>
    </w:rPr>
  </w:style>
  <w:style w:type="character" w:customStyle="1" w:styleId="ListLabel1718">
    <w:name w:val="ListLabel 1718"/>
    <w:qFormat/>
    <w:rPr>
      <w:rFonts w:cs="OpenSymbol"/>
    </w:rPr>
  </w:style>
  <w:style w:type="character" w:customStyle="1" w:styleId="ListLabel1719">
    <w:name w:val="ListLabel 1719"/>
    <w:qFormat/>
    <w:rPr>
      <w:rFonts w:cs="OpenSymbol"/>
    </w:rPr>
  </w:style>
  <w:style w:type="character" w:customStyle="1" w:styleId="ListLabel1720">
    <w:name w:val="ListLabel 1720"/>
    <w:qFormat/>
    <w:rPr>
      <w:rFonts w:cs="OpenSymbol"/>
    </w:rPr>
  </w:style>
  <w:style w:type="character" w:customStyle="1" w:styleId="ListLabel1721">
    <w:name w:val="ListLabel 1721"/>
    <w:qFormat/>
    <w:rPr>
      <w:rFonts w:cs="OpenSymbol"/>
    </w:rPr>
  </w:style>
  <w:style w:type="character" w:customStyle="1" w:styleId="ListLabel1722">
    <w:name w:val="ListLabel 1722"/>
    <w:qFormat/>
    <w:rPr>
      <w:rFonts w:cs="OpenSymbol"/>
    </w:rPr>
  </w:style>
  <w:style w:type="character" w:customStyle="1" w:styleId="ListLabel1723">
    <w:name w:val="ListLabel 1723"/>
    <w:qFormat/>
    <w:rPr>
      <w:rFonts w:cs="OpenSymbol"/>
    </w:rPr>
  </w:style>
  <w:style w:type="character" w:customStyle="1" w:styleId="ListLabel1724">
    <w:name w:val="ListLabel 1724"/>
    <w:qFormat/>
    <w:rPr>
      <w:rFonts w:cs="OpenSymbol"/>
    </w:rPr>
  </w:style>
  <w:style w:type="character" w:customStyle="1" w:styleId="ListLabel1725">
    <w:name w:val="ListLabel 1725"/>
    <w:qFormat/>
    <w:rPr>
      <w:rFonts w:cs="OpenSymbol"/>
    </w:rPr>
  </w:style>
  <w:style w:type="character" w:customStyle="1" w:styleId="ListLabel1726">
    <w:name w:val="ListLabel 1726"/>
    <w:qFormat/>
    <w:rPr>
      <w:rFonts w:cs="OpenSymbol"/>
    </w:rPr>
  </w:style>
  <w:style w:type="character" w:customStyle="1" w:styleId="ListLabel1727">
    <w:name w:val="ListLabel 1727"/>
    <w:qFormat/>
    <w:rPr>
      <w:rFonts w:cs="OpenSymbol"/>
    </w:rPr>
  </w:style>
  <w:style w:type="character" w:customStyle="1" w:styleId="ListLabel1728">
    <w:name w:val="ListLabel 1728"/>
    <w:qFormat/>
    <w:rPr>
      <w:rFonts w:cs="OpenSymbol"/>
    </w:rPr>
  </w:style>
  <w:style w:type="character" w:customStyle="1" w:styleId="ListLabel1729">
    <w:name w:val="ListLabel 1729"/>
    <w:qFormat/>
    <w:rPr>
      <w:rFonts w:cs="OpenSymbol"/>
    </w:rPr>
  </w:style>
  <w:style w:type="character" w:customStyle="1" w:styleId="ListLabel1730">
    <w:name w:val="ListLabel 1730"/>
    <w:qFormat/>
    <w:rPr>
      <w:rFonts w:cs="OpenSymbol"/>
    </w:rPr>
  </w:style>
  <w:style w:type="character" w:customStyle="1" w:styleId="ListLabel1731">
    <w:name w:val="ListLabel 1731"/>
    <w:qFormat/>
    <w:rPr>
      <w:rFonts w:cs="OpenSymbol"/>
    </w:rPr>
  </w:style>
  <w:style w:type="character" w:customStyle="1" w:styleId="ListLabel1732">
    <w:name w:val="ListLabel 1732"/>
    <w:qFormat/>
    <w:rPr>
      <w:rFonts w:cs="OpenSymbol"/>
    </w:rPr>
  </w:style>
  <w:style w:type="character" w:customStyle="1" w:styleId="ListLabel1733">
    <w:name w:val="ListLabel 1733"/>
    <w:qFormat/>
    <w:rPr>
      <w:rFonts w:cs="OpenSymbol"/>
    </w:rPr>
  </w:style>
  <w:style w:type="character" w:customStyle="1" w:styleId="ListLabel1734">
    <w:name w:val="ListLabel 1734"/>
    <w:qFormat/>
    <w:rPr>
      <w:rFonts w:cs="OpenSymbol"/>
    </w:rPr>
  </w:style>
  <w:style w:type="character" w:customStyle="1" w:styleId="ListLabel1735">
    <w:name w:val="ListLabel 1735"/>
    <w:qFormat/>
    <w:rPr>
      <w:rFonts w:cs="OpenSymbol"/>
    </w:rPr>
  </w:style>
  <w:style w:type="character" w:customStyle="1" w:styleId="ListLabel1736">
    <w:name w:val="ListLabel 1736"/>
    <w:qFormat/>
    <w:rPr>
      <w:rFonts w:cs="OpenSymbol"/>
    </w:rPr>
  </w:style>
  <w:style w:type="character" w:customStyle="1" w:styleId="ListLabel1737">
    <w:name w:val="ListLabel 1737"/>
    <w:qFormat/>
    <w:rPr>
      <w:rFonts w:cs="OpenSymbol"/>
    </w:rPr>
  </w:style>
  <w:style w:type="character" w:customStyle="1" w:styleId="ListLabel1738">
    <w:name w:val="ListLabel 1738"/>
    <w:qFormat/>
    <w:rPr>
      <w:rFonts w:cs="OpenSymbol"/>
    </w:rPr>
  </w:style>
  <w:style w:type="character" w:customStyle="1" w:styleId="ListLabel1739">
    <w:name w:val="ListLabel 1739"/>
    <w:qFormat/>
    <w:rPr>
      <w:rFonts w:cs="OpenSymbol"/>
    </w:rPr>
  </w:style>
  <w:style w:type="character" w:customStyle="1" w:styleId="ListLabel1740">
    <w:name w:val="ListLabel 1740"/>
    <w:qFormat/>
    <w:rPr>
      <w:rFonts w:cs="OpenSymbol"/>
    </w:rPr>
  </w:style>
  <w:style w:type="character" w:customStyle="1" w:styleId="ListLabel1741">
    <w:name w:val="ListLabel 1741"/>
    <w:qFormat/>
    <w:rPr>
      <w:rFonts w:cs="OpenSymbol"/>
    </w:rPr>
  </w:style>
  <w:style w:type="character" w:customStyle="1" w:styleId="ListLabel1742">
    <w:name w:val="ListLabel 1742"/>
    <w:qFormat/>
    <w:rPr>
      <w:rFonts w:cs="OpenSymbol"/>
    </w:rPr>
  </w:style>
  <w:style w:type="character" w:customStyle="1" w:styleId="ListLabel1743">
    <w:name w:val="ListLabel 1743"/>
    <w:qFormat/>
    <w:rPr>
      <w:rFonts w:eastAsia="Calibri"/>
      <w:color w:val="000000"/>
      <w:sz w:val="28"/>
      <w:u w:val="none"/>
    </w:rPr>
  </w:style>
  <w:style w:type="character" w:customStyle="1" w:styleId="ListLabel1744">
    <w:name w:val="ListLabel 1744"/>
    <w:qFormat/>
    <w:rPr>
      <w:rFonts w:eastAsia="Calibri"/>
      <w:color w:val="000000"/>
      <w:sz w:val="28"/>
      <w:u w:val="none"/>
      <w:lang w:val="en-US"/>
    </w:rPr>
  </w:style>
  <w:style w:type="character" w:customStyle="1" w:styleId="ListLabel1745">
    <w:name w:val="ListLabel 1745"/>
    <w:qFormat/>
    <w:rPr>
      <w:rFonts w:eastAsia="Calibri"/>
      <w:color w:val="000000"/>
      <w:sz w:val="28"/>
      <w:u w:val="none"/>
      <w:lang w:val="uk-UA"/>
    </w:rPr>
  </w:style>
  <w:style w:type="character" w:customStyle="1" w:styleId="ListLabel1746">
    <w:name w:val="ListLabel 1746"/>
    <w:qFormat/>
    <w:rPr>
      <w:color w:val="000000"/>
      <w:sz w:val="28"/>
      <w:u w:val="none"/>
    </w:rPr>
  </w:style>
  <w:style w:type="character" w:customStyle="1" w:styleId="ListLabel1747">
    <w:name w:val="ListLabel 1747"/>
    <w:qFormat/>
    <w:rPr>
      <w:rFonts w:eastAsia="Calibri"/>
      <w:color w:val="C9211E"/>
      <w:sz w:val="28"/>
    </w:rPr>
  </w:style>
  <w:style w:type="character" w:customStyle="1" w:styleId="ListLabel1748">
    <w:name w:val="ListLabel 1748"/>
    <w:qFormat/>
    <w:rPr>
      <w:rFonts w:eastAsia="Calibri" w:cs="Times New Roman"/>
      <w:b/>
      <w:bCs/>
      <w:kern w:val="2"/>
      <w:sz w:val="28"/>
      <w:szCs w:val="28"/>
      <w:lang w:val="uk-UA" w:eastAsia="ru-RU"/>
    </w:rPr>
  </w:style>
  <w:style w:type="character" w:customStyle="1" w:styleId="ListLabel1749">
    <w:name w:val="ListLabel 1749"/>
    <w:qFormat/>
    <w:rPr>
      <w:rFonts w:eastAsia="Calibri"/>
      <w:b/>
      <w:bCs/>
      <w:color w:val="000000"/>
      <w:sz w:val="28"/>
      <w:u w:val="none"/>
      <w:lang w:val="en-US"/>
    </w:rPr>
  </w:style>
  <w:style w:type="character" w:customStyle="1" w:styleId="ListLabel1750">
    <w:name w:val="ListLabel 1750"/>
    <w:qFormat/>
    <w:rPr>
      <w:b w:val="0"/>
      <w:bCs w:val="0"/>
      <w:color w:val="FF8000"/>
      <w:sz w:val="28"/>
      <w:szCs w:val="28"/>
      <w:highlight w:val="yellow"/>
      <w:lang w:val="ru-RU"/>
    </w:rPr>
  </w:style>
  <w:style w:type="character" w:customStyle="1" w:styleId="ListLabel1751">
    <w:name w:val="ListLabel 1751"/>
    <w:qFormat/>
    <w:rPr>
      <w:b w:val="0"/>
      <w:bCs w:val="0"/>
      <w:i w:val="0"/>
      <w:caps w:val="0"/>
      <w:smallCaps w:val="0"/>
      <w:color w:val="158466"/>
      <w:spacing w:val="0"/>
      <w:sz w:val="28"/>
      <w:szCs w:val="28"/>
      <w:highlight w:val="yellow"/>
      <w:lang w:val="uk-UA"/>
    </w:rPr>
  </w:style>
  <w:style w:type="character" w:customStyle="1" w:styleId="ListLabel1752">
    <w:name w:val="ListLabel 1752"/>
    <w:qFormat/>
    <w:rPr>
      <w:rFonts w:eastAsia="Times New Roman" w:cs="Times New Roman"/>
      <w:b w:val="0"/>
      <w:bCs w:val="0"/>
      <w:i w:val="0"/>
      <w:caps w:val="0"/>
      <w:smallCaps w:val="0"/>
      <w:strike w:val="0"/>
      <w:dstrike w:val="0"/>
      <w:color w:val="000000"/>
      <w:spacing w:val="0"/>
      <w:kern w:val="2"/>
      <w:sz w:val="28"/>
      <w:szCs w:val="28"/>
      <w:highlight w:val="yellow"/>
      <w:u w:val="none"/>
      <w:effect w:val="none"/>
      <w:lang w:val="uk-UA"/>
    </w:rPr>
  </w:style>
  <w:style w:type="character" w:customStyle="1" w:styleId="ListLabel1753">
    <w:name w:val="ListLabel 1753"/>
    <w:qFormat/>
    <w:rPr>
      <w:rFonts w:eastAsia="Times New Roman" w:cs="Times New Roman"/>
      <w:b w:val="0"/>
      <w:bCs w:val="0"/>
      <w:i w:val="0"/>
      <w:caps w:val="0"/>
      <w:smallCaps w:val="0"/>
      <w:strike w:val="0"/>
      <w:dstrike w:val="0"/>
      <w:color w:val="2C2C2C"/>
      <w:spacing w:val="0"/>
      <w:kern w:val="2"/>
      <w:sz w:val="28"/>
      <w:szCs w:val="28"/>
      <w:highlight w:val="yellow"/>
      <w:u w:val="none"/>
      <w:effect w:val="none"/>
      <w:lang w:val="en-US"/>
    </w:rPr>
  </w:style>
  <w:style w:type="character" w:customStyle="1" w:styleId="ListLabel1754">
    <w:name w:val="ListLabel 1754"/>
    <w:qFormat/>
    <w:rPr>
      <w:b w:val="0"/>
      <w:i w:val="0"/>
      <w:caps w:val="0"/>
      <w:smallCaps w:val="0"/>
      <w:color w:val="FF8000"/>
      <w:spacing w:val="0"/>
      <w:sz w:val="28"/>
      <w:szCs w:val="28"/>
      <w:u w:val="none"/>
      <w:bdr w:val="single" w:sz="2" w:space="1" w:color="000000"/>
    </w:rPr>
  </w:style>
  <w:style w:type="character" w:customStyle="1" w:styleId="ListLabel1755">
    <w:name w:val="ListLabel 1755"/>
    <w:qFormat/>
    <w:rPr>
      <w:b w:val="0"/>
      <w:i w:val="0"/>
      <w:caps w:val="0"/>
      <w:smallCaps w:val="0"/>
      <w:color w:val="FF8000"/>
      <w:spacing w:val="0"/>
      <w:sz w:val="28"/>
      <w:szCs w:val="28"/>
      <w:u w:val="single"/>
      <w:bdr w:val="single" w:sz="2" w:space="1" w:color="000000"/>
    </w:rPr>
  </w:style>
  <w:style w:type="character" w:customStyle="1" w:styleId="ListLabel1756">
    <w:name w:val="ListLabel 1756"/>
    <w:qFormat/>
    <w:rPr>
      <w:b w:val="0"/>
      <w:i w:val="0"/>
      <w:caps w:val="0"/>
      <w:smallCaps w:val="0"/>
      <w:color w:val="FF8000"/>
      <w:spacing w:val="0"/>
      <w:sz w:val="28"/>
      <w:szCs w:val="28"/>
      <w:u w:val="single"/>
    </w:rPr>
  </w:style>
  <w:style w:type="character" w:customStyle="1" w:styleId="ListLabel1757">
    <w:name w:val="ListLabel 1757"/>
    <w:qFormat/>
    <w:rPr>
      <w:b w:val="0"/>
      <w:strike w:val="0"/>
      <w:dstrike w:val="0"/>
      <w:color w:val="FF8000"/>
      <w:sz w:val="28"/>
      <w:szCs w:val="28"/>
      <w:highlight w:val="darkBlue"/>
      <w:u w:val="none"/>
      <w:effect w:val="none"/>
    </w:rPr>
  </w:style>
  <w:style w:type="character" w:customStyle="1" w:styleId="ListLabel1758">
    <w:name w:val="ListLabel 1758"/>
    <w:qFormat/>
    <w:rPr>
      <w:rFonts w:cs="Arial"/>
      <w:color w:val="FF8000"/>
      <w:sz w:val="28"/>
      <w:szCs w:val="28"/>
      <w:highlight w:val="yellow"/>
    </w:rPr>
  </w:style>
  <w:style w:type="character" w:customStyle="1" w:styleId="ListLabel1759">
    <w:name w:val="ListLabel 1759"/>
    <w:qFormat/>
    <w:rPr>
      <w:rFonts w:cs="Arial"/>
      <w:color w:val="FF8000"/>
    </w:rPr>
  </w:style>
  <w:style w:type="character" w:customStyle="1" w:styleId="ListLabel1760">
    <w:name w:val="ListLabel 1760"/>
    <w:qFormat/>
  </w:style>
  <w:style w:type="character" w:customStyle="1" w:styleId="ListLabel1761">
    <w:name w:val="ListLabel 1761"/>
    <w:qFormat/>
  </w:style>
  <w:style w:type="character" w:customStyle="1" w:styleId="ListLabel1762">
    <w:name w:val="ListLabel 1762"/>
    <w:qFormat/>
    <w:rPr>
      <w:rFonts w:ascii="Source Sans Pro Web;Helvetica N" w:hAnsi="Source Sans Pro Web;Helvetica N"/>
      <w:color w:val="005EA2"/>
      <w:spacing w:val="0"/>
      <w:sz w:val="25"/>
      <w:u w:val="single"/>
    </w:rPr>
  </w:style>
  <w:style w:type="character" w:customStyle="1" w:styleId="ListLabel1763">
    <w:name w:val="ListLabel 1763"/>
    <w:qFormat/>
    <w:rPr>
      <w:rFonts w:ascii="Source Sans Pro Web;Helvetica N" w:hAnsi="Source Sans Pro Web;Helvetica N"/>
      <w:color w:val="005EA2"/>
      <w:spacing w:val="0"/>
      <w:sz w:val="25"/>
      <w:u w:val="single"/>
      <w:bdr w:val="single" w:sz="2" w:space="11" w:color="EAC2AE"/>
    </w:rPr>
  </w:style>
  <w:style w:type="character" w:customStyle="1" w:styleId="ListLabel1764">
    <w:name w:val="ListLabel 1764"/>
    <w:qFormat/>
    <w:rPr>
      <w:color w:val="005EA2"/>
      <w:u w:val="single"/>
    </w:rPr>
  </w:style>
  <w:style w:type="character" w:customStyle="1" w:styleId="ListLabel1765">
    <w:name w:val="ListLabel 1765"/>
    <w:qFormat/>
    <w:rPr>
      <w:rFonts w:ascii="Source Sans Pro Web;Helvetica N" w:hAnsi="Source Sans Pro Web;Helvetica N"/>
      <w:color w:val="005EA2"/>
      <w:spacing w:val="0"/>
      <w:u w:val="single"/>
    </w:rPr>
  </w:style>
  <w:style w:type="character" w:customStyle="1" w:styleId="ListLabel1766">
    <w:name w:val="ListLabel 1766"/>
    <w:qFormat/>
    <w:rPr>
      <w:rFonts w:eastAsia="Times New Roman" w:cs="Arial"/>
      <w:b w:val="0"/>
      <w:bCs/>
      <w:i w:val="0"/>
      <w:caps w:val="0"/>
      <w:smallCaps w:val="0"/>
      <w:strike w:val="0"/>
      <w:dstrike w:val="0"/>
      <w:color w:val="FF8000"/>
      <w:spacing w:val="0"/>
      <w:kern w:val="2"/>
      <w:sz w:val="28"/>
      <w:szCs w:val="28"/>
      <w:highlight w:val="yellow"/>
      <w:effect w:val="none"/>
    </w:rPr>
  </w:style>
  <w:style w:type="character" w:customStyle="1" w:styleId="ListLabel1767">
    <w:name w:val="ListLabel 1767"/>
    <w:qFormat/>
    <w:rPr>
      <w:rFonts w:eastAsia="Times New Roman" w:cs="Times New Roman"/>
      <w:b w:val="0"/>
      <w:bCs w:val="0"/>
      <w:i w:val="0"/>
      <w:caps w:val="0"/>
      <w:smallCaps w:val="0"/>
      <w:strike w:val="0"/>
      <w:dstrike w:val="0"/>
      <w:color w:val="3366CC"/>
      <w:spacing w:val="0"/>
      <w:kern w:val="2"/>
      <w:sz w:val="28"/>
      <w:szCs w:val="28"/>
      <w:highlight w:val="white"/>
      <w:u w:val="none"/>
      <w:effect w:val="none"/>
      <w:lang w:val="uk-UA" w:eastAsia="ru-RU"/>
    </w:rPr>
  </w:style>
  <w:style w:type="character" w:customStyle="1" w:styleId="ListLabel1768">
    <w:name w:val="ListLabel 1768"/>
    <w:qFormat/>
    <w:rPr>
      <w:sz w:val="28"/>
      <w:szCs w:val="28"/>
      <w:lang w:val="uk-UA"/>
    </w:rPr>
  </w:style>
  <w:style w:type="character" w:customStyle="1" w:styleId="ListLabel1769">
    <w:name w:val="ListLabel 1769"/>
    <w:qFormat/>
    <w:rPr>
      <w:b/>
      <w:bCs/>
      <w:color w:val="FF8000"/>
      <w:sz w:val="28"/>
      <w:szCs w:val="28"/>
      <w:highlight w:val="yellow"/>
      <w:lang w:val="ru-RU"/>
    </w:rPr>
  </w:style>
  <w:style w:type="character" w:customStyle="1" w:styleId="ListLabel1770">
    <w:name w:val="ListLabel 1770"/>
    <w:qFormat/>
    <w:rPr>
      <w:rFonts w:cs="OpenSymbol"/>
      <w:b w:val="0"/>
      <w:sz w:val="28"/>
    </w:rPr>
  </w:style>
  <w:style w:type="character" w:customStyle="1" w:styleId="ListLabel1771">
    <w:name w:val="ListLabel 1771"/>
    <w:qFormat/>
    <w:rPr>
      <w:rFonts w:cs="OpenSymbol"/>
    </w:rPr>
  </w:style>
  <w:style w:type="character" w:customStyle="1" w:styleId="ListLabel1772">
    <w:name w:val="ListLabel 1772"/>
    <w:qFormat/>
    <w:rPr>
      <w:rFonts w:cs="OpenSymbol"/>
    </w:rPr>
  </w:style>
  <w:style w:type="character" w:customStyle="1" w:styleId="ListLabel1773">
    <w:name w:val="ListLabel 1773"/>
    <w:qFormat/>
    <w:rPr>
      <w:rFonts w:cs="OpenSymbol"/>
    </w:rPr>
  </w:style>
  <w:style w:type="character" w:customStyle="1" w:styleId="ListLabel1774">
    <w:name w:val="ListLabel 1774"/>
    <w:qFormat/>
    <w:rPr>
      <w:rFonts w:cs="OpenSymbol"/>
    </w:rPr>
  </w:style>
  <w:style w:type="character" w:customStyle="1" w:styleId="ListLabel1775">
    <w:name w:val="ListLabel 1775"/>
    <w:qFormat/>
    <w:rPr>
      <w:rFonts w:cs="OpenSymbol"/>
    </w:rPr>
  </w:style>
  <w:style w:type="character" w:customStyle="1" w:styleId="ListLabel1776">
    <w:name w:val="ListLabel 1776"/>
    <w:qFormat/>
    <w:rPr>
      <w:rFonts w:cs="OpenSymbol"/>
    </w:rPr>
  </w:style>
  <w:style w:type="character" w:customStyle="1" w:styleId="ListLabel1777">
    <w:name w:val="ListLabel 1777"/>
    <w:qFormat/>
    <w:rPr>
      <w:rFonts w:cs="OpenSymbol"/>
    </w:rPr>
  </w:style>
  <w:style w:type="character" w:customStyle="1" w:styleId="ListLabel1778">
    <w:name w:val="ListLabel 1778"/>
    <w:qFormat/>
    <w:rPr>
      <w:rFonts w:cs="OpenSymbol"/>
    </w:rPr>
  </w:style>
  <w:style w:type="character" w:customStyle="1" w:styleId="ListLabel1779">
    <w:name w:val="ListLabel 1779"/>
    <w:qFormat/>
    <w:rPr>
      <w:rFonts w:cs="OpenSymbol"/>
      <w:b w:val="0"/>
      <w:sz w:val="28"/>
    </w:rPr>
  </w:style>
  <w:style w:type="character" w:customStyle="1" w:styleId="ListLabel1780">
    <w:name w:val="ListLabel 1780"/>
    <w:qFormat/>
    <w:rPr>
      <w:rFonts w:cs="OpenSymbol"/>
    </w:rPr>
  </w:style>
  <w:style w:type="character" w:customStyle="1" w:styleId="ListLabel1781">
    <w:name w:val="ListLabel 1781"/>
    <w:qFormat/>
    <w:rPr>
      <w:rFonts w:cs="OpenSymbol"/>
    </w:rPr>
  </w:style>
  <w:style w:type="character" w:customStyle="1" w:styleId="ListLabel1782">
    <w:name w:val="ListLabel 1782"/>
    <w:qFormat/>
    <w:rPr>
      <w:rFonts w:cs="OpenSymbol"/>
    </w:rPr>
  </w:style>
  <w:style w:type="character" w:customStyle="1" w:styleId="ListLabel1783">
    <w:name w:val="ListLabel 1783"/>
    <w:qFormat/>
    <w:rPr>
      <w:rFonts w:cs="OpenSymbol"/>
    </w:rPr>
  </w:style>
  <w:style w:type="character" w:customStyle="1" w:styleId="ListLabel1784">
    <w:name w:val="ListLabel 1784"/>
    <w:qFormat/>
    <w:rPr>
      <w:rFonts w:cs="OpenSymbol"/>
    </w:rPr>
  </w:style>
  <w:style w:type="character" w:customStyle="1" w:styleId="ListLabel1785">
    <w:name w:val="ListLabel 1785"/>
    <w:qFormat/>
    <w:rPr>
      <w:rFonts w:cs="OpenSymbol"/>
    </w:rPr>
  </w:style>
  <w:style w:type="character" w:customStyle="1" w:styleId="ListLabel1786">
    <w:name w:val="ListLabel 1786"/>
    <w:qFormat/>
    <w:rPr>
      <w:rFonts w:cs="OpenSymbol"/>
    </w:rPr>
  </w:style>
  <w:style w:type="character" w:customStyle="1" w:styleId="ListLabel1787">
    <w:name w:val="ListLabel 1787"/>
    <w:qFormat/>
    <w:rPr>
      <w:rFonts w:cs="OpenSymbol"/>
    </w:rPr>
  </w:style>
  <w:style w:type="character" w:customStyle="1" w:styleId="ListLabel1788">
    <w:name w:val="ListLabel 1788"/>
    <w:qFormat/>
    <w:rPr>
      <w:rFonts w:cs="OpenSymbol"/>
      <w:b w:val="0"/>
      <w:sz w:val="28"/>
    </w:rPr>
  </w:style>
  <w:style w:type="character" w:customStyle="1" w:styleId="ListLabel1789">
    <w:name w:val="ListLabel 1789"/>
    <w:qFormat/>
    <w:rPr>
      <w:rFonts w:cs="OpenSymbol"/>
    </w:rPr>
  </w:style>
  <w:style w:type="character" w:customStyle="1" w:styleId="ListLabel1790">
    <w:name w:val="ListLabel 1790"/>
    <w:qFormat/>
    <w:rPr>
      <w:rFonts w:cs="OpenSymbol"/>
    </w:rPr>
  </w:style>
  <w:style w:type="character" w:customStyle="1" w:styleId="ListLabel1791">
    <w:name w:val="ListLabel 1791"/>
    <w:qFormat/>
    <w:rPr>
      <w:rFonts w:cs="OpenSymbol"/>
    </w:rPr>
  </w:style>
  <w:style w:type="character" w:customStyle="1" w:styleId="ListLabel1792">
    <w:name w:val="ListLabel 1792"/>
    <w:qFormat/>
    <w:rPr>
      <w:rFonts w:cs="OpenSymbol"/>
    </w:rPr>
  </w:style>
  <w:style w:type="character" w:customStyle="1" w:styleId="ListLabel1793">
    <w:name w:val="ListLabel 1793"/>
    <w:qFormat/>
    <w:rPr>
      <w:rFonts w:cs="OpenSymbol"/>
    </w:rPr>
  </w:style>
  <w:style w:type="character" w:customStyle="1" w:styleId="ListLabel1794">
    <w:name w:val="ListLabel 1794"/>
    <w:qFormat/>
    <w:rPr>
      <w:rFonts w:cs="OpenSymbol"/>
    </w:rPr>
  </w:style>
  <w:style w:type="character" w:customStyle="1" w:styleId="ListLabel1795">
    <w:name w:val="ListLabel 1795"/>
    <w:qFormat/>
    <w:rPr>
      <w:rFonts w:cs="OpenSymbol"/>
    </w:rPr>
  </w:style>
  <w:style w:type="character" w:customStyle="1" w:styleId="ListLabel1796">
    <w:name w:val="ListLabel 1796"/>
    <w:qFormat/>
    <w:rPr>
      <w:rFonts w:cs="OpenSymbol"/>
    </w:rPr>
  </w:style>
  <w:style w:type="character" w:customStyle="1" w:styleId="ListLabel1797">
    <w:name w:val="ListLabel 1797"/>
    <w:qFormat/>
    <w:rPr>
      <w:rFonts w:cs="OpenSymbol"/>
    </w:rPr>
  </w:style>
  <w:style w:type="character" w:customStyle="1" w:styleId="ListLabel1798">
    <w:name w:val="ListLabel 1798"/>
    <w:qFormat/>
    <w:rPr>
      <w:rFonts w:cs="OpenSymbol"/>
    </w:rPr>
  </w:style>
  <w:style w:type="character" w:customStyle="1" w:styleId="ListLabel1799">
    <w:name w:val="ListLabel 1799"/>
    <w:qFormat/>
    <w:rPr>
      <w:rFonts w:cs="OpenSymbol"/>
    </w:rPr>
  </w:style>
  <w:style w:type="character" w:customStyle="1" w:styleId="ListLabel1800">
    <w:name w:val="ListLabel 1800"/>
    <w:qFormat/>
    <w:rPr>
      <w:rFonts w:cs="OpenSymbol"/>
    </w:rPr>
  </w:style>
  <w:style w:type="character" w:customStyle="1" w:styleId="ListLabel1801">
    <w:name w:val="ListLabel 1801"/>
    <w:qFormat/>
    <w:rPr>
      <w:rFonts w:cs="OpenSymbol"/>
    </w:rPr>
  </w:style>
  <w:style w:type="character" w:customStyle="1" w:styleId="ListLabel1802">
    <w:name w:val="ListLabel 1802"/>
    <w:qFormat/>
    <w:rPr>
      <w:rFonts w:cs="OpenSymbol"/>
    </w:rPr>
  </w:style>
  <w:style w:type="character" w:customStyle="1" w:styleId="ListLabel1803">
    <w:name w:val="ListLabel 1803"/>
    <w:qFormat/>
    <w:rPr>
      <w:rFonts w:cs="OpenSymbol"/>
    </w:rPr>
  </w:style>
  <w:style w:type="character" w:customStyle="1" w:styleId="ListLabel1804">
    <w:name w:val="ListLabel 1804"/>
    <w:qFormat/>
    <w:rPr>
      <w:rFonts w:cs="OpenSymbol"/>
    </w:rPr>
  </w:style>
  <w:style w:type="character" w:customStyle="1" w:styleId="ListLabel1805">
    <w:name w:val="ListLabel 1805"/>
    <w:qFormat/>
    <w:rPr>
      <w:rFonts w:cs="OpenSymbol"/>
    </w:rPr>
  </w:style>
  <w:style w:type="character" w:customStyle="1" w:styleId="ListLabel1806">
    <w:name w:val="ListLabel 1806"/>
    <w:qFormat/>
    <w:rPr>
      <w:rFonts w:cs="OpenSymbol"/>
    </w:rPr>
  </w:style>
  <w:style w:type="character" w:customStyle="1" w:styleId="ListLabel1807">
    <w:name w:val="ListLabel 1807"/>
    <w:qFormat/>
    <w:rPr>
      <w:rFonts w:cs="OpenSymbol"/>
    </w:rPr>
  </w:style>
  <w:style w:type="character" w:customStyle="1" w:styleId="ListLabel1808">
    <w:name w:val="ListLabel 1808"/>
    <w:qFormat/>
    <w:rPr>
      <w:rFonts w:cs="OpenSymbol"/>
    </w:rPr>
  </w:style>
  <w:style w:type="character" w:customStyle="1" w:styleId="ListLabel1809">
    <w:name w:val="ListLabel 1809"/>
    <w:qFormat/>
    <w:rPr>
      <w:rFonts w:cs="OpenSymbol"/>
    </w:rPr>
  </w:style>
  <w:style w:type="character" w:customStyle="1" w:styleId="ListLabel1810">
    <w:name w:val="ListLabel 1810"/>
    <w:qFormat/>
    <w:rPr>
      <w:rFonts w:cs="OpenSymbol"/>
    </w:rPr>
  </w:style>
  <w:style w:type="character" w:customStyle="1" w:styleId="ListLabel1811">
    <w:name w:val="ListLabel 1811"/>
    <w:qFormat/>
    <w:rPr>
      <w:rFonts w:cs="OpenSymbol"/>
    </w:rPr>
  </w:style>
  <w:style w:type="character" w:customStyle="1" w:styleId="ListLabel1812">
    <w:name w:val="ListLabel 1812"/>
    <w:qFormat/>
    <w:rPr>
      <w:rFonts w:cs="OpenSymbol"/>
    </w:rPr>
  </w:style>
  <w:style w:type="character" w:customStyle="1" w:styleId="ListLabel1813">
    <w:name w:val="ListLabel 1813"/>
    <w:qFormat/>
    <w:rPr>
      <w:rFonts w:cs="OpenSymbol"/>
    </w:rPr>
  </w:style>
  <w:style w:type="character" w:customStyle="1" w:styleId="ListLabel1814">
    <w:name w:val="ListLabel 1814"/>
    <w:qFormat/>
    <w:rPr>
      <w:rFonts w:cs="OpenSymbol"/>
    </w:rPr>
  </w:style>
  <w:style w:type="character" w:customStyle="1" w:styleId="ListLabel1815">
    <w:name w:val="ListLabel 1815"/>
    <w:qFormat/>
    <w:rPr>
      <w:rFonts w:cs="OpenSymbol"/>
    </w:rPr>
  </w:style>
  <w:style w:type="character" w:customStyle="1" w:styleId="ListLabel1816">
    <w:name w:val="ListLabel 1816"/>
    <w:qFormat/>
    <w:rPr>
      <w:rFonts w:cs="OpenSymbol"/>
    </w:rPr>
  </w:style>
  <w:style w:type="character" w:customStyle="1" w:styleId="ListLabel1817">
    <w:name w:val="ListLabel 1817"/>
    <w:qFormat/>
    <w:rPr>
      <w:rFonts w:cs="OpenSymbol"/>
    </w:rPr>
  </w:style>
  <w:style w:type="character" w:customStyle="1" w:styleId="ListLabel1818">
    <w:name w:val="ListLabel 1818"/>
    <w:qFormat/>
    <w:rPr>
      <w:rFonts w:cs="OpenSymbol"/>
    </w:rPr>
  </w:style>
  <w:style w:type="character" w:customStyle="1" w:styleId="ListLabel1819">
    <w:name w:val="ListLabel 1819"/>
    <w:qFormat/>
    <w:rPr>
      <w:rFonts w:cs="OpenSymbol"/>
    </w:rPr>
  </w:style>
  <w:style w:type="character" w:customStyle="1" w:styleId="ListLabel1820">
    <w:name w:val="ListLabel 1820"/>
    <w:qFormat/>
    <w:rPr>
      <w:rFonts w:cs="OpenSymbol"/>
    </w:rPr>
  </w:style>
  <w:style w:type="character" w:customStyle="1" w:styleId="ListLabel1821">
    <w:name w:val="ListLabel 1821"/>
    <w:qFormat/>
    <w:rPr>
      <w:rFonts w:cs="OpenSymbol"/>
    </w:rPr>
  </w:style>
  <w:style w:type="character" w:customStyle="1" w:styleId="ListLabel1822">
    <w:name w:val="ListLabel 1822"/>
    <w:qFormat/>
    <w:rPr>
      <w:rFonts w:cs="OpenSymbol"/>
    </w:rPr>
  </w:style>
  <w:style w:type="character" w:customStyle="1" w:styleId="ListLabel1823">
    <w:name w:val="ListLabel 1823"/>
    <w:qFormat/>
    <w:rPr>
      <w:rFonts w:cs="OpenSymbol"/>
    </w:rPr>
  </w:style>
  <w:style w:type="character" w:customStyle="1" w:styleId="ListLabel1824">
    <w:name w:val="ListLabel 1824"/>
    <w:qFormat/>
    <w:rPr>
      <w:rFonts w:cs="OpenSymbol"/>
    </w:rPr>
  </w:style>
  <w:style w:type="character" w:customStyle="1" w:styleId="ListLabel1825">
    <w:name w:val="ListLabel 1825"/>
    <w:qFormat/>
    <w:rPr>
      <w:rFonts w:cs="OpenSymbol"/>
    </w:rPr>
  </w:style>
  <w:style w:type="character" w:customStyle="1" w:styleId="ListLabel1826">
    <w:name w:val="ListLabel 1826"/>
    <w:qFormat/>
    <w:rPr>
      <w:rFonts w:cs="OpenSymbol"/>
    </w:rPr>
  </w:style>
  <w:style w:type="character" w:customStyle="1" w:styleId="ListLabel1827">
    <w:name w:val="ListLabel 1827"/>
    <w:qFormat/>
    <w:rPr>
      <w:rFonts w:cs="OpenSymbol"/>
    </w:rPr>
  </w:style>
  <w:style w:type="character" w:customStyle="1" w:styleId="ListLabel1828">
    <w:name w:val="ListLabel 1828"/>
    <w:qFormat/>
    <w:rPr>
      <w:rFonts w:cs="OpenSymbol"/>
    </w:rPr>
  </w:style>
  <w:style w:type="character" w:customStyle="1" w:styleId="ListLabel1829">
    <w:name w:val="ListLabel 1829"/>
    <w:qFormat/>
    <w:rPr>
      <w:rFonts w:cs="OpenSymbol"/>
    </w:rPr>
  </w:style>
  <w:style w:type="character" w:customStyle="1" w:styleId="ListLabel1830">
    <w:name w:val="ListLabel 1830"/>
    <w:qFormat/>
    <w:rPr>
      <w:rFonts w:cs="OpenSymbol"/>
    </w:rPr>
  </w:style>
  <w:style w:type="character" w:customStyle="1" w:styleId="ListLabel1831">
    <w:name w:val="ListLabel 1831"/>
    <w:qFormat/>
    <w:rPr>
      <w:rFonts w:cs="OpenSymbol"/>
    </w:rPr>
  </w:style>
  <w:style w:type="character" w:customStyle="1" w:styleId="ListLabel1832">
    <w:name w:val="ListLabel 1832"/>
    <w:qFormat/>
    <w:rPr>
      <w:rFonts w:cs="OpenSymbol"/>
    </w:rPr>
  </w:style>
  <w:style w:type="character" w:customStyle="1" w:styleId="ListLabel1833">
    <w:name w:val="ListLabel 1833"/>
    <w:qFormat/>
    <w:rPr>
      <w:rFonts w:cs="OpenSymbol"/>
    </w:rPr>
  </w:style>
  <w:style w:type="character" w:customStyle="1" w:styleId="ListLabel1834">
    <w:name w:val="ListLabel 1834"/>
    <w:qFormat/>
    <w:rPr>
      <w:rFonts w:cs="OpenSymbol"/>
    </w:rPr>
  </w:style>
  <w:style w:type="character" w:customStyle="1" w:styleId="ListLabel1835">
    <w:name w:val="ListLabel 1835"/>
    <w:qFormat/>
    <w:rPr>
      <w:rFonts w:cs="OpenSymbol"/>
    </w:rPr>
  </w:style>
  <w:style w:type="character" w:customStyle="1" w:styleId="ListLabel1836">
    <w:name w:val="ListLabel 1836"/>
    <w:qFormat/>
    <w:rPr>
      <w:rFonts w:cs="OpenSymbol"/>
    </w:rPr>
  </w:style>
  <w:style w:type="character" w:customStyle="1" w:styleId="ListLabel1837">
    <w:name w:val="ListLabel 1837"/>
    <w:qFormat/>
    <w:rPr>
      <w:rFonts w:cs="OpenSymbol"/>
    </w:rPr>
  </w:style>
  <w:style w:type="character" w:customStyle="1" w:styleId="ListLabel1838">
    <w:name w:val="ListLabel 1838"/>
    <w:qFormat/>
    <w:rPr>
      <w:rFonts w:cs="OpenSymbol"/>
    </w:rPr>
  </w:style>
  <w:style w:type="character" w:customStyle="1" w:styleId="ListLabel1839">
    <w:name w:val="ListLabel 1839"/>
    <w:qFormat/>
    <w:rPr>
      <w:rFonts w:cs="OpenSymbol"/>
    </w:rPr>
  </w:style>
  <w:style w:type="character" w:customStyle="1" w:styleId="ListLabel1840">
    <w:name w:val="ListLabel 1840"/>
    <w:qFormat/>
    <w:rPr>
      <w:rFonts w:cs="OpenSymbol"/>
    </w:rPr>
  </w:style>
  <w:style w:type="character" w:customStyle="1" w:styleId="ListLabel1841">
    <w:name w:val="ListLabel 1841"/>
    <w:qFormat/>
    <w:rPr>
      <w:rFonts w:cs="OpenSymbol"/>
    </w:rPr>
  </w:style>
  <w:style w:type="character" w:customStyle="1" w:styleId="ListLabel1842">
    <w:name w:val="ListLabel 1842"/>
    <w:qFormat/>
    <w:rPr>
      <w:rFonts w:cs="OpenSymbol"/>
    </w:rPr>
  </w:style>
  <w:style w:type="character" w:customStyle="1" w:styleId="ListLabel1843">
    <w:name w:val="ListLabel 1843"/>
    <w:qFormat/>
    <w:rPr>
      <w:rFonts w:cs="OpenSymbol"/>
    </w:rPr>
  </w:style>
  <w:style w:type="character" w:customStyle="1" w:styleId="ListLabel1844">
    <w:name w:val="ListLabel 1844"/>
    <w:qFormat/>
    <w:rPr>
      <w:rFonts w:cs="OpenSymbol"/>
    </w:rPr>
  </w:style>
  <w:style w:type="character" w:customStyle="1" w:styleId="ListLabel1845">
    <w:name w:val="ListLabel 1845"/>
    <w:qFormat/>
    <w:rPr>
      <w:rFonts w:cs="OpenSymbol"/>
    </w:rPr>
  </w:style>
  <w:style w:type="character" w:customStyle="1" w:styleId="ListLabel1846">
    <w:name w:val="ListLabel 1846"/>
    <w:qFormat/>
    <w:rPr>
      <w:rFonts w:cs="OpenSymbol"/>
    </w:rPr>
  </w:style>
  <w:style w:type="character" w:customStyle="1" w:styleId="ListLabel1847">
    <w:name w:val="ListLabel 1847"/>
    <w:qFormat/>
    <w:rPr>
      <w:rFonts w:cs="OpenSymbol"/>
    </w:rPr>
  </w:style>
  <w:style w:type="character" w:customStyle="1" w:styleId="ListLabel1848">
    <w:name w:val="ListLabel 1848"/>
    <w:qFormat/>
    <w:rPr>
      <w:rFonts w:cs="OpenSymbol"/>
    </w:rPr>
  </w:style>
  <w:style w:type="character" w:customStyle="1" w:styleId="ListLabel1849">
    <w:name w:val="ListLabel 1849"/>
    <w:qFormat/>
    <w:rPr>
      <w:rFonts w:cs="OpenSymbol"/>
    </w:rPr>
  </w:style>
  <w:style w:type="character" w:customStyle="1" w:styleId="ListLabel1850">
    <w:name w:val="ListLabel 1850"/>
    <w:qFormat/>
    <w:rPr>
      <w:rFonts w:cs="OpenSymbol"/>
    </w:rPr>
  </w:style>
  <w:style w:type="character" w:customStyle="1" w:styleId="ListLabel1851">
    <w:name w:val="ListLabel 1851"/>
    <w:qFormat/>
    <w:rPr>
      <w:rFonts w:cs="OpenSymbol"/>
    </w:rPr>
  </w:style>
  <w:style w:type="character" w:customStyle="1" w:styleId="ListLabel1852">
    <w:name w:val="ListLabel 1852"/>
    <w:qFormat/>
    <w:rPr>
      <w:rFonts w:cs="OpenSymbol"/>
    </w:rPr>
  </w:style>
  <w:style w:type="character" w:customStyle="1" w:styleId="ListLabel1853">
    <w:name w:val="ListLabel 1853"/>
    <w:qFormat/>
    <w:rPr>
      <w:rFonts w:cs="OpenSymbol"/>
    </w:rPr>
  </w:style>
  <w:style w:type="character" w:customStyle="1" w:styleId="ListLabel1854">
    <w:name w:val="ListLabel 1854"/>
    <w:qFormat/>
    <w:rPr>
      <w:rFonts w:cs="OpenSymbol"/>
    </w:rPr>
  </w:style>
  <w:style w:type="character" w:customStyle="1" w:styleId="ListLabel1855">
    <w:name w:val="ListLabel 1855"/>
    <w:qFormat/>
    <w:rPr>
      <w:rFonts w:cs="OpenSymbol"/>
    </w:rPr>
  </w:style>
  <w:style w:type="character" w:customStyle="1" w:styleId="ListLabel1856">
    <w:name w:val="ListLabel 1856"/>
    <w:qFormat/>
    <w:rPr>
      <w:rFonts w:cs="OpenSymbol"/>
    </w:rPr>
  </w:style>
  <w:style w:type="character" w:customStyle="1" w:styleId="ListLabel1857">
    <w:name w:val="ListLabel 1857"/>
    <w:qFormat/>
    <w:rPr>
      <w:rFonts w:cs="OpenSymbol"/>
    </w:rPr>
  </w:style>
  <w:style w:type="character" w:customStyle="1" w:styleId="ListLabel1858">
    <w:name w:val="ListLabel 1858"/>
    <w:qFormat/>
    <w:rPr>
      <w:rFonts w:cs="OpenSymbol"/>
    </w:rPr>
  </w:style>
  <w:style w:type="character" w:customStyle="1" w:styleId="ListLabel1859">
    <w:name w:val="ListLabel 1859"/>
    <w:qFormat/>
    <w:rPr>
      <w:rFonts w:cs="OpenSymbol"/>
    </w:rPr>
  </w:style>
  <w:style w:type="character" w:customStyle="1" w:styleId="ListLabel1860">
    <w:name w:val="ListLabel 1860"/>
    <w:qFormat/>
    <w:rPr>
      <w:rFonts w:cs="OpenSymbol"/>
    </w:rPr>
  </w:style>
  <w:style w:type="character" w:customStyle="1" w:styleId="ListLabel1861">
    <w:name w:val="ListLabel 1861"/>
    <w:qFormat/>
    <w:rPr>
      <w:rFonts w:cs="OpenSymbol"/>
    </w:rPr>
  </w:style>
  <w:style w:type="character" w:customStyle="1" w:styleId="ListLabel1862">
    <w:name w:val="ListLabel 1862"/>
    <w:qFormat/>
    <w:rPr>
      <w:rFonts w:cs="OpenSymbol"/>
    </w:rPr>
  </w:style>
  <w:style w:type="character" w:customStyle="1" w:styleId="ListLabel1863">
    <w:name w:val="ListLabel 1863"/>
    <w:qFormat/>
    <w:rPr>
      <w:rFonts w:cs="OpenSymbol"/>
    </w:rPr>
  </w:style>
  <w:style w:type="character" w:customStyle="1" w:styleId="ListLabel1864">
    <w:name w:val="ListLabel 1864"/>
    <w:qFormat/>
    <w:rPr>
      <w:rFonts w:cs="OpenSymbol"/>
    </w:rPr>
  </w:style>
  <w:style w:type="character" w:customStyle="1" w:styleId="ListLabel1865">
    <w:name w:val="ListLabel 1865"/>
    <w:qFormat/>
    <w:rPr>
      <w:rFonts w:cs="OpenSymbol"/>
    </w:rPr>
  </w:style>
  <w:style w:type="character" w:customStyle="1" w:styleId="ListLabel1866">
    <w:name w:val="ListLabel 1866"/>
    <w:qFormat/>
    <w:rPr>
      <w:rFonts w:cs="OpenSymbol"/>
    </w:rPr>
  </w:style>
  <w:style w:type="character" w:customStyle="1" w:styleId="ListLabel1867">
    <w:name w:val="ListLabel 1867"/>
    <w:qFormat/>
    <w:rPr>
      <w:rFonts w:cs="OpenSymbol"/>
    </w:rPr>
  </w:style>
  <w:style w:type="character" w:customStyle="1" w:styleId="ListLabel1868">
    <w:name w:val="ListLabel 1868"/>
    <w:qFormat/>
    <w:rPr>
      <w:rFonts w:cs="OpenSymbol"/>
    </w:rPr>
  </w:style>
  <w:style w:type="character" w:customStyle="1" w:styleId="ListLabel1869">
    <w:name w:val="ListLabel 1869"/>
    <w:qFormat/>
    <w:rPr>
      <w:rFonts w:cs="OpenSymbol"/>
    </w:rPr>
  </w:style>
  <w:style w:type="character" w:customStyle="1" w:styleId="ListLabel1870">
    <w:name w:val="ListLabel 1870"/>
    <w:qFormat/>
    <w:rPr>
      <w:rFonts w:cs="OpenSymbol"/>
    </w:rPr>
  </w:style>
  <w:style w:type="character" w:customStyle="1" w:styleId="ListLabel1871">
    <w:name w:val="ListLabel 1871"/>
    <w:qFormat/>
    <w:rPr>
      <w:rFonts w:cs="OpenSymbol"/>
    </w:rPr>
  </w:style>
  <w:style w:type="character" w:customStyle="1" w:styleId="ListLabel1872">
    <w:name w:val="ListLabel 1872"/>
    <w:qFormat/>
    <w:rPr>
      <w:rFonts w:cs="OpenSymbol"/>
    </w:rPr>
  </w:style>
  <w:style w:type="character" w:customStyle="1" w:styleId="ListLabel1873">
    <w:name w:val="ListLabel 1873"/>
    <w:qFormat/>
    <w:rPr>
      <w:rFonts w:cs="OpenSymbol"/>
    </w:rPr>
  </w:style>
  <w:style w:type="character" w:customStyle="1" w:styleId="ListLabel1874">
    <w:name w:val="ListLabel 1874"/>
    <w:qFormat/>
    <w:rPr>
      <w:rFonts w:cs="OpenSymbol"/>
    </w:rPr>
  </w:style>
  <w:style w:type="character" w:customStyle="1" w:styleId="ListLabel1875">
    <w:name w:val="ListLabel 1875"/>
    <w:qFormat/>
    <w:rPr>
      <w:rFonts w:cs="OpenSymbol"/>
    </w:rPr>
  </w:style>
  <w:style w:type="character" w:customStyle="1" w:styleId="ListLabel1876">
    <w:name w:val="ListLabel 1876"/>
    <w:qFormat/>
    <w:rPr>
      <w:rFonts w:cs="OpenSymbol"/>
    </w:rPr>
  </w:style>
  <w:style w:type="character" w:customStyle="1" w:styleId="ListLabel1877">
    <w:name w:val="ListLabel 1877"/>
    <w:qFormat/>
    <w:rPr>
      <w:rFonts w:cs="OpenSymbol"/>
    </w:rPr>
  </w:style>
  <w:style w:type="character" w:customStyle="1" w:styleId="ListLabel1878">
    <w:name w:val="ListLabel 1878"/>
    <w:qFormat/>
    <w:rPr>
      <w:rFonts w:cs="OpenSymbol"/>
    </w:rPr>
  </w:style>
  <w:style w:type="character" w:customStyle="1" w:styleId="ListLabel1879">
    <w:name w:val="ListLabel 1879"/>
    <w:qFormat/>
    <w:rPr>
      <w:rFonts w:cs="OpenSymbol"/>
    </w:rPr>
  </w:style>
  <w:style w:type="character" w:customStyle="1" w:styleId="ListLabel1880">
    <w:name w:val="ListLabel 1880"/>
    <w:qFormat/>
    <w:rPr>
      <w:rFonts w:cs="OpenSymbol"/>
    </w:rPr>
  </w:style>
  <w:style w:type="character" w:customStyle="1" w:styleId="ListLabel1881">
    <w:name w:val="ListLabel 1881"/>
    <w:qFormat/>
    <w:rPr>
      <w:rFonts w:cs="OpenSymbol"/>
    </w:rPr>
  </w:style>
  <w:style w:type="character" w:customStyle="1" w:styleId="ListLabel1882">
    <w:name w:val="ListLabel 1882"/>
    <w:qFormat/>
    <w:rPr>
      <w:rFonts w:cs="OpenSymbol"/>
    </w:rPr>
  </w:style>
  <w:style w:type="character" w:customStyle="1" w:styleId="ListLabel1883">
    <w:name w:val="ListLabel 1883"/>
    <w:qFormat/>
    <w:rPr>
      <w:rFonts w:cs="OpenSymbol"/>
    </w:rPr>
  </w:style>
  <w:style w:type="character" w:customStyle="1" w:styleId="ListLabel1884">
    <w:name w:val="ListLabel 1884"/>
    <w:qFormat/>
    <w:rPr>
      <w:rFonts w:cs="OpenSymbol"/>
    </w:rPr>
  </w:style>
  <w:style w:type="character" w:customStyle="1" w:styleId="ListLabel1885">
    <w:name w:val="ListLabel 1885"/>
    <w:qFormat/>
    <w:rPr>
      <w:rFonts w:cs="OpenSymbol"/>
    </w:rPr>
  </w:style>
  <w:style w:type="character" w:customStyle="1" w:styleId="ListLabel1886">
    <w:name w:val="ListLabel 1886"/>
    <w:qFormat/>
    <w:rPr>
      <w:rFonts w:cs="OpenSymbol"/>
    </w:rPr>
  </w:style>
  <w:style w:type="character" w:customStyle="1" w:styleId="ListLabel1887">
    <w:name w:val="ListLabel 1887"/>
    <w:qFormat/>
    <w:rPr>
      <w:rFonts w:cs="OpenSymbol"/>
    </w:rPr>
  </w:style>
  <w:style w:type="character" w:customStyle="1" w:styleId="ListLabel1888">
    <w:name w:val="ListLabel 1888"/>
    <w:qFormat/>
    <w:rPr>
      <w:rFonts w:cs="OpenSymbol"/>
    </w:rPr>
  </w:style>
  <w:style w:type="character" w:customStyle="1" w:styleId="ListLabel1889">
    <w:name w:val="ListLabel 1889"/>
    <w:qFormat/>
    <w:rPr>
      <w:rFonts w:cs="OpenSymbol"/>
    </w:rPr>
  </w:style>
  <w:style w:type="character" w:customStyle="1" w:styleId="ListLabel1890">
    <w:name w:val="ListLabel 1890"/>
    <w:qFormat/>
    <w:rPr>
      <w:rFonts w:cs="OpenSymbol"/>
    </w:rPr>
  </w:style>
  <w:style w:type="character" w:customStyle="1" w:styleId="ListLabel1891">
    <w:name w:val="ListLabel 1891"/>
    <w:qFormat/>
    <w:rPr>
      <w:rFonts w:cs="OpenSymbol"/>
    </w:rPr>
  </w:style>
  <w:style w:type="character" w:customStyle="1" w:styleId="ListLabel1892">
    <w:name w:val="ListLabel 1892"/>
    <w:qFormat/>
    <w:rPr>
      <w:rFonts w:cs="OpenSymbol"/>
    </w:rPr>
  </w:style>
  <w:style w:type="character" w:customStyle="1" w:styleId="ListLabel1893">
    <w:name w:val="ListLabel 1893"/>
    <w:qFormat/>
    <w:rPr>
      <w:rFonts w:cs="OpenSymbol"/>
    </w:rPr>
  </w:style>
  <w:style w:type="character" w:customStyle="1" w:styleId="ListLabel1894">
    <w:name w:val="ListLabel 1894"/>
    <w:qFormat/>
    <w:rPr>
      <w:rFonts w:cs="OpenSymbol"/>
    </w:rPr>
  </w:style>
  <w:style w:type="character" w:customStyle="1" w:styleId="ListLabel1895">
    <w:name w:val="ListLabel 1895"/>
    <w:qFormat/>
    <w:rPr>
      <w:rFonts w:cs="OpenSymbol"/>
    </w:rPr>
  </w:style>
  <w:style w:type="character" w:customStyle="1" w:styleId="ListLabel1896">
    <w:name w:val="ListLabel 1896"/>
    <w:qFormat/>
    <w:rPr>
      <w:rFonts w:cs="OpenSymbol"/>
    </w:rPr>
  </w:style>
  <w:style w:type="character" w:customStyle="1" w:styleId="ListLabel1897">
    <w:name w:val="ListLabel 1897"/>
    <w:qFormat/>
    <w:rPr>
      <w:rFonts w:cs="OpenSymbol"/>
    </w:rPr>
  </w:style>
  <w:style w:type="character" w:customStyle="1" w:styleId="ListLabel1898">
    <w:name w:val="ListLabel 1898"/>
    <w:qFormat/>
    <w:rPr>
      <w:rFonts w:cs="OpenSymbol"/>
    </w:rPr>
  </w:style>
  <w:style w:type="character" w:customStyle="1" w:styleId="ListLabel1899">
    <w:name w:val="ListLabel 1899"/>
    <w:qFormat/>
    <w:rPr>
      <w:rFonts w:cs="OpenSymbol"/>
    </w:rPr>
  </w:style>
  <w:style w:type="character" w:customStyle="1" w:styleId="ListLabel1900">
    <w:name w:val="ListLabel 1900"/>
    <w:qFormat/>
    <w:rPr>
      <w:rFonts w:cs="OpenSymbol"/>
    </w:rPr>
  </w:style>
  <w:style w:type="character" w:customStyle="1" w:styleId="ListLabel1901">
    <w:name w:val="ListLabel 1901"/>
    <w:qFormat/>
    <w:rPr>
      <w:rFonts w:cs="OpenSymbol"/>
    </w:rPr>
  </w:style>
  <w:style w:type="character" w:customStyle="1" w:styleId="ListLabel1902">
    <w:name w:val="ListLabel 1902"/>
    <w:qFormat/>
    <w:rPr>
      <w:rFonts w:cs="OpenSymbol"/>
    </w:rPr>
  </w:style>
  <w:style w:type="character" w:customStyle="1" w:styleId="ListLabel1903">
    <w:name w:val="ListLabel 1903"/>
    <w:qFormat/>
    <w:rPr>
      <w:rFonts w:cs="OpenSymbol"/>
    </w:rPr>
  </w:style>
  <w:style w:type="character" w:customStyle="1" w:styleId="ListLabel1904">
    <w:name w:val="ListLabel 1904"/>
    <w:qFormat/>
    <w:rPr>
      <w:rFonts w:cs="OpenSymbol"/>
    </w:rPr>
  </w:style>
  <w:style w:type="character" w:customStyle="1" w:styleId="ListLabel1905">
    <w:name w:val="ListLabel 1905"/>
    <w:qFormat/>
    <w:rPr>
      <w:rFonts w:cs="OpenSymbol"/>
    </w:rPr>
  </w:style>
  <w:style w:type="character" w:customStyle="1" w:styleId="ListLabel1906">
    <w:name w:val="ListLabel 1906"/>
    <w:qFormat/>
    <w:rPr>
      <w:rFonts w:cs="OpenSymbol"/>
    </w:rPr>
  </w:style>
  <w:style w:type="character" w:customStyle="1" w:styleId="ListLabel1907">
    <w:name w:val="ListLabel 1907"/>
    <w:qFormat/>
    <w:rPr>
      <w:rFonts w:cs="OpenSymbol"/>
    </w:rPr>
  </w:style>
  <w:style w:type="character" w:customStyle="1" w:styleId="ListLabel1908">
    <w:name w:val="ListLabel 1908"/>
    <w:qFormat/>
    <w:rPr>
      <w:rFonts w:cs="OpenSymbol"/>
    </w:rPr>
  </w:style>
  <w:style w:type="character" w:customStyle="1" w:styleId="ListLabel1909">
    <w:name w:val="ListLabel 1909"/>
    <w:qFormat/>
    <w:rPr>
      <w:rFonts w:cs="OpenSymbol"/>
    </w:rPr>
  </w:style>
  <w:style w:type="character" w:customStyle="1" w:styleId="ListLabel1910">
    <w:name w:val="ListLabel 1910"/>
    <w:qFormat/>
    <w:rPr>
      <w:rFonts w:cs="OpenSymbol"/>
    </w:rPr>
  </w:style>
  <w:style w:type="character" w:customStyle="1" w:styleId="ListLabel1911">
    <w:name w:val="ListLabel 1911"/>
    <w:qFormat/>
    <w:rPr>
      <w:rFonts w:cs="OpenSymbol"/>
    </w:rPr>
  </w:style>
  <w:style w:type="character" w:customStyle="1" w:styleId="ListLabel1912">
    <w:name w:val="ListLabel 1912"/>
    <w:qFormat/>
    <w:rPr>
      <w:rFonts w:cs="OpenSymbol"/>
    </w:rPr>
  </w:style>
  <w:style w:type="character" w:customStyle="1" w:styleId="ListLabel1913">
    <w:name w:val="ListLabel 1913"/>
    <w:qFormat/>
    <w:rPr>
      <w:rFonts w:cs="OpenSymbol"/>
    </w:rPr>
  </w:style>
  <w:style w:type="character" w:customStyle="1" w:styleId="ListLabel1914">
    <w:name w:val="ListLabel 1914"/>
    <w:qFormat/>
    <w:rPr>
      <w:rFonts w:cs="OpenSymbol"/>
    </w:rPr>
  </w:style>
  <w:style w:type="character" w:customStyle="1" w:styleId="ListLabel1915">
    <w:name w:val="ListLabel 1915"/>
    <w:qFormat/>
    <w:rPr>
      <w:rFonts w:cs="OpenSymbol"/>
    </w:rPr>
  </w:style>
  <w:style w:type="character" w:customStyle="1" w:styleId="ListLabel1916">
    <w:name w:val="ListLabel 1916"/>
    <w:qFormat/>
    <w:rPr>
      <w:rFonts w:cs="OpenSymbol"/>
    </w:rPr>
  </w:style>
  <w:style w:type="character" w:customStyle="1" w:styleId="ListLabel1917">
    <w:name w:val="ListLabel 1917"/>
    <w:qFormat/>
    <w:rPr>
      <w:rFonts w:cs="OpenSymbol"/>
    </w:rPr>
  </w:style>
  <w:style w:type="character" w:customStyle="1" w:styleId="ListLabel1918">
    <w:name w:val="ListLabel 1918"/>
    <w:qFormat/>
    <w:rPr>
      <w:rFonts w:cs="OpenSymbol"/>
    </w:rPr>
  </w:style>
  <w:style w:type="character" w:customStyle="1" w:styleId="ListLabel1919">
    <w:name w:val="ListLabel 1919"/>
    <w:qFormat/>
    <w:rPr>
      <w:rFonts w:cs="OpenSymbol"/>
    </w:rPr>
  </w:style>
  <w:style w:type="character" w:customStyle="1" w:styleId="ListLabel1920">
    <w:name w:val="ListLabel 1920"/>
    <w:qFormat/>
    <w:rPr>
      <w:rFonts w:cs="OpenSymbol"/>
    </w:rPr>
  </w:style>
  <w:style w:type="character" w:customStyle="1" w:styleId="ListLabel1921">
    <w:name w:val="ListLabel 1921"/>
    <w:qFormat/>
    <w:rPr>
      <w:rFonts w:cs="OpenSymbol"/>
    </w:rPr>
  </w:style>
  <w:style w:type="character" w:customStyle="1" w:styleId="ListLabel1922">
    <w:name w:val="ListLabel 1922"/>
    <w:qFormat/>
    <w:rPr>
      <w:rFonts w:cs="OpenSymbol"/>
    </w:rPr>
  </w:style>
  <w:style w:type="character" w:customStyle="1" w:styleId="ListLabel1923">
    <w:name w:val="ListLabel 1923"/>
    <w:qFormat/>
    <w:rPr>
      <w:rFonts w:cs="OpenSymbol"/>
    </w:rPr>
  </w:style>
  <w:style w:type="character" w:customStyle="1" w:styleId="ListLabel1924">
    <w:name w:val="ListLabel 1924"/>
    <w:qFormat/>
    <w:rPr>
      <w:rFonts w:cs="OpenSymbol"/>
    </w:rPr>
  </w:style>
  <w:style w:type="character" w:customStyle="1" w:styleId="ListLabel1925">
    <w:name w:val="ListLabel 1925"/>
    <w:qFormat/>
    <w:rPr>
      <w:rFonts w:cs="OpenSymbol"/>
    </w:rPr>
  </w:style>
  <w:style w:type="character" w:customStyle="1" w:styleId="ListLabel1926">
    <w:name w:val="ListLabel 1926"/>
    <w:qFormat/>
    <w:rPr>
      <w:rFonts w:cs="OpenSymbol"/>
    </w:rPr>
  </w:style>
  <w:style w:type="character" w:customStyle="1" w:styleId="ListLabel1927">
    <w:name w:val="ListLabel 1927"/>
    <w:qFormat/>
    <w:rPr>
      <w:rFonts w:cs="OpenSymbol"/>
    </w:rPr>
  </w:style>
  <w:style w:type="character" w:customStyle="1" w:styleId="ListLabel1928">
    <w:name w:val="ListLabel 1928"/>
    <w:qFormat/>
    <w:rPr>
      <w:rFonts w:cs="OpenSymbol"/>
    </w:rPr>
  </w:style>
  <w:style w:type="character" w:customStyle="1" w:styleId="ListLabel1929">
    <w:name w:val="ListLabel 1929"/>
    <w:qFormat/>
    <w:rPr>
      <w:rFonts w:cs="OpenSymbol"/>
    </w:rPr>
  </w:style>
  <w:style w:type="character" w:customStyle="1" w:styleId="ListLabel1930">
    <w:name w:val="ListLabel 1930"/>
    <w:qFormat/>
    <w:rPr>
      <w:rFonts w:cs="OpenSymbol"/>
    </w:rPr>
  </w:style>
  <w:style w:type="character" w:customStyle="1" w:styleId="ListLabel1931">
    <w:name w:val="ListLabel 1931"/>
    <w:qFormat/>
    <w:rPr>
      <w:rFonts w:ascii="Source Sans Pro Web;Helvetica N" w:hAnsi="Source Sans Pro Web;Helvetica N" w:cs="OpenSymbol"/>
      <w:sz w:val="25"/>
    </w:rPr>
  </w:style>
  <w:style w:type="character" w:customStyle="1" w:styleId="ListLabel1932">
    <w:name w:val="ListLabel 1932"/>
    <w:qFormat/>
    <w:rPr>
      <w:rFonts w:cs="OpenSymbol"/>
    </w:rPr>
  </w:style>
  <w:style w:type="character" w:customStyle="1" w:styleId="ListLabel1933">
    <w:name w:val="ListLabel 1933"/>
    <w:qFormat/>
    <w:rPr>
      <w:rFonts w:cs="OpenSymbol"/>
    </w:rPr>
  </w:style>
  <w:style w:type="character" w:customStyle="1" w:styleId="ListLabel1934">
    <w:name w:val="ListLabel 1934"/>
    <w:qFormat/>
    <w:rPr>
      <w:rFonts w:cs="OpenSymbol"/>
    </w:rPr>
  </w:style>
  <w:style w:type="character" w:customStyle="1" w:styleId="ListLabel1935">
    <w:name w:val="ListLabel 1935"/>
    <w:qFormat/>
    <w:rPr>
      <w:rFonts w:cs="OpenSymbol"/>
    </w:rPr>
  </w:style>
  <w:style w:type="character" w:customStyle="1" w:styleId="ListLabel1936">
    <w:name w:val="ListLabel 1936"/>
    <w:qFormat/>
    <w:rPr>
      <w:rFonts w:cs="OpenSymbol"/>
    </w:rPr>
  </w:style>
  <w:style w:type="character" w:customStyle="1" w:styleId="ListLabel1937">
    <w:name w:val="ListLabel 1937"/>
    <w:qFormat/>
    <w:rPr>
      <w:rFonts w:cs="OpenSymbol"/>
    </w:rPr>
  </w:style>
  <w:style w:type="character" w:customStyle="1" w:styleId="ListLabel1938">
    <w:name w:val="ListLabel 1938"/>
    <w:qFormat/>
    <w:rPr>
      <w:rFonts w:cs="OpenSymbol"/>
    </w:rPr>
  </w:style>
  <w:style w:type="character" w:customStyle="1" w:styleId="ListLabel1939">
    <w:name w:val="ListLabel 1939"/>
    <w:qFormat/>
    <w:rPr>
      <w:rFonts w:cs="OpenSymbol"/>
    </w:rPr>
  </w:style>
  <w:style w:type="character" w:customStyle="1" w:styleId="ListLabel1940">
    <w:name w:val="ListLabel 1940"/>
    <w:qFormat/>
    <w:rPr>
      <w:rFonts w:cs="OpenSymbol"/>
    </w:rPr>
  </w:style>
  <w:style w:type="character" w:customStyle="1" w:styleId="ListLabel1941">
    <w:name w:val="ListLabel 1941"/>
    <w:qFormat/>
    <w:rPr>
      <w:rFonts w:cs="OpenSymbol"/>
    </w:rPr>
  </w:style>
  <w:style w:type="character" w:customStyle="1" w:styleId="ListLabel1942">
    <w:name w:val="ListLabel 1942"/>
    <w:qFormat/>
    <w:rPr>
      <w:rFonts w:cs="OpenSymbol"/>
    </w:rPr>
  </w:style>
  <w:style w:type="character" w:customStyle="1" w:styleId="ListLabel1943">
    <w:name w:val="ListLabel 1943"/>
    <w:qFormat/>
    <w:rPr>
      <w:rFonts w:cs="OpenSymbol"/>
    </w:rPr>
  </w:style>
  <w:style w:type="character" w:customStyle="1" w:styleId="ListLabel1944">
    <w:name w:val="ListLabel 1944"/>
    <w:qFormat/>
    <w:rPr>
      <w:rFonts w:cs="OpenSymbol"/>
    </w:rPr>
  </w:style>
  <w:style w:type="character" w:customStyle="1" w:styleId="ListLabel1945">
    <w:name w:val="ListLabel 1945"/>
    <w:qFormat/>
    <w:rPr>
      <w:rFonts w:cs="OpenSymbol"/>
    </w:rPr>
  </w:style>
  <w:style w:type="character" w:customStyle="1" w:styleId="ListLabel1946">
    <w:name w:val="ListLabel 1946"/>
    <w:qFormat/>
    <w:rPr>
      <w:rFonts w:cs="OpenSymbol"/>
    </w:rPr>
  </w:style>
  <w:style w:type="character" w:customStyle="1" w:styleId="ListLabel1947">
    <w:name w:val="ListLabel 1947"/>
    <w:qFormat/>
    <w:rPr>
      <w:rFonts w:cs="OpenSymbol"/>
    </w:rPr>
  </w:style>
  <w:style w:type="character" w:customStyle="1" w:styleId="ListLabel1948">
    <w:name w:val="ListLabel 1948"/>
    <w:qFormat/>
    <w:rPr>
      <w:rFonts w:cs="OpenSymbol"/>
    </w:rPr>
  </w:style>
  <w:style w:type="character" w:customStyle="1" w:styleId="ListLabel1949">
    <w:name w:val="ListLabel 1949"/>
    <w:qFormat/>
    <w:rPr>
      <w:rFonts w:cs="OpenSymbol"/>
    </w:rPr>
  </w:style>
  <w:style w:type="character" w:customStyle="1" w:styleId="ListLabel1950">
    <w:name w:val="ListLabel 1950"/>
    <w:qFormat/>
    <w:rPr>
      <w:rFonts w:cs="OpenSymbol"/>
    </w:rPr>
  </w:style>
  <w:style w:type="character" w:customStyle="1" w:styleId="ListLabel1951">
    <w:name w:val="ListLabel 1951"/>
    <w:qFormat/>
    <w:rPr>
      <w:rFonts w:cs="OpenSymbol"/>
    </w:rPr>
  </w:style>
  <w:style w:type="character" w:customStyle="1" w:styleId="ListLabel1952">
    <w:name w:val="ListLabel 1952"/>
    <w:qFormat/>
    <w:rPr>
      <w:rFonts w:cs="OpenSymbol"/>
    </w:rPr>
  </w:style>
  <w:style w:type="character" w:customStyle="1" w:styleId="ListLabel1953">
    <w:name w:val="ListLabel 1953"/>
    <w:qFormat/>
    <w:rPr>
      <w:rFonts w:cs="OpenSymbol"/>
    </w:rPr>
  </w:style>
  <w:style w:type="character" w:customStyle="1" w:styleId="ListLabel1954">
    <w:name w:val="ListLabel 1954"/>
    <w:qFormat/>
    <w:rPr>
      <w:rFonts w:cs="OpenSymbol"/>
    </w:rPr>
  </w:style>
  <w:style w:type="character" w:customStyle="1" w:styleId="ListLabel1955">
    <w:name w:val="ListLabel 1955"/>
    <w:qFormat/>
    <w:rPr>
      <w:rFonts w:cs="OpenSymbol"/>
    </w:rPr>
  </w:style>
  <w:style w:type="character" w:customStyle="1" w:styleId="ListLabel1956">
    <w:name w:val="ListLabel 1956"/>
    <w:qFormat/>
    <w:rPr>
      <w:rFonts w:cs="OpenSymbol"/>
    </w:rPr>
  </w:style>
  <w:style w:type="character" w:customStyle="1" w:styleId="ListLabel1957">
    <w:name w:val="ListLabel 1957"/>
    <w:qFormat/>
    <w:rPr>
      <w:rFonts w:cs="OpenSymbol"/>
    </w:rPr>
  </w:style>
  <w:style w:type="character" w:customStyle="1" w:styleId="ListLabel1958">
    <w:name w:val="ListLabel 1958"/>
    <w:qFormat/>
    <w:rPr>
      <w:rFonts w:eastAsia="Calibri"/>
      <w:color w:val="000000"/>
      <w:sz w:val="28"/>
      <w:u w:val="none"/>
    </w:rPr>
  </w:style>
  <w:style w:type="character" w:customStyle="1" w:styleId="ListLabel1959">
    <w:name w:val="ListLabel 1959"/>
    <w:qFormat/>
    <w:rPr>
      <w:rFonts w:eastAsia="Calibri"/>
      <w:color w:val="000000"/>
      <w:sz w:val="28"/>
      <w:u w:val="none"/>
      <w:lang w:val="en-US"/>
    </w:rPr>
  </w:style>
  <w:style w:type="character" w:customStyle="1" w:styleId="ListLabel1960">
    <w:name w:val="ListLabel 1960"/>
    <w:qFormat/>
    <w:rPr>
      <w:rFonts w:eastAsia="Calibri"/>
      <w:color w:val="000000"/>
      <w:sz w:val="28"/>
      <w:u w:val="none"/>
      <w:lang w:val="uk-UA"/>
    </w:rPr>
  </w:style>
  <w:style w:type="character" w:customStyle="1" w:styleId="ListLabel1961">
    <w:name w:val="ListLabel 1961"/>
    <w:qFormat/>
    <w:rPr>
      <w:color w:val="000000"/>
      <w:sz w:val="28"/>
      <w:u w:val="none"/>
    </w:rPr>
  </w:style>
  <w:style w:type="character" w:customStyle="1" w:styleId="ListLabel1962">
    <w:name w:val="ListLabel 1962"/>
    <w:qFormat/>
    <w:rPr>
      <w:rFonts w:eastAsia="Calibri"/>
      <w:color w:val="C9211E"/>
      <w:sz w:val="28"/>
    </w:rPr>
  </w:style>
  <w:style w:type="character" w:customStyle="1" w:styleId="ListLabel1963">
    <w:name w:val="ListLabel 1963"/>
    <w:qFormat/>
    <w:rPr>
      <w:rFonts w:eastAsia="Calibri" w:cs="Times New Roman"/>
      <w:b/>
      <w:bCs/>
      <w:kern w:val="2"/>
      <w:sz w:val="28"/>
      <w:szCs w:val="28"/>
      <w:lang w:val="uk-UA" w:eastAsia="ru-RU"/>
    </w:rPr>
  </w:style>
  <w:style w:type="character" w:customStyle="1" w:styleId="ListLabel1964">
    <w:name w:val="ListLabel 1964"/>
    <w:qFormat/>
    <w:rPr>
      <w:rFonts w:eastAsia="Calibri"/>
      <w:b/>
      <w:bCs/>
      <w:color w:val="000000"/>
      <w:sz w:val="28"/>
      <w:u w:val="none"/>
      <w:lang w:val="en-US"/>
    </w:rPr>
  </w:style>
  <w:style w:type="character" w:customStyle="1" w:styleId="ListLabel1965">
    <w:name w:val="ListLabel 1965"/>
    <w:qFormat/>
    <w:rPr>
      <w:b w:val="0"/>
      <w:bCs w:val="0"/>
      <w:color w:val="FF8000"/>
      <w:sz w:val="28"/>
      <w:szCs w:val="28"/>
      <w:highlight w:val="yellow"/>
      <w:lang w:val="ru-RU"/>
    </w:rPr>
  </w:style>
  <w:style w:type="character" w:customStyle="1" w:styleId="ListLabel1966">
    <w:name w:val="ListLabel 1966"/>
    <w:qFormat/>
    <w:rPr>
      <w:b w:val="0"/>
      <w:bCs w:val="0"/>
      <w:i w:val="0"/>
      <w:caps w:val="0"/>
      <w:smallCaps w:val="0"/>
      <w:color w:val="158466"/>
      <w:spacing w:val="0"/>
      <w:sz w:val="28"/>
      <w:szCs w:val="28"/>
      <w:highlight w:val="yellow"/>
      <w:lang w:val="uk-UA"/>
    </w:rPr>
  </w:style>
  <w:style w:type="character" w:customStyle="1" w:styleId="ListLabel1967">
    <w:name w:val="ListLabel 1967"/>
    <w:qFormat/>
    <w:rPr>
      <w:rFonts w:eastAsia="Times New Roman" w:cs="Times New Roman"/>
      <w:b w:val="0"/>
      <w:bCs w:val="0"/>
      <w:i w:val="0"/>
      <w:caps w:val="0"/>
      <w:smallCaps w:val="0"/>
      <w:strike w:val="0"/>
      <w:dstrike w:val="0"/>
      <w:color w:val="000000"/>
      <w:spacing w:val="0"/>
      <w:kern w:val="2"/>
      <w:sz w:val="28"/>
      <w:szCs w:val="28"/>
      <w:highlight w:val="yellow"/>
      <w:u w:val="none"/>
      <w:effect w:val="none"/>
      <w:lang w:val="uk-UA"/>
    </w:rPr>
  </w:style>
  <w:style w:type="character" w:customStyle="1" w:styleId="ListLabel1968">
    <w:name w:val="ListLabel 1968"/>
    <w:qFormat/>
    <w:rPr>
      <w:rFonts w:eastAsia="Times New Roman" w:cs="Times New Roman"/>
      <w:b w:val="0"/>
      <w:bCs w:val="0"/>
      <w:i w:val="0"/>
      <w:caps w:val="0"/>
      <w:smallCaps w:val="0"/>
      <w:strike w:val="0"/>
      <w:dstrike w:val="0"/>
      <w:color w:val="2C2C2C"/>
      <w:spacing w:val="0"/>
      <w:kern w:val="2"/>
      <w:sz w:val="28"/>
      <w:szCs w:val="28"/>
      <w:highlight w:val="yellow"/>
      <w:u w:val="none"/>
      <w:effect w:val="none"/>
      <w:lang w:val="en-US"/>
    </w:rPr>
  </w:style>
  <w:style w:type="character" w:customStyle="1" w:styleId="ListLabel1969">
    <w:name w:val="ListLabel 1969"/>
    <w:qFormat/>
    <w:rPr>
      <w:b w:val="0"/>
      <w:i w:val="0"/>
      <w:caps w:val="0"/>
      <w:smallCaps w:val="0"/>
      <w:strike/>
      <w:color w:val="FF8000"/>
      <w:spacing w:val="0"/>
      <w:sz w:val="28"/>
      <w:szCs w:val="28"/>
      <w:u w:val="single"/>
    </w:rPr>
  </w:style>
  <w:style w:type="character" w:customStyle="1" w:styleId="ListLabel1970">
    <w:name w:val="ListLabel 1970"/>
    <w:qFormat/>
    <w:rPr>
      <w:b w:val="0"/>
      <w:strike w:val="0"/>
      <w:dstrike w:val="0"/>
      <w:color w:val="FF8000"/>
      <w:sz w:val="28"/>
      <w:szCs w:val="28"/>
      <w:highlight w:val="darkBlue"/>
      <w:u w:val="none"/>
      <w:effect w:val="none"/>
    </w:rPr>
  </w:style>
  <w:style w:type="character" w:customStyle="1" w:styleId="ListLabel1971">
    <w:name w:val="ListLabel 1971"/>
    <w:qFormat/>
    <w:rPr>
      <w:b w:val="0"/>
      <w:i w:val="0"/>
      <w:caps w:val="0"/>
      <w:smallCaps w:val="0"/>
      <w:color w:val="FF8000"/>
      <w:spacing w:val="0"/>
      <w:sz w:val="28"/>
      <w:szCs w:val="28"/>
      <w:u w:val="single"/>
    </w:rPr>
  </w:style>
  <w:style w:type="character" w:customStyle="1" w:styleId="ListLabel1972">
    <w:name w:val="ListLabel 1972"/>
    <w:qFormat/>
    <w:rPr>
      <w:rFonts w:cs="Arial"/>
      <w:color w:val="FF8000"/>
      <w:sz w:val="28"/>
      <w:szCs w:val="28"/>
      <w:highlight w:val="yellow"/>
    </w:rPr>
  </w:style>
  <w:style w:type="character" w:customStyle="1" w:styleId="ListLabel1973">
    <w:name w:val="ListLabel 1973"/>
    <w:qFormat/>
    <w:rPr>
      <w:rFonts w:cs="Arial"/>
      <w:color w:val="FF8000"/>
    </w:rPr>
  </w:style>
  <w:style w:type="character" w:customStyle="1" w:styleId="ListLabel1974">
    <w:name w:val="ListLabel 1974"/>
    <w:qFormat/>
  </w:style>
  <w:style w:type="character" w:customStyle="1" w:styleId="ListLabel1975">
    <w:name w:val="ListLabel 1975"/>
    <w:qFormat/>
  </w:style>
  <w:style w:type="character" w:customStyle="1" w:styleId="ListLabel1976">
    <w:name w:val="ListLabel 1976"/>
    <w:qFormat/>
    <w:rPr>
      <w:rFonts w:ascii="Source Sans Pro Web;Helvetica N" w:hAnsi="Source Sans Pro Web;Helvetica N"/>
      <w:color w:val="005EA2"/>
      <w:spacing w:val="0"/>
      <w:sz w:val="25"/>
      <w:u w:val="single"/>
    </w:rPr>
  </w:style>
  <w:style w:type="character" w:customStyle="1" w:styleId="ListLabel1977">
    <w:name w:val="ListLabel 1977"/>
    <w:qFormat/>
    <w:rPr>
      <w:rFonts w:ascii="Source Sans Pro Web;Helvetica N" w:hAnsi="Source Sans Pro Web;Helvetica N"/>
      <w:color w:val="005EA2"/>
      <w:spacing w:val="0"/>
      <w:sz w:val="25"/>
      <w:u w:val="single"/>
      <w:bdr w:val="single" w:sz="2" w:space="11" w:color="EAC2AE"/>
    </w:rPr>
  </w:style>
  <w:style w:type="character" w:customStyle="1" w:styleId="ListLabel1978">
    <w:name w:val="ListLabel 1978"/>
    <w:qFormat/>
    <w:rPr>
      <w:color w:val="005EA2"/>
      <w:u w:val="single"/>
    </w:rPr>
  </w:style>
  <w:style w:type="character" w:customStyle="1" w:styleId="ListLabel1979">
    <w:name w:val="ListLabel 1979"/>
    <w:qFormat/>
    <w:rPr>
      <w:rFonts w:ascii="Source Sans Pro Web;Helvetica N" w:hAnsi="Source Sans Pro Web;Helvetica N"/>
      <w:color w:val="005EA2"/>
      <w:spacing w:val="0"/>
      <w:u w:val="single"/>
    </w:rPr>
  </w:style>
  <w:style w:type="character" w:customStyle="1" w:styleId="ListLabel1980">
    <w:name w:val="ListLabel 1980"/>
    <w:qFormat/>
    <w:rPr>
      <w:b w:val="0"/>
      <w:i w:val="0"/>
      <w:caps w:val="0"/>
      <w:smallCaps w:val="0"/>
      <w:color w:val="FF8000"/>
      <w:spacing w:val="0"/>
      <w:sz w:val="28"/>
      <w:szCs w:val="28"/>
      <w:u w:val="none"/>
    </w:rPr>
  </w:style>
  <w:style w:type="character" w:customStyle="1" w:styleId="ListLabel1981">
    <w:name w:val="ListLabel 1981"/>
    <w:qFormat/>
    <w:rPr>
      <w:rFonts w:eastAsia="Times New Roman" w:cs="Arial"/>
      <w:b w:val="0"/>
      <w:bCs/>
      <w:i w:val="0"/>
      <w:caps w:val="0"/>
      <w:smallCaps w:val="0"/>
      <w:strike w:val="0"/>
      <w:dstrike w:val="0"/>
      <w:color w:val="FF8000"/>
      <w:spacing w:val="0"/>
      <w:kern w:val="2"/>
      <w:sz w:val="28"/>
      <w:szCs w:val="28"/>
      <w:highlight w:val="yellow"/>
      <w:effect w:val="none"/>
    </w:rPr>
  </w:style>
  <w:style w:type="character" w:customStyle="1" w:styleId="ListLabel1982">
    <w:name w:val="ListLabel 1982"/>
    <w:qFormat/>
    <w:rPr>
      <w:rFonts w:eastAsia="Times New Roman" w:cs="Times New Roman"/>
      <w:b w:val="0"/>
      <w:bCs w:val="0"/>
      <w:i w:val="0"/>
      <w:caps w:val="0"/>
      <w:smallCaps w:val="0"/>
      <w:strike w:val="0"/>
      <w:dstrike w:val="0"/>
      <w:color w:val="3366CC"/>
      <w:spacing w:val="0"/>
      <w:kern w:val="2"/>
      <w:sz w:val="28"/>
      <w:szCs w:val="28"/>
      <w:highlight w:val="white"/>
      <w:u w:val="none"/>
      <w:effect w:val="none"/>
      <w:lang w:val="uk-UA" w:eastAsia="ru-RU"/>
    </w:rPr>
  </w:style>
  <w:style w:type="character" w:customStyle="1" w:styleId="ListLabel1983">
    <w:name w:val="ListLabel 1983"/>
    <w:qFormat/>
    <w:rPr>
      <w:sz w:val="28"/>
      <w:szCs w:val="28"/>
      <w:lang w:val="uk-UA"/>
    </w:rPr>
  </w:style>
  <w:style w:type="character" w:customStyle="1" w:styleId="ListLabel1984">
    <w:name w:val="ListLabel 1984"/>
    <w:qFormat/>
    <w:rPr>
      <w:b/>
      <w:bCs/>
      <w:color w:val="FF8000"/>
      <w:sz w:val="28"/>
      <w:szCs w:val="28"/>
      <w:highlight w:val="yellow"/>
      <w:lang w:val="ru-RU"/>
    </w:rPr>
  </w:style>
  <w:style w:type="character" w:customStyle="1" w:styleId="ListLabel1985">
    <w:name w:val="ListLabel 1985"/>
    <w:qFormat/>
    <w:rPr>
      <w:rFonts w:cs="OpenSymbol"/>
      <w:b w:val="0"/>
      <w:sz w:val="28"/>
    </w:rPr>
  </w:style>
  <w:style w:type="character" w:customStyle="1" w:styleId="ListLabel1986">
    <w:name w:val="ListLabel 1986"/>
    <w:qFormat/>
    <w:rPr>
      <w:rFonts w:cs="OpenSymbol"/>
    </w:rPr>
  </w:style>
  <w:style w:type="character" w:customStyle="1" w:styleId="ListLabel1987">
    <w:name w:val="ListLabel 1987"/>
    <w:qFormat/>
    <w:rPr>
      <w:rFonts w:cs="OpenSymbol"/>
    </w:rPr>
  </w:style>
  <w:style w:type="character" w:customStyle="1" w:styleId="ListLabel1988">
    <w:name w:val="ListLabel 1988"/>
    <w:qFormat/>
    <w:rPr>
      <w:rFonts w:cs="OpenSymbol"/>
    </w:rPr>
  </w:style>
  <w:style w:type="character" w:customStyle="1" w:styleId="ListLabel1989">
    <w:name w:val="ListLabel 1989"/>
    <w:qFormat/>
    <w:rPr>
      <w:rFonts w:cs="OpenSymbol"/>
    </w:rPr>
  </w:style>
  <w:style w:type="character" w:customStyle="1" w:styleId="ListLabel1990">
    <w:name w:val="ListLabel 1990"/>
    <w:qFormat/>
    <w:rPr>
      <w:rFonts w:cs="OpenSymbol"/>
    </w:rPr>
  </w:style>
  <w:style w:type="character" w:customStyle="1" w:styleId="ListLabel1991">
    <w:name w:val="ListLabel 1991"/>
    <w:qFormat/>
    <w:rPr>
      <w:rFonts w:cs="OpenSymbol"/>
    </w:rPr>
  </w:style>
  <w:style w:type="character" w:customStyle="1" w:styleId="ListLabel1992">
    <w:name w:val="ListLabel 1992"/>
    <w:qFormat/>
    <w:rPr>
      <w:rFonts w:cs="OpenSymbol"/>
    </w:rPr>
  </w:style>
  <w:style w:type="character" w:customStyle="1" w:styleId="ListLabel1993">
    <w:name w:val="ListLabel 1993"/>
    <w:qFormat/>
    <w:rPr>
      <w:rFonts w:cs="OpenSymbol"/>
    </w:rPr>
  </w:style>
  <w:style w:type="character" w:customStyle="1" w:styleId="ListLabel1994">
    <w:name w:val="ListLabel 1994"/>
    <w:qFormat/>
    <w:rPr>
      <w:rFonts w:cs="OpenSymbol"/>
      <w:b w:val="0"/>
      <w:sz w:val="28"/>
    </w:rPr>
  </w:style>
  <w:style w:type="character" w:customStyle="1" w:styleId="ListLabel1995">
    <w:name w:val="ListLabel 1995"/>
    <w:qFormat/>
    <w:rPr>
      <w:rFonts w:cs="OpenSymbol"/>
    </w:rPr>
  </w:style>
  <w:style w:type="character" w:customStyle="1" w:styleId="ListLabel1996">
    <w:name w:val="ListLabel 1996"/>
    <w:qFormat/>
    <w:rPr>
      <w:rFonts w:cs="OpenSymbol"/>
    </w:rPr>
  </w:style>
  <w:style w:type="character" w:customStyle="1" w:styleId="ListLabel1997">
    <w:name w:val="ListLabel 1997"/>
    <w:qFormat/>
    <w:rPr>
      <w:rFonts w:cs="OpenSymbol"/>
    </w:rPr>
  </w:style>
  <w:style w:type="character" w:customStyle="1" w:styleId="ListLabel1998">
    <w:name w:val="ListLabel 1998"/>
    <w:qFormat/>
    <w:rPr>
      <w:rFonts w:cs="OpenSymbol"/>
    </w:rPr>
  </w:style>
  <w:style w:type="character" w:customStyle="1" w:styleId="ListLabel1999">
    <w:name w:val="ListLabel 1999"/>
    <w:qFormat/>
    <w:rPr>
      <w:rFonts w:cs="OpenSymbol"/>
    </w:rPr>
  </w:style>
  <w:style w:type="character" w:customStyle="1" w:styleId="ListLabel2000">
    <w:name w:val="ListLabel 2000"/>
    <w:qFormat/>
    <w:rPr>
      <w:rFonts w:cs="OpenSymbol"/>
    </w:rPr>
  </w:style>
  <w:style w:type="character" w:customStyle="1" w:styleId="ListLabel2001">
    <w:name w:val="ListLabel 2001"/>
    <w:qFormat/>
    <w:rPr>
      <w:rFonts w:cs="OpenSymbol"/>
    </w:rPr>
  </w:style>
  <w:style w:type="character" w:customStyle="1" w:styleId="ListLabel2002">
    <w:name w:val="ListLabel 2002"/>
    <w:qFormat/>
    <w:rPr>
      <w:rFonts w:cs="OpenSymbol"/>
    </w:rPr>
  </w:style>
  <w:style w:type="character" w:customStyle="1" w:styleId="ListLabel2003">
    <w:name w:val="ListLabel 2003"/>
    <w:qFormat/>
    <w:rPr>
      <w:rFonts w:cs="OpenSymbol"/>
      <w:b w:val="0"/>
      <w:sz w:val="28"/>
    </w:rPr>
  </w:style>
  <w:style w:type="character" w:customStyle="1" w:styleId="ListLabel2004">
    <w:name w:val="ListLabel 2004"/>
    <w:qFormat/>
    <w:rPr>
      <w:rFonts w:cs="OpenSymbol"/>
    </w:rPr>
  </w:style>
  <w:style w:type="character" w:customStyle="1" w:styleId="ListLabel2005">
    <w:name w:val="ListLabel 2005"/>
    <w:qFormat/>
    <w:rPr>
      <w:rFonts w:cs="OpenSymbol"/>
    </w:rPr>
  </w:style>
  <w:style w:type="character" w:customStyle="1" w:styleId="ListLabel2006">
    <w:name w:val="ListLabel 2006"/>
    <w:qFormat/>
    <w:rPr>
      <w:rFonts w:cs="OpenSymbol"/>
    </w:rPr>
  </w:style>
  <w:style w:type="character" w:customStyle="1" w:styleId="ListLabel2007">
    <w:name w:val="ListLabel 2007"/>
    <w:qFormat/>
    <w:rPr>
      <w:rFonts w:cs="OpenSymbol"/>
    </w:rPr>
  </w:style>
  <w:style w:type="character" w:customStyle="1" w:styleId="ListLabel2008">
    <w:name w:val="ListLabel 2008"/>
    <w:qFormat/>
    <w:rPr>
      <w:rFonts w:cs="OpenSymbol"/>
    </w:rPr>
  </w:style>
  <w:style w:type="character" w:customStyle="1" w:styleId="ListLabel2009">
    <w:name w:val="ListLabel 2009"/>
    <w:qFormat/>
    <w:rPr>
      <w:rFonts w:cs="OpenSymbol"/>
    </w:rPr>
  </w:style>
  <w:style w:type="character" w:customStyle="1" w:styleId="ListLabel2010">
    <w:name w:val="ListLabel 2010"/>
    <w:qFormat/>
    <w:rPr>
      <w:rFonts w:cs="OpenSymbol"/>
    </w:rPr>
  </w:style>
  <w:style w:type="character" w:customStyle="1" w:styleId="ListLabel2011">
    <w:name w:val="ListLabel 2011"/>
    <w:qFormat/>
    <w:rPr>
      <w:rFonts w:cs="OpenSymbol"/>
    </w:rPr>
  </w:style>
  <w:style w:type="character" w:customStyle="1" w:styleId="ListLabel2012">
    <w:name w:val="ListLabel 2012"/>
    <w:qFormat/>
    <w:rPr>
      <w:rFonts w:cs="OpenSymbol"/>
    </w:rPr>
  </w:style>
  <w:style w:type="character" w:customStyle="1" w:styleId="ListLabel2013">
    <w:name w:val="ListLabel 2013"/>
    <w:qFormat/>
    <w:rPr>
      <w:rFonts w:cs="OpenSymbol"/>
    </w:rPr>
  </w:style>
  <w:style w:type="character" w:customStyle="1" w:styleId="ListLabel2014">
    <w:name w:val="ListLabel 2014"/>
    <w:qFormat/>
    <w:rPr>
      <w:rFonts w:cs="OpenSymbol"/>
    </w:rPr>
  </w:style>
  <w:style w:type="character" w:customStyle="1" w:styleId="ListLabel2015">
    <w:name w:val="ListLabel 2015"/>
    <w:qFormat/>
    <w:rPr>
      <w:rFonts w:cs="OpenSymbol"/>
    </w:rPr>
  </w:style>
  <w:style w:type="character" w:customStyle="1" w:styleId="ListLabel2016">
    <w:name w:val="ListLabel 2016"/>
    <w:qFormat/>
    <w:rPr>
      <w:rFonts w:cs="OpenSymbol"/>
    </w:rPr>
  </w:style>
  <w:style w:type="character" w:customStyle="1" w:styleId="ListLabel2017">
    <w:name w:val="ListLabel 2017"/>
    <w:qFormat/>
    <w:rPr>
      <w:rFonts w:cs="OpenSymbol"/>
    </w:rPr>
  </w:style>
  <w:style w:type="character" w:customStyle="1" w:styleId="ListLabel2018">
    <w:name w:val="ListLabel 2018"/>
    <w:qFormat/>
    <w:rPr>
      <w:rFonts w:cs="OpenSymbol"/>
    </w:rPr>
  </w:style>
  <w:style w:type="character" w:customStyle="1" w:styleId="ListLabel2019">
    <w:name w:val="ListLabel 2019"/>
    <w:qFormat/>
    <w:rPr>
      <w:rFonts w:cs="OpenSymbol"/>
    </w:rPr>
  </w:style>
  <w:style w:type="character" w:customStyle="1" w:styleId="ListLabel2020">
    <w:name w:val="ListLabel 2020"/>
    <w:qFormat/>
    <w:rPr>
      <w:rFonts w:cs="OpenSymbol"/>
    </w:rPr>
  </w:style>
  <w:style w:type="character" w:customStyle="1" w:styleId="ListLabel2021">
    <w:name w:val="ListLabel 2021"/>
    <w:qFormat/>
    <w:rPr>
      <w:rFonts w:cs="OpenSymbol"/>
    </w:rPr>
  </w:style>
  <w:style w:type="character" w:customStyle="1" w:styleId="ListLabel2022">
    <w:name w:val="ListLabel 2022"/>
    <w:qFormat/>
    <w:rPr>
      <w:rFonts w:cs="OpenSymbol"/>
    </w:rPr>
  </w:style>
  <w:style w:type="character" w:customStyle="1" w:styleId="ListLabel2023">
    <w:name w:val="ListLabel 2023"/>
    <w:qFormat/>
    <w:rPr>
      <w:rFonts w:cs="OpenSymbol"/>
    </w:rPr>
  </w:style>
  <w:style w:type="character" w:customStyle="1" w:styleId="ListLabel2024">
    <w:name w:val="ListLabel 2024"/>
    <w:qFormat/>
    <w:rPr>
      <w:rFonts w:cs="OpenSymbol"/>
    </w:rPr>
  </w:style>
  <w:style w:type="character" w:customStyle="1" w:styleId="ListLabel2025">
    <w:name w:val="ListLabel 2025"/>
    <w:qFormat/>
    <w:rPr>
      <w:rFonts w:cs="OpenSymbol"/>
    </w:rPr>
  </w:style>
  <w:style w:type="character" w:customStyle="1" w:styleId="ListLabel2026">
    <w:name w:val="ListLabel 2026"/>
    <w:qFormat/>
    <w:rPr>
      <w:rFonts w:cs="OpenSymbol"/>
    </w:rPr>
  </w:style>
  <w:style w:type="character" w:customStyle="1" w:styleId="ListLabel2027">
    <w:name w:val="ListLabel 2027"/>
    <w:qFormat/>
    <w:rPr>
      <w:rFonts w:cs="OpenSymbol"/>
    </w:rPr>
  </w:style>
  <w:style w:type="character" w:customStyle="1" w:styleId="ListLabel2028">
    <w:name w:val="ListLabel 2028"/>
    <w:qFormat/>
    <w:rPr>
      <w:rFonts w:cs="OpenSymbol"/>
    </w:rPr>
  </w:style>
  <w:style w:type="character" w:customStyle="1" w:styleId="ListLabel2029">
    <w:name w:val="ListLabel 2029"/>
    <w:qFormat/>
    <w:rPr>
      <w:rFonts w:cs="OpenSymbol"/>
    </w:rPr>
  </w:style>
  <w:style w:type="character" w:customStyle="1" w:styleId="ListLabel2030">
    <w:name w:val="ListLabel 2030"/>
    <w:qFormat/>
    <w:rPr>
      <w:rFonts w:cs="OpenSymbol"/>
    </w:rPr>
  </w:style>
  <w:style w:type="character" w:customStyle="1" w:styleId="ListLabel2031">
    <w:name w:val="ListLabel 2031"/>
    <w:qFormat/>
    <w:rPr>
      <w:rFonts w:cs="OpenSymbol"/>
    </w:rPr>
  </w:style>
  <w:style w:type="character" w:customStyle="1" w:styleId="ListLabel2032">
    <w:name w:val="ListLabel 2032"/>
    <w:qFormat/>
    <w:rPr>
      <w:rFonts w:cs="OpenSymbol"/>
    </w:rPr>
  </w:style>
  <w:style w:type="character" w:customStyle="1" w:styleId="ListLabel2033">
    <w:name w:val="ListLabel 2033"/>
    <w:qFormat/>
    <w:rPr>
      <w:rFonts w:cs="OpenSymbol"/>
    </w:rPr>
  </w:style>
  <w:style w:type="character" w:customStyle="1" w:styleId="ListLabel2034">
    <w:name w:val="ListLabel 2034"/>
    <w:qFormat/>
    <w:rPr>
      <w:rFonts w:cs="OpenSymbol"/>
    </w:rPr>
  </w:style>
  <w:style w:type="character" w:customStyle="1" w:styleId="ListLabel2035">
    <w:name w:val="ListLabel 2035"/>
    <w:qFormat/>
    <w:rPr>
      <w:rFonts w:cs="OpenSymbol"/>
    </w:rPr>
  </w:style>
  <w:style w:type="character" w:customStyle="1" w:styleId="ListLabel2036">
    <w:name w:val="ListLabel 2036"/>
    <w:qFormat/>
    <w:rPr>
      <w:rFonts w:cs="OpenSymbol"/>
    </w:rPr>
  </w:style>
  <w:style w:type="character" w:customStyle="1" w:styleId="ListLabel2037">
    <w:name w:val="ListLabel 2037"/>
    <w:qFormat/>
    <w:rPr>
      <w:rFonts w:cs="OpenSymbol"/>
    </w:rPr>
  </w:style>
  <w:style w:type="character" w:customStyle="1" w:styleId="ListLabel2038">
    <w:name w:val="ListLabel 2038"/>
    <w:qFormat/>
    <w:rPr>
      <w:rFonts w:cs="OpenSymbol"/>
    </w:rPr>
  </w:style>
  <w:style w:type="character" w:customStyle="1" w:styleId="ListLabel2039">
    <w:name w:val="ListLabel 2039"/>
    <w:qFormat/>
    <w:rPr>
      <w:rFonts w:cs="OpenSymbol"/>
    </w:rPr>
  </w:style>
  <w:style w:type="character" w:customStyle="1" w:styleId="ListLabel2040">
    <w:name w:val="ListLabel 2040"/>
    <w:qFormat/>
    <w:rPr>
      <w:rFonts w:cs="OpenSymbol"/>
    </w:rPr>
  </w:style>
  <w:style w:type="character" w:customStyle="1" w:styleId="ListLabel2041">
    <w:name w:val="ListLabel 2041"/>
    <w:qFormat/>
    <w:rPr>
      <w:rFonts w:cs="OpenSymbol"/>
    </w:rPr>
  </w:style>
  <w:style w:type="character" w:customStyle="1" w:styleId="ListLabel2042">
    <w:name w:val="ListLabel 2042"/>
    <w:qFormat/>
    <w:rPr>
      <w:rFonts w:cs="OpenSymbol"/>
    </w:rPr>
  </w:style>
  <w:style w:type="character" w:customStyle="1" w:styleId="ListLabel2043">
    <w:name w:val="ListLabel 2043"/>
    <w:qFormat/>
    <w:rPr>
      <w:rFonts w:cs="OpenSymbol"/>
    </w:rPr>
  </w:style>
  <w:style w:type="character" w:customStyle="1" w:styleId="ListLabel2044">
    <w:name w:val="ListLabel 2044"/>
    <w:qFormat/>
    <w:rPr>
      <w:rFonts w:cs="OpenSymbol"/>
    </w:rPr>
  </w:style>
  <w:style w:type="character" w:customStyle="1" w:styleId="ListLabel2045">
    <w:name w:val="ListLabel 2045"/>
    <w:qFormat/>
    <w:rPr>
      <w:rFonts w:cs="OpenSymbol"/>
    </w:rPr>
  </w:style>
  <w:style w:type="character" w:customStyle="1" w:styleId="ListLabel2046">
    <w:name w:val="ListLabel 2046"/>
    <w:qFormat/>
    <w:rPr>
      <w:rFonts w:cs="OpenSymbol"/>
    </w:rPr>
  </w:style>
  <w:style w:type="character" w:customStyle="1" w:styleId="ListLabel2047">
    <w:name w:val="ListLabel 2047"/>
    <w:qFormat/>
    <w:rPr>
      <w:rFonts w:cs="OpenSymbol"/>
    </w:rPr>
  </w:style>
  <w:style w:type="character" w:customStyle="1" w:styleId="ListLabel2048">
    <w:name w:val="ListLabel 2048"/>
    <w:qFormat/>
    <w:rPr>
      <w:rFonts w:cs="OpenSymbol"/>
    </w:rPr>
  </w:style>
  <w:style w:type="character" w:customStyle="1" w:styleId="ListLabel2049">
    <w:name w:val="ListLabel 2049"/>
    <w:qFormat/>
    <w:rPr>
      <w:rFonts w:cs="OpenSymbol"/>
    </w:rPr>
  </w:style>
  <w:style w:type="character" w:customStyle="1" w:styleId="ListLabel2050">
    <w:name w:val="ListLabel 2050"/>
    <w:qFormat/>
    <w:rPr>
      <w:rFonts w:cs="OpenSymbol"/>
    </w:rPr>
  </w:style>
  <w:style w:type="character" w:customStyle="1" w:styleId="ListLabel2051">
    <w:name w:val="ListLabel 2051"/>
    <w:qFormat/>
    <w:rPr>
      <w:rFonts w:cs="OpenSymbol"/>
    </w:rPr>
  </w:style>
  <w:style w:type="character" w:customStyle="1" w:styleId="ListLabel2052">
    <w:name w:val="ListLabel 2052"/>
    <w:qFormat/>
    <w:rPr>
      <w:rFonts w:cs="OpenSymbol"/>
    </w:rPr>
  </w:style>
  <w:style w:type="character" w:customStyle="1" w:styleId="ListLabel2053">
    <w:name w:val="ListLabel 2053"/>
    <w:qFormat/>
    <w:rPr>
      <w:rFonts w:cs="OpenSymbol"/>
    </w:rPr>
  </w:style>
  <w:style w:type="character" w:customStyle="1" w:styleId="ListLabel2054">
    <w:name w:val="ListLabel 2054"/>
    <w:qFormat/>
    <w:rPr>
      <w:rFonts w:cs="OpenSymbol"/>
    </w:rPr>
  </w:style>
  <w:style w:type="character" w:customStyle="1" w:styleId="ListLabel2055">
    <w:name w:val="ListLabel 2055"/>
    <w:qFormat/>
    <w:rPr>
      <w:rFonts w:cs="OpenSymbol"/>
    </w:rPr>
  </w:style>
  <w:style w:type="character" w:customStyle="1" w:styleId="ListLabel2056">
    <w:name w:val="ListLabel 2056"/>
    <w:qFormat/>
    <w:rPr>
      <w:rFonts w:cs="OpenSymbol"/>
    </w:rPr>
  </w:style>
  <w:style w:type="character" w:customStyle="1" w:styleId="ListLabel2057">
    <w:name w:val="ListLabel 2057"/>
    <w:qFormat/>
    <w:rPr>
      <w:rFonts w:cs="OpenSymbol"/>
    </w:rPr>
  </w:style>
  <w:style w:type="character" w:customStyle="1" w:styleId="ListLabel2058">
    <w:name w:val="ListLabel 2058"/>
    <w:qFormat/>
    <w:rPr>
      <w:rFonts w:cs="OpenSymbol"/>
    </w:rPr>
  </w:style>
  <w:style w:type="character" w:customStyle="1" w:styleId="ListLabel2059">
    <w:name w:val="ListLabel 2059"/>
    <w:qFormat/>
    <w:rPr>
      <w:rFonts w:cs="OpenSymbol"/>
    </w:rPr>
  </w:style>
  <w:style w:type="character" w:customStyle="1" w:styleId="ListLabel2060">
    <w:name w:val="ListLabel 2060"/>
    <w:qFormat/>
    <w:rPr>
      <w:rFonts w:cs="OpenSymbol"/>
    </w:rPr>
  </w:style>
  <w:style w:type="character" w:customStyle="1" w:styleId="ListLabel2061">
    <w:name w:val="ListLabel 2061"/>
    <w:qFormat/>
    <w:rPr>
      <w:rFonts w:cs="OpenSymbol"/>
    </w:rPr>
  </w:style>
  <w:style w:type="character" w:customStyle="1" w:styleId="ListLabel2062">
    <w:name w:val="ListLabel 2062"/>
    <w:qFormat/>
    <w:rPr>
      <w:rFonts w:cs="OpenSymbol"/>
    </w:rPr>
  </w:style>
  <w:style w:type="character" w:customStyle="1" w:styleId="ListLabel2063">
    <w:name w:val="ListLabel 2063"/>
    <w:qFormat/>
    <w:rPr>
      <w:rFonts w:cs="OpenSymbol"/>
    </w:rPr>
  </w:style>
  <w:style w:type="character" w:customStyle="1" w:styleId="ListLabel2064">
    <w:name w:val="ListLabel 2064"/>
    <w:qFormat/>
    <w:rPr>
      <w:rFonts w:cs="OpenSymbol"/>
    </w:rPr>
  </w:style>
  <w:style w:type="character" w:customStyle="1" w:styleId="ListLabel2065">
    <w:name w:val="ListLabel 2065"/>
    <w:qFormat/>
    <w:rPr>
      <w:rFonts w:cs="OpenSymbol"/>
    </w:rPr>
  </w:style>
  <w:style w:type="character" w:customStyle="1" w:styleId="ListLabel2066">
    <w:name w:val="ListLabel 2066"/>
    <w:qFormat/>
    <w:rPr>
      <w:rFonts w:cs="OpenSymbol"/>
    </w:rPr>
  </w:style>
  <w:style w:type="character" w:customStyle="1" w:styleId="ListLabel2067">
    <w:name w:val="ListLabel 2067"/>
    <w:qFormat/>
    <w:rPr>
      <w:rFonts w:cs="OpenSymbol"/>
    </w:rPr>
  </w:style>
  <w:style w:type="character" w:customStyle="1" w:styleId="ListLabel2068">
    <w:name w:val="ListLabel 2068"/>
    <w:qFormat/>
    <w:rPr>
      <w:rFonts w:cs="OpenSymbol"/>
    </w:rPr>
  </w:style>
  <w:style w:type="character" w:customStyle="1" w:styleId="ListLabel2069">
    <w:name w:val="ListLabel 2069"/>
    <w:qFormat/>
    <w:rPr>
      <w:rFonts w:cs="OpenSymbol"/>
    </w:rPr>
  </w:style>
  <w:style w:type="character" w:customStyle="1" w:styleId="ListLabel2070">
    <w:name w:val="ListLabel 2070"/>
    <w:qFormat/>
    <w:rPr>
      <w:rFonts w:cs="OpenSymbol"/>
    </w:rPr>
  </w:style>
  <w:style w:type="character" w:customStyle="1" w:styleId="ListLabel2071">
    <w:name w:val="ListLabel 2071"/>
    <w:qFormat/>
    <w:rPr>
      <w:rFonts w:cs="OpenSymbol"/>
    </w:rPr>
  </w:style>
  <w:style w:type="character" w:customStyle="1" w:styleId="ListLabel2072">
    <w:name w:val="ListLabel 2072"/>
    <w:qFormat/>
    <w:rPr>
      <w:rFonts w:cs="OpenSymbol"/>
    </w:rPr>
  </w:style>
  <w:style w:type="character" w:customStyle="1" w:styleId="ListLabel2073">
    <w:name w:val="ListLabel 2073"/>
    <w:qFormat/>
    <w:rPr>
      <w:rFonts w:cs="OpenSymbol"/>
    </w:rPr>
  </w:style>
  <w:style w:type="character" w:customStyle="1" w:styleId="ListLabel2074">
    <w:name w:val="ListLabel 2074"/>
    <w:qFormat/>
    <w:rPr>
      <w:rFonts w:cs="OpenSymbol"/>
    </w:rPr>
  </w:style>
  <w:style w:type="character" w:customStyle="1" w:styleId="ListLabel2075">
    <w:name w:val="ListLabel 2075"/>
    <w:qFormat/>
    <w:rPr>
      <w:rFonts w:cs="OpenSymbol"/>
    </w:rPr>
  </w:style>
  <w:style w:type="character" w:customStyle="1" w:styleId="ListLabel2076">
    <w:name w:val="ListLabel 2076"/>
    <w:qFormat/>
    <w:rPr>
      <w:rFonts w:cs="OpenSymbol"/>
    </w:rPr>
  </w:style>
  <w:style w:type="character" w:customStyle="1" w:styleId="ListLabel2077">
    <w:name w:val="ListLabel 2077"/>
    <w:qFormat/>
    <w:rPr>
      <w:rFonts w:cs="OpenSymbol"/>
    </w:rPr>
  </w:style>
  <w:style w:type="character" w:customStyle="1" w:styleId="ListLabel2078">
    <w:name w:val="ListLabel 2078"/>
    <w:qFormat/>
    <w:rPr>
      <w:rFonts w:cs="OpenSymbol"/>
    </w:rPr>
  </w:style>
  <w:style w:type="character" w:customStyle="1" w:styleId="ListLabel2079">
    <w:name w:val="ListLabel 2079"/>
    <w:qFormat/>
    <w:rPr>
      <w:rFonts w:cs="OpenSymbol"/>
    </w:rPr>
  </w:style>
  <w:style w:type="character" w:customStyle="1" w:styleId="ListLabel2080">
    <w:name w:val="ListLabel 2080"/>
    <w:qFormat/>
    <w:rPr>
      <w:rFonts w:cs="OpenSymbol"/>
    </w:rPr>
  </w:style>
  <w:style w:type="character" w:customStyle="1" w:styleId="ListLabel2081">
    <w:name w:val="ListLabel 2081"/>
    <w:qFormat/>
    <w:rPr>
      <w:rFonts w:cs="OpenSymbol"/>
    </w:rPr>
  </w:style>
  <w:style w:type="character" w:customStyle="1" w:styleId="ListLabel2082">
    <w:name w:val="ListLabel 2082"/>
    <w:qFormat/>
    <w:rPr>
      <w:rFonts w:cs="OpenSymbol"/>
    </w:rPr>
  </w:style>
  <w:style w:type="character" w:customStyle="1" w:styleId="ListLabel2083">
    <w:name w:val="ListLabel 2083"/>
    <w:qFormat/>
    <w:rPr>
      <w:rFonts w:cs="OpenSymbol"/>
    </w:rPr>
  </w:style>
  <w:style w:type="character" w:customStyle="1" w:styleId="ListLabel2084">
    <w:name w:val="ListLabel 2084"/>
    <w:qFormat/>
    <w:rPr>
      <w:rFonts w:cs="OpenSymbol"/>
    </w:rPr>
  </w:style>
  <w:style w:type="character" w:customStyle="1" w:styleId="ListLabel2085">
    <w:name w:val="ListLabel 2085"/>
    <w:qFormat/>
    <w:rPr>
      <w:rFonts w:cs="OpenSymbol"/>
    </w:rPr>
  </w:style>
  <w:style w:type="character" w:customStyle="1" w:styleId="ListLabel2086">
    <w:name w:val="ListLabel 2086"/>
    <w:qFormat/>
    <w:rPr>
      <w:rFonts w:cs="OpenSymbol"/>
    </w:rPr>
  </w:style>
  <w:style w:type="character" w:customStyle="1" w:styleId="ListLabel2087">
    <w:name w:val="ListLabel 2087"/>
    <w:qFormat/>
    <w:rPr>
      <w:rFonts w:cs="OpenSymbol"/>
    </w:rPr>
  </w:style>
  <w:style w:type="character" w:customStyle="1" w:styleId="ListLabel2088">
    <w:name w:val="ListLabel 2088"/>
    <w:qFormat/>
    <w:rPr>
      <w:rFonts w:cs="OpenSymbol"/>
    </w:rPr>
  </w:style>
  <w:style w:type="character" w:customStyle="1" w:styleId="ListLabel2089">
    <w:name w:val="ListLabel 2089"/>
    <w:qFormat/>
    <w:rPr>
      <w:rFonts w:cs="OpenSymbol"/>
    </w:rPr>
  </w:style>
  <w:style w:type="character" w:customStyle="1" w:styleId="ListLabel2090">
    <w:name w:val="ListLabel 2090"/>
    <w:qFormat/>
    <w:rPr>
      <w:rFonts w:cs="OpenSymbol"/>
    </w:rPr>
  </w:style>
  <w:style w:type="character" w:customStyle="1" w:styleId="ListLabel2091">
    <w:name w:val="ListLabel 2091"/>
    <w:qFormat/>
    <w:rPr>
      <w:rFonts w:cs="OpenSymbol"/>
    </w:rPr>
  </w:style>
  <w:style w:type="character" w:customStyle="1" w:styleId="ListLabel2092">
    <w:name w:val="ListLabel 2092"/>
    <w:qFormat/>
    <w:rPr>
      <w:rFonts w:cs="OpenSymbol"/>
    </w:rPr>
  </w:style>
  <w:style w:type="character" w:customStyle="1" w:styleId="ListLabel2093">
    <w:name w:val="ListLabel 2093"/>
    <w:qFormat/>
    <w:rPr>
      <w:rFonts w:cs="OpenSymbol"/>
    </w:rPr>
  </w:style>
  <w:style w:type="character" w:customStyle="1" w:styleId="ListLabel2094">
    <w:name w:val="ListLabel 2094"/>
    <w:qFormat/>
    <w:rPr>
      <w:rFonts w:cs="OpenSymbol"/>
    </w:rPr>
  </w:style>
  <w:style w:type="character" w:customStyle="1" w:styleId="ListLabel2095">
    <w:name w:val="ListLabel 2095"/>
    <w:qFormat/>
    <w:rPr>
      <w:rFonts w:cs="OpenSymbol"/>
    </w:rPr>
  </w:style>
  <w:style w:type="character" w:customStyle="1" w:styleId="ListLabel2096">
    <w:name w:val="ListLabel 2096"/>
    <w:qFormat/>
    <w:rPr>
      <w:rFonts w:cs="OpenSymbol"/>
    </w:rPr>
  </w:style>
  <w:style w:type="character" w:customStyle="1" w:styleId="ListLabel2097">
    <w:name w:val="ListLabel 2097"/>
    <w:qFormat/>
    <w:rPr>
      <w:rFonts w:cs="OpenSymbol"/>
    </w:rPr>
  </w:style>
  <w:style w:type="character" w:customStyle="1" w:styleId="ListLabel2098">
    <w:name w:val="ListLabel 2098"/>
    <w:qFormat/>
    <w:rPr>
      <w:rFonts w:cs="OpenSymbol"/>
    </w:rPr>
  </w:style>
  <w:style w:type="character" w:customStyle="1" w:styleId="ListLabel2099">
    <w:name w:val="ListLabel 2099"/>
    <w:qFormat/>
    <w:rPr>
      <w:rFonts w:cs="OpenSymbol"/>
    </w:rPr>
  </w:style>
  <w:style w:type="character" w:customStyle="1" w:styleId="ListLabel2100">
    <w:name w:val="ListLabel 2100"/>
    <w:qFormat/>
    <w:rPr>
      <w:rFonts w:cs="OpenSymbol"/>
    </w:rPr>
  </w:style>
  <w:style w:type="character" w:customStyle="1" w:styleId="ListLabel2101">
    <w:name w:val="ListLabel 2101"/>
    <w:qFormat/>
    <w:rPr>
      <w:rFonts w:cs="OpenSymbol"/>
    </w:rPr>
  </w:style>
  <w:style w:type="character" w:customStyle="1" w:styleId="ListLabel2102">
    <w:name w:val="ListLabel 2102"/>
    <w:qFormat/>
    <w:rPr>
      <w:rFonts w:cs="OpenSymbol"/>
    </w:rPr>
  </w:style>
  <w:style w:type="character" w:customStyle="1" w:styleId="ListLabel2103">
    <w:name w:val="ListLabel 2103"/>
    <w:qFormat/>
    <w:rPr>
      <w:rFonts w:cs="OpenSymbol"/>
    </w:rPr>
  </w:style>
  <w:style w:type="character" w:customStyle="1" w:styleId="ListLabel2104">
    <w:name w:val="ListLabel 2104"/>
    <w:qFormat/>
    <w:rPr>
      <w:rFonts w:cs="OpenSymbol"/>
    </w:rPr>
  </w:style>
  <w:style w:type="character" w:customStyle="1" w:styleId="ListLabel2105">
    <w:name w:val="ListLabel 2105"/>
    <w:qFormat/>
    <w:rPr>
      <w:rFonts w:cs="OpenSymbol"/>
    </w:rPr>
  </w:style>
  <w:style w:type="character" w:customStyle="1" w:styleId="ListLabel2106">
    <w:name w:val="ListLabel 2106"/>
    <w:qFormat/>
    <w:rPr>
      <w:rFonts w:cs="OpenSymbol"/>
    </w:rPr>
  </w:style>
  <w:style w:type="character" w:customStyle="1" w:styleId="ListLabel2107">
    <w:name w:val="ListLabel 2107"/>
    <w:qFormat/>
    <w:rPr>
      <w:rFonts w:cs="OpenSymbol"/>
    </w:rPr>
  </w:style>
  <w:style w:type="character" w:customStyle="1" w:styleId="ListLabel2108">
    <w:name w:val="ListLabel 2108"/>
    <w:qFormat/>
    <w:rPr>
      <w:rFonts w:cs="OpenSymbol"/>
    </w:rPr>
  </w:style>
  <w:style w:type="character" w:customStyle="1" w:styleId="ListLabel2109">
    <w:name w:val="ListLabel 2109"/>
    <w:qFormat/>
    <w:rPr>
      <w:rFonts w:cs="OpenSymbol"/>
    </w:rPr>
  </w:style>
  <w:style w:type="character" w:customStyle="1" w:styleId="ListLabel2110">
    <w:name w:val="ListLabel 2110"/>
    <w:qFormat/>
    <w:rPr>
      <w:rFonts w:cs="OpenSymbol"/>
    </w:rPr>
  </w:style>
  <w:style w:type="character" w:customStyle="1" w:styleId="ListLabel2111">
    <w:name w:val="ListLabel 2111"/>
    <w:qFormat/>
    <w:rPr>
      <w:rFonts w:cs="OpenSymbol"/>
    </w:rPr>
  </w:style>
  <w:style w:type="character" w:customStyle="1" w:styleId="ListLabel2112">
    <w:name w:val="ListLabel 2112"/>
    <w:qFormat/>
    <w:rPr>
      <w:rFonts w:cs="OpenSymbol"/>
    </w:rPr>
  </w:style>
  <w:style w:type="character" w:customStyle="1" w:styleId="ListLabel2113">
    <w:name w:val="ListLabel 2113"/>
    <w:qFormat/>
    <w:rPr>
      <w:rFonts w:cs="OpenSymbol"/>
    </w:rPr>
  </w:style>
  <w:style w:type="character" w:customStyle="1" w:styleId="ListLabel2114">
    <w:name w:val="ListLabel 2114"/>
    <w:qFormat/>
    <w:rPr>
      <w:rFonts w:cs="OpenSymbol"/>
    </w:rPr>
  </w:style>
  <w:style w:type="character" w:customStyle="1" w:styleId="ListLabel2115">
    <w:name w:val="ListLabel 2115"/>
    <w:qFormat/>
    <w:rPr>
      <w:rFonts w:cs="OpenSymbol"/>
    </w:rPr>
  </w:style>
  <w:style w:type="character" w:customStyle="1" w:styleId="ListLabel2116">
    <w:name w:val="ListLabel 2116"/>
    <w:qFormat/>
    <w:rPr>
      <w:rFonts w:cs="OpenSymbol"/>
    </w:rPr>
  </w:style>
  <w:style w:type="character" w:customStyle="1" w:styleId="ListLabel2117">
    <w:name w:val="ListLabel 2117"/>
    <w:qFormat/>
    <w:rPr>
      <w:rFonts w:cs="OpenSymbol"/>
    </w:rPr>
  </w:style>
  <w:style w:type="character" w:customStyle="1" w:styleId="ListLabel2118">
    <w:name w:val="ListLabel 2118"/>
    <w:qFormat/>
    <w:rPr>
      <w:rFonts w:cs="OpenSymbol"/>
    </w:rPr>
  </w:style>
  <w:style w:type="character" w:customStyle="1" w:styleId="ListLabel2119">
    <w:name w:val="ListLabel 2119"/>
    <w:qFormat/>
    <w:rPr>
      <w:rFonts w:cs="OpenSymbol"/>
    </w:rPr>
  </w:style>
  <w:style w:type="character" w:customStyle="1" w:styleId="ListLabel2120">
    <w:name w:val="ListLabel 2120"/>
    <w:qFormat/>
    <w:rPr>
      <w:rFonts w:cs="OpenSymbol"/>
    </w:rPr>
  </w:style>
  <w:style w:type="character" w:customStyle="1" w:styleId="ListLabel2121">
    <w:name w:val="ListLabel 2121"/>
    <w:qFormat/>
    <w:rPr>
      <w:rFonts w:cs="OpenSymbol"/>
    </w:rPr>
  </w:style>
  <w:style w:type="character" w:customStyle="1" w:styleId="ListLabel2122">
    <w:name w:val="ListLabel 2122"/>
    <w:qFormat/>
    <w:rPr>
      <w:rFonts w:cs="OpenSymbol"/>
    </w:rPr>
  </w:style>
  <w:style w:type="character" w:customStyle="1" w:styleId="ListLabel2123">
    <w:name w:val="ListLabel 2123"/>
    <w:qFormat/>
    <w:rPr>
      <w:rFonts w:cs="OpenSymbol"/>
    </w:rPr>
  </w:style>
  <w:style w:type="character" w:customStyle="1" w:styleId="ListLabel2124">
    <w:name w:val="ListLabel 2124"/>
    <w:qFormat/>
    <w:rPr>
      <w:rFonts w:cs="OpenSymbol"/>
    </w:rPr>
  </w:style>
  <w:style w:type="character" w:customStyle="1" w:styleId="ListLabel2125">
    <w:name w:val="ListLabel 2125"/>
    <w:qFormat/>
    <w:rPr>
      <w:rFonts w:cs="OpenSymbol"/>
    </w:rPr>
  </w:style>
  <w:style w:type="character" w:customStyle="1" w:styleId="ListLabel2126">
    <w:name w:val="ListLabel 2126"/>
    <w:qFormat/>
    <w:rPr>
      <w:rFonts w:cs="OpenSymbol"/>
    </w:rPr>
  </w:style>
  <w:style w:type="character" w:customStyle="1" w:styleId="ListLabel2127">
    <w:name w:val="ListLabel 2127"/>
    <w:qFormat/>
    <w:rPr>
      <w:rFonts w:cs="OpenSymbol"/>
    </w:rPr>
  </w:style>
  <w:style w:type="character" w:customStyle="1" w:styleId="ListLabel2128">
    <w:name w:val="ListLabel 2128"/>
    <w:qFormat/>
    <w:rPr>
      <w:rFonts w:cs="OpenSymbol"/>
    </w:rPr>
  </w:style>
  <w:style w:type="character" w:customStyle="1" w:styleId="ListLabel2129">
    <w:name w:val="ListLabel 2129"/>
    <w:qFormat/>
    <w:rPr>
      <w:rFonts w:cs="OpenSymbol"/>
    </w:rPr>
  </w:style>
  <w:style w:type="character" w:customStyle="1" w:styleId="ListLabel2130">
    <w:name w:val="ListLabel 2130"/>
    <w:qFormat/>
    <w:rPr>
      <w:rFonts w:cs="OpenSymbol"/>
    </w:rPr>
  </w:style>
  <w:style w:type="character" w:customStyle="1" w:styleId="ListLabel2131">
    <w:name w:val="ListLabel 2131"/>
    <w:qFormat/>
    <w:rPr>
      <w:rFonts w:cs="OpenSymbol"/>
    </w:rPr>
  </w:style>
  <w:style w:type="character" w:customStyle="1" w:styleId="ListLabel2132">
    <w:name w:val="ListLabel 2132"/>
    <w:qFormat/>
    <w:rPr>
      <w:rFonts w:cs="OpenSymbol"/>
    </w:rPr>
  </w:style>
  <w:style w:type="character" w:customStyle="1" w:styleId="ListLabel2133">
    <w:name w:val="ListLabel 2133"/>
    <w:qFormat/>
    <w:rPr>
      <w:rFonts w:cs="OpenSymbol"/>
    </w:rPr>
  </w:style>
  <w:style w:type="character" w:customStyle="1" w:styleId="ListLabel2134">
    <w:name w:val="ListLabel 2134"/>
    <w:qFormat/>
    <w:rPr>
      <w:rFonts w:cs="OpenSymbol"/>
    </w:rPr>
  </w:style>
  <w:style w:type="character" w:customStyle="1" w:styleId="ListLabel2135">
    <w:name w:val="ListLabel 2135"/>
    <w:qFormat/>
    <w:rPr>
      <w:rFonts w:cs="OpenSymbol"/>
    </w:rPr>
  </w:style>
  <w:style w:type="character" w:customStyle="1" w:styleId="ListLabel2136">
    <w:name w:val="ListLabel 2136"/>
    <w:qFormat/>
    <w:rPr>
      <w:rFonts w:cs="OpenSymbol"/>
    </w:rPr>
  </w:style>
  <w:style w:type="character" w:customStyle="1" w:styleId="ListLabel2137">
    <w:name w:val="ListLabel 2137"/>
    <w:qFormat/>
    <w:rPr>
      <w:rFonts w:cs="OpenSymbol"/>
    </w:rPr>
  </w:style>
  <w:style w:type="character" w:customStyle="1" w:styleId="ListLabel2138">
    <w:name w:val="ListLabel 2138"/>
    <w:qFormat/>
    <w:rPr>
      <w:rFonts w:cs="OpenSymbol"/>
    </w:rPr>
  </w:style>
  <w:style w:type="character" w:customStyle="1" w:styleId="ListLabel2139">
    <w:name w:val="ListLabel 2139"/>
    <w:qFormat/>
    <w:rPr>
      <w:rFonts w:cs="OpenSymbol"/>
    </w:rPr>
  </w:style>
  <w:style w:type="character" w:customStyle="1" w:styleId="ListLabel2140">
    <w:name w:val="ListLabel 2140"/>
    <w:qFormat/>
    <w:rPr>
      <w:rFonts w:cs="OpenSymbol"/>
    </w:rPr>
  </w:style>
  <w:style w:type="character" w:customStyle="1" w:styleId="ListLabel2141">
    <w:name w:val="ListLabel 2141"/>
    <w:qFormat/>
    <w:rPr>
      <w:rFonts w:cs="OpenSymbol"/>
    </w:rPr>
  </w:style>
  <w:style w:type="character" w:customStyle="1" w:styleId="ListLabel2142">
    <w:name w:val="ListLabel 2142"/>
    <w:qFormat/>
    <w:rPr>
      <w:rFonts w:cs="OpenSymbol"/>
    </w:rPr>
  </w:style>
  <w:style w:type="character" w:customStyle="1" w:styleId="ListLabel2143">
    <w:name w:val="ListLabel 2143"/>
    <w:qFormat/>
    <w:rPr>
      <w:rFonts w:cs="OpenSymbol"/>
    </w:rPr>
  </w:style>
  <w:style w:type="character" w:customStyle="1" w:styleId="ListLabel2144">
    <w:name w:val="ListLabel 2144"/>
    <w:qFormat/>
    <w:rPr>
      <w:rFonts w:cs="OpenSymbol"/>
    </w:rPr>
  </w:style>
  <w:style w:type="character" w:customStyle="1" w:styleId="ListLabel2145">
    <w:name w:val="ListLabel 2145"/>
    <w:qFormat/>
    <w:rPr>
      <w:rFonts w:cs="OpenSymbol"/>
    </w:rPr>
  </w:style>
  <w:style w:type="character" w:customStyle="1" w:styleId="ListLabel2146">
    <w:name w:val="ListLabel 2146"/>
    <w:qFormat/>
    <w:rPr>
      <w:rFonts w:ascii="Source Sans Pro Web;Helvetica N" w:hAnsi="Source Sans Pro Web;Helvetica N" w:cs="OpenSymbol"/>
      <w:sz w:val="25"/>
    </w:rPr>
  </w:style>
  <w:style w:type="character" w:customStyle="1" w:styleId="ListLabel2147">
    <w:name w:val="ListLabel 2147"/>
    <w:qFormat/>
    <w:rPr>
      <w:rFonts w:cs="OpenSymbol"/>
    </w:rPr>
  </w:style>
  <w:style w:type="character" w:customStyle="1" w:styleId="ListLabel2148">
    <w:name w:val="ListLabel 2148"/>
    <w:qFormat/>
    <w:rPr>
      <w:rFonts w:cs="OpenSymbol"/>
    </w:rPr>
  </w:style>
  <w:style w:type="character" w:customStyle="1" w:styleId="ListLabel2149">
    <w:name w:val="ListLabel 2149"/>
    <w:qFormat/>
    <w:rPr>
      <w:rFonts w:cs="OpenSymbol"/>
    </w:rPr>
  </w:style>
  <w:style w:type="character" w:customStyle="1" w:styleId="ListLabel2150">
    <w:name w:val="ListLabel 2150"/>
    <w:qFormat/>
    <w:rPr>
      <w:rFonts w:cs="OpenSymbol"/>
    </w:rPr>
  </w:style>
  <w:style w:type="character" w:customStyle="1" w:styleId="ListLabel2151">
    <w:name w:val="ListLabel 2151"/>
    <w:qFormat/>
    <w:rPr>
      <w:rFonts w:cs="OpenSymbol"/>
    </w:rPr>
  </w:style>
  <w:style w:type="character" w:customStyle="1" w:styleId="ListLabel2152">
    <w:name w:val="ListLabel 2152"/>
    <w:qFormat/>
    <w:rPr>
      <w:rFonts w:cs="OpenSymbol"/>
    </w:rPr>
  </w:style>
  <w:style w:type="character" w:customStyle="1" w:styleId="ListLabel2153">
    <w:name w:val="ListLabel 2153"/>
    <w:qFormat/>
    <w:rPr>
      <w:rFonts w:cs="OpenSymbol"/>
    </w:rPr>
  </w:style>
  <w:style w:type="character" w:customStyle="1" w:styleId="ListLabel2154">
    <w:name w:val="ListLabel 2154"/>
    <w:qFormat/>
    <w:rPr>
      <w:rFonts w:cs="OpenSymbol"/>
    </w:rPr>
  </w:style>
  <w:style w:type="character" w:customStyle="1" w:styleId="ListLabel2155">
    <w:name w:val="ListLabel 2155"/>
    <w:qFormat/>
    <w:rPr>
      <w:rFonts w:cs="OpenSymbol"/>
    </w:rPr>
  </w:style>
  <w:style w:type="character" w:customStyle="1" w:styleId="ListLabel2156">
    <w:name w:val="ListLabel 2156"/>
    <w:qFormat/>
    <w:rPr>
      <w:rFonts w:cs="OpenSymbol"/>
    </w:rPr>
  </w:style>
  <w:style w:type="character" w:customStyle="1" w:styleId="ListLabel2157">
    <w:name w:val="ListLabel 2157"/>
    <w:qFormat/>
    <w:rPr>
      <w:rFonts w:cs="OpenSymbol"/>
    </w:rPr>
  </w:style>
  <w:style w:type="character" w:customStyle="1" w:styleId="ListLabel2158">
    <w:name w:val="ListLabel 2158"/>
    <w:qFormat/>
    <w:rPr>
      <w:rFonts w:cs="OpenSymbol"/>
    </w:rPr>
  </w:style>
  <w:style w:type="character" w:customStyle="1" w:styleId="ListLabel2159">
    <w:name w:val="ListLabel 2159"/>
    <w:qFormat/>
    <w:rPr>
      <w:rFonts w:cs="OpenSymbol"/>
    </w:rPr>
  </w:style>
  <w:style w:type="character" w:customStyle="1" w:styleId="ListLabel2160">
    <w:name w:val="ListLabel 2160"/>
    <w:qFormat/>
    <w:rPr>
      <w:rFonts w:cs="OpenSymbol"/>
    </w:rPr>
  </w:style>
  <w:style w:type="character" w:customStyle="1" w:styleId="ListLabel2161">
    <w:name w:val="ListLabel 2161"/>
    <w:qFormat/>
    <w:rPr>
      <w:rFonts w:cs="OpenSymbol"/>
    </w:rPr>
  </w:style>
  <w:style w:type="character" w:customStyle="1" w:styleId="ListLabel2162">
    <w:name w:val="ListLabel 2162"/>
    <w:qFormat/>
    <w:rPr>
      <w:rFonts w:cs="OpenSymbol"/>
    </w:rPr>
  </w:style>
  <w:style w:type="character" w:customStyle="1" w:styleId="ListLabel2163">
    <w:name w:val="ListLabel 2163"/>
    <w:qFormat/>
    <w:rPr>
      <w:rFonts w:cs="OpenSymbol"/>
    </w:rPr>
  </w:style>
  <w:style w:type="character" w:customStyle="1" w:styleId="ListLabel2164">
    <w:name w:val="ListLabel 2164"/>
    <w:qFormat/>
    <w:rPr>
      <w:rFonts w:cs="OpenSymbol"/>
    </w:rPr>
  </w:style>
  <w:style w:type="character" w:customStyle="1" w:styleId="ListLabel2165">
    <w:name w:val="ListLabel 2165"/>
    <w:qFormat/>
    <w:rPr>
      <w:rFonts w:cs="OpenSymbol"/>
    </w:rPr>
  </w:style>
  <w:style w:type="character" w:customStyle="1" w:styleId="ListLabel2166">
    <w:name w:val="ListLabel 2166"/>
    <w:qFormat/>
    <w:rPr>
      <w:rFonts w:cs="OpenSymbol"/>
    </w:rPr>
  </w:style>
  <w:style w:type="character" w:customStyle="1" w:styleId="ListLabel2167">
    <w:name w:val="ListLabel 2167"/>
    <w:qFormat/>
    <w:rPr>
      <w:rFonts w:cs="OpenSymbol"/>
    </w:rPr>
  </w:style>
  <w:style w:type="character" w:customStyle="1" w:styleId="ListLabel2168">
    <w:name w:val="ListLabel 2168"/>
    <w:qFormat/>
    <w:rPr>
      <w:rFonts w:cs="OpenSymbol"/>
    </w:rPr>
  </w:style>
  <w:style w:type="character" w:customStyle="1" w:styleId="ListLabel2169">
    <w:name w:val="ListLabel 2169"/>
    <w:qFormat/>
    <w:rPr>
      <w:rFonts w:cs="OpenSymbol"/>
    </w:rPr>
  </w:style>
  <w:style w:type="character" w:customStyle="1" w:styleId="ListLabel2170">
    <w:name w:val="ListLabel 2170"/>
    <w:qFormat/>
    <w:rPr>
      <w:rFonts w:cs="OpenSymbol"/>
    </w:rPr>
  </w:style>
  <w:style w:type="character" w:customStyle="1" w:styleId="ListLabel2171">
    <w:name w:val="ListLabel 2171"/>
    <w:qFormat/>
    <w:rPr>
      <w:rFonts w:cs="OpenSymbol"/>
    </w:rPr>
  </w:style>
  <w:style w:type="character" w:customStyle="1" w:styleId="ListLabel2172">
    <w:name w:val="ListLabel 2172"/>
    <w:qFormat/>
    <w:rPr>
      <w:rFonts w:cs="OpenSymbol"/>
    </w:rPr>
  </w:style>
  <w:style w:type="character" w:customStyle="1" w:styleId="ListLabel2173">
    <w:name w:val="ListLabel 2173"/>
    <w:qFormat/>
    <w:rPr>
      <w:rFonts w:cs="OpenSymbol"/>
    </w:rPr>
  </w:style>
  <w:style w:type="character" w:customStyle="1" w:styleId="ListLabel2174">
    <w:name w:val="ListLabel 2174"/>
    <w:qFormat/>
    <w:rPr>
      <w:rFonts w:cs="OpenSymbol"/>
    </w:rPr>
  </w:style>
  <w:style w:type="character" w:customStyle="1" w:styleId="ListLabel2175">
    <w:name w:val="ListLabel 2175"/>
    <w:qFormat/>
    <w:rPr>
      <w:rFonts w:cs="OpenSymbol"/>
    </w:rPr>
  </w:style>
  <w:style w:type="character" w:customStyle="1" w:styleId="ListLabel2176">
    <w:name w:val="ListLabel 2176"/>
    <w:qFormat/>
    <w:rPr>
      <w:rFonts w:cs="OpenSymbol"/>
    </w:rPr>
  </w:style>
  <w:style w:type="character" w:customStyle="1" w:styleId="ListLabel2177">
    <w:name w:val="ListLabel 2177"/>
    <w:qFormat/>
    <w:rPr>
      <w:rFonts w:cs="OpenSymbol"/>
    </w:rPr>
  </w:style>
  <w:style w:type="character" w:customStyle="1" w:styleId="ListLabel2178">
    <w:name w:val="ListLabel 2178"/>
    <w:qFormat/>
    <w:rPr>
      <w:rFonts w:cs="OpenSymbol"/>
    </w:rPr>
  </w:style>
  <w:style w:type="character" w:customStyle="1" w:styleId="ListLabel2179">
    <w:name w:val="ListLabel 2179"/>
    <w:qFormat/>
    <w:rPr>
      <w:rFonts w:cs="OpenSymbol"/>
    </w:rPr>
  </w:style>
  <w:style w:type="character" w:customStyle="1" w:styleId="ListLabel2180">
    <w:name w:val="ListLabel 2180"/>
    <w:qFormat/>
    <w:rPr>
      <w:rFonts w:cs="OpenSymbol"/>
    </w:rPr>
  </w:style>
  <w:style w:type="character" w:customStyle="1" w:styleId="ListLabel2181">
    <w:name w:val="ListLabel 2181"/>
    <w:qFormat/>
    <w:rPr>
      <w:rFonts w:cs="OpenSymbol"/>
    </w:rPr>
  </w:style>
  <w:style w:type="character" w:customStyle="1" w:styleId="ListLabel2182">
    <w:name w:val="ListLabel 2182"/>
    <w:qFormat/>
    <w:rPr>
      <w:rFonts w:eastAsia="Calibri"/>
      <w:color w:val="000000"/>
      <w:sz w:val="28"/>
      <w:u w:val="none"/>
    </w:rPr>
  </w:style>
  <w:style w:type="character" w:customStyle="1" w:styleId="ListLabel2183">
    <w:name w:val="ListLabel 2183"/>
    <w:qFormat/>
    <w:rPr>
      <w:rFonts w:eastAsia="Calibri"/>
      <w:color w:val="000000"/>
      <w:sz w:val="28"/>
      <w:u w:val="none"/>
      <w:lang w:val="en-US"/>
    </w:rPr>
  </w:style>
  <w:style w:type="character" w:customStyle="1" w:styleId="ListLabel2184">
    <w:name w:val="ListLabel 2184"/>
    <w:qFormat/>
    <w:rPr>
      <w:rFonts w:eastAsia="Calibri"/>
      <w:color w:val="000000"/>
      <w:sz w:val="28"/>
      <w:u w:val="none"/>
      <w:lang w:val="uk-UA"/>
    </w:rPr>
  </w:style>
  <w:style w:type="character" w:customStyle="1" w:styleId="ListLabel2185">
    <w:name w:val="ListLabel 2185"/>
    <w:qFormat/>
    <w:rPr>
      <w:color w:val="000000"/>
      <w:sz w:val="28"/>
      <w:u w:val="none"/>
    </w:rPr>
  </w:style>
  <w:style w:type="character" w:customStyle="1" w:styleId="ListLabel2186">
    <w:name w:val="ListLabel 2186"/>
    <w:qFormat/>
    <w:rPr>
      <w:rFonts w:eastAsia="Calibri"/>
      <w:color w:val="C9211E"/>
      <w:sz w:val="28"/>
    </w:rPr>
  </w:style>
  <w:style w:type="character" w:customStyle="1" w:styleId="ListLabel2187">
    <w:name w:val="ListLabel 2187"/>
    <w:qFormat/>
    <w:rPr>
      <w:rFonts w:eastAsia="Calibri" w:cs="Times New Roman"/>
      <w:b/>
      <w:bCs/>
      <w:kern w:val="2"/>
      <w:sz w:val="28"/>
      <w:szCs w:val="28"/>
      <w:lang w:val="uk-UA" w:eastAsia="ru-RU"/>
    </w:rPr>
  </w:style>
  <w:style w:type="character" w:customStyle="1" w:styleId="ListLabel2188">
    <w:name w:val="ListLabel 2188"/>
    <w:qFormat/>
    <w:rPr>
      <w:rFonts w:eastAsia="Calibri"/>
      <w:b/>
      <w:bCs/>
      <w:color w:val="000000"/>
      <w:sz w:val="28"/>
      <w:u w:val="none"/>
      <w:lang w:val="en-US"/>
    </w:rPr>
  </w:style>
  <w:style w:type="character" w:customStyle="1" w:styleId="ListLabel2189">
    <w:name w:val="ListLabel 2189"/>
    <w:qFormat/>
    <w:rPr>
      <w:b w:val="0"/>
      <w:bCs w:val="0"/>
      <w:color w:val="FF8000"/>
      <w:sz w:val="28"/>
      <w:szCs w:val="28"/>
      <w:highlight w:val="yellow"/>
      <w:lang w:val="ru-RU"/>
    </w:rPr>
  </w:style>
  <w:style w:type="character" w:customStyle="1" w:styleId="ListLabel2190">
    <w:name w:val="ListLabel 2190"/>
    <w:qFormat/>
    <w:rPr>
      <w:b w:val="0"/>
      <w:bCs w:val="0"/>
      <w:i w:val="0"/>
      <w:caps w:val="0"/>
      <w:smallCaps w:val="0"/>
      <w:color w:val="158466"/>
      <w:spacing w:val="0"/>
      <w:sz w:val="28"/>
      <w:szCs w:val="28"/>
      <w:highlight w:val="yellow"/>
      <w:lang w:val="uk-UA"/>
    </w:rPr>
  </w:style>
  <w:style w:type="character" w:customStyle="1" w:styleId="ListLabel2191">
    <w:name w:val="ListLabel 2191"/>
    <w:qFormat/>
    <w:rPr>
      <w:rFonts w:eastAsia="Times New Roman" w:cs="Times New Roman"/>
      <w:b w:val="0"/>
      <w:bCs w:val="0"/>
      <w:i w:val="0"/>
      <w:caps w:val="0"/>
      <w:smallCaps w:val="0"/>
      <w:strike w:val="0"/>
      <w:dstrike w:val="0"/>
      <w:color w:val="000000"/>
      <w:spacing w:val="0"/>
      <w:kern w:val="2"/>
      <w:sz w:val="28"/>
      <w:szCs w:val="28"/>
      <w:highlight w:val="yellow"/>
      <w:u w:val="none"/>
      <w:effect w:val="none"/>
      <w:lang w:val="uk-UA"/>
    </w:rPr>
  </w:style>
  <w:style w:type="character" w:customStyle="1" w:styleId="ListLabel2192">
    <w:name w:val="ListLabel 2192"/>
    <w:qFormat/>
    <w:rPr>
      <w:rFonts w:eastAsia="Times New Roman" w:cs="Times New Roman"/>
      <w:b w:val="0"/>
      <w:bCs w:val="0"/>
      <w:i w:val="0"/>
      <w:caps w:val="0"/>
      <w:smallCaps w:val="0"/>
      <w:strike w:val="0"/>
      <w:dstrike w:val="0"/>
      <w:color w:val="2C2C2C"/>
      <w:spacing w:val="0"/>
      <w:kern w:val="2"/>
      <w:sz w:val="28"/>
      <w:szCs w:val="28"/>
      <w:highlight w:val="yellow"/>
      <w:u w:val="none"/>
      <w:effect w:val="none"/>
      <w:lang w:val="en-US"/>
    </w:rPr>
  </w:style>
  <w:style w:type="character" w:customStyle="1" w:styleId="ListLabel2193">
    <w:name w:val="ListLabel 2193"/>
    <w:qFormat/>
  </w:style>
  <w:style w:type="character" w:customStyle="1" w:styleId="ListLabel2194">
    <w:name w:val="ListLabel 2194"/>
    <w:qFormat/>
  </w:style>
  <w:style w:type="character" w:customStyle="1" w:styleId="ListLabel2195">
    <w:name w:val="ListLabel 2195"/>
    <w:qFormat/>
    <w:rPr>
      <w:rFonts w:ascii="Source Sans Pro Web;Helvetica N" w:hAnsi="Source Sans Pro Web;Helvetica N"/>
      <w:color w:val="005EA2"/>
      <w:spacing w:val="0"/>
      <w:sz w:val="25"/>
      <w:u w:val="single"/>
    </w:rPr>
  </w:style>
  <w:style w:type="character" w:customStyle="1" w:styleId="ListLabel2196">
    <w:name w:val="ListLabel 2196"/>
    <w:qFormat/>
    <w:rPr>
      <w:rFonts w:ascii="Source Sans Pro Web;Helvetica N" w:hAnsi="Source Sans Pro Web;Helvetica N"/>
      <w:color w:val="005EA2"/>
      <w:spacing w:val="0"/>
      <w:sz w:val="25"/>
      <w:u w:val="single"/>
      <w:bdr w:val="single" w:sz="2" w:space="11" w:color="EAC2AE"/>
    </w:rPr>
  </w:style>
  <w:style w:type="character" w:customStyle="1" w:styleId="ListLabel2197">
    <w:name w:val="ListLabel 2197"/>
    <w:qFormat/>
    <w:rPr>
      <w:color w:val="005EA2"/>
      <w:u w:val="single"/>
    </w:rPr>
  </w:style>
  <w:style w:type="character" w:customStyle="1" w:styleId="ListLabel2198">
    <w:name w:val="ListLabel 2198"/>
    <w:qFormat/>
    <w:rPr>
      <w:rFonts w:ascii="Source Sans Pro Web;Helvetica N" w:hAnsi="Source Sans Pro Web;Helvetica N"/>
      <w:color w:val="005EA2"/>
      <w:spacing w:val="0"/>
      <w:u w:val="single"/>
    </w:rPr>
  </w:style>
  <w:style w:type="character" w:customStyle="1" w:styleId="ListLabel2199">
    <w:name w:val="ListLabel 2199"/>
    <w:qFormat/>
    <w:rPr>
      <w:b w:val="0"/>
      <w:i w:val="0"/>
      <w:caps w:val="0"/>
      <w:smallCaps w:val="0"/>
      <w:color w:val="FF8000"/>
      <w:spacing w:val="0"/>
      <w:sz w:val="28"/>
      <w:szCs w:val="28"/>
      <w:u w:val="none"/>
    </w:rPr>
  </w:style>
  <w:style w:type="character" w:customStyle="1" w:styleId="ListLabel2200">
    <w:name w:val="ListLabel 2200"/>
    <w:qFormat/>
    <w:rPr>
      <w:b w:val="0"/>
      <w:strike w:val="0"/>
      <w:dstrike w:val="0"/>
      <w:color w:val="FF8000"/>
      <w:sz w:val="28"/>
      <w:szCs w:val="28"/>
      <w:highlight w:val="darkBlue"/>
      <w:u w:val="none"/>
      <w:effect w:val="none"/>
    </w:rPr>
  </w:style>
  <w:style w:type="character" w:customStyle="1" w:styleId="ListLabel2201">
    <w:name w:val="ListLabel 2201"/>
    <w:qFormat/>
    <w:rPr>
      <w:b w:val="0"/>
      <w:i w:val="0"/>
      <w:caps w:val="0"/>
      <w:smallCaps w:val="0"/>
      <w:strike w:val="0"/>
      <w:dstrike w:val="0"/>
      <w:color w:val="FF8000"/>
      <w:spacing w:val="0"/>
      <w:sz w:val="28"/>
      <w:szCs w:val="28"/>
      <w:u w:val="single"/>
    </w:rPr>
  </w:style>
  <w:style w:type="character" w:customStyle="1" w:styleId="ListLabel2202">
    <w:name w:val="ListLabel 2202"/>
    <w:qFormat/>
    <w:rPr>
      <w:b w:val="0"/>
      <w:i w:val="0"/>
      <w:caps w:val="0"/>
      <w:smallCaps w:val="0"/>
      <w:color w:val="FF8000"/>
      <w:spacing w:val="0"/>
      <w:sz w:val="28"/>
      <w:szCs w:val="28"/>
      <w:u w:val="single"/>
    </w:rPr>
  </w:style>
  <w:style w:type="character" w:customStyle="1" w:styleId="ListLabel2203">
    <w:name w:val="ListLabel 2203"/>
    <w:qFormat/>
    <w:rPr>
      <w:rFonts w:eastAsia="Times New Roman" w:cs="Arial"/>
      <w:b w:val="0"/>
      <w:bCs/>
      <w:i w:val="0"/>
      <w:caps w:val="0"/>
      <w:smallCaps w:val="0"/>
      <w:strike w:val="0"/>
      <w:dstrike w:val="0"/>
      <w:color w:val="FF8000"/>
      <w:spacing w:val="0"/>
      <w:kern w:val="2"/>
      <w:sz w:val="28"/>
      <w:szCs w:val="28"/>
      <w:highlight w:val="yellow"/>
      <w:effect w:val="none"/>
    </w:rPr>
  </w:style>
  <w:style w:type="character" w:customStyle="1" w:styleId="ListLabel2204">
    <w:name w:val="ListLabel 2204"/>
    <w:qFormat/>
    <w:rPr>
      <w:rFonts w:eastAsia="Times New Roman" w:cs="Times New Roman"/>
      <w:b w:val="0"/>
      <w:bCs w:val="0"/>
      <w:i w:val="0"/>
      <w:caps w:val="0"/>
      <w:smallCaps w:val="0"/>
      <w:strike w:val="0"/>
      <w:dstrike w:val="0"/>
      <w:color w:val="3366CC"/>
      <w:spacing w:val="0"/>
      <w:kern w:val="2"/>
      <w:sz w:val="28"/>
      <w:szCs w:val="28"/>
      <w:highlight w:val="white"/>
      <w:u w:val="none"/>
      <w:effect w:val="none"/>
      <w:lang w:val="uk-UA" w:eastAsia="ru-RU"/>
    </w:rPr>
  </w:style>
  <w:style w:type="character" w:customStyle="1" w:styleId="ListLabel2205">
    <w:name w:val="ListLabel 2205"/>
    <w:qFormat/>
    <w:rPr>
      <w:sz w:val="28"/>
      <w:szCs w:val="28"/>
      <w:lang w:val="uk-UA"/>
    </w:rPr>
  </w:style>
  <w:style w:type="character" w:customStyle="1" w:styleId="ListLabel2206">
    <w:name w:val="ListLabel 2206"/>
    <w:qFormat/>
    <w:rPr>
      <w:b/>
      <w:bCs/>
      <w:color w:val="FF8000"/>
      <w:sz w:val="28"/>
      <w:szCs w:val="28"/>
      <w:highlight w:val="yellow"/>
      <w:lang w:val="ru-RU"/>
    </w:rPr>
  </w:style>
  <w:style w:type="character" w:customStyle="1" w:styleId="ListLabel2207">
    <w:name w:val="ListLabel 2207"/>
    <w:qFormat/>
    <w:rPr>
      <w:rFonts w:cs="OpenSymbol"/>
      <w:b w:val="0"/>
      <w:sz w:val="28"/>
    </w:rPr>
  </w:style>
  <w:style w:type="character" w:customStyle="1" w:styleId="ListLabel2208">
    <w:name w:val="ListLabel 2208"/>
    <w:qFormat/>
    <w:rPr>
      <w:rFonts w:cs="OpenSymbol"/>
    </w:rPr>
  </w:style>
  <w:style w:type="character" w:customStyle="1" w:styleId="ListLabel2209">
    <w:name w:val="ListLabel 2209"/>
    <w:qFormat/>
    <w:rPr>
      <w:rFonts w:cs="OpenSymbol"/>
    </w:rPr>
  </w:style>
  <w:style w:type="character" w:customStyle="1" w:styleId="ListLabel2210">
    <w:name w:val="ListLabel 2210"/>
    <w:qFormat/>
    <w:rPr>
      <w:rFonts w:cs="OpenSymbol"/>
    </w:rPr>
  </w:style>
  <w:style w:type="character" w:customStyle="1" w:styleId="ListLabel2211">
    <w:name w:val="ListLabel 2211"/>
    <w:qFormat/>
    <w:rPr>
      <w:rFonts w:cs="OpenSymbol"/>
    </w:rPr>
  </w:style>
  <w:style w:type="character" w:customStyle="1" w:styleId="ListLabel2212">
    <w:name w:val="ListLabel 2212"/>
    <w:qFormat/>
    <w:rPr>
      <w:rFonts w:cs="OpenSymbol"/>
    </w:rPr>
  </w:style>
  <w:style w:type="character" w:customStyle="1" w:styleId="ListLabel2213">
    <w:name w:val="ListLabel 2213"/>
    <w:qFormat/>
    <w:rPr>
      <w:rFonts w:cs="OpenSymbol"/>
    </w:rPr>
  </w:style>
  <w:style w:type="character" w:customStyle="1" w:styleId="ListLabel2214">
    <w:name w:val="ListLabel 2214"/>
    <w:qFormat/>
    <w:rPr>
      <w:rFonts w:cs="OpenSymbol"/>
    </w:rPr>
  </w:style>
  <w:style w:type="character" w:customStyle="1" w:styleId="ListLabel2215">
    <w:name w:val="ListLabel 2215"/>
    <w:qFormat/>
    <w:rPr>
      <w:rFonts w:cs="OpenSymbol"/>
    </w:rPr>
  </w:style>
  <w:style w:type="character" w:customStyle="1" w:styleId="ListLabel2216">
    <w:name w:val="ListLabel 2216"/>
    <w:qFormat/>
    <w:rPr>
      <w:rFonts w:cs="OpenSymbol"/>
      <w:b w:val="0"/>
      <w:sz w:val="28"/>
    </w:rPr>
  </w:style>
  <w:style w:type="character" w:customStyle="1" w:styleId="ListLabel2217">
    <w:name w:val="ListLabel 2217"/>
    <w:qFormat/>
    <w:rPr>
      <w:rFonts w:cs="OpenSymbol"/>
    </w:rPr>
  </w:style>
  <w:style w:type="character" w:customStyle="1" w:styleId="ListLabel2218">
    <w:name w:val="ListLabel 2218"/>
    <w:qFormat/>
    <w:rPr>
      <w:rFonts w:cs="OpenSymbol"/>
    </w:rPr>
  </w:style>
  <w:style w:type="character" w:customStyle="1" w:styleId="ListLabel2219">
    <w:name w:val="ListLabel 2219"/>
    <w:qFormat/>
    <w:rPr>
      <w:rFonts w:cs="OpenSymbol"/>
    </w:rPr>
  </w:style>
  <w:style w:type="character" w:customStyle="1" w:styleId="ListLabel2220">
    <w:name w:val="ListLabel 2220"/>
    <w:qFormat/>
    <w:rPr>
      <w:rFonts w:cs="OpenSymbol"/>
    </w:rPr>
  </w:style>
  <w:style w:type="character" w:customStyle="1" w:styleId="ListLabel2221">
    <w:name w:val="ListLabel 2221"/>
    <w:qFormat/>
    <w:rPr>
      <w:rFonts w:cs="OpenSymbol"/>
    </w:rPr>
  </w:style>
  <w:style w:type="character" w:customStyle="1" w:styleId="ListLabel2222">
    <w:name w:val="ListLabel 2222"/>
    <w:qFormat/>
    <w:rPr>
      <w:rFonts w:cs="OpenSymbol"/>
    </w:rPr>
  </w:style>
  <w:style w:type="character" w:customStyle="1" w:styleId="ListLabel2223">
    <w:name w:val="ListLabel 2223"/>
    <w:qFormat/>
    <w:rPr>
      <w:rFonts w:cs="OpenSymbol"/>
    </w:rPr>
  </w:style>
  <w:style w:type="character" w:customStyle="1" w:styleId="ListLabel2224">
    <w:name w:val="ListLabel 2224"/>
    <w:qFormat/>
    <w:rPr>
      <w:rFonts w:cs="OpenSymbol"/>
    </w:rPr>
  </w:style>
  <w:style w:type="character" w:customStyle="1" w:styleId="ListLabel2225">
    <w:name w:val="ListLabel 2225"/>
    <w:qFormat/>
    <w:rPr>
      <w:rFonts w:cs="OpenSymbol"/>
      <w:b w:val="0"/>
      <w:sz w:val="28"/>
    </w:rPr>
  </w:style>
  <w:style w:type="character" w:customStyle="1" w:styleId="ListLabel2226">
    <w:name w:val="ListLabel 2226"/>
    <w:qFormat/>
    <w:rPr>
      <w:rFonts w:cs="OpenSymbol"/>
    </w:rPr>
  </w:style>
  <w:style w:type="character" w:customStyle="1" w:styleId="ListLabel2227">
    <w:name w:val="ListLabel 2227"/>
    <w:qFormat/>
    <w:rPr>
      <w:rFonts w:cs="OpenSymbol"/>
    </w:rPr>
  </w:style>
  <w:style w:type="character" w:customStyle="1" w:styleId="ListLabel2228">
    <w:name w:val="ListLabel 2228"/>
    <w:qFormat/>
    <w:rPr>
      <w:rFonts w:cs="OpenSymbol"/>
    </w:rPr>
  </w:style>
  <w:style w:type="character" w:customStyle="1" w:styleId="ListLabel2229">
    <w:name w:val="ListLabel 2229"/>
    <w:qFormat/>
    <w:rPr>
      <w:rFonts w:cs="OpenSymbol"/>
    </w:rPr>
  </w:style>
  <w:style w:type="character" w:customStyle="1" w:styleId="ListLabel2230">
    <w:name w:val="ListLabel 2230"/>
    <w:qFormat/>
    <w:rPr>
      <w:rFonts w:cs="OpenSymbol"/>
    </w:rPr>
  </w:style>
  <w:style w:type="character" w:customStyle="1" w:styleId="ListLabel2231">
    <w:name w:val="ListLabel 2231"/>
    <w:qFormat/>
    <w:rPr>
      <w:rFonts w:cs="OpenSymbol"/>
    </w:rPr>
  </w:style>
  <w:style w:type="character" w:customStyle="1" w:styleId="ListLabel2232">
    <w:name w:val="ListLabel 2232"/>
    <w:qFormat/>
    <w:rPr>
      <w:rFonts w:cs="OpenSymbol"/>
    </w:rPr>
  </w:style>
  <w:style w:type="character" w:customStyle="1" w:styleId="ListLabel2233">
    <w:name w:val="ListLabel 2233"/>
    <w:qFormat/>
    <w:rPr>
      <w:rFonts w:cs="OpenSymbol"/>
    </w:rPr>
  </w:style>
  <w:style w:type="character" w:customStyle="1" w:styleId="ListLabel2234">
    <w:name w:val="ListLabel 2234"/>
    <w:qFormat/>
    <w:rPr>
      <w:rFonts w:cs="OpenSymbol"/>
    </w:rPr>
  </w:style>
  <w:style w:type="character" w:customStyle="1" w:styleId="ListLabel2235">
    <w:name w:val="ListLabel 2235"/>
    <w:qFormat/>
    <w:rPr>
      <w:rFonts w:cs="OpenSymbol"/>
    </w:rPr>
  </w:style>
  <w:style w:type="character" w:customStyle="1" w:styleId="ListLabel2236">
    <w:name w:val="ListLabel 2236"/>
    <w:qFormat/>
    <w:rPr>
      <w:rFonts w:cs="OpenSymbol"/>
    </w:rPr>
  </w:style>
  <w:style w:type="character" w:customStyle="1" w:styleId="ListLabel2237">
    <w:name w:val="ListLabel 2237"/>
    <w:qFormat/>
    <w:rPr>
      <w:rFonts w:cs="OpenSymbol"/>
    </w:rPr>
  </w:style>
  <w:style w:type="character" w:customStyle="1" w:styleId="ListLabel2238">
    <w:name w:val="ListLabel 2238"/>
    <w:qFormat/>
    <w:rPr>
      <w:rFonts w:cs="OpenSymbol"/>
    </w:rPr>
  </w:style>
  <w:style w:type="character" w:customStyle="1" w:styleId="ListLabel2239">
    <w:name w:val="ListLabel 2239"/>
    <w:qFormat/>
    <w:rPr>
      <w:rFonts w:cs="OpenSymbol"/>
    </w:rPr>
  </w:style>
  <w:style w:type="character" w:customStyle="1" w:styleId="ListLabel2240">
    <w:name w:val="ListLabel 2240"/>
    <w:qFormat/>
    <w:rPr>
      <w:rFonts w:cs="OpenSymbol"/>
    </w:rPr>
  </w:style>
  <w:style w:type="character" w:customStyle="1" w:styleId="ListLabel2241">
    <w:name w:val="ListLabel 2241"/>
    <w:qFormat/>
    <w:rPr>
      <w:rFonts w:cs="OpenSymbol"/>
    </w:rPr>
  </w:style>
  <w:style w:type="character" w:customStyle="1" w:styleId="ListLabel2242">
    <w:name w:val="ListLabel 2242"/>
    <w:qFormat/>
    <w:rPr>
      <w:rFonts w:cs="OpenSymbol"/>
    </w:rPr>
  </w:style>
  <w:style w:type="character" w:customStyle="1" w:styleId="ListLabel2243">
    <w:name w:val="ListLabel 2243"/>
    <w:qFormat/>
    <w:rPr>
      <w:rFonts w:cs="OpenSymbol"/>
    </w:rPr>
  </w:style>
  <w:style w:type="character" w:customStyle="1" w:styleId="ListLabel2244">
    <w:name w:val="ListLabel 2244"/>
    <w:qFormat/>
    <w:rPr>
      <w:rFonts w:cs="OpenSymbol"/>
    </w:rPr>
  </w:style>
  <w:style w:type="character" w:customStyle="1" w:styleId="ListLabel2245">
    <w:name w:val="ListLabel 2245"/>
    <w:qFormat/>
    <w:rPr>
      <w:rFonts w:cs="OpenSymbol"/>
    </w:rPr>
  </w:style>
  <w:style w:type="character" w:customStyle="1" w:styleId="ListLabel2246">
    <w:name w:val="ListLabel 2246"/>
    <w:qFormat/>
    <w:rPr>
      <w:rFonts w:cs="OpenSymbol"/>
    </w:rPr>
  </w:style>
  <w:style w:type="character" w:customStyle="1" w:styleId="ListLabel2247">
    <w:name w:val="ListLabel 2247"/>
    <w:qFormat/>
    <w:rPr>
      <w:rFonts w:cs="OpenSymbol"/>
    </w:rPr>
  </w:style>
  <w:style w:type="character" w:customStyle="1" w:styleId="ListLabel2248">
    <w:name w:val="ListLabel 2248"/>
    <w:qFormat/>
    <w:rPr>
      <w:rFonts w:cs="OpenSymbol"/>
    </w:rPr>
  </w:style>
  <w:style w:type="character" w:customStyle="1" w:styleId="ListLabel2249">
    <w:name w:val="ListLabel 2249"/>
    <w:qFormat/>
    <w:rPr>
      <w:rFonts w:cs="OpenSymbol"/>
    </w:rPr>
  </w:style>
  <w:style w:type="character" w:customStyle="1" w:styleId="ListLabel2250">
    <w:name w:val="ListLabel 2250"/>
    <w:qFormat/>
    <w:rPr>
      <w:rFonts w:cs="OpenSymbol"/>
    </w:rPr>
  </w:style>
  <w:style w:type="character" w:customStyle="1" w:styleId="ListLabel2251">
    <w:name w:val="ListLabel 2251"/>
    <w:qFormat/>
    <w:rPr>
      <w:rFonts w:cs="OpenSymbol"/>
    </w:rPr>
  </w:style>
  <w:style w:type="character" w:customStyle="1" w:styleId="ListLabel2252">
    <w:name w:val="ListLabel 2252"/>
    <w:qFormat/>
    <w:rPr>
      <w:rFonts w:cs="OpenSymbol"/>
    </w:rPr>
  </w:style>
  <w:style w:type="character" w:customStyle="1" w:styleId="ListLabel2253">
    <w:name w:val="ListLabel 2253"/>
    <w:qFormat/>
    <w:rPr>
      <w:rFonts w:cs="OpenSymbol"/>
    </w:rPr>
  </w:style>
  <w:style w:type="character" w:customStyle="1" w:styleId="ListLabel2254">
    <w:name w:val="ListLabel 2254"/>
    <w:qFormat/>
    <w:rPr>
      <w:rFonts w:cs="OpenSymbol"/>
    </w:rPr>
  </w:style>
  <w:style w:type="character" w:customStyle="1" w:styleId="ListLabel2255">
    <w:name w:val="ListLabel 2255"/>
    <w:qFormat/>
    <w:rPr>
      <w:rFonts w:cs="OpenSymbol"/>
    </w:rPr>
  </w:style>
  <w:style w:type="character" w:customStyle="1" w:styleId="ListLabel2256">
    <w:name w:val="ListLabel 2256"/>
    <w:qFormat/>
    <w:rPr>
      <w:rFonts w:cs="OpenSymbol"/>
    </w:rPr>
  </w:style>
  <w:style w:type="character" w:customStyle="1" w:styleId="ListLabel2257">
    <w:name w:val="ListLabel 2257"/>
    <w:qFormat/>
    <w:rPr>
      <w:rFonts w:cs="OpenSymbol"/>
    </w:rPr>
  </w:style>
  <w:style w:type="character" w:customStyle="1" w:styleId="ListLabel2258">
    <w:name w:val="ListLabel 2258"/>
    <w:qFormat/>
    <w:rPr>
      <w:rFonts w:cs="OpenSymbol"/>
    </w:rPr>
  </w:style>
  <w:style w:type="character" w:customStyle="1" w:styleId="ListLabel2259">
    <w:name w:val="ListLabel 2259"/>
    <w:qFormat/>
    <w:rPr>
      <w:rFonts w:cs="OpenSymbol"/>
    </w:rPr>
  </w:style>
  <w:style w:type="character" w:customStyle="1" w:styleId="ListLabel2260">
    <w:name w:val="ListLabel 2260"/>
    <w:qFormat/>
    <w:rPr>
      <w:rFonts w:cs="OpenSymbol"/>
    </w:rPr>
  </w:style>
  <w:style w:type="character" w:customStyle="1" w:styleId="ListLabel2261">
    <w:name w:val="ListLabel 2261"/>
    <w:qFormat/>
    <w:rPr>
      <w:rFonts w:cs="OpenSymbol"/>
    </w:rPr>
  </w:style>
  <w:style w:type="character" w:customStyle="1" w:styleId="ListLabel2262">
    <w:name w:val="ListLabel 2262"/>
    <w:qFormat/>
    <w:rPr>
      <w:rFonts w:cs="OpenSymbol"/>
    </w:rPr>
  </w:style>
  <w:style w:type="character" w:customStyle="1" w:styleId="ListLabel2263">
    <w:name w:val="ListLabel 2263"/>
    <w:qFormat/>
    <w:rPr>
      <w:rFonts w:cs="OpenSymbol"/>
    </w:rPr>
  </w:style>
  <w:style w:type="character" w:customStyle="1" w:styleId="ListLabel2264">
    <w:name w:val="ListLabel 2264"/>
    <w:qFormat/>
    <w:rPr>
      <w:rFonts w:cs="OpenSymbol"/>
    </w:rPr>
  </w:style>
  <w:style w:type="character" w:customStyle="1" w:styleId="ListLabel2265">
    <w:name w:val="ListLabel 2265"/>
    <w:qFormat/>
    <w:rPr>
      <w:rFonts w:cs="OpenSymbol"/>
    </w:rPr>
  </w:style>
  <w:style w:type="character" w:customStyle="1" w:styleId="ListLabel2266">
    <w:name w:val="ListLabel 2266"/>
    <w:qFormat/>
    <w:rPr>
      <w:rFonts w:cs="OpenSymbol"/>
    </w:rPr>
  </w:style>
  <w:style w:type="character" w:customStyle="1" w:styleId="ListLabel2267">
    <w:name w:val="ListLabel 2267"/>
    <w:qFormat/>
    <w:rPr>
      <w:rFonts w:cs="OpenSymbol"/>
    </w:rPr>
  </w:style>
  <w:style w:type="character" w:customStyle="1" w:styleId="ListLabel2268">
    <w:name w:val="ListLabel 2268"/>
    <w:qFormat/>
    <w:rPr>
      <w:rFonts w:cs="OpenSymbol"/>
    </w:rPr>
  </w:style>
  <w:style w:type="character" w:customStyle="1" w:styleId="ListLabel2269">
    <w:name w:val="ListLabel 2269"/>
    <w:qFormat/>
    <w:rPr>
      <w:rFonts w:cs="OpenSymbol"/>
    </w:rPr>
  </w:style>
  <w:style w:type="character" w:customStyle="1" w:styleId="ListLabel2270">
    <w:name w:val="ListLabel 2270"/>
    <w:qFormat/>
    <w:rPr>
      <w:rFonts w:cs="OpenSymbol"/>
    </w:rPr>
  </w:style>
  <w:style w:type="character" w:customStyle="1" w:styleId="ListLabel2271">
    <w:name w:val="ListLabel 2271"/>
    <w:qFormat/>
    <w:rPr>
      <w:rFonts w:cs="OpenSymbol"/>
    </w:rPr>
  </w:style>
  <w:style w:type="character" w:customStyle="1" w:styleId="ListLabel2272">
    <w:name w:val="ListLabel 2272"/>
    <w:qFormat/>
    <w:rPr>
      <w:rFonts w:cs="OpenSymbol"/>
    </w:rPr>
  </w:style>
  <w:style w:type="character" w:customStyle="1" w:styleId="ListLabel2273">
    <w:name w:val="ListLabel 2273"/>
    <w:qFormat/>
    <w:rPr>
      <w:rFonts w:cs="OpenSymbol"/>
    </w:rPr>
  </w:style>
  <w:style w:type="character" w:customStyle="1" w:styleId="ListLabel2274">
    <w:name w:val="ListLabel 2274"/>
    <w:qFormat/>
    <w:rPr>
      <w:rFonts w:cs="OpenSymbol"/>
    </w:rPr>
  </w:style>
  <w:style w:type="character" w:customStyle="1" w:styleId="ListLabel2275">
    <w:name w:val="ListLabel 2275"/>
    <w:qFormat/>
    <w:rPr>
      <w:rFonts w:cs="OpenSymbol"/>
    </w:rPr>
  </w:style>
  <w:style w:type="character" w:customStyle="1" w:styleId="ListLabel2276">
    <w:name w:val="ListLabel 2276"/>
    <w:qFormat/>
    <w:rPr>
      <w:rFonts w:cs="OpenSymbol"/>
    </w:rPr>
  </w:style>
  <w:style w:type="character" w:customStyle="1" w:styleId="ListLabel2277">
    <w:name w:val="ListLabel 2277"/>
    <w:qFormat/>
    <w:rPr>
      <w:rFonts w:cs="OpenSymbol"/>
    </w:rPr>
  </w:style>
  <w:style w:type="character" w:customStyle="1" w:styleId="ListLabel2278">
    <w:name w:val="ListLabel 2278"/>
    <w:qFormat/>
    <w:rPr>
      <w:rFonts w:cs="OpenSymbol"/>
    </w:rPr>
  </w:style>
  <w:style w:type="character" w:customStyle="1" w:styleId="ListLabel2279">
    <w:name w:val="ListLabel 2279"/>
    <w:qFormat/>
    <w:rPr>
      <w:rFonts w:cs="OpenSymbol"/>
    </w:rPr>
  </w:style>
  <w:style w:type="character" w:customStyle="1" w:styleId="ListLabel2280">
    <w:name w:val="ListLabel 2280"/>
    <w:qFormat/>
    <w:rPr>
      <w:rFonts w:cs="OpenSymbol"/>
    </w:rPr>
  </w:style>
  <w:style w:type="character" w:customStyle="1" w:styleId="ListLabel2281">
    <w:name w:val="ListLabel 2281"/>
    <w:qFormat/>
    <w:rPr>
      <w:rFonts w:cs="OpenSymbol"/>
    </w:rPr>
  </w:style>
  <w:style w:type="character" w:customStyle="1" w:styleId="ListLabel2282">
    <w:name w:val="ListLabel 2282"/>
    <w:qFormat/>
    <w:rPr>
      <w:rFonts w:cs="OpenSymbol"/>
    </w:rPr>
  </w:style>
  <w:style w:type="character" w:customStyle="1" w:styleId="ListLabel2283">
    <w:name w:val="ListLabel 2283"/>
    <w:qFormat/>
    <w:rPr>
      <w:rFonts w:cs="OpenSymbol"/>
    </w:rPr>
  </w:style>
  <w:style w:type="character" w:customStyle="1" w:styleId="ListLabel2284">
    <w:name w:val="ListLabel 2284"/>
    <w:qFormat/>
    <w:rPr>
      <w:rFonts w:cs="OpenSymbol"/>
    </w:rPr>
  </w:style>
  <w:style w:type="character" w:customStyle="1" w:styleId="ListLabel2285">
    <w:name w:val="ListLabel 2285"/>
    <w:qFormat/>
    <w:rPr>
      <w:rFonts w:cs="OpenSymbol"/>
    </w:rPr>
  </w:style>
  <w:style w:type="character" w:customStyle="1" w:styleId="ListLabel2286">
    <w:name w:val="ListLabel 2286"/>
    <w:qFormat/>
    <w:rPr>
      <w:rFonts w:cs="OpenSymbol"/>
    </w:rPr>
  </w:style>
  <w:style w:type="character" w:customStyle="1" w:styleId="ListLabel2287">
    <w:name w:val="ListLabel 2287"/>
    <w:qFormat/>
    <w:rPr>
      <w:rFonts w:cs="OpenSymbol"/>
    </w:rPr>
  </w:style>
  <w:style w:type="character" w:customStyle="1" w:styleId="ListLabel2288">
    <w:name w:val="ListLabel 2288"/>
    <w:qFormat/>
    <w:rPr>
      <w:rFonts w:cs="OpenSymbol"/>
    </w:rPr>
  </w:style>
  <w:style w:type="character" w:customStyle="1" w:styleId="ListLabel2289">
    <w:name w:val="ListLabel 2289"/>
    <w:qFormat/>
    <w:rPr>
      <w:rFonts w:cs="OpenSymbol"/>
    </w:rPr>
  </w:style>
  <w:style w:type="character" w:customStyle="1" w:styleId="ListLabel2290">
    <w:name w:val="ListLabel 2290"/>
    <w:qFormat/>
    <w:rPr>
      <w:rFonts w:cs="OpenSymbol"/>
    </w:rPr>
  </w:style>
  <w:style w:type="character" w:customStyle="1" w:styleId="ListLabel2291">
    <w:name w:val="ListLabel 2291"/>
    <w:qFormat/>
    <w:rPr>
      <w:rFonts w:cs="OpenSymbol"/>
    </w:rPr>
  </w:style>
  <w:style w:type="character" w:customStyle="1" w:styleId="ListLabel2292">
    <w:name w:val="ListLabel 2292"/>
    <w:qFormat/>
    <w:rPr>
      <w:rFonts w:cs="OpenSymbol"/>
    </w:rPr>
  </w:style>
  <w:style w:type="character" w:customStyle="1" w:styleId="ListLabel2293">
    <w:name w:val="ListLabel 2293"/>
    <w:qFormat/>
    <w:rPr>
      <w:rFonts w:cs="OpenSymbol"/>
    </w:rPr>
  </w:style>
  <w:style w:type="character" w:customStyle="1" w:styleId="ListLabel2294">
    <w:name w:val="ListLabel 2294"/>
    <w:qFormat/>
    <w:rPr>
      <w:rFonts w:cs="OpenSymbol"/>
    </w:rPr>
  </w:style>
  <w:style w:type="character" w:customStyle="1" w:styleId="ListLabel2295">
    <w:name w:val="ListLabel 2295"/>
    <w:qFormat/>
    <w:rPr>
      <w:rFonts w:cs="OpenSymbol"/>
    </w:rPr>
  </w:style>
  <w:style w:type="character" w:customStyle="1" w:styleId="ListLabel2296">
    <w:name w:val="ListLabel 2296"/>
    <w:qFormat/>
    <w:rPr>
      <w:rFonts w:cs="OpenSymbol"/>
    </w:rPr>
  </w:style>
  <w:style w:type="character" w:customStyle="1" w:styleId="ListLabel2297">
    <w:name w:val="ListLabel 2297"/>
    <w:qFormat/>
    <w:rPr>
      <w:rFonts w:cs="OpenSymbol"/>
    </w:rPr>
  </w:style>
  <w:style w:type="character" w:customStyle="1" w:styleId="ListLabel2298">
    <w:name w:val="ListLabel 2298"/>
    <w:qFormat/>
    <w:rPr>
      <w:rFonts w:cs="OpenSymbol"/>
    </w:rPr>
  </w:style>
  <w:style w:type="character" w:customStyle="1" w:styleId="ListLabel2299">
    <w:name w:val="ListLabel 2299"/>
    <w:qFormat/>
    <w:rPr>
      <w:rFonts w:cs="OpenSymbol"/>
    </w:rPr>
  </w:style>
  <w:style w:type="character" w:customStyle="1" w:styleId="ListLabel2300">
    <w:name w:val="ListLabel 2300"/>
    <w:qFormat/>
    <w:rPr>
      <w:rFonts w:cs="OpenSymbol"/>
    </w:rPr>
  </w:style>
  <w:style w:type="character" w:customStyle="1" w:styleId="ListLabel2301">
    <w:name w:val="ListLabel 2301"/>
    <w:qFormat/>
    <w:rPr>
      <w:rFonts w:cs="OpenSymbol"/>
    </w:rPr>
  </w:style>
  <w:style w:type="character" w:customStyle="1" w:styleId="ListLabel2302">
    <w:name w:val="ListLabel 2302"/>
    <w:qFormat/>
    <w:rPr>
      <w:rFonts w:cs="OpenSymbol"/>
    </w:rPr>
  </w:style>
  <w:style w:type="character" w:customStyle="1" w:styleId="ListLabel2303">
    <w:name w:val="ListLabel 2303"/>
    <w:qFormat/>
    <w:rPr>
      <w:rFonts w:cs="OpenSymbol"/>
    </w:rPr>
  </w:style>
  <w:style w:type="character" w:customStyle="1" w:styleId="ListLabel2304">
    <w:name w:val="ListLabel 2304"/>
    <w:qFormat/>
    <w:rPr>
      <w:rFonts w:cs="OpenSymbol"/>
    </w:rPr>
  </w:style>
  <w:style w:type="character" w:customStyle="1" w:styleId="ListLabel2305">
    <w:name w:val="ListLabel 2305"/>
    <w:qFormat/>
    <w:rPr>
      <w:rFonts w:cs="OpenSymbol"/>
    </w:rPr>
  </w:style>
  <w:style w:type="character" w:customStyle="1" w:styleId="ListLabel2306">
    <w:name w:val="ListLabel 2306"/>
    <w:qFormat/>
    <w:rPr>
      <w:rFonts w:cs="OpenSymbol"/>
    </w:rPr>
  </w:style>
  <w:style w:type="character" w:customStyle="1" w:styleId="ListLabel2307">
    <w:name w:val="ListLabel 2307"/>
    <w:qFormat/>
    <w:rPr>
      <w:rFonts w:cs="OpenSymbol"/>
    </w:rPr>
  </w:style>
  <w:style w:type="character" w:customStyle="1" w:styleId="ListLabel2308">
    <w:name w:val="ListLabel 2308"/>
    <w:qFormat/>
    <w:rPr>
      <w:rFonts w:cs="OpenSymbol"/>
    </w:rPr>
  </w:style>
  <w:style w:type="character" w:customStyle="1" w:styleId="ListLabel2309">
    <w:name w:val="ListLabel 2309"/>
    <w:qFormat/>
    <w:rPr>
      <w:rFonts w:cs="OpenSymbol"/>
    </w:rPr>
  </w:style>
  <w:style w:type="character" w:customStyle="1" w:styleId="ListLabel2310">
    <w:name w:val="ListLabel 2310"/>
    <w:qFormat/>
    <w:rPr>
      <w:rFonts w:cs="OpenSymbol"/>
    </w:rPr>
  </w:style>
  <w:style w:type="character" w:customStyle="1" w:styleId="ListLabel2311">
    <w:name w:val="ListLabel 2311"/>
    <w:qFormat/>
    <w:rPr>
      <w:rFonts w:cs="OpenSymbol"/>
    </w:rPr>
  </w:style>
  <w:style w:type="character" w:customStyle="1" w:styleId="ListLabel2312">
    <w:name w:val="ListLabel 2312"/>
    <w:qFormat/>
    <w:rPr>
      <w:rFonts w:cs="OpenSymbol"/>
    </w:rPr>
  </w:style>
  <w:style w:type="character" w:customStyle="1" w:styleId="ListLabel2313">
    <w:name w:val="ListLabel 2313"/>
    <w:qFormat/>
    <w:rPr>
      <w:rFonts w:cs="OpenSymbol"/>
    </w:rPr>
  </w:style>
  <w:style w:type="character" w:customStyle="1" w:styleId="ListLabel2314">
    <w:name w:val="ListLabel 2314"/>
    <w:qFormat/>
    <w:rPr>
      <w:rFonts w:cs="OpenSymbol"/>
    </w:rPr>
  </w:style>
  <w:style w:type="character" w:customStyle="1" w:styleId="ListLabel2315">
    <w:name w:val="ListLabel 2315"/>
    <w:qFormat/>
    <w:rPr>
      <w:rFonts w:cs="OpenSymbol"/>
    </w:rPr>
  </w:style>
  <w:style w:type="character" w:customStyle="1" w:styleId="ListLabel2316">
    <w:name w:val="ListLabel 2316"/>
    <w:qFormat/>
    <w:rPr>
      <w:rFonts w:cs="OpenSymbol"/>
    </w:rPr>
  </w:style>
  <w:style w:type="character" w:customStyle="1" w:styleId="ListLabel2317">
    <w:name w:val="ListLabel 2317"/>
    <w:qFormat/>
    <w:rPr>
      <w:rFonts w:cs="OpenSymbol"/>
    </w:rPr>
  </w:style>
  <w:style w:type="character" w:customStyle="1" w:styleId="ListLabel2318">
    <w:name w:val="ListLabel 2318"/>
    <w:qFormat/>
    <w:rPr>
      <w:rFonts w:cs="OpenSymbol"/>
    </w:rPr>
  </w:style>
  <w:style w:type="character" w:customStyle="1" w:styleId="ListLabel2319">
    <w:name w:val="ListLabel 2319"/>
    <w:qFormat/>
    <w:rPr>
      <w:rFonts w:cs="OpenSymbol"/>
    </w:rPr>
  </w:style>
  <w:style w:type="character" w:customStyle="1" w:styleId="ListLabel2320">
    <w:name w:val="ListLabel 2320"/>
    <w:qFormat/>
    <w:rPr>
      <w:rFonts w:cs="OpenSymbol"/>
    </w:rPr>
  </w:style>
  <w:style w:type="character" w:customStyle="1" w:styleId="ListLabel2321">
    <w:name w:val="ListLabel 2321"/>
    <w:qFormat/>
    <w:rPr>
      <w:rFonts w:cs="OpenSymbol"/>
    </w:rPr>
  </w:style>
  <w:style w:type="character" w:customStyle="1" w:styleId="ListLabel2322">
    <w:name w:val="ListLabel 2322"/>
    <w:qFormat/>
    <w:rPr>
      <w:rFonts w:cs="OpenSymbol"/>
    </w:rPr>
  </w:style>
  <w:style w:type="character" w:customStyle="1" w:styleId="ListLabel2323">
    <w:name w:val="ListLabel 2323"/>
    <w:qFormat/>
    <w:rPr>
      <w:rFonts w:cs="OpenSymbol"/>
    </w:rPr>
  </w:style>
  <w:style w:type="character" w:customStyle="1" w:styleId="ListLabel2324">
    <w:name w:val="ListLabel 2324"/>
    <w:qFormat/>
    <w:rPr>
      <w:rFonts w:cs="OpenSymbol"/>
    </w:rPr>
  </w:style>
  <w:style w:type="character" w:customStyle="1" w:styleId="ListLabel2325">
    <w:name w:val="ListLabel 2325"/>
    <w:qFormat/>
    <w:rPr>
      <w:rFonts w:cs="OpenSymbol"/>
    </w:rPr>
  </w:style>
  <w:style w:type="character" w:customStyle="1" w:styleId="ListLabel2326">
    <w:name w:val="ListLabel 2326"/>
    <w:qFormat/>
    <w:rPr>
      <w:rFonts w:cs="OpenSymbol"/>
    </w:rPr>
  </w:style>
  <w:style w:type="character" w:customStyle="1" w:styleId="ListLabel2327">
    <w:name w:val="ListLabel 2327"/>
    <w:qFormat/>
    <w:rPr>
      <w:rFonts w:cs="OpenSymbol"/>
    </w:rPr>
  </w:style>
  <w:style w:type="character" w:customStyle="1" w:styleId="ListLabel2328">
    <w:name w:val="ListLabel 2328"/>
    <w:qFormat/>
    <w:rPr>
      <w:rFonts w:cs="OpenSymbol"/>
    </w:rPr>
  </w:style>
  <w:style w:type="character" w:customStyle="1" w:styleId="ListLabel2329">
    <w:name w:val="ListLabel 2329"/>
    <w:qFormat/>
    <w:rPr>
      <w:rFonts w:cs="OpenSymbol"/>
    </w:rPr>
  </w:style>
  <w:style w:type="character" w:customStyle="1" w:styleId="ListLabel2330">
    <w:name w:val="ListLabel 2330"/>
    <w:qFormat/>
    <w:rPr>
      <w:rFonts w:cs="OpenSymbol"/>
    </w:rPr>
  </w:style>
  <w:style w:type="character" w:customStyle="1" w:styleId="ListLabel2331">
    <w:name w:val="ListLabel 2331"/>
    <w:qFormat/>
    <w:rPr>
      <w:rFonts w:cs="OpenSymbol"/>
    </w:rPr>
  </w:style>
  <w:style w:type="character" w:customStyle="1" w:styleId="ListLabel2332">
    <w:name w:val="ListLabel 2332"/>
    <w:qFormat/>
    <w:rPr>
      <w:rFonts w:cs="OpenSymbol"/>
    </w:rPr>
  </w:style>
  <w:style w:type="character" w:customStyle="1" w:styleId="ListLabel2333">
    <w:name w:val="ListLabel 2333"/>
    <w:qFormat/>
    <w:rPr>
      <w:rFonts w:cs="OpenSymbol"/>
    </w:rPr>
  </w:style>
  <w:style w:type="character" w:customStyle="1" w:styleId="ListLabel2334">
    <w:name w:val="ListLabel 2334"/>
    <w:qFormat/>
    <w:rPr>
      <w:rFonts w:cs="OpenSymbol"/>
    </w:rPr>
  </w:style>
  <w:style w:type="character" w:customStyle="1" w:styleId="ListLabel2335">
    <w:name w:val="ListLabel 2335"/>
    <w:qFormat/>
    <w:rPr>
      <w:rFonts w:cs="OpenSymbol"/>
    </w:rPr>
  </w:style>
  <w:style w:type="character" w:customStyle="1" w:styleId="ListLabel2336">
    <w:name w:val="ListLabel 2336"/>
    <w:qFormat/>
    <w:rPr>
      <w:rFonts w:cs="OpenSymbol"/>
    </w:rPr>
  </w:style>
  <w:style w:type="character" w:customStyle="1" w:styleId="ListLabel2337">
    <w:name w:val="ListLabel 2337"/>
    <w:qFormat/>
    <w:rPr>
      <w:rFonts w:cs="OpenSymbol"/>
    </w:rPr>
  </w:style>
  <w:style w:type="character" w:customStyle="1" w:styleId="ListLabel2338">
    <w:name w:val="ListLabel 2338"/>
    <w:qFormat/>
    <w:rPr>
      <w:rFonts w:cs="OpenSymbol"/>
    </w:rPr>
  </w:style>
  <w:style w:type="character" w:customStyle="1" w:styleId="ListLabel2339">
    <w:name w:val="ListLabel 2339"/>
    <w:qFormat/>
    <w:rPr>
      <w:rFonts w:cs="OpenSymbol"/>
    </w:rPr>
  </w:style>
  <w:style w:type="character" w:customStyle="1" w:styleId="ListLabel2340">
    <w:name w:val="ListLabel 2340"/>
    <w:qFormat/>
    <w:rPr>
      <w:rFonts w:cs="OpenSymbol"/>
    </w:rPr>
  </w:style>
  <w:style w:type="character" w:customStyle="1" w:styleId="ListLabel2341">
    <w:name w:val="ListLabel 2341"/>
    <w:qFormat/>
    <w:rPr>
      <w:rFonts w:cs="OpenSymbol"/>
    </w:rPr>
  </w:style>
  <w:style w:type="character" w:customStyle="1" w:styleId="ListLabel2342">
    <w:name w:val="ListLabel 2342"/>
    <w:qFormat/>
    <w:rPr>
      <w:rFonts w:cs="OpenSymbol"/>
    </w:rPr>
  </w:style>
  <w:style w:type="character" w:customStyle="1" w:styleId="ListLabel2343">
    <w:name w:val="ListLabel 2343"/>
    <w:qFormat/>
    <w:rPr>
      <w:rFonts w:cs="OpenSymbol"/>
    </w:rPr>
  </w:style>
  <w:style w:type="character" w:customStyle="1" w:styleId="ListLabel2344">
    <w:name w:val="ListLabel 2344"/>
    <w:qFormat/>
    <w:rPr>
      <w:rFonts w:cs="OpenSymbol"/>
    </w:rPr>
  </w:style>
  <w:style w:type="character" w:customStyle="1" w:styleId="ListLabel2345">
    <w:name w:val="ListLabel 2345"/>
    <w:qFormat/>
    <w:rPr>
      <w:rFonts w:cs="OpenSymbol"/>
    </w:rPr>
  </w:style>
  <w:style w:type="character" w:customStyle="1" w:styleId="ListLabel2346">
    <w:name w:val="ListLabel 2346"/>
    <w:qFormat/>
    <w:rPr>
      <w:rFonts w:cs="OpenSymbol"/>
    </w:rPr>
  </w:style>
  <w:style w:type="character" w:customStyle="1" w:styleId="ListLabel2347">
    <w:name w:val="ListLabel 2347"/>
    <w:qFormat/>
    <w:rPr>
      <w:rFonts w:cs="OpenSymbol"/>
    </w:rPr>
  </w:style>
  <w:style w:type="character" w:customStyle="1" w:styleId="ListLabel2348">
    <w:name w:val="ListLabel 2348"/>
    <w:qFormat/>
    <w:rPr>
      <w:rFonts w:cs="OpenSymbol"/>
    </w:rPr>
  </w:style>
  <w:style w:type="character" w:customStyle="1" w:styleId="ListLabel2349">
    <w:name w:val="ListLabel 2349"/>
    <w:qFormat/>
    <w:rPr>
      <w:rFonts w:cs="OpenSymbol"/>
    </w:rPr>
  </w:style>
  <w:style w:type="character" w:customStyle="1" w:styleId="ListLabel2350">
    <w:name w:val="ListLabel 2350"/>
    <w:qFormat/>
    <w:rPr>
      <w:rFonts w:cs="OpenSymbol"/>
    </w:rPr>
  </w:style>
  <w:style w:type="character" w:customStyle="1" w:styleId="ListLabel2351">
    <w:name w:val="ListLabel 2351"/>
    <w:qFormat/>
    <w:rPr>
      <w:rFonts w:cs="OpenSymbol"/>
    </w:rPr>
  </w:style>
  <w:style w:type="character" w:customStyle="1" w:styleId="ListLabel2352">
    <w:name w:val="ListLabel 2352"/>
    <w:qFormat/>
    <w:rPr>
      <w:rFonts w:cs="OpenSymbol"/>
    </w:rPr>
  </w:style>
  <w:style w:type="character" w:customStyle="1" w:styleId="ListLabel2353">
    <w:name w:val="ListLabel 2353"/>
    <w:qFormat/>
    <w:rPr>
      <w:rFonts w:cs="OpenSymbol"/>
    </w:rPr>
  </w:style>
  <w:style w:type="character" w:customStyle="1" w:styleId="ListLabel2354">
    <w:name w:val="ListLabel 2354"/>
    <w:qFormat/>
    <w:rPr>
      <w:rFonts w:cs="OpenSymbol"/>
    </w:rPr>
  </w:style>
  <w:style w:type="character" w:customStyle="1" w:styleId="ListLabel2355">
    <w:name w:val="ListLabel 2355"/>
    <w:qFormat/>
    <w:rPr>
      <w:rFonts w:cs="OpenSymbol"/>
    </w:rPr>
  </w:style>
  <w:style w:type="character" w:customStyle="1" w:styleId="ListLabel2356">
    <w:name w:val="ListLabel 2356"/>
    <w:qFormat/>
    <w:rPr>
      <w:rFonts w:cs="OpenSymbol"/>
    </w:rPr>
  </w:style>
  <w:style w:type="character" w:customStyle="1" w:styleId="ListLabel2357">
    <w:name w:val="ListLabel 2357"/>
    <w:qFormat/>
    <w:rPr>
      <w:rFonts w:cs="OpenSymbol"/>
    </w:rPr>
  </w:style>
  <w:style w:type="character" w:customStyle="1" w:styleId="ListLabel2358">
    <w:name w:val="ListLabel 2358"/>
    <w:qFormat/>
    <w:rPr>
      <w:rFonts w:cs="OpenSymbol"/>
    </w:rPr>
  </w:style>
  <w:style w:type="character" w:customStyle="1" w:styleId="ListLabel2359">
    <w:name w:val="ListLabel 2359"/>
    <w:qFormat/>
    <w:rPr>
      <w:rFonts w:cs="OpenSymbol"/>
    </w:rPr>
  </w:style>
  <w:style w:type="character" w:customStyle="1" w:styleId="ListLabel2360">
    <w:name w:val="ListLabel 2360"/>
    <w:qFormat/>
    <w:rPr>
      <w:rFonts w:cs="OpenSymbol"/>
    </w:rPr>
  </w:style>
  <w:style w:type="character" w:customStyle="1" w:styleId="ListLabel2361">
    <w:name w:val="ListLabel 2361"/>
    <w:qFormat/>
    <w:rPr>
      <w:rFonts w:cs="OpenSymbol"/>
    </w:rPr>
  </w:style>
  <w:style w:type="character" w:customStyle="1" w:styleId="ListLabel2362">
    <w:name w:val="ListLabel 2362"/>
    <w:qFormat/>
    <w:rPr>
      <w:rFonts w:cs="OpenSymbol"/>
    </w:rPr>
  </w:style>
  <w:style w:type="character" w:customStyle="1" w:styleId="ListLabel2363">
    <w:name w:val="ListLabel 2363"/>
    <w:qFormat/>
    <w:rPr>
      <w:rFonts w:cs="OpenSymbol"/>
    </w:rPr>
  </w:style>
  <w:style w:type="character" w:customStyle="1" w:styleId="ListLabel2364">
    <w:name w:val="ListLabel 2364"/>
    <w:qFormat/>
    <w:rPr>
      <w:rFonts w:cs="OpenSymbol"/>
    </w:rPr>
  </w:style>
  <w:style w:type="character" w:customStyle="1" w:styleId="ListLabel2365">
    <w:name w:val="ListLabel 2365"/>
    <w:qFormat/>
    <w:rPr>
      <w:rFonts w:cs="OpenSymbol"/>
    </w:rPr>
  </w:style>
  <w:style w:type="character" w:customStyle="1" w:styleId="ListLabel2366">
    <w:name w:val="ListLabel 2366"/>
    <w:qFormat/>
    <w:rPr>
      <w:rFonts w:cs="OpenSymbol"/>
    </w:rPr>
  </w:style>
  <w:style w:type="character" w:customStyle="1" w:styleId="ListLabel2367">
    <w:name w:val="ListLabel 2367"/>
    <w:qFormat/>
    <w:rPr>
      <w:rFonts w:cs="OpenSymbol"/>
    </w:rPr>
  </w:style>
  <w:style w:type="character" w:customStyle="1" w:styleId="ListLabel2368">
    <w:name w:val="ListLabel 2368"/>
    <w:qFormat/>
    <w:rPr>
      <w:rFonts w:cs="OpenSymbol"/>
    </w:rPr>
  </w:style>
  <w:style w:type="character" w:customStyle="1" w:styleId="ListLabel2369">
    <w:name w:val="ListLabel 2369"/>
    <w:qFormat/>
    <w:rPr>
      <w:rFonts w:cs="OpenSymbol"/>
    </w:rPr>
  </w:style>
  <w:style w:type="character" w:customStyle="1" w:styleId="ListLabel2370">
    <w:name w:val="ListLabel 2370"/>
    <w:qFormat/>
    <w:rPr>
      <w:rFonts w:cs="OpenSymbol"/>
    </w:rPr>
  </w:style>
  <w:style w:type="character" w:customStyle="1" w:styleId="ListLabel2371">
    <w:name w:val="ListLabel 2371"/>
    <w:qFormat/>
    <w:rPr>
      <w:rFonts w:cs="OpenSymbol"/>
    </w:rPr>
  </w:style>
  <w:style w:type="character" w:customStyle="1" w:styleId="ListLabel2372">
    <w:name w:val="ListLabel 2372"/>
    <w:qFormat/>
    <w:rPr>
      <w:rFonts w:cs="OpenSymbol"/>
    </w:rPr>
  </w:style>
  <w:style w:type="character" w:customStyle="1" w:styleId="ListLabel2373">
    <w:name w:val="ListLabel 2373"/>
    <w:qFormat/>
    <w:rPr>
      <w:rFonts w:cs="OpenSymbol"/>
    </w:rPr>
  </w:style>
  <w:style w:type="character" w:customStyle="1" w:styleId="ListLabel2374">
    <w:name w:val="ListLabel 2374"/>
    <w:qFormat/>
    <w:rPr>
      <w:rFonts w:cs="OpenSymbol"/>
    </w:rPr>
  </w:style>
  <w:style w:type="character" w:customStyle="1" w:styleId="ListLabel2375">
    <w:name w:val="ListLabel 2375"/>
    <w:qFormat/>
    <w:rPr>
      <w:rFonts w:cs="OpenSymbol"/>
    </w:rPr>
  </w:style>
  <w:style w:type="character" w:customStyle="1" w:styleId="ListLabel2376">
    <w:name w:val="ListLabel 2376"/>
    <w:qFormat/>
    <w:rPr>
      <w:rFonts w:cs="OpenSymbol"/>
    </w:rPr>
  </w:style>
  <w:style w:type="character" w:customStyle="1" w:styleId="ListLabel2377">
    <w:name w:val="ListLabel 2377"/>
    <w:qFormat/>
    <w:rPr>
      <w:rFonts w:cs="OpenSymbol"/>
    </w:rPr>
  </w:style>
  <w:style w:type="character" w:customStyle="1" w:styleId="ListLabel2378">
    <w:name w:val="ListLabel 2378"/>
    <w:qFormat/>
    <w:rPr>
      <w:rFonts w:cs="OpenSymbol"/>
    </w:rPr>
  </w:style>
  <w:style w:type="character" w:customStyle="1" w:styleId="ListLabel2379">
    <w:name w:val="ListLabel 2379"/>
    <w:qFormat/>
    <w:rPr>
      <w:rFonts w:cs="OpenSymbol"/>
    </w:rPr>
  </w:style>
  <w:style w:type="character" w:customStyle="1" w:styleId="ListLabel2380">
    <w:name w:val="ListLabel 2380"/>
    <w:qFormat/>
    <w:rPr>
      <w:rFonts w:cs="OpenSymbol"/>
    </w:rPr>
  </w:style>
  <w:style w:type="character" w:customStyle="1" w:styleId="ListLabel2381">
    <w:name w:val="ListLabel 2381"/>
    <w:qFormat/>
    <w:rPr>
      <w:rFonts w:cs="OpenSymbol"/>
    </w:rPr>
  </w:style>
  <w:style w:type="character" w:customStyle="1" w:styleId="ListLabel2382">
    <w:name w:val="ListLabel 2382"/>
    <w:qFormat/>
    <w:rPr>
      <w:rFonts w:cs="OpenSymbol"/>
    </w:rPr>
  </w:style>
  <w:style w:type="character" w:customStyle="1" w:styleId="ListLabel2383">
    <w:name w:val="ListLabel 2383"/>
    <w:qFormat/>
    <w:rPr>
      <w:rFonts w:cs="OpenSymbol"/>
    </w:rPr>
  </w:style>
  <w:style w:type="character" w:customStyle="1" w:styleId="ListLabel2384">
    <w:name w:val="ListLabel 2384"/>
    <w:qFormat/>
    <w:rPr>
      <w:rFonts w:cs="OpenSymbol"/>
    </w:rPr>
  </w:style>
  <w:style w:type="character" w:customStyle="1" w:styleId="ListLabel2385">
    <w:name w:val="ListLabel 2385"/>
    <w:qFormat/>
    <w:rPr>
      <w:rFonts w:cs="OpenSymbol"/>
    </w:rPr>
  </w:style>
  <w:style w:type="character" w:customStyle="1" w:styleId="ListLabel2386">
    <w:name w:val="ListLabel 2386"/>
    <w:qFormat/>
    <w:rPr>
      <w:rFonts w:cs="OpenSymbol"/>
    </w:rPr>
  </w:style>
  <w:style w:type="character" w:customStyle="1" w:styleId="ListLabel2387">
    <w:name w:val="ListLabel 2387"/>
    <w:qFormat/>
    <w:rPr>
      <w:rFonts w:cs="OpenSymbol"/>
    </w:rPr>
  </w:style>
  <w:style w:type="character" w:customStyle="1" w:styleId="ListLabel2388">
    <w:name w:val="ListLabel 2388"/>
    <w:qFormat/>
    <w:rPr>
      <w:rFonts w:cs="OpenSymbol"/>
    </w:rPr>
  </w:style>
  <w:style w:type="character" w:customStyle="1" w:styleId="ListLabel2389">
    <w:name w:val="ListLabel 2389"/>
    <w:qFormat/>
    <w:rPr>
      <w:rFonts w:cs="OpenSymbol"/>
    </w:rPr>
  </w:style>
  <w:style w:type="character" w:customStyle="1" w:styleId="ListLabel2390">
    <w:name w:val="ListLabel 2390"/>
    <w:qFormat/>
    <w:rPr>
      <w:rFonts w:cs="OpenSymbol"/>
    </w:rPr>
  </w:style>
  <w:style w:type="character" w:customStyle="1" w:styleId="ListLabel2391">
    <w:name w:val="ListLabel 2391"/>
    <w:qFormat/>
    <w:rPr>
      <w:rFonts w:cs="OpenSymbol"/>
    </w:rPr>
  </w:style>
  <w:style w:type="character" w:customStyle="1" w:styleId="ListLabel2392">
    <w:name w:val="ListLabel 2392"/>
    <w:qFormat/>
    <w:rPr>
      <w:rFonts w:cs="OpenSymbol"/>
    </w:rPr>
  </w:style>
  <w:style w:type="character" w:customStyle="1" w:styleId="ListLabel2393">
    <w:name w:val="ListLabel 2393"/>
    <w:qFormat/>
    <w:rPr>
      <w:rFonts w:cs="OpenSymbol"/>
    </w:rPr>
  </w:style>
  <w:style w:type="character" w:customStyle="1" w:styleId="ListLabel2394">
    <w:name w:val="ListLabel 2394"/>
    <w:qFormat/>
    <w:rPr>
      <w:rFonts w:cs="OpenSymbol"/>
    </w:rPr>
  </w:style>
  <w:style w:type="character" w:customStyle="1" w:styleId="ListLabel2395">
    <w:name w:val="ListLabel 2395"/>
    <w:qFormat/>
    <w:rPr>
      <w:rFonts w:eastAsia="Calibri"/>
      <w:color w:val="000000"/>
      <w:sz w:val="28"/>
      <w:u w:val="none"/>
    </w:rPr>
  </w:style>
  <w:style w:type="character" w:customStyle="1" w:styleId="ListLabel2396">
    <w:name w:val="ListLabel 2396"/>
    <w:qFormat/>
    <w:rPr>
      <w:rFonts w:eastAsia="Calibri"/>
      <w:color w:val="000000"/>
      <w:sz w:val="28"/>
      <w:u w:val="none"/>
      <w:lang w:val="en-US"/>
    </w:rPr>
  </w:style>
  <w:style w:type="character" w:customStyle="1" w:styleId="ListLabel2397">
    <w:name w:val="ListLabel 2397"/>
    <w:qFormat/>
    <w:rPr>
      <w:rFonts w:eastAsia="Calibri"/>
      <w:color w:val="000000"/>
      <w:sz w:val="28"/>
      <w:u w:val="none"/>
      <w:lang w:val="uk-UA"/>
    </w:rPr>
  </w:style>
  <w:style w:type="character" w:customStyle="1" w:styleId="ListLabel2398">
    <w:name w:val="ListLabel 2398"/>
    <w:qFormat/>
    <w:rPr>
      <w:color w:val="000000"/>
      <w:sz w:val="28"/>
      <w:u w:val="none"/>
    </w:rPr>
  </w:style>
  <w:style w:type="character" w:customStyle="1" w:styleId="ListLabel2399">
    <w:name w:val="ListLabel 2399"/>
    <w:qFormat/>
    <w:rPr>
      <w:rFonts w:eastAsia="Calibri"/>
      <w:color w:val="C9211E"/>
      <w:sz w:val="28"/>
    </w:rPr>
  </w:style>
  <w:style w:type="character" w:customStyle="1" w:styleId="ListLabel2400">
    <w:name w:val="ListLabel 2400"/>
    <w:qFormat/>
    <w:rPr>
      <w:rFonts w:eastAsia="Calibri" w:cs="Times New Roman"/>
      <w:b/>
      <w:bCs/>
      <w:kern w:val="2"/>
      <w:sz w:val="28"/>
      <w:szCs w:val="28"/>
      <w:lang w:val="uk-UA" w:eastAsia="ru-RU"/>
    </w:rPr>
  </w:style>
  <w:style w:type="character" w:customStyle="1" w:styleId="ListLabel2401">
    <w:name w:val="ListLabel 2401"/>
    <w:qFormat/>
    <w:rPr>
      <w:rFonts w:eastAsia="Calibri"/>
      <w:b/>
      <w:bCs/>
      <w:color w:val="000000"/>
      <w:sz w:val="28"/>
      <w:u w:val="none"/>
      <w:lang w:val="en-US"/>
    </w:rPr>
  </w:style>
  <w:style w:type="character" w:customStyle="1" w:styleId="ListLabel2402">
    <w:name w:val="ListLabel 2402"/>
    <w:qFormat/>
    <w:rPr>
      <w:b w:val="0"/>
      <w:bCs w:val="0"/>
      <w:color w:val="FF8000"/>
      <w:sz w:val="28"/>
      <w:szCs w:val="28"/>
      <w:highlight w:val="yellow"/>
      <w:lang w:val="ru-RU"/>
    </w:rPr>
  </w:style>
  <w:style w:type="character" w:customStyle="1" w:styleId="ListLabel2403">
    <w:name w:val="ListLabel 2403"/>
    <w:qFormat/>
    <w:rPr>
      <w:b w:val="0"/>
      <w:bCs w:val="0"/>
      <w:i w:val="0"/>
      <w:caps w:val="0"/>
      <w:smallCaps w:val="0"/>
      <w:color w:val="158466"/>
      <w:spacing w:val="0"/>
      <w:sz w:val="28"/>
      <w:szCs w:val="28"/>
      <w:highlight w:val="yellow"/>
      <w:lang w:val="uk-UA"/>
    </w:rPr>
  </w:style>
  <w:style w:type="character" w:customStyle="1" w:styleId="ListLabel2404">
    <w:name w:val="ListLabel 2404"/>
    <w:qFormat/>
    <w:rPr>
      <w:rFonts w:eastAsia="Times New Roman" w:cs="Times New Roman"/>
      <w:b w:val="0"/>
      <w:bCs w:val="0"/>
      <w:i w:val="0"/>
      <w:caps w:val="0"/>
      <w:smallCaps w:val="0"/>
      <w:strike w:val="0"/>
      <w:dstrike w:val="0"/>
      <w:color w:val="000000"/>
      <w:spacing w:val="0"/>
      <w:kern w:val="2"/>
      <w:sz w:val="28"/>
      <w:szCs w:val="28"/>
      <w:highlight w:val="yellow"/>
      <w:u w:val="none"/>
      <w:effect w:val="none"/>
      <w:lang w:val="uk-UA"/>
    </w:rPr>
  </w:style>
  <w:style w:type="character" w:customStyle="1" w:styleId="ListLabel2405">
    <w:name w:val="ListLabel 2405"/>
    <w:qFormat/>
    <w:rPr>
      <w:rFonts w:eastAsia="Times New Roman" w:cs="Times New Roman"/>
      <w:b w:val="0"/>
      <w:bCs w:val="0"/>
      <w:i w:val="0"/>
      <w:caps w:val="0"/>
      <w:smallCaps w:val="0"/>
      <w:strike w:val="0"/>
      <w:dstrike w:val="0"/>
      <w:color w:val="2C2C2C"/>
      <w:spacing w:val="0"/>
      <w:kern w:val="2"/>
      <w:sz w:val="28"/>
      <w:szCs w:val="28"/>
      <w:highlight w:val="yellow"/>
      <w:u w:val="none"/>
      <w:effect w:val="none"/>
      <w:lang w:val="en-US"/>
    </w:rPr>
  </w:style>
  <w:style w:type="character" w:customStyle="1" w:styleId="ListLabel2406">
    <w:name w:val="ListLabel 2406"/>
    <w:qFormat/>
  </w:style>
  <w:style w:type="character" w:customStyle="1" w:styleId="ListLabel2407">
    <w:name w:val="ListLabel 2407"/>
    <w:qFormat/>
  </w:style>
  <w:style w:type="character" w:customStyle="1" w:styleId="ListLabel2408">
    <w:name w:val="ListLabel 2408"/>
    <w:qFormat/>
    <w:rPr>
      <w:color w:val="005EA2"/>
      <w:u w:val="single"/>
    </w:rPr>
  </w:style>
  <w:style w:type="character" w:customStyle="1" w:styleId="ListLabel2409">
    <w:name w:val="ListLabel 2409"/>
    <w:qFormat/>
    <w:rPr>
      <w:rFonts w:ascii="Source Sans Pro Web;Helvetica N" w:hAnsi="Source Sans Pro Web;Helvetica N"/>
      <w:color w:val="005EA2"/>
      <w:spacing w:val="0"/>
      <w:u w:val="single"/>
    </w:rPr>
  </w:style>
  <w:style w:type="character" w:customStyle="1" w:styleId="ListLabel2410">
    <w:name w:val="ListLabel 2410"/>
    <w:qFormat/>
    <w:rPr>
      <w:color w:val="C9211E"/>
      <w:u w:val="single"/>
    </w:rPr>
  </w:style>
  <w:style w:type="character" w:customStyle="1" w:styleId="ListLabel2411">
    <w:name w:val="ListLabel 2411"/>
    <w:qFormat/>
    <w:rPr>
      <w:b w:val="0"/>
      <w:i w:val="0"/>
      <w:caps w:val="0"/>
      <w:smallCaps w:val="0"/>
      <w:color w:val="FF8000"/>
      <w:spacing w:val="0"/>
      <w:sz w:val="28"/>
      <w:szCs w:val="28"/>
      <w:u w:val="none"/>
    </w:rPr>
  </w:style>
  <w:style w:type="character" w:customStyle="1" w:styleId="ListLabel2412">
    <w:name w:val="ListLabel 2412"/>
    <w:qFormat/>
    <w:rPr>
      <w:b w:val="0"/>
      <w:strike w:val="0"/>
      <w:dstrike w:val="0"/>
      <w:color w:val="FF8000"/>
      <w:sz w:val="28"/>
      <w:szCs w:val="28"/>
      <w:highlight w:val="darkBlue"/>
      <w:u w:val="none"/>
      <w:effect w:val="none"/>
    </w:rPr>
  </w:style>
  <w:style w:type="character" w:customStyle="1" w:styleId="ListLabel2413">
    <w:name w:val="ListLabel 2413"/>
    <w:qFormat/>
    <w:rPr>
      <w:b w:val="0"/>
      <w:i w:val="0"/>
      <w:caps w:val="0"/>
      <w:smallCaps w:val="0"/>
      <w:strike w:val="0"/>
      <w:dstrike w:val="0"/>
      <w:color w:val="FF8000"/>
      <w:spacing w:val="0"/>
      <w:sz w:val="28"/>
      <w:szCs w:val="28"/>
      <w:u w:val="single"/>
    </w:rPr>
  </w:style>
  <w:style w:type="character" w:customStyle="1" w:styleId="ListLabel2414">
    <w:name w:val="ListLabel 2414"/>
    <w:qFormat/>
    <w:rPr>
      <w:b w:val="0"/>
      <w:i w:val="0"/>
      <w:caps w:val="0"/>
      <w:smallCaps w:val="0"/>
      <w:color w:val="FF8000"/>
      <w:spacing w:val="0"/>
      <w:sz w:val="28"/>
      <w:szCs w:val="28"/>
      <w:u w:val="single"/>
    </w:rPr>
  </w:style>
  <w:style w:type="character" w:customStyle="1" w:styleId="ListLabel2415">
    <w:name w:val="ListLabel 2415"/>
    <w:qFormat/>
    <w:rPr>
      <w:rFonts w:eastAsia="Times New Roman" w:cs="Arial"/>
      <w:b w:val="0"/>
      <w:bCs/>
      <w:i w:val="0"/>
      <w:caps w:val="0"/>
      <w:smallCaps w:val="0"/>
      <w:strike w:val="0"/>
      <w:dstrike w:val="0"/>
      <w:color w:val="FF8000"/>
      <w:spacing w:val="0"/>
      <w:kern w:val="2"/>
      <w:sz w:val="28"/>
      <w:szCs w:val="28"/>
      <w:highlight w:val="yellow"/>
      <w:effect w:val="none"/>
    </w:rPr>
  </w:style>
  <w:style w:type="character" w:customStyle="1" w:styleId="ListLabel2416">
    <w:name w:val="ListLabel 2416"/>
    <w:qFormat/>
    <w:rPr>
      <w:rFonts w:eastAsia="Times New Roman" w:cs="Times New Roman"/>
      <w:b w:val="0"/>
      <w:bCs w:val="0"/>
      <w:i w:val="0"/>
      <w:caps w:val="0"/>
      <w:smallCaps w:val="0"/>
      <w:strike w:val="0"/>
      <w:dstrike w:val="0"/>
      <w:color w:val="3366CC"/>
      <w:spacing w:val="0"/>
      <w:kern w:val="2"/>
      <w:sz w:val="28"/>
      <w:szCs w:val="28"/>
      <w:highlight w:val="white"/>
      <w:u w:val="none"/>
      <w:effect w:val="none"/>
      <w:lang w:val="uk-UA" w:eastAsia="ru-RU"/>
    </w:rPr>
  </w:style>
  <w:style w:type="character" w:customStyle="1" w:styleId="ListLabel2417">
    <w:name w:val="ListLabel 2417"/>
    <w:qFormat/>
    <w:rPr>
      <w:sz w:val="28"/>
      <w:szCs w:val="28"/>
      <w:lang w:val="uk-UA"/>
    </w:rPr>
  </w:style>
  <w:style w:type="character" w:customStyle="1" w:styleId="ListLabel2418">
    <w:name w:val="ListLabel 2418"/>
    <w:qFormat/>
    <w:rPr>
      <w:b/>
      <w:bCs/>
      <w:color w:val="FF8000"/>
      <w:sz w:val="28"/>
      <w:szCs w:val="28"/>
      <w:highlight w:val="yellow"/>
      <w:lang w:val="ru-RU"/>
    </w:rPr>
  </w:style>
  <w:style w:type="character" w:customStyle="1" w:styleId="ListLabel2419">
    <w:name w:val="ListLabel 2419"/>
    <w:qFormat/>
    <w:rPr>
      <w:rFonts w:cs="OpenSymbol"/>
      <w:b w:val="0"/>
      <w:sz w:val="28"/>
    </w:rPr>
  </w:style>
  <w:style w:type="character" w:customStyle="1" w:styleId="ListLabel2420">
    <w:name w:val="ListLabel 2420"/>
    <w:qFormat/>
    <w:rPr>
      <w:rFonts w:cs="OpenSymbol"/>
    </w:rPr>
  </w:style>
  <w:style w:type="character" w:customStyle="1" w:styleId="ListLabel2421">
    <w:name w:val="ListLabel 2421"/>
    <w:qFormat/>
    <w:rPr>
      <w:rFonts w:cs="OpenSymbol"/>
    </w:rPr>
  </w:style>
  <w:style w:type="character" w:customStyle="1" w:styleId="ListLabel2422">
    <w:name w:val="ListLabel 2422"/>
    <w:qFormat/>
    <w:rPr>
      <w:rFonts w:cs="OpenSymbol"/>
    </w:rPr>
  </w:style>
  <w:style w:type="character" w:customStyle="1" w:styleId="ListLabel2423">
    <w:name w:val="ListLabel 2423"/>
    <w:qFormat/>
    <w:rPr>
      <w:rFonts w:cs="OpenSymbol"/>
    </w:rPr>
  </w:style>
  <w:style w:type="character" w:customStyle="1" w:styleId="ListLabel2424">
    <w:name w:val="ListLabel 2424"/>
    <w:qFormat/>
    <w:rPr>
      <w:rFonts w:cs="OpenSymbol"/>
    </w:rPr>
  </w:style>
  <w:style w:type="character" w:customStyle="1" w:styleId="ListLabel2425">
    <w:name w:val="ListLabel 2425"/>
    <w:qFormat/>
    <w:rPr>
      <w:rFonts w:cs="OpenSymbol"/>
    </w:rPr>
  </w:style>
  <w:style w:type="character" w:customStyle="1" w:styleId="ListLabel2426">
    <w:name w:val="ListLabel 2426"/>
    <w:qFormat/>
    <w:rPr>
      <w:rFonts w:cs="OpenSymbol"/>
    </w:rPr>
  </w:style>
  <w:style w:type="character" w:customStyle="1" w:styleId="ListLabel2427">
    <w:name w:val="ListLabel 2427"/>
    <w:qFormat/>
    <w:rPr>
      <w:rFonts w:cs="OpenSymbol"/>
    </w:rPr>
  </w:style>
  <w:style w:type="character" w:customStyle="1" w:styleId="ListLabel2428">
    <w:name w:val="ListLabel 2428"/>
    <w:qFormat/>
    <w:rPr>
      <w:rFonts w:cs="OpenSymbol"/>
      <w:b w:val="0"/>
      <w:sz w:val="28"/>
    </w:rPr>
  </w:style>
  <w:style w:type="character" w:customStyle="1" w:styleId="ListLabel2429">
    <w:name w:val="ListLabel 2429"/>
    <w:qFormat/>
    <w:rPr>
      <w:rFonts w:cs="OpenSymbol"/>
    </w:rPr>
  </w:style>
  <w:style w:type="character" w:customStyle="1" w:styleId="ListLabel2430">
    <w:name w:val="ListLabel 2430"/>
    <w:qFormat/>
    <w:rPr>
      <w:rFonts w:cs="OpenSymbol"/>
    </w:rPr>
  </w:style>
  <w:style w:type="character" w:customStyle="1" w:styleId="ListLabel2431">
    <w:name w:val="ListLabel 2431"/>
    <w:qFormat/>
    <w:rPr>
      <w:rFonts w:cs="OpenSymbol"/>
    </w:rPr>
  </w:style>
  <w:style w:type="character" w:customStyle="1" w:styleId="ListLabel2432">
    <w:name w:val="ListLabel 2432"/>
    <w:qFormat/>
    <w:rPr>
      <w:rFonts w:cs="OpenSymbol"/>
    </w:rPr>
  </w:style>
  <w:style w:type="character" w:customStyle="1" w:styleId="ListLabel2433">
    <w:name w:val="ListLabel 2433"/>
    <w:qFormat/>
    <w:rPr>
      <w:rFonts w:cs="OpenSymbol"/>
    </w:rPr>
  </w:style>
  <w:style w:type="character" w:customStyle="1" w:styleId="ListLabel2434">
    <w:name w:val="ListLabel 2434"/>
    <w:qFormat/>
    <w:rPr>
      <w:rFonts w:cs="OpenSymbol"/>
    </w:rPr>
  </w:style>
  <w:style w:type="character" w:customStyle="1" w:styleId="ListLabel2435">
    <w:name w:val="ListLabel 2435"/>
    <w:qFormat/>
    <w:rPr>
      <w:rFonts w:cs="OpenSymbol"/>
    </w:rPr>
  </w:style>
  <w:style w:type="character" w:customStyle="1" w:styleId="ListLabel2436">
    <w:name w:val="ListLabel 2436"/>
    <w:qFormat/>
    <w:rPr>
      <w:rFonts w:cs="OpenSymbol"/>
    </w:rPr>
  </w:style>
  <w:style w:type="character" w:customStyle="1" w:styleId="ListLabel2437">
    <w:name w:val="ListLabel 2437"/>
    <w:qFormat/>
    <w:rPr>
      <w:rFonts w:cs="OpenSymbol"/>
      <w:b w:val="0"/>
      <w:sz w:val="28"/>
    </w:rPr>
  </w:style>
  <w:style w:type="character" w:customStyle="1" w:styleId="ListLabel2438">
    <w:name w:val="ListLabel 2438"/>
    <w:qFormat/>
    <w:rPr>
      <w:rFonts w:cs="OpenSymbol"/>
    </w:rPr>
  </w:style>
  <w:style w:type="character" w:customStyle="1" w:styleId="ListLabel2439">
    <w:name w:val="ListLabel 2439"/>
    <w:qFormat/>
    <w:rPr>
      <w:rFonts w:cs="OpenSymbol"/>
    </w:rPr>
  </w:style>
  <w:style w:type="character" w:customStyle="1" w:styleId="ListLabel2440">
    <w:name w:val="ListLabel 2440"/>
    <w:qFormat/>
    <w:rPr>
      <w:rFonts w:cs="OpenSymbol"/>
    </w:rPr>
  </w:style>
  <w:style w:type="character" w:customStyle="1" w:styleId="ListLabel2441">
    <w:name w:val="ListLabel 2441"/>
    <w:qFormat/>
    <w:rPr>
      <w:rFonts w:cs="OpenSymbol"/>
    </w:rPr>
  </w:style>
  <w:style w:type="character" w:customStyle="1" w:styleId="ListLabel2442">
    <w:name w:val="ListLabel 2442"/>
    <w:qFormat/>
    <w:rPr>
      <w:rFonts w:cs="OpenSymbol"/>
    </w:rPr>
  </w:style>
  <w:style w:type="character" w:customStyle="1" w:styleId="ListLabel2443">
    <w:name w:val="ListLabel 2443"/>
    <w:qFormat/>
    <w:rPr>
      <w:rFonts w:cs="OpenSymbol"/>
    </w:rPr>
  </w:style>
  <w:style w:type="character" w:customStyle="1" w:styleId="ListLabel2444">
    <w:name w:val="ListLabel 2444"/>
    <w:qFormat/>
    <w:rPr>
      <w:rFonts w:cs="OpenSymbol"/>
    </w:rPr>
  </w:style>
  <w:style w:type="character" w:customStyle="1" w:styleId="ListLabel2445">
    <w:name w:val="ListLabel 2445"/>
    <w:qFormat/>
    <w:rPr>
      <w:rFonts w:cs="OpenSymbol"/>
    </w:rPr>
  </w:style>
  <w:style w:type="character" w:customStyle="1" w:styleId="ListLabel2446">
    <w:name w:val="ListLabel 2446"/>
    <w:qFormat/>
    <w:rPr>
      <w:rFonts w:cs="OpenSymbol"/>
    </w:rPr>
  </w:style>
  <w:style w:type="character" w:customStyle="1" w:styleId="ListLabel2447">
    <w:name w:val="ListLabel 2447"/>
    <w:qFormat/>
    <w:rPr>
      <w:rFonts w:cs="OpenSymbol"/>
    </w:rPr>
  </w:style>
  <w:style w:type="character" w:customStyle="1" w:styleId="ListLabel2448">
    <w:name w:val="ListLabel 2448"/>
    <w:qFormat/>
    <w:rPr>
      <w:rFonts w:cs="OpenSymbol"/>
    </w:rPr>
  </w:style>
  <w:style w:type="character" w:customStyle="1" w:styleId="ListLabel2449">
    <w:name w:val="ListLabel 2449"/>
    <w:qFormat/>
    <w:rPr>
      <w:rFonts w:cs="OpenSymbol"/>
    </w:rPr>
  </w:style>
  <w:style w:type="character" w:customStyle="1" w:styleId="ListLabel2450">
    <w:name w:val="ListLabel 2450"/>
    <w:qFormat/>
    <w:rPr>
      <w:rFonts w:cs="OpenSymbol"/>
    </w:rPr>
  </w:style>
  <w:style w:type="character" w:customStyle="1" w:styleId="ListLabel2451">
    <w:name w:val="ListLabel 2451"/>
    <w:qFormat/>
    <w:rPr>
      <w:rFonts w:cs="OpenSymbol"/>
    </w:rPr>
  </w:style>
  <w:style w:type="character" w:customStyle="1" w:styleId="ListLabel2452">
    <w:name w:val="ListLabel 2452"/>
    <w:qFormat/>
    <w:rPr>
      <w:rFonts w:cs="OpenSymbol"/>
    </w:rPr>
  </w:style>
  <w:style w:type="character" w:customStyle="1" w:styleId="ListLabel2453">
    <w:name w:val="ListLabel 2453"/>
    <w:qFormat/>
    <w:rPr>
      <w:rFonts w:cs="OpenSymbol"/>
    </w:rPr>
  </w:style>
  <w:style w:type="character" w:customStyle="1" w:styleId="ListLabel2454">
    <w:name w:val="ListLabel 2454"/>
    <w:qFormat/>
    <w:rPr>
      <w:rFonts w:cs="OpenSymbol"/>
    </w:rPr>
  </w:style>
  <w:style w:type="character" w:customStyle="1" w:styleId="ListLabel2455">
    <w:name w:val="ListLabel 2455"/>
    <w:qFormat/>
    <w:rPr>
      <w:rFonts w:cs="OpenSymbol"/>
    </w:rPr>
  </w:style>
  <w:style w:type="character" w:customStyle="1" w:styleId="ListLabel2456">
    <w:name w:val="ListLabel 2456"/>
    <w:qFormat/>
    <w:rPr>
      <w:rFonts w:cs="OpenSymbol"/>
    </w:rPr>
  </w:style>
  <w:style w:type="character" w:customStyle="1" w:styleId="ListLabel2457">
    <w:name w:val="ListLabel 2457"/>
    <w:qFormat/>
    <w:rPr>
      <w:rFonts w:cs="OpenSymbol"/>
    </w:rPr>
  </w:style>
  <w:style w:type="character" w:customStyle="1" w:styleId="ListLabel2458">
    <w:name w:val="ListLabel 2458"/>
    <w:qFormat/>
    <w:rPr>
      <w:rFonts w:cs="OpenSymbol"/>
    </w:rPr>
  </w:style>
  <w:style w:type="character" w:customStyle="1" w:styleId="ListLabel2459">
    <w:name w:val="ListLabel 2459"/>
    <w:qFormat/>
    <w:rPr>
      <w:rFonts w:cs="OpenSymbol"/>
    </w:rPr>
  </w:style>
  <w:style w:type="character" w:customStyle="1" w:styleId="ListLabel2460">
    <w:name w:val="ListLabel 2460"/>
    <w:qFormat/>
    <w:rPr>
      <w:rFonts w:cs="OpenSymbol"/>
    </w:rPr>
  </w:style>
  <w:style w:type="character" w:customStyle="1" w:styleId="ListLabel2461">
    <w:name w:val="ListLabel 2461"/>
    <w:qFormat/>
    <w:rPr>
      <w:rFonts w:cs="OpenSymbol"/>
    </w:rPr>
  </w:style>
  <w:style w:type="character" w:customStyle="1" w:styleId="ListLabel2462">
    <w:name w:val="ListLabel 2462"/>
    <w:qFormat/>
    <w:rPr>
      <w:rFonts w:cs="OpenSymbol"/>
    </w:rPr>
  </w:style>
  <w:style w:type="character" w:customStyle="1" w:styleId="ListLabel2463">
    <w:name w:val="ListLabel 2463"/>
    <w:qFormat/>
    <w:rPr>
      <w:rFonts w:cs="OpenSymbol"/>
    </w:rPr>
  </w:style>
  <w:style w:type="character" w:customStyle="1" w:styleId="ListLabel2464">
    <w:name w:val="ListLabel 2464"/>
    <w:qFormat/>
    <w:rPr>
      <w:rFonts w:cs="OpenSymbol"/>
    </w:rPr>
  </w:style>
  <w:style w:type="character" w:customStyle="1" w:styleId="ListLabel2465">
    <w:name w:val="ListLabel 2465"/>
    <w:qFormat/>
    <w:rPr>
      <w:rFonts w:cs="OpenSymbol"/>
    </w:rPr>
  </w:style>
  <w:style w:type="character" w:customStyle="1" w:styleId="ListLabel2466">
    <w:name w:val="ListLabel 2466"/>
    <w:qFormat/>
    <w:rPr>
      <w:rFonts w:cs="OpenSymbol"/>
    </w:rPr>
  </w:style>
  <w:style w:type="character" w:customStyle="1" w:styleId="ListLabel2467">
    <w:name w:val="ListLabel 2467"/>
    <w:qFormat/>
    <w:rPr>
      <w:rFonts w:cs="OpenSymbol"/>
    </w:rPr>
  </w:style>
  <w:style w:type="character" w:customStyle="1" w:styleId="ListLabel2468">
    <w:name w:val="ListLabel 2468"/>
    <w:qFormat/>
    <w:rPr>
      <w:rFonts w:cs="OpenSymbol"/>
    </w:rPr>
  </w:style>
  <w:style w:type="character" w:customStyle="1" w:styleId="ListLabel2469">
    <w:name w:val="ListLabel 2469"/>
    <w:qFormat/>
    <w:rPr>
      <w:rFonts w:cs="OpenSymbol"/>
    </w:rPr>
  </w:style>
  <w:style w:type="character" w:customStyle="1" w:styleId="ListLabel2470">
    <w:name w:val="ListLabel 2470"/>
    <w:qFormat/>
    <w:rPr>
      <w:rFonts w:cs="OpenSymbol"/>
    </w:rPr>
  </w:style>
  <w:style w:type="character" w:customStyle="1" w:styleId="ListLabel2471">
    <w:name w:val="ListLabel 2471"/>
    <w:qFormat/>
    <w:rPr>
      <w:rFonts w:cs="OpenSymbol"/>
    </w:rPr>
  </w:style>
  <w:style w:type="character" w:customStyle="1" w:styleId="ListLabel2472">
    <w:name w:val="ListLabel 2472"/>
    <w:qFormat/>
    <w:rPr>
      <w:rFonts w:cs="OpenSymbol"/>
    </w:rPr>
  </w:style>
  <w:style w:type="character" w:customStyle="1" w:styleId="ListLabel2473">
    <w:name w:val="ListLabel 2473"/>
    <w:qFormat/>
    <w:rPr>
      <w:rFonts w:cs="OpenSymbol"/>
    </w:rPr>
  </w:style>
  <w:style w:type="character" w:customStyle="1" w:styleId="ListLabel2474">
    <w:name w:val="ListLabel 2474"/>
    <w:qFormat/>
    <w:rPr>
      <w:rFonts w:cs="OpenSymbol"/>
    </w:rPr>
  </w:style>
  <w:style w:type="character" w:customStyle="1" w:styleId="ListLabel2475">
    <w:name w:val="ListLabel 2475"/>
    <w:qFormat/>
    <w:rPr>
      <w:rFonts w:cs="OpenSymbol"/>
    </w:rPr>
  </w:style>
  <w:style w:type="character" w:customStyle="1" w:styleId="ListLabel2476">
    <w:name w:val="ListLabel 2476"/>
    <w:qFormat/>
    <w:rPr>
      <w:rFonts w:cs="OpenSymbol"/>
    </w:rPr>
  </w:style>
  <w:style w:type="character" w:customStyle="1" w:styleId="ListLabel2477">
    <w:name w:val="ListLabel 2477"/>
    <w:qFormat/>
    <w:rPr>
      <w:rFonts w:cs="OpenSymbol"/>
    </w:rPr>
  </w:style>
  <w:style w:type="character" w:customStyle="1" w:styleId="ListLabel2478">
    <w:name w:val="ListLabel 2478"/>
    <w:qFormat/>
    <w:rPr>
      <w:rFonts w:cs="OpenSymbol"/>
    </w:rPr>
  </w:style>
  <w:style w:type="character" w:customStyle="1" w:styleId="ListLabel2479">
    <w:name w:val="ListLabel 2479"/>
    <w:qFormat/>
    <w:rPr>
      <w:rFonts w:cs="OpenSymbol"/>
    </w:rPr>
  </w:style>
  <w:style w:type="character" w:customStyle="1" w:styleId="ListLabel2480">
    <w:name w:val="ListLabel 2480"/>
    <w:qFormat/>
    <w:rPr>
      <w:rFonts w:cs="OpenSymbol"/>
    </w:rPr>
  </w:style>
  <w:style w:type="character" w:customStyle="1" w:styleId="ListLabel2481">
    <w:name w:val="ListLabel 2481"/>
    <w:qFormat/>
    <w:rPr>
      <w:rFonts w:cs="OpenSymbol"/>
    </w:rPr>
  </w:style>
  <w:style w:type="character" w:customStyle="1" w:styleId="ListLabel2482">
    <w:name w:val="ListLabel 2482"/>
    <w:qFormat/>
    <w:rPr>
      <w:rFonts w:cs="OpenSymbol"/>
    </w:rPr>
  </w:style>
  <w:style w:type="character" w:customStyle="1" w:styleId="ListLabel2483">
    <w:name w:val="ListLabel 2483"/>
    <w:qFormat/>
    <w:rPr>
      <w:rFonts w:cs="OpenSymbol"/>
    </w:rPr>
  </w:style>
  <w:style w:type="character" w:customStyle="1" w:styleId="ListLabel2484">
    <w:name w:val="ListLabel 2484"/>
    <w:qFormat/>
    <w:rPr>
      <w:rFonts w:cs="OpenSymbol"/>
    </w:rPr>
  </w:style>
  <w:style w:type="character" w:customStyle="1" w:styleId="ListLabel2485">
    <w:name w:val="ListLabel 2485"/>
    <w:qFormat/>
    <w:rPr>
      <w:rFonts w:cs="OpenSymbol"/>
    </w:rPr>
  </w:style>
  <w:style w:type="character" w:customStyle="1" w:styleId="ListLabel2486">
    <w:name w:val="ListLabel 2486"/>
    <w:qFormat/>
    <w:rPr>
      <w:rFonts w:cs="OpenSymbol"/>
    </w:rPr>
  </w:style>
  <w:style w:type="character" w:customStyle="1" w:styleId="ListLabel2487">
    <w:name w:val="ListLabel 2487"/>
    <w:qFormat/>
    <w:rPr>
      <w:rFonts w:cs="OpenSymbol"/>
    </w:rPr>
  </w:style>
  <w:style w:type="character" w:customStyle="1" w:styleId="ListLabel2488">
    <w:name w:val="ListLabel 2488"/>
    <w:qFormat/>
    <w:rPr>
      <w:rFonts w:cs="OpenSymbol"/>
    </w:rPr>
  </w:style>
  <w:style w:type="character" w:customStyle="1" w:styleId="ListLabel2489">
    <w:name w:val="ListLabel 2489"/>
    <w:qFormat/>
    <w:rPr>
      <w:rFonts w:cs="OpenSymbol"/>
    </w:rPr>
  </w:style>
  <w:style w:type="character" w:customStyle="1" w:styleId="ListLabel2490">
    <w:name w:val="ListLabel 2490"/>
    <w:qFormat/>
    <w:rPr>
      <w:rFonts w:cs="OpenSymbol"/>
    </w:rPr>
  </w:style>
  <w:style w:type="character" w:customStyle="1" w:styleId="ListLabel2491">
    <w:name w:val="ListLabel 2491"/>
    <w:qFormat/>
    <w:rPr>
      <w:rFonts w:cs="OpenSymbol"/>
    </w:rPr>
  </w:style>
  <w:style w:type="character" w:customStyle="1" w:styleId="ListLabel2492">
    <w:name w:val="ListLabel 2492"/>
    <w:qFormat/>
    <w:rPr>
      <w:rFonts w:cs="OpenSymbol"/>
    </w:rPr>
  </w:style>
  <w:style w:type="character" w:customStyle="1" w:styleId="ListLabel2493">
    <w:name w:val="ListLabel 2493"/>
    <w:qFormat/>
    <w:rPr>
      <w:rFonts w:cs="OpenSymbol"/>
    </w:rPr>
  </w:style>
  <w:style w:type="character" w:customStyle="1" w:styleId="ListLabel2494">
    <w:name w:val="ListLabel 2494"/>
    <w:qFormat/>
    <w:rPr>
      <w:rFonts w:cs="OpenSymbol"/>
    </w:rPr>
  </w:style>
  <w:style w:type="character" w:customStyle="1" w:styleId="ListLabel2495">
    <w:name w:val="ListLabel 2495"/>
    <w:qFormat/>
    <w:rPr>
      <w:rFonts w:cs="OpenSymbol"/>
    </w:rPr>
  </w:style>
  <w:style w:type="character" w:customStyle="1" w:styleId="ListLabel2496">
    <w:name w:val="ListLabel 2496"/>
    <w:qFormat/>
    <w:rPr>
      <w:rFonts w:cs="OpenSymbol"/>
    </w:rPr>
  </w:style>
  <w:style w:type="character" w:customStyle="1" w:styleId="ListLabel2497">
    <w:name w:val="ListLabel 2497"/>
    <w:qFormat/>
    <w:rPr>
      <w:rFonts w:cs="OpenSymbol"/>
    </w:rPr>
  </w:style>
  <w:style w:type="character" w:customStyle="1" w:styleId="ListLabel2498">
    <w:name w:val="ListLabel 2498"/>
    <w:qFormat/>
    <w:rPr>
      <w:rFonts w:cs="OpenSymbol"/>
    </w:rPr>
  </w:style>
  <w:style w:type="character" w:customStyle="1" w:styleId="ListLabel2499">
    <w:name w:val="ListLabel 2499"/>
    <w:qFormat/>
    <w:rPr>
      <w:rFonts w:cs="OpenSymbol"/>
    </w:rPr>
  </w:style>
  <w:style w:type="character" w:customStyle="1" w:styleId="ListLabel2500">
    <w:name w:val="ListLabel 2500"/>
    <w:qFormat/>
    <w:rPr>
      <w:rFonts w:cs="OpenSymbol"/>
    </w:rPr>
  </w:style>
  <w:style w:type="character" w:customStyle="1" w:styleId="ListLabel2501">
    <w:name w:val="ListLabel 2501"/>
    <w:qFormat/>
    <w:rPr>
      <w:rFonts w:cs="OpenSymbol"/>
    </w:rPr>
  </w:style>
  <w:style w:type="character" w:customStyle="1" w:styleId="ListLabel2502">
    <w:name w:val="ListLabel 2502"/>
    <w:qFormat/>
    <w:rPr>
      <w:rFonts w:cs="OpenSymbol"/>
    </w:rPr>
  </w:style>
  <w:style w:type="character" w:customStyle="1" w:styleId="ListLabel2503">
    <w:name w:val="ListLabel 2503"/>
    <w:qFormat/>
    <w:rPr>
      <w:rFonts w:cs="OpenSymbol"/>
    </w:rPr>
  </w:style>
  <w:style w:type="character" w:customStyle="1" w:styleId="ListLabel2504">
    <w:name w:val="ListLabel 2504"/>
    <w:qFormat/>
    <w:rPr>
      <w:rFonts w:cs="OpenSymbol"/>
    </w:rPr>
  </w:style>
  <w:style w:type="character" w:customStyle="1" w:styleId="ListLabel2505">
    <w:name w:val="ListLabel 2505"/>
    <w:qFormat/>
    <w:rPr>
      <w:rFonts w:cs="OpenSymbol"/>
    </w:rPr>
  </w:style>
  <w:style w:type="character" w:customStyle="1" w:styleId="ListLabel2506">
    <w:name w:val="ListLabel 2506"/>
    <w:qFormat/>
    <w:rPr>
      <w:rFonts w:cs="OpenSymbol"/>
    </w:rPr>
  </w:style>
  <w:style w:type="character" w:customStyle="1" w:styleId="ListLabel2507">
    <w:name w:val="ListLabel 2507"/>
    <w:qFormat/>
    <w:rPr>
      <w:rFonts w:cs="OpenSymbol"/>
    </w:rPr>
  </w:style>
  <w:style w:type="character" w:customStyle="1" w:styleId="ListLabel2508">
    <w:name w:val="ListLabel 2508"/>
    <w:qFormat/>
    <w:rPr>
      <w:rFonts w:cs="OpenSymbol"/>
    </w:rPr>
  </w:style>
  <w:style w:type="character" w:customStyle="1" w:styleId="ListLabel2509">
    <w:name w:val="ListLabel 2509"/>
    <w:qFormat/>
    <w:rPr>
      <w:rFonts w:cs="OpenSymbol"/>
    </w:rPr>
  </w:style>
  <w:style w:type="character" w:customStyle="1" w:styleId="ListLabel2510">
    <w:name w:val="ListLabel 2510"/>
    <w:qFormat/>
    <w:rPr>
      <w:rFonts w:cs="OpenSymbol"/>
    </w:rPr>
  </w:style>
  <w:style w:type="character" w:customStyle="1" w:styleId="ListLabel2511">
    <w:name w:val="ListLabel 2511"/>
    <w:qFormat/>
    <w:rPr>
      <w:rFonts w:cs="OpenSymbol"/>
    </w:rPr>
  </w:style>
  <w:style w:type="character" w:customStyle="1" w:styleId="ListLabel2512">
    <w:name w:val="ListLabel 2512"/>
    <w:qFormat/>
    <w:rPr>
      <w:rFonts w:cs="OpenSymbol"/>
    </w:rPr>
  </w:style>
  <w:style w:type="character" w:customStyle="1" w:styleId="ListLabel2513">
    <w:name w:val="ListLabel 2513"/>
    <w:qFormat/>
    <w:rPr>
      <w:rFonts w:cs="OpenSymbol"/>
    </w:rPr>
  </w:style>
  <w:style w:type="character" w:customStyle="1" w:styleId="ListLabel2514">
    <w:name w:val="ListLabel 2514"/>
    <w:qFormat/>
    <w:rPr>
      <w:rFonts w:cs="OpenSymbol"/>
    </w:rPr>
  </w:style>
  <w:style w:type="character" w:customStyle="1" w:styleId="ListLabel2515">
    <w:name w:val="ListLabel 2515"/>
    <w:qFormat/>
    <w:rPr>
      <w:rFonts w:cs="OpenSymbol"/>
    </w:rPr>
  </w:style>
  <w:style w:type="character" w:customStyle="1" w:styleId="ListLabel2516">
    <w:name w:val="ListLabel 2516"/>
    <w:qFormat/>
    <w:rPr>
      <w:rFonts w:cs="OpenSymbol"/>
    </w:rPr>
  </w:style>
  <w:style w:type="character" w:customStyle="1" w:styleId="ListLabel2517">
    <w:name w:val="ListLabel 2517"/>
    <w:qFormat/>
    <w:rPr>
      <w:rFonts w:cs="OpenSymbol"/>
    </w:rPr>
  </w:style>
  <w:style w:type="character" w:customStyle="1" w:styleId="ListLabel2518">
    <w:name w:val="ListLabel 2518"/>
    <w:qFormat/>
    <w:rPr>
      <w:rFonts w:cs="OpenSymbol"/>
    </w:rPr>
  </w:style>
  <w:style w:type="character" w:customStyle="1" w:styleId="ListLabel2519">
    <w:name w:val="ListLabel 2519"/>
    <w:qFormat/>
    <w:rPr>
      <w:rFonts w:cs="OpenSymbol"/>
    </w:rPr>
  </w:style>
  <w:style w:type="character" w:customStyle="1" w:styleId="ListLabel2520">
    <w:name w:val="ListLabel 2520"/>
    <w:qFormat/>
    <w:rPr>
      <w:rFonts w:cs="OpenSymbol"/>
    </w:rPr>
  </w:style>
  <w:style w:type="character" w:customStyle="1" w:styleId="ListLabel2521">
    <w:name w:val="ListLabel 2521"/>
    <w:qFormat/>
    <w:rPr>
      <w:rFonts w:cs="OpenSymbol"/>
    </w:rPr>
  </w:style>
  <w:style w:type="character" w:customStyle="1" w:styleId="ListLabel2522">
    <w:name w:val="ListLabel 2522"/>
    <w:qFormat/>
    <w:rPr>
      <w:rFonts w:cs="OpenSymbol"/>
    </w:rPr>
  </w:style>
  <w:style w:type="character" w:customStyle="1" w:styleId="ListLabel2523">
    <w:name w:val="ListLabel 2523"/>
    <w:qFormat/>
    <w:rPr>
      <w:rFonts w:cs="OpenSymbol"/>
    </w:rPr>
  </w:style>
  <w:style w:type="character" w:customStyle="1" w:styleId="ListLabel2524">
    <w:name w:val="ListLabel 2524"/>
    <w:qFormat/>
    <w:rPr>
      <w:rFonts w:cs="OpenSymbol"/>
    </w:rPr>
  </w:style>
  <w:style w:type="character" w:customStyle="1" w:styleId="ListLabel2525">
    <w:name w:val="ListLabel 2525"/>
    <w:qFormat/>
    <w:rPr>
      <w:rFonts w:cs="OpenSymbol"/>
    </w:rPr>
  </w:style>
  <w:style w:type="character" w:customStyle="1" w:styleId="ListLabel2526">
    <w:name w:val="ListLabel 2526"/>
    <w:qFormat/>
    <w:rPr>
      <w:rFonts w:cs="OpenSymbol"/>
    </w:rPr>
  </w:style>
  <w:style w:type="character" w:customStyle="1" w:styleId="ListLabel2527">
    <w:name w:val="ListLabel 2527"/>
    <w:qFormat/>
    <w:rPr>
      <w:rFonts w:cs="OpenSymbol"/>
    </w:rPr>
  </w:style>
  <w:style w:type="character" w:customStyle="1" w:styleId="ListLabel2528">
    <w:name w:val="ListLabel 2528"/>
    <w:qFormat/>
    <w:rPr>
      <w:rFonts w:cs="OpenSymbol"/>
    </w:rPr>
  </w:style>
  <w:style w:type="character" w:customStyle="1" w:styleId="ListLabel2529">
    <w:name w:val="ListLabel 2529"/>
    <w:qFormat/>
    <w:rPr>
      <w:rFonts w:cs="OpenSymbol"/>
    </w:rPr>
  </w:style>
  <w:style w:type="character" w:customStyle="1" w:styleId="ListLabel2530">
    <w:name w:val="ListLabel 2530"/>
    <w:qFormat/>
    <w:rPr>
      <w:rFonts w:cs="OpenSymbol"/>
    </w:rPr>
  </w:style>
  <w:style w:type="character" w:customStyle="1" w:styleId="ListLabel2531">
    <w:name w:val="ListLabel 2531"/>
    <w:qFormat/>
    <w:rPr>
      <w:rFonts w:cs="OpenSymbol"/>
    </w:rPr>
  </w:style>
  <w:style w:type="character" w:customStyle="1" w:styleId="ListLabel2532">
    <w:name w:val="ListLabel 2532"/>
    <w:qFormat/>
    <w:rPr>
      <w:rFonts w:cs="OpenSymbol"/>
    </w:rPr>
  </w:style>
  <w:style w:type="character" w:customStyle="1" w:styleId="ListLabel2533">
    <w:name w:val="ListLabel 2533"/>
    <w:qFormat/>
    <w:rPr>
      <w:rFonts w:cs="OpenSymbol"/>
    </w:rPr>
  </w:style>
  <w:style w:type="character" w:customStyle="1" w:styleId="ListLabel2534">
    <w:name w:val="ListLabel 2534"/>
    <w:qFormat/>
    <w:rPr>
      <w:rFonts w:cs="OpenSymbol"/>
    </w:rPr>
  </w:style>
  <w:style w:type="character" w:customStyle="1" w:styleId="ListLabel2535">
    <w:name w:val="ListLabel 2535"/>
    <w:qFormat/>
    <w:rPr>
      <w:rFonts w:cs="OpenSymbol"/>
    </w:rPr>
  </w:style>
  <w:style w:type="character" w:customStyle="1" w:styleId="ListLabel2536">
    <w:name w:val="ListLabel 2536"/>
    <w:qFormat/>
    <w:rPr>
      <w:rFonts w:cs="OpenSymbol"/>
    </w:rPr>
  </w:style>
  <w:style w:type="character" w:customStyle="1" w:styleId="ListLabel2537">
    <w:name w:val="ListLabel 2537"/>
    <w:qFormat/>
    <w:rPr>
      <w:rFonts w:cs="OpenSymbol"/>
    </w:rPr>
  </w:style>
  <w:style w:type="character" w:customStyle="1" w:styleId="ListLabel2538">
    <w:name w:val="ListLabel 2538"/>
    <w:qFormat/>
    <w:rPr>
      <w:rFonts w:cs="OpenSymbol"/>
    </w:rPr>
  </w:style>
  <w:style w:type="character" w:customStyle="1" w:styleId="ListLabel2539">
    <w:name w:val="ListLabel 2539"/>
    <w:qFormat/>
    <w:rPr>
      <w:rFonts w:cs="OpenSymbol"/>
    </w:rPr>
  </w:style>
  <w:style w:type="character" w:customStyle="1" w:styleId="ListLabel2540">
    <w:name w:val="ListLabel 2540"/>
    <w:qFormat/>
    <w:rPr>
      <w:rFonts w:cs="OpenSymbol"/>
    </w:rPr>
  </w:style>
  <w:style w:type="character" w:customStyle="1" w:styleId="ListLabel2541">
    <w:name w:val="ListLabel 2541"/>
    <w:qFormat/>
    <w:rPr>
      <w:rFonts w:cs="OpenSymbol"/>
    </w:rPr>
  </w:style>
  <w:style w:type="character" w:customStyle="1" w:styleId="ListLabel2542">
    <w:name w:val="ListLabel 2542"/>
    <w:qFormat/>
    <w:rPr>
      <w:rFonts w:cs="OpenSymbol"/>
    </w:rPr>
  </w:style>
  <w:style w:type="character" w:customStyle="1" w:styleId="ListLabel2543">
    <w:name w:val="ListLabel 2543"/>
    <w:qFormat/>
    <w:rPr>
      <w:rFonts w:cs="OpenSymbol"/>
    </w:rPr>
  </w:style>
  <w:style w:type="character" w:customStyle="1" w:styleId="ListLabel2544">
    <w:name w:val="ListLabel 2544"/>
    <w:qFormat/>
    <w:rPr>
      <w:rFonts w:cs="OpenSymbol"/>
    </w:rPr>
  </w:style>
  <w:style w:type="character" w:customStyle="1" w:styleId="ListLabel2545">
    <w:name w:val="ListLabel 2545"/>
    <w:qFormat/>
    <w:rPr>
      <w:rFonts w:cs="OpenSymbol"/>
    </w:rPr>
  </w:style>
  <w:style w:type="character" w:customStyle="1" w:styleId="ListLabel2546">
    <w:name w:val="ListLabel 2546"/>
    <w:qFormat/>
    <w:rPr>
      <w:rFonts w:cs="OpenSymbol"/>
    </w:rPr>
  </w:style>
  <w:style w:type="character" w:customStyle="1" w:styleId="ListLabel2547">
    <w:name w:val="ListLabel 2547"/>
    <w:qFormat/>
    <w:rPr>
      <w:rFonts w:cs="OpenSymbol"/>
    </w:rPr>
  </w:style>
  <w:style w:type="character" w:customStyle="1" w:styleId="ListLabel2548">
    <w:name w:val="ListLabel 2548"/>
    <w:qFormat/>
    <w:rPr>
      <w:rFonts w:cs="OpenSymbol"/>
    </w:rPr>
  </w:style>
  <w:style w:type="character" w:customStyle="1" w:styleId="ListLabel2549">
    <w:name w:val="ListLabel 2549"/>
    <w:qFormat/>
    <w:rPr>
      <w:rFonts w:cs="OpenSymbol"/>
    </w:rPr>
  </w:style>
  <w:style w:type="character" w:customStyle="1" w:styleId="ListLabel2550">
    <w:name w:val="ListLabel 2550"/>
    <w:qFormat/>
    <w:rPr>
      <w:rFonts w:cs="OpenSymbol"/>
    </w:rPr>
  </w:style>
  <w:style w:type="character" w:customStyle="1" w:styleId="ListLabel2551">
    <w:name w:val="ListLabel 2551"/>
    <w:qFormat/>
    <w:rPr>
      <w:rFonts w:cs="OpenSymbol"/>
    </w:rPr>
  </w:style>
  <w:style w:type="character" w:customStyle="1" w:styleId="ListLabel2552">
    <w:name w:val="ListLabel 2552"/>
    <w:qFormat/>
    <w:rPr>
      <w:rFonts w:cs="OpenSymbol"/>
    </w:rPr>
  </w:style>
  <w:style w:type="character" w:customStyle="1" w:styleId="ListLabel2553">
    <w:name w:val="ListLabel 2553"/>
    <w:qFormat/>
    <w:rPr>
      <w:rFonts w:cs="OpenSymbol"/>
    </w:rPr>
  </w:style>
  <w:style w:type="character" w:customStyle="1" w:styleId="ListLabel2554">
    <w:name w:val="ListLabel 2554"/>
    <w:qFormat/>
    <w:rPr>
      <w:rFonts w:cs="OpenSymbol"/>
    </w:rPr>
  </w:style>
  <w:style w:type="character" w:customStyle="1" w:styleId="ListLabel2555">
    <w:name w:val="ListLabel 2555"/>
    <w:qFormat/>
    <w:rPr>
      <w:rFonts w:cs="OpenSymbol"/>
    </w:rPr>
  </w:style>
  <w:style w:type="character" w:customStyle="1" w:styleId="ListLabel2556">
    <w:name w:val="ListLabel 2556"/>
    <w:qFormat/>
    <w:rPr>
      <w:rFonts w:cs="OpenSymbol"/>
    </w:rPr>
  </w:style>
  <w:style w:type="character" w:customStyle="1" w:styleId="ListLabel2557">
    <w:name w:val="ListLabel 2557"/>
    <w:qFormat/>
    <w:rPr>
      <w:rFonts w:cs="OpenSymbol"/>
    </w:rPr>
  </w:style>
  <w:style w:type="character" w:customStyle="1" w:styleId="ListLabel2558">
    <w:name w:val="ListLabel 2558"/>
    <w:qFormat/>
    <w:rPr>
      <w:rFonts w:cs="OpenSymbol"/>
    </w:rPr>
  </w:style>
  <w:style w:type="character" w:customStyle="1" w:styleId="ListLabel2559">
    <w:name w:val="ListLabel 2559"/>
    <w:qFormat/>
    <w:rPr>
      <w:rFonts w:cs="OpenSymbol"/>
    </w:rPr>
  </w:style>
  <w:style w:type="character" w:customStyle="1" w:styleId="ListLabel2560">
    <w:name w:val="ListLabel 2560"/>
    <w:qFormat/>
    <w:rPr>
      <w:rFonts w:cs="OpenSymbol"/>
    </w:rPr>
  </w:style>
  <w:style w:type="character" w:customStyle="1" w:styleId="ListLabel2561">
    <w:name w:val="ListLabel 2561"/>
    <w:qFormat/>
    <w:rPr>
      <w:rFonts w:cs="OpenSymbol"/>
    </w:rPr>
  </w:style>
  <w:style w:type="character" w:customStyle="1" w:styleId="ListLabel2562">
    <w:name w:val="ListLabel 2562"/>
    <w:qFormat/>
    <w:rPr>
      <w:rFonts w:cs="OpenSymbol"/>
    </w:rPr>
  </w:style>
  <w:style w:type="character" w:customStyle="1" w:styleId="ListLabel2563">
    <w:name w:val="ListLabel 2563"/>
    <w:qFormat/>
    <w:rPr>
      <w:rFonts w:cs="OpenSymbol"/>
    </w:rPr>
  </w:style>
  <w:style w:type="character" w:customStyle="1" w:styleId="ListLabel2564">
    <w:name w:val="ListLabel 2564"/>
    <w:qFormat/>
    <w:rPr>
      <w:rFonts w:cs="OpenSymbol"/>
    </w:rPr>
  </w:style>
  <w:style w:type="character" w:customStyle="1" w:styleId="ListLabel2565">
    <w:name w:val="ListLabel 2565"/>
    <w:qFormat/>
    <w:rPr>
      <w:rFonts w:cs="OpenSymbol"/>
    </w:rPr>
  </w:style>
  <w:style w:type="character" w:customStyle="1" w:styleId="ListLabel2566">
    <w:name w:val="ListLabel 2566"/>
    <w:qFormat/>
    <w:rPr>
      <w:rFonts w:cs="OpenSymbol"/>
    </w:rPr>
  </w:style>
  <w:style w:type="character" w:customStyle="1" w:styleId="ListLabel2567">
    <w:name w:val="ListLabel 2567"/>
    <w:qFormat/>
    <w:rPr>
      <w:rFonts w:cs="OpenSymbol"/>
    </w:rPr>
  </w:style>
  <w:style w:type="character" w:customStyle="1" w:styleId="ListLabel2568">
    <w:name w:val="ListLabel 2568"/>
    <w:qFormat/>
    <w:rPr>
      <w:rFonts w:cs="OpenSymbol"/>
    </w:rPr>
  </w:style>
  <w:style w:type="character" w:customStyle="1" w:styleId="ListLabel2569">
    <w:name w:val="ListLabel 2569"/>
    <w:qFormat/>
    <w:rPr>
      <w:rFonts w:cs="OpenSymbol"/>
    </w:rPr>
  </w:style>
  <w:style w:type="character" w:customStyle="1" w:styleId="ListLabel2570">
    <w:name w:val="ListLabel 2570"/>
    <w:qFormat/>
    <w:rPr>
      <w:rFonts w:cs="OpenSymbol"/>
    </w:rPr>
  </w:style>
  <w:style w:type="character" w:customStyle="1" w:styleId="ListLabel2571">
    <w:name w:val="ListLabel 2571"/>
    <w:qFormat/>
    <w:rPr>
      <w:rFonts w:cs="OpenSymbol"/>
    </w:rPr>
  </w:style>
  <w:style w:type="character" w:customStyle="1" w:styleId="ListLabel2572">
    <w:name w:val="ListLabel 2572"/>
    <w:qFormat/>
    <w:rPr>
      <w:rFonts w:cs="OpenSymbol"/>
    </w:rPr>
  </w:style>
  <w:style w:type="character" w:customStyle="1" w:styleId="ListLabel2573">
    <w:name w:val="ListLabel 2573"/>
    <w:qFormat/>
    <w:rPr>
      <w:rFonts w:cs="OpenSymbol"/>
    </w:rPr>
  </w:style>
  <w:style w:type="character" w:customStyle="1" w:styleId="ListLabel2574">
    <w:name w:val="ListLabel 2574"/>
    <w:qFormat/>
    <w:rPr>
      <w:rFonts w:cs="OpenSymbol"/>
    </w:rPr>
  </w:style>
  <w:style w:type="character" w:customStyle="1" w:styleId="ListLabel2575">
    <w:name w:val="ListLabel 2575"/>
    <w:qFormat/>
    <w:rPr>
      <w:rFonts w:cs="OpenSymbol"/>
    </w:rPr>
  </w:style>
  <w:style w:type="character" w:customStyle="1" w:styleId="ListLabel2576">
    <w:name w:val="ListLabel 2576"/>
    <w:qFormat/>
    <w:rPr>
      <w:rFonts w:cs="OpenSymbol"/>
    </w:rPr>
  </w:style>
  <w:style w:type="character" w:customStyle="1" w:styleId="ListLabel2577">
    <w:name w:val="ListLabel 2577"/>
    <w:qFormat/>
    <w:rPr>
      <w:rFonts w:cs="OpenSymbol"/>
    </w:rPr>
  </w:style>
  <w:style w:type="character" w:customStyle="1" w:styleId="ListLabel2578">
    <w:name w:val="ListLabel 2578"/>
    <w:qFormat/>
    <w:rPr>
      <w:rFonts w:cs="OpenSymbol"/>
    </w:rPr>
  </w:style>
  <w:style w:type="character" w:customStyle="1" w:styleId="ListLabel2579">
    <w:name w:val="ListLabel 2579"/>
    <w:qFormat/>
    <w:rPr>
      <w:rFonts w:cs="OpenSymbol"/>
    </w:rPr>
  </w:style>
  <w:style w:type="character" w:customStyle="1" w:styleId="ListLabel2580">
    <w:name w:val="ListLabel 2580"/>
    <w:qFormat/>
    <w:rPr>
      <w:rFonts w:cs="OpenSymbol"/>
    </w:rPr>
  </w:style>
  <w:style w:type="character" w:customStyle="1" w:styleId="ListLabel2581">
    <w:name w:val="ListLabel 2581"/>
    <w:qFormat/>
    <w:rPr>
      <w:rFonts w:cs="OpenSymbol"/>
    </w:rPr>
  </w:style>
  <w:style w:type="character" w:customStyle="1" w:styleId="ListLabel2582">
    <w:name w:val="ListLabel 2582"/>
    <w:qFormat/>
    <w:rPr>
      <w:rFonts w:cs="OpenSymbol"/>
    </w:rPr>
  </w:style>
  <w:style w:type="character" w:customStyle="1" w:styleId="ListLabel2583">
    <w:name w:val="ListLabel 2583"/>
    <w:qFormat/>
    <w:rPr>
      <w:rFonts w:cs="OpenSymbol"/>
    </w:rPr>
  </w:style>
  <w:style w:type="character" w:customStyle="1" w:styleId="ListLabel2584">
    <w:name w:val="ListLabel 2584"/>
    <w:qFormat/>
    <w:rPr>
      <w:rFonts w:cs="OpenSymbol"/>
    </w:rPr>
  </w:style>
  <w:style w:type="character" w:customStyle="1" w:styleId="ListLabel2585">
    <w:name w:val="ListLabel 2585"/>
    <w:qFormat/>
    <w:rPr>
      <w:rFonts w:cs="OpenSymbol"/>
    </w:rPr>
  </w:style>
  <w:style w:type="character" w:customStyle="1" w:styleId="ListLabel2586">
    <w:name w:val="ListLabel 2586"/>
    <w:qFormat/>
    <w:rPr>
      <w:rFonts w:cs="OpenSymbol"/>
    </w:rPr>
  </w:style>
  <w:style w:type="character" w:customStyle="1" w:styleId="ListLabel2587">
    <w:name w:val="ListLabel 2587"/>
    <w:qFormat/>
    <w:rPr>
      <w:rFonts w:cs="OpenSymbol"/>
    </w:rPr>
  </w:style>
  <w:style w:type="character" w:customStyle="1" w:styleId="ListLabel2588">
    <w:name w:val="ListLabel 2588"/>
    <w:qFormat/>
    <w:rPr>
      <w:rFonts w:cs="OpenSymbol"/>
    </w:rPr>
  </w:style>
  <w:style w:type="character" w:customStyle="1" w:styleId="ListLabel2589">
    <w:name w:val="ListLabel 2589"/>
    <w:qFormat/>
    <w:rPr>
      <w:rFonts w:cs="OpenSymbol"/>
    </w:rPr>
  </w:style>
  <w:style w:type="character" w:customStyle="1" w:styleId="ListLabel2590">
    <w:name w:val="ListLabel 2590"/>
    <w:qFormat/>
    <w:rPr>
      <w:rFonts w:cs="OpenSymbol"/>
    </w:rPr>
  </w:style>
  <w:style w:type="character" w:customStyle="1" w:styleId="ListLabel2591">
    <w:name w:val="ListLabel 2591"/>
    <w:qFormat/>
    <w:rPr>
      <w:rFonts w:cs="OpenSymbol"/>
    </w:rPr>
  </w:style>
  <w:style w:type="character" w:customStyle="1" w:styleId="ListLabel2592">
    <w:name w:val="ListLabel 2592"/>
    <w:qFormat/>
    <w:rPr>
      <w:rFonts w:cs="OpenSymbol"/>
    </w:rPr>
  </w:style>
  <w:style w:type="character" w:customStyle="1" w:styleId="ListLabel2593">
    <w:name w:val="ListLabel 2593"/>
    <w:qFormat/>
    <w:rPr>
      <w:rFonts w:cs="OpenSymbol"/>
    </w:rPr>
  </w:style>
  <w:style w:type="character" w:customStyle="1" w:styleId="ListLabel2594">
    <w:name w:val="ListLabel 2594"/>
    <w:qFormat/>
    <w:rPr>
      <w:rFonts w:cs="OpenSymbol"/>
    </w:rPr>
  </w:style>
  <w:style w:type="character" w:customStyle="1" w:styleId="ListLabel2595">
    <w:name w:val="ListLabel 2595"/>
    <w:qFormat/>
    <w:rPr>
      <w:rFonts w:cs="OpenSymbol"/>
    </w:rPr>
  </w:style>
  <w:style w:type="character" w:customStyle="1" w:styleId="ListLabel2596">
    <w:name w:val="ListLabel 2596"/>
    <w:qFormat/>
    <w:rPr>
      <w:rFonts w:cs="OpenSymbol"/>
    </w:rPr>
  </w:style>
  <w:style w:type="character" w:customStyle="1" w:styleId="ListLabel2597">
    <w:name w:val="ListLabel 2597"/>
    <w:qFormat/>
    <w:rPr>
      <w:rFonts w:cs="OpenSymbol"/>
    </w:rPr>
  </w:style>
  <w:style w:type="character" w:customStyle="1" w:styleId="ListLabel2598">
    <w:name w:val="ListLabel 2598"/>
    <w:qFormat/>
    <w:rPr>
      <w:rFonts w:cs="OpenSymbol"/>
    </w:rPr>
  </w:style>
  <w:style w:type="character" w:customStyle="1" w:styleId="ListLabel2599">
    <w:name w:val="ListLabel 2599"/>
    <w:qFormat/>
    <w:rPr>
      <w:rFonts w:cs="OpenSymbol"/>
    </w:rPr>
  </w:style>
  <w:style w:type="character" w:customStyle="1" w:styleId="ListLabel2600">
    <w:name w:val="ListLabel 2600"/>
    <w:qFormat/>
    <w:rPr>
      <w:rFonts w:cs="OpenSymbol"/>
    </w:rPr>
  </w:style>
  <w:style w:type="character" w:customStyle="1" w:styleId="ListLabel2601">
    <w:name w:val="ListLabel 2601"/>
    <w:qFormat/>
    <w:rPr>
      <w:rFonts w:cs="OpenSymbol"/>
    </w:rPr>
  </w:style>
  <w:style w:type="character" w:customStyle="1" w:styleId="ListLabel2602">
    <w:name w:val="ListLabel 2602"/>
    <w:qFormat/>
    <w:rPr>
      <w:rFonts w:cs="OpenSymbol"/>
    </w:rPr>
  </w:style>
  <w:style w:type="character" w:customStyle="1" w:styleId="ListLabel2603">
    <w:name w:val="ListLabel 2603"/>
    <w:qFormat/>
    <w:rPr>
      <w:rFonts w:cs="OpenSymbol"/>
    </w:rPr>
  </w:style>
  <w:style w:type="character" w:customStyle="1" w:styleId="ListLabel2604">
    <w:name w:val="ListLabel 2604"/>
    <w:qFormat/>
    <w:rPr>
      <w:rFonts w:cs="OpenSymbol"/>
    </w:rPr>
  </w:style>
  <w:style w:type="character" w:customStyle="1" w:styleId="ListLabel2605">
    <w:name w:val="ListLabel 2605"/>
    <w:qFormat/>
    <w:rPr>
      <w:rFonts w:cs="OpenSymbol"/>
    </w:rPr>
  </w:style>
  <w:style w:type="character" w:customStyle="1" w:styleId="ListLabel2606">
    <w:name w:val="ListLabel 2606"/>
    <w:qFormat/>
    <w:rPr>
      <w:rFonts w:cs="OpenSymbol"/>
    </w:rPr>
  </w:style>
  <w:style w:type="character" w:customStyle="1" w:styleId="ListLabel2607">
    <w:name w:val="ListLabel 2607"/>
    <w:qFormat/>
    <w:rPr>
      <w:rFonts w:cs="OpenSymbol"/>
    </w:rPr>
  </w:style>
  <w:style w:type="character" w:customStyle="1" w:styleId="ListLabel2608">
    <w:name w:val="ListLabel 2608"/>
    <w:qFormat/>
    <w:rPr>
      <w:rFonts w:cs="OpenSymbol"/>
    </w:rPr>
  </w:style>
  <w:style w:type="character" w:customStyle="1" w:styleId="ListLabel2609">
    <w:name w:val="ListLabel 2609"/>
    <w:qFormat/>
    <w:rPr>
      <w:rFonts w:cs="OpenSymbol"/>
    </w:rPr>
  </w:style>
  <w:style w:type="character" w:customStyle="1" w:styleId="ListLabel2610">
    <w:name w:val="ListLabel 2610"/>
    <w:qFormat/>
    <w:rPr>
      <w:rFonts w:cs="OpenSymbol"/>
    </w:rPr>
  </w:style>
  <w:style w:type="character" w:customStyle="1" w:styleId="ListLabel2611">
    <w:name w:val="ListLabel 2611"/>
    <w:qFormat/>
    <w:rPr>
      <w:rFonts w:cs="OpenSymbol"/>
    </w:rPr>
  </w:style>
  <w:style w:type="character" w:customStyle="1" w:styleId="ListLabel2612">
    <w:name w:val="ListLabel 2612"/>
    <w:qFormat/>
    <w:rPr>
      <w:rFonts w:cs="OpenSymbol"/>
    </w:rPr>
  </w:style>
  <w:style w:type="character" w:customStyle="1" w:styleId="ListLabel2613">
    <w:name w:val="ListLabel 2613"/>
    <w:qFormat/>
    <w:rPr>
      <w:rFonts w:cs="OpenSymbol"/>
    </w:rPr>
  </w:style>
  <w:style w:type="character" w:customStyle="1" w:styleId="ListLabel2614">
    <w:name w:val="ListLabel 2614"/>
    <w:qFormat/>
    <w:rPr>
      <w:rFonts w:cs="OpenSymbol"/>
    </w:rPr>
  </w:style>
  <w:style w:type="character" w:customStyle="1" w:styleId="ListLabel2615">
    <w:name w:val="ListLabel 2615"/>
    <w:qFormat/>
    <w:rPr>
      <w:rFonts w:cs="OpenSymbol"/>
    </w:rPr>
  </w:style>
  <w:style w:type="character" w:customStyle="1" w:styleId="ListLabel2616">
    <w:name w:val="ListLabel 2616"/>
    <w:qFormat/>
    <w:rPr>
      <w:rFonts w:cs="OpenSymbol"/>
    </w:rPr>
  </w:style>
  <w:style w:type="character" w:customStyle="1" w:styleId="ListLabel2617">
    <w:name w:val="ListLabel 2617"/>
    <w:qFormat/>
    <w:rPr>
      <w:rFonts w:cs="OpenSymbol"/>
    </w:rPr>
  </w:style>
  <w:style w:type="character" w:customStyle="1" w:styleId="ListLabel2618">
    <w:name w:val="ListLabel 2618"/>
    <w:qFormat/>
    <w:rPr>
      <w:rFonts w:cs="OpenSymbol"/>
    </w:rPr>
  </w:style>
  <w:style w:type="character" w:customStyle="1" w:styleId="ListLabel2619">
    <w:name w:val="ListLabel 2619"/>
    <w:qFormat/>
    <w:rPr>
      <w:rFonts w:cs="OpenSymbol"/>
    </w:rPr>
  </w:style>
  <w:style w:type="character" w:customStyle="1" w:styleId="ListLabel2620">
    <w:name w:val="ListLabel 2620"/>
    <w:qFormat/>
    <w:rPr>
      <w:rFonts w:cs="OpenSymbol"/>
    </w:rPr>
  </w:style>
  <w:style w:type="character" w:customStyle="1" w:styleId="ListLabel2621">
    <w:name w:val="ListLabel 2621"/>
    <w:qFormat/>
    <w:rPr>
      <w:rFonts w:cs="OpenSymbol"/>
    </w:rPr>
  </w:style>
  <w:style w:type="character" w:customStyle="1" w:styleId="ListLabel2622">
    <w:name w:val="ListLabel 2622"/>
    <w:qFormat/>
    <w:rPr>
      <w:rFonts w:cs="OpenSymbol"/>
    </w:rPr>
  </w:style>
  <w:style w:type="character" w:customStyle="1" w:styleId="ListLabel2623">
    <w:name w:val="ListLabel 2623"/>
    <w:qFormat/>
    <w:rPr>
      <w:rFonts w:cs="OpenSymbol"/>
    </w:rPr>
  </w:style>
  <w:style w:type="character" w:customStyle="1" w:styleId="ListLabel2624">
    <w:name w:val="ListLabel 2624"/>
    <w:qFormat/>
    <w:rPr>
      <w:rFonts w:cs="OpenSymbol"/>
    </w:rPr>
  </w:style>
  <w:style w:type="character" w:customStyle="1" w:styleId="ListLabel2625">
    <w:name w:val="ListLabel 2625"/>
    <w:qFormat/>
    <w:rPr>
      <w:rFonts w:eastAsia="Calibri"/>
      <w:color w:val="000000"/>
      <w:sz w:val="28"/>
      <w:u w:val="none"/>
    </w:rPr>
  </w:style>
  <w:style w:type="character" w:customStyle="1" w:styleId="ListLabel2626">
    <w:name w:val="ListLabel 2626"/>
    <w:qFormat/>
    <w:rPr>
      <w:rFonts w:eastAsia="Calibri"/>
      <w:color w:val="000000"/>
      <w:sz w:val="28"/>
      <w:u w:val="none"/>
      <w:lang w:val="en-US"/>
    </w:rPr>
  </w:style>
  <w:style w:type="character" w:customStyle="1" w:styleId="ListLabel2627">
    <w:name w:val="ListLabel 2627"/>
    <w:qFormat/>
    <w:rPr>
      <w:rFonts w:eastAsia="Calibri"/>
      <w:color w:val="000000"/>
      <w:sz w:val="28"/>
      <w:u w:val="none"/>
      <w:lang w:val="uk-UA"/>
    </w:rPr>
  </w:style>
  <w:style w:type="character" w:customStyle="1" w:styleId="ListLabel2628">
    <w:name w:val="ListLabel 2628"/>
    <w:qFormat/>
    <w:rPr>
      <w:color w:val="000000"/>
      <w:sz w:val="28"/>
      <w:u w:val="none"/>
    </w:rPr>
  </w:style>
  <w:style w:type="character" w:customStyle="1" w:styleId="ListLabel2629">
    <w:name w:val="ListLabel 2629"/>
    <w:qFormat/>
    <w:rPr>
      <w:rFonts w:eastAsia="Calibri"/>
      <w:color w:val="C9211E"/>
      <w:sz w:val="28"/>
    </w:rPr>
  </w:style>
  <w:style w:type="character" w:customStyle="1" w:styleId="ListLabel2630">
    <w:name w:val="ListLabel 2630"/>
    <w:qFormat/>
    <w:rPr>
      <w:rFonts w:eastAsia="Calibri" w:cs="Times New Roman"/>
      <w:b/>
      <w:bCs/>
      <w:kern w:val="2"/>
      <w:sz w:val="28"/>
      <w:szCs w:val="28"/>
      <w:lang w:val="uk-UA" w:eastAsia="ru-RU"/>
    </w:rPr>
  </w:style>
  <w:style w:type="character" w:customStyle="1" w:styleId="ListLabel2631">
    <w:name w:val="ListLabel 2631"/>
    <w:qFormat/>
    <w:rPr>
      <w:rFonts w:eastAsia="Calibri"/>
      <w:b/>
      <w:bCs/>
      <w:color w:val="000000"/>
      <w:sz w:val="28"/>
      <w:u w:val="none"/>
      <w:lang w:val="en-US"/>
    </w:rPr>
  </w:style>
  <w:style w:type="character" w:customStyle="1" w:styleId="ListLabel2632">
    <w:name w:val="ListLabel 2632"/>
    <w:qFormat/>
    <w:rPr>
      <w:b w:val="0"/>
      <w:bCs w:val="0"/>
      <w:color w:val="FF8000"/>
      <w:sz w:val="28"/>
      <w:szCs w:val="28"/>
      <w:highlight w:val="yellow"/>
      <w:lang w:val="ru-RU"/>
    </w:rPr>
  </w:style>
  <w:style w:type="character" w:customStyle="1" w:styleId="ListLabel2633">
    <w:name w:val="ListLabel 2633"/>
    <w:qFormat/>
    <w:rPr>
      <w:b w:val="0"/>
      <w:bCs w:val="0"/>
      <w:i w:val="0"/>
      <w:caps w:val="0"/>
      <w:smallCaps w:val="0"/>
      <w:color w:val="158466"/>
      <w:spacing w:val="0"/>
      <w:sz w:val="28"/>
      <w:szCs w:val="28"/>
      <w:highlight w:val="yellow"/>
      <w:lang w:val="uk-UA"/>
    </w:rPr>
  </w:style>
  <w:style w:type="character" w:customStyle="1" w:styleId="ListLabel2634">
    <w:name w:val="ListLabel 2634"/>
    <w:qFormat/>
    <w:rPr>
      <w:rFonts w:eastAsia="Times New Roman" w:cs="Times New Roman"/>
      <w:b w:val="0"/>
      <w:bCs w:val="0"/>
      <w:i w:val="0"/>
      <w:caps w:val="0"/>
      <w:smallCaps w:val="0"/>
      <w:strike w:val="0"/>
      <w:dstrike w:val="0"/>
      <w:color w:val="000000"/>
      <w:spacing w:val="0"/>
      <w:kern w:val="2"/>
      <w:sz w:val="28"/>
      <w:szCs w:val="28"/>
      <w:highlight w:val="yellow"/>
      <w:u w:val="none"/>
      <w:effect w:val="none"/>
      <w:lang w:val="uk-UA"/>
    </w:rPr>
  </w:style>
  <w:style w:type="character" w:customStyle="1" w:styleId="ListLabel2635">
    <w:name w:val="ListLabel 2635"/>
    <w:qFormat/>
    <w:rPr>
      <w:rFonts w:eastAsia="Times New Roman" w:cs="Times New Roman"/>
      <w:b w:val="0"/>
      <w:bCs w:val="0"/>
      <w:i w:val="0"/>
      <w:caps w:val="0"/>
      <w:smallCaps w:val="0"/>
      <w:strike w:val="0"/>
      <w:dstrike w:val="0"/>
      <w:color w:val="2C2C2C"/>
      <w:spacing w:val="0"/>
      <w:kern w:val="2"/>
      <w:sz w:val="28"/>
      <w:szCs w:val="28"/>
      <w:highlight w:val="yellow"/>
      <w:u w:val="none"/>
      <w:effect w:val="none"/>
      <w:lang w:val="en-US"/>
    </w:rPr>
  </w:style>
  <w:style w:type="character" w:customStyle="1" w:styleId="ListLabel2636">
    <w:name w:val="ListLabel 2636"/>
    <w:qFormat/>
  </w:style>
  <w:style w:type="character" w:customStyle="1" w:styleId="ListLabel2637">
    <w:name w:val="ListLabel 2637"/>
    <w:qFormat/>
  </w:style>
  <w:style w:type="character" w:customStyle="1" w:styleId="ListLabel2638">
    <w:name w:val="ListLabel 2638"/>
    <w:qFormat/>
    <w:rPr>
      <w:color w:val="005EA2"/>
      <w:u w:val="single"/>
    </w:rPr>
  </w:style>
  <w:style w:type="character" w:customStyle="1" w:styleId="ListLabel2639">
    <w:name w:val="ListLabel 2639"/>
    <w:qFormat/>
    <w:rPr>
      <w:color w:val="C9211E"/>
      <w:u w:val="single"/>
    </w:rPr>
  </w:style>
  <w:style w:type="character" w:customStyle="1" w:styleId="ListLabel2640">
    <w:name w:val="ListLabel 2640"/>
    <w:qFormat/>
    <w:rPr>
      <w:rFonts w:ascii="Times New Roman" w:hAnsi="Times New Roman"/>
      <w:b w:val="0"/>
      <w:i w:val="0"/>
      <w:caps w:val="0"/>
      <w:smallCaps w:val="0"/>
      <w:strike w:val="0"/>
      <w:dstrike w:val="0"/>
      <w:color w:val="2C72B7"/>
      <w:spacing w:val="0"/>
      <w:sz w:val="28"/>
      <w:szCs w:val="28"/>
      <w:highlight w:val="yellow"/>
      <w:u w:val="none"/>
      <w:effect w:val="none"/>
    </w:rPr>
  </w:style>
  <w:style w:type="character" w:customStyle="1" w:styleId="ListLabel2641">
    <w:name w:val="ListLabel 2641"/>
    <w:qFormat/>
    <w:rPr>
      <w:b w:val="0"/>
      <w:i w:val="0"/>
      <w:caps w:val="0"/>
      <w:smallCaps w:val="0"/>
      <w:color w:val="FF8000"/>
      <w:spacing w:val="0"/>
      <w:sz w:val="28"/>
      <w:szCs w:val="28"/>
      <w:u w:val="none"/>
    </w:rPr>
  </w:style>
  <w:style w:type="character" w:customStyle="1" w:styleId="ListLabel2642">
    <w:name w:val="ListLabel 2642"/>
    <w:qFormat/>
    <w:rPr>
      <w:b w:val="0"/>
      <w:strike w:val="0"/>
      <w:dstrike w:val="0"/>
      <w:color w:val="FF8000"/>
      <w:sz w:val="28"/>
      <w:szCs w:val="28"/>
      <w:highlight w:val="darkBlue"/>
      <w:u w:val="none"/>
      <w:effect w:val="none"/>
    </w:rPr>
  </w:style>
  <w:style w:type="character" w:customStyle="1" w:styleId="ListLabel2643">
    <w:name w:val="ListLabel 2643"/>
    <w:qFormat/>
    <w:rPr>
      <w:b w:val="0"/>
      <w:i w:val="0"/>
      <w:caps w:val="0"/>
      <w:smallCaps w:val="0"/>
      <w:strike w:val="0"/>
      <w:dstrike w:val="0"/>
      <w:color w:val="FF8000"/>
      <w:spacing w:val="0"/>
      <w:sz w:val="28"/>
      <w:szCs w:val="28"/>
      <w:u w:val="single"/>
    </w:rPr>
  </w:style>
  <w:style w:type="character" w:customStyle="1" w:styleId="ListLabel2644">
    <w:name w:val="ListLabel 2644"/>
    <w:qFormat/>
    <w:rPr>
      <w:b w:val="0"/>
      <w:i w:val="0"/>
      <w:caps w:val="0"/>
      <w:smallCaps w:val="0"/>
      <w:color w:val="FF8000"/>
      <w:spacing w:val="0"/>
      <w:sz w:val="28"/>
      <w:szCs w:val="28"/>
      <w:u w:val="single"/>
    </w:rPr>
  </w:style>
  <w:style w:type="character" w:customStyle="1" w:styleId="ListLabel2645">
    <w:name w:val="ListLabel 2645"/>
    <w:qFormat/>
    <w:rPr>
      <w:rFonts w:eastAsia="Times New Roman" w:cs="Arial"/>
      <w:b w:val="0"/>
      <w:bCs/>
      <w:i w:val="0"/>
      <w:caps w:val="0"/>
      <w:smallCaps w:val="0"/>
      <w:strike w:val="0"/>
      <w:dstrike w:val="0"/>
      <w:color w:val="FF8000"/>
      <w:spacing w:val="0"/>
      <w:kern w:val="2"/>
      <w:sz w:val="28"/>
      <w:szCs w:val="28"/>
      <w:highlight w:val="yellow"/>
      <w:effect w:val="none"/>
    </w:rPr>
  </w:style>
  <w:style w:type="character" w:customStyle="1" w:styleId="ListLabel2646">
    <w:name w:val="ListLabel 2646"/>
    <w:qFormat/>
    <w:rPr>
      <w:rFonts w:eastAsia="Times New Roman" w:cs="Times New Roman"/>
      <w:b w:val="0"/>
      <w:bCs w:val="0"/>
      <w:i w:val="0"/>
      <w:caps w:val="0"/>
      <w:smallCaps w:val="0"/>
      <w:strike w:val="0"/>
      <w:dstrike w:val="0"/>
      <w:color w:val="3366CC"/>
      <w:spacing w:val="0"/>
      <w:kern w:val="2"/>
      <w:sz w:val="28"/>
      <w:szCs w:val="28"/>
      <w:highlight w:val="white"/>
      <w:u w:val="none"/>
      <w:effect w:val="none"/>
      <w:lang w:val="uk-UA" w:eastAsia="ru-RU"/>
    </w:rPr>
  </w:style>
  <w:style w:type="character" w:customStyle="1" w:styleId="ListLabel2647">
    <w:name w:val="ListLabel 2647"/>
    <w:qFormat/>
    <w:rPr>
      <w:sz w:val="28"/>
      <w:szCs w:val="28"/>
      <w:lang w:val="uk-UA"/>
    </w:rPr>
  </w:style>
  <w:style w:type="character" w:customStyle="1" w:styleId="ListLabel2648">
    <w:name w:val="ListLabel 2648"/>
    <w:qFormat/>
    <w:rPr>
      <w:b/>
      <w:bCs/>
      <w:color w:val="FF8000"/>
      <w:sz w:val="28"/>
      <w:szCs w:val="28"/>
      <w:highlight w:val="yellow"/>
      <w:lang w:val="ru-RU"/>
    </w:rPr>
  </w:style>
  <w:style w:type="character" w:customStyle="1" w:styleId="ListLabel2649">
    <w:name w:val="ListLabel 2649"/>
    <w:qFormat/>
    <w:rPr>
      <w:rFonts w:cs="OpenSymbol"/>
      <w:b w:val="0"/>
      <w:sz w:val="28"/>
    </w:rPr>
  </w:style>
  <w:style w:type="character" w:customStyle="1" w:styleId="ListLabel2650">
    <w:name w:val="ListLabel 2650"/>
    <w:qFormat/>
    <w:rPr>
      <w:rFonts w:cs="OpenSymbol"/>
    </w:rPr>
  </w:style>
  <w:style w:type="character" w:customStyle="1" w:styleId="ListLabel2651">
    <w:name w:val="ListLabel 2651"/>
    <w:qFormat/>
    <w:rPr>
      <w:rFonts w:cs="OpenSymbol"/>
    </w:rPr>
  </w:style>
  <w:style w:type="character" w:customStyle="1" w:styleId="ListLabel2652">
    <w:name w:val="ListLabel 2652"/>
    <w:qFormat/>
    <w:rPr>
      <w:rFonts w:cs="OpenSymbol"/>
    </w:rPr>
  </w:style>
  <w:style w:type="character" w:customStyle="1" w:styleId="ListLabel2653">
    <w:name w:val="ListLabel 2653"/>
    <w:qFormat/>
    <w:rPr>
      <w:rFonts w:cs="OpenSymbol"/>
    </w:rPr>
  </w:style>
  <w:style w:type="character" w:customStyle="1" w:styleId="ListLabel2654">
    <w:name w:val="ListLabel 2654"/>
    <w:qFormat/>
    <w:rPr>
      <w:rFonts w:cs="OpenSymbol"/>
    </w:rPr>
  </w:style>
  <w:style w:type="character" w:customStyle="1" w:styleId="ListLabel2655">
    <w:name w:val="ListLabel 2655"/>
    <w:qFormat/>
    <w:rPr>
      <w:rFonts w:cs="OpenSymbol"/>
    </w:rPr>
  </w:style>
  <w:style w:type="character" w:customStyle="1" w:styleId="ListLabel2656">
    <w:name w:val="ListLabel 2656"/>
    <w:qFormat/>
    <w:rPr>
      <w:rFonts w:cs="OpenSymbol"/>
    </w:rPr>
  </w:style>
  <w:style w:type="character" w:customStyle="1" w:styleId="ListLabel2657">
    <w:name w:val="ListLabel 2657"/>
    <w:qFormat/>
    <w:rPr>
      <w:rFonts w:cs="OpenSymbol"/>
    </w:rPr>
  </w:style>
  <w:style w:type="character" w:customStyle="1" w:styleId="ListLabel2658">
    <w:name w:val="ListLabel 2658"/>
    <w:qFormat/>
    <w:rPr>
      <w:rFonts w:cs="OpenSymbol"/>
      <w:b w:val="0"/>
      <w:sz w:val="28"/>
    </w:rPr>
  </w:style>
  <w:style w:type="character" w:customStyle="1" w:styleId="ListLabel2659">
    <w:name w:val="ListLabel 2659"/>
    <w:qFormat/>
    <w:rPr>
      <w:rFonts w:cs="OpenSymbol"/>
    </w:rPr>
  </w:style>
  <w:style w:type="character" w:customStyle="1" w:styleId="ListLabel2660">
    <w:name w:val="ListLabel 2660"/>
    <w:qFormat/>
    <w:rPr>
      <w:rFonts w:cs="OpenSymbol"/>
    </w:rPr>
  </w:style>
  <w:style w:type="character" w:customStyle="1" w:styleId="ListLabel2661">
    <w:name w:val="ListLabel 2661"/>
    <w:qFormat/>
    <w:rPr>
      <w:rFonts w:cs="OpenSymbol"/>
    </w:rPr>
  </w:style>
  <w:style w:type="character" w:customStyle="1" w:styleId="ListLabel2662">
    <w:name w:val="ListLabel 2662"/>
    <w:qFormat/>
    <w:rPr>
      <w:rFonts w:cs="OpenSymbol"/>
    </w:rPr>
  </w:style>
  <w:style w:type="character" w:customStyle="1" w:styleId="ListLabel2663">
    <w:name w:val="ListLabel 2663"/>
    <w:qFormat/>
    <w:rPr>
      <w:rFonts w:cs="OpenSymbol"/>
    </w:rPr>
  </w:style>
  <w:style w:type="character" w:customStyle="1" w:styleId="ListLabel2664">
    <w:name w:val="ListLabel 2664"/>
    <w:qFormat/>
    <w:rPr>
      <w:rFonts w:cs="OpenSymbol"/>
    </w:rPr>
  </w:style>
  <w:style w:type="character" w:customStyle="1" w:styleId="ListLabel2665">
    <w:name w:val="ListLabel 2665"/>
    <w:qFormat/>
    <w:rPr>
      <w:rFonts w:cs="OpenSymbol"/>
    </w:rPr>
  </w:style>
  <w:style w:type="character" w:customStyle="1" w:styleId="ListLabel2666">
    <w:name w:val="ListLabel 2666"/>
    <w:qFormat/>
    <w:rPr>
      <w:rFonts w:cs="OpenSymbol"/>
    </w:rPr>
  </w:style>
  <w:style w:type="character" w:customStyle="1" w:styleId="ListLabel2667">
    <w:name w:val="ListLabel 2667"/>
    <w:qFormat/>
    <w:rPr>
      <w:rFonts w:cs="OpenSymbol"/>
      <w:b w:val="0"/>
      <w:sz w:val="28"/>
    </w:rPr>
  </w:style>
  <w:style w:type="character" w:customStyle="1" w:styleId="ListLabel2668">
    <w:name w:val="ListLabel 2668"/>
    <w:qFormat/>
    <w:rPr>
      <w:rFonts w:cs="OpenSymbol"/>
    </w:rPr>
  </w:style>
  <w:style w:type="character" w:customStyle="1" w:styleId="ListLabel2669">
    <w:name w:val="ListLabel 2669"/>
    <w:qFormat/>
    <w:rPr>
      <w:rFonts w:cs="OpenSymbol"/>
    </w:rPr>
  </w:style>
  <w:style w:type="character" w:customStyle="1" w:styleId="ListLabel2670">
    <w:name w:val="ListLabel 2670"/>
    <w:qFormat/>
    <w:rPr>
      <w:rFonts w:cs="OpenSymbol"/>
    </w:rPr>
  </w:style>
  <w:style w:type="character" w:customStyle="1" w:styleId="ListLabel2671">
    <w:name w:val="ListLabel 2671"/>
    <w:qFormat/>
    <w:rPr>
      <w:rFonts w:cs="OpenSymbol"/>
    </w:rPr>
  </w:style>
  <w:style w:type="character" w:customStyle="1" w:styleId="ListLabel2672">
    <w:name w:val="ListLabel 2672"/>
    <w:qFormat/>
    <w:rPr>
      <w:rFonts w:cs="OpenSymbol"/>
    </w:rPr>
  </w:style>
  <w:style w:type="character" w:customStyle="1" w:styleId="ListLabel2673">
    <w:name w:val="ListLabel 2673"/>
    <w:qFormat/>
    <w:rPr>
      <w:rFonts w:cs="OpenSymbol"/>
    </w:rPr>
  </w:style>
  <w:style w:type="character" w:customStyle="1" w:styleId="ListLabel2674">
    <w:name w:val="ListLabel 2674"/>
    <w:qFormat/>
    <w:rPr>
      <w:rFonts w:cs="OpenSymbol"/>
    </w:rPr>
  </w:style>
  <w:style w:type="character" w:customStyle="1" w:styleId="ListLabel2675">
    <w:name w:val="ListLabel 2675"/>
    <w:qFormat/>
    <w:rPr>
      <w:rFonts w:cs="OpenSymbol"/>
    </w:rPr>
  </w:style>
  <w:style w:type="character" w:customStyle="1" w:styleId="ListLabel2676">
    <w:name w:val="ListLabel 2676"/>
    <w:qFormat/>
    <w:rPr>
      <w:rFonts w:cs="OpenSymbol"/>
    </w:rPr>
  </w:style>
  <w:style w:type="character" w:customStyle="1" w:styleId="ListLabel2677">
    <w:name w:val="ListLabel 2677"/>
    <w:qFormat/>
    <w:rPr>
      <w:rFonts w:cs="OpenSymbol"/>
    </w:rPr>
  </w:style>
  <w:style w:type="character" w:customStyle="1" w:styleId="ListLabel2678">
    <w:name w:val="ListLabel 2678"/>
    <w:qFormat/>
    <w:rPr>
      <w:rFonts w:cs="OpenSymbol"/>
    </w:rPr>
  </w:style>
  <w:style w:type="character" w:customStyle="1" w:styleId="ListLabel2679">
    <w:name w:val="ListLabel 2679"/>
    <w:qFormat/>
    <w:rPr>
      <w:rFonts w:cs="OpenSymbol"/>
    </w:rPr>
  </w:style>
  <w:style w:type="character" w:customStyle="1" w:styleId="ListLabel2680">
    <w:name w:val="ListLabel 2680"/>
    <w:qFormat/>
    <w:rPr>
      <w:rFonts w:cs="OpenSymbol"/>
    </w:rPr>
  </w:style>
  <w:style w:type="character" w:customStyle="1" w:styleId="ListLabel2681">
    <w:name w:val="ListLabel 2681"/>
    <w:qFormat/>
    <w:rPr>
      <w:rFonts w:cs="OpenSymbol"/>
    </w:rPr>
  </w:style>
  <w:style w:type="character" w:customStyle="1" w:styleId="ListLabel2682">
    <w:name w:val="ListLabel 2682"/>
    <w:qFormat/>
    <w:rPr>
      <w:rFonts w:cs="OpenSymbol"/>
    </w:rPr>
  </w:style>
  <w:style w:type="character" w:customStyle="1" w:styleId="ListLabel2683">
    <w:name w:val="ListLabel 2683"/>
    <w:qFormat/>
    <w:rPr>
      <w:rFonts w:cs="OpenSymbol"/>
    </w:rPr>
  </w:style>
  <w:style w:type="character" w:customStyle="1" w:styleId="ListLabel2684">
    <w:name w:val="ListLabel 2684"/>
    <w:qFormat/>
    <w:rPr>
      <w:rFonts w:cs="OpenSymbol"/>
    </w:rPr>
  </w:style>
  <w:style w:type="character" w:customStyle="1" w:styleId="ListLabel2685">
    <w:name w:val="ListLabel 2685"/>
    <w:qFormat/>
    <w:rPr>
      <w:rFonts w:cs="OpenSymbol"/>
    </w:rPr>
  </w:style>
  <w:style w:type="character" w:customStyle="1" w:styleId="ListLabel2686">
    <w:name w:val="ListLabel 2686"/>
    <w:qFormat/>
    <w:rPr>
      <w:rFonts w:cs="OpenSymbol"/>
    </w:rPr>
  </w:style>
  <w:style w:type="character" w:customStyle="1" w:styleId="ListLabel2687">
    <w:name w:val="ListLabel 2687"/>
    <w:qFormat/>
    <w:rPr>
      <w:rFonts w:cs="OpenSymbol"/>
    </w:rPr>
  </w:style>
  <w:style w:type="character" w:customStyle="1" w:styleId="ListLabel2688">
    <w:name w:val="ListLabel 2688"/>
    <w:qFormat/>
    <w:rPr>
      <w:rFonts w:cs="OpenSymbol"/>
    </w:rPr>
  </w:style>
  <w:style w:type="character" w:customStyle="1" w:styleId="ListLabel2689">
    <w:name w:val="ListLabel 2689"/>
    <w:qFormat/>
    <w:rPr>
      <w:rFonts w:cs="OpenSymbol"/>
    </w:rPr>
  </w:style>
  <w:style w:type="character" w:customStyle="1" w:styleId="ListLabel2690">
    <w:name w:val="ListLabel 2690"/>
    <w:qFormat/>
    <w:rPr>
      <w:rFonts w:cs="OpenSymbol"/>
    </w:rPr>
  </w:style>
  <w:style w:type="character" w:customStyle="1" w:styleId="ListLabel2691">
    <w:name w:val="ListLabel 2691"/>
    <w:qFormat/>
    <w:rPr>
      <w:rFonts w:cs="OpenSymbol"/>
    </w:rPr>
  </w:style>
  <w:style w:type="character" w:customStyle="1" w:styleId="ListLabel2692">
    <w:name w:val="ListLabel 2692"/>
    <w:qFormat/>
    <w:rPr>
      <w:rFonts w:cs="OpenSymbol"/>
    </w:rPr>
  </w:style>
  <w:style w:type="character" w:customStyle="1" w:styleId="ListLabel2693">
    <w:name w:val="ListLabel 2693"/>
    <w:qFormat/>
    <w:rPr>
      <w:rFonts w:cs="OpenSymbol"/>
    </w:rPr>
  </w:style>
  <w:style w:type="character" w:customStyle="1" w:styleId="ListLabel2694">
    <w:name w:val="ListLabel 2694"/>
    <w:qFormat/>
    <w:rPr>
      <w:rFonts w:cs="OpenSymbol"/>
    </w:rPr>
  </w:style>
  <w:style w:type="character" w:customStyle="1" w:styleId="ListLabel2695">
    <w:name w:val="ListLabel 2695"/>
    <w:qFormat/>
    <w:rPr>
      <w:rFonts w:cs="OpenSymbol"/>
    </w:rPr>
  </w:style>
  <w:style w:type="character" w:customStyle="1" w:styleId="ListLabel2696">
    <w:name w:val="ListLabel 2696"/>
    <w:qFormat/>
    <w:rPr>
      <w:rFonts w:cs="OpenSymbol"/>
    </w:rPr>
  </w:style>
  <w:style w:type="character" w:customStyle="1" w:styleId="ListLabel2697">
    <w:name w:val="ListLabel 2697"/>
    <w:qFormat/>
    <w:rPr>
      <w:rFonts w:cs="OpenSymbol"/>
    </w:rPr>
  </w:style>
  <w:style w:type="character" w:customStyle="1" w:styleId="ListLabel2698">
    <w:name w:val="ListLabel 2698"/>
    <w:qFormat/>
    <w:rPr>
      <w:rFonts w:cs="OpenSymbol"/>
    </w:rPr>
  </w:style>
  <w:style w:type="character" w:customStyle="1" w:styleId="ListLabel2699">
    <w:name w:val="ListLabel 2699"/>
    <w:qFormat/>
    <w:rPr>
      <w:rFonts w:cs="OpenSymbol"/>
    </w:rPr>
  </w:style>
  <w:style w:type="character" w:customStyle="1" w:styleId="ListLabel2700">
    <w:name w:val="ListLabel 2700"/>
    <w:qFormat/>
    <w:rPr>
      <w:rFonts w:cs="OpenSymbol"/>
    </w:rPr>
  </w:style>
  <w:style w:type="character" w:customStyle="1" w:styleId="ListLabel2701">
    <w:name w:val="ListLabel 2701"/>
    <w:qFormat/>
    <w:rPr>
      <w:rFonts w:cs="OpenSymbol"/>
    </w:rPr>
  </w:style>
  <w:style w:type="character" w:customStyle="1" w:styleId="ListLabel2702">
    <w:name w:val="ListLabel 2702"/>
    <w:qFormat/>
    <w:rPr>
      <w:rFonts w:cs="OpenSymbol"/>
    </w:rPr>
  </w:style>
  <w:style w:type="character" w:customStyle="1" w:styleId="ListLabel2703">
    <w:name w:val="ListLabel 2703"/>
    <w:qFormat/>
    <w:rPr>
      <w:rFonts w:cs="OpenSymbol"/>
    </w:rPr>
  </w:style>
  <w:style w:type="character" w:customStyle="1" w:styleId="ListLabel2704">
    <w:name w:val="ListLabel 2704"/>
    <w:qFormat/>
    <w:rPr>
      <w:rFonts w:cs="OpenSymbol"/>
    </w:rPr>
  </w:style>
  <w:style w:type="character" w:customStyle="1" w:styleId="ListLabel2705">
    <w:name w:val="ListLabel 2705"/>
    <w:qFormat/>
    <w:rPr>
      <w:rFonts w:cs="OpenSymbol"/>
    </w:rPr>
  </w:style>
  <w:style w:type="character" w:customStyle="1" w:styleId="ListLabel2706">
    <w:name w:val="ListLabel 2706"/>
    <w:qFormat/>
    <w:rPr>
      <w:rFonts w:cs="OpenSymbol"/>
    </w:rPr>
  </w:style>
  <w:style w:type="character" w:customStyle="1" w:styleId="ListLabel2707">
    <w:name w:val="ListLabel 2707"/>
    <w:qFormat/>
    <w:rPr>
      <w:rFonts w:cs="OpenSymbol"/>
    </w:rPr>
  </w:style>
  <w:style w:type="character" w:customStyle="1" w:styleId="ListLabel2708">
    <w:name w:val="ListLabel 2708"/>
    <w:qFormat/>
    <w:rPr>
      <w:rFonts w:cs="OpenSymbol"/>
    </w:rPr>
  </w:style>
  <w:style w:type="character" w:customStyle="1" w:styleId="ListLabel2709">
    <w:name w:val="ListLabel 2709"/>
    <w:qFormat/>
    <w:rPr>
      <w:rFonts w:cs="OpenSymbol"/>
    </w:rPr>
  </w:style>
  <w:style w:type="character" w:customStyle="1" w:styleId="ListLabel2710">
    <w:name w:val="ListLabel 2710"/>
    <w:qFormat/>
    <w:rPr>
      <w:rFonts w:cs="OpenSymbol"/>
    </w:rPr>
  </w:style>
  <w:style w:type="character" w:customStyle="1" w:styleId="ListLabel2711">
    <w:name w:val="ListLabel 2711"/>
    <w:qFormat/>
    <w:rPr>
      <w:rFonts w:cs="OpenSymbol"/>
    </w:rPr>
  </w:style>
  <w:style w:type="character" w:customStyle="1" w:styleId="ListLabel2712">
    <w:name w:val="ListLabel 2712"/>
    <w:qFormat/>
    <w:rPr>
      <w:rFonts w:cs="OpenSymbol"/>
    </w:rPr>
  </w:style>
  <w:style w:type="character" w:customStyle="1" w:styleId="ListLabel2713">
    <w:name w:val="ListLabel 2713"/>
    <w:qFormat/>
    <w:rPr>
      <w:rFonts w:cs="OpenSymbol"/>
    </w:rPr>
  </w:style>
  <w:style w:type="character" w:customStyle="1" w:styleId="ListLabel2714">
    <w:name w:val="ListLabel 2714"/>
    <w:qFormat/>
    <w:rPr>
      <w:rFonts w:cs="OpenSymbol"/>
    </w:rPr>
  </w:style>
  <w:style w:type="character" w:customStyle="1" w:styleId="ListLabel2715">
    <w:name w:val="ListLabel 2715"/>
    <w:qFormat/>
    <w:rPr>
      <w:rFonts w:cs="OpenSymbol"/>
    </w:rPr>
  </w:style>
  <w:style w:type="character" w:customStyle="1" w:styleId="ListLabel2716">
    <w:name w:val="ListLabel 2716"/>
    <w:qFormat/>
    <w:rPr>
      <w:rFonts w:cs="OpenSymbol"/>
    </w:rPr>
  </w:style>
  <w:style w:type="character" w:customStyle="1" w:styleId="ListLabel2717">
    <w:name w:val="ListLabel 2717"/>
    <w:qFormat/>
    <w:rPr>
      <w:rFonts w:cs="OpenSymbol"/>
    </w:rPr>
  </w:style>
  <w:style w:type="character" w:customStyle="1" w:styleId="ListLabel2718">
    <w:name w:val="ListLabel 2718"/>
    <w:qFormat/>
    <w:rPr>
      <w:rFonts w:cs="OpenSymbol"/>
    </w:rPr>
  </w:style>
  <w:style w:type="character" w:customStyle="1" w:styleId="ListLabel2719">
    <w:name w:val="ListLabel 2719"/>
    <w:qFormat/>
    <w:rPr>
      <w:rFonts w:cs="OpenSymbol"/>
    </w:rPr>
  </w:style>
  <w:style w:type="character" w:customStyle="1" w:styleId="ListLabel2720">
    <w:name w:val="ListLabel 2720"/>
    <w:qFormat/>
    <w:rPr>
      <w:rFonts w:cs="OpenSymbol"/>
    </w:rPr>
  </w:style>
  <w:style w:type="character" w:customStyle="1" w:styleId="ListLabel2721">
    <w:name w:val="ListLabel 2721"/>
    <w:qFormat/>
    <w:rPr>
      <w:rFonts w:cs="OpenSymbol"/>
    </w:rPr>
  </w:style>
  <w:style w:type="character" w:customStyle="1" w:styleId="ListLabel2722">
    <w:name w:val="ListLabel 2722"/>
    <w:qFormat/>
    <w:rPr>
      <w:rFonts w:cs="OpenSymbol"/>
    </w:rPr>
  </w:style>
  <w:style w:type="character" w:customStyle="1" w:styleId="ListLabel2723">
    <w:name w:val="ListLabel 2723"/>
    <w:qFormat/>
    <w:rPr>
      <w:rFonts w:cs="OpenSymbol"/>
    </w:rPr>
  </w:style>
  <w:style w:type="character" w:customStyle="1" w:styleId="ListLabel2724">
    <w:name w:val="ListLabel 2724"/>
    <w:qFormat/>
    <w:rPr>
      <w:rFonts w:cs="OpenSymbol"/>
    </w:rPr>
  </w:style>
  <w:style w:type="character" w:customStyle="1" w:styleId="ListLabel2725">
    <w:name w:val="ListLabel 2725"/>
    <w:qFormat/>
    <w:rPr>
      <w:rFonts w:cs="OpenSymbol"/>
    </w:rPr>
  </w:style>
  <w:style w:type="character" w:customStyle="1" w:styleId="ListLabel2726">
    <w:name w:val="ListLabel 2726"/>
    <w:qFormat/>
    <w:rPr>
      <w:rFonts w:cs="OpenSymbol"/>
    </w:rPr>
  </w:style>
  <w:style w:type="character" w:customStyle="1" w:styleId="ListLabel2727">
    <w:name w:val="ListLabel 2727"/>
    <w:qFormat/>
    <w:rPr>
      <w:rFonts w:cs="OpenSymbol"/>
    </w:rPr>
  </w:style>
  <w:style w:type="character" w:customStyle="1" w:styleId="ListLabel2728">
    <w:name w:val="ListLabel 2728"/>
    <w:qFormat/>
    <w:rPr>
      <w:rFonts w:cs="OpenSymbol"/>
    </w:rPr>
  </w:style>
  <w:style w:type="character" w:customStyle="1" w:styleId="ListLabel2729">
    <w:name w:val="ListLabel 2729"/>
    <w:qFormat/>
    <w:rPr>
      <w:rFonts w:cs="OpenSymbol"/>
    </w:rPr>
  </w:style>
  <w:style w:type="character" w:customStyle="1" w:styleId="ListLabel2730">
    <w:name w:val="ListLabel 2730"/>
    <w:qFormat/>
    <w:rPr>
      <w:rFonts w:cs="OpenSymbol"/>
    </w:rPr>
  </w:style>
  <w:style w:type="character" w:customStyle="1" w:styleId="ListLabel2731">
    <w:name w:val="ListLabel 2731"/>
    <w:qFormat/>
    <w:rPr>
      <w:rFonts w:cs="OpenSymbol"/>
    </w:rPr>
  </w:style>
  <w:style w:type="character" w:customStyle="1" w:styleId="ListLabel2732">
    <w:name w:val="ListLabel 2732"/>
    <w:qFormat/>
    <w:rPr>
      <w:rFonts w:cs="OpenSymbol"/>
    </w:rPr>
  </w:style>
  <w:style w:type="character" w:customStyle="1" w:styleId="ListLabel2733">
    <w:name w:val="ListLabel 2733"/>
    <w:qFormat/>
    <w:rPr>
      <w:rFonts w:cs="OpenSymbol"/>
    </w:rPr>
  </w:style>
  <w:style w:type="character" w:customStyle="1" w:styleId="ListLabel2734">
    <w:name w:val="ListLabel 2734"/>
    <w:qFormat/>
    <w:rPr>
      <w:rFonts w:cs="OpenSymbol"/>
    </w:rPr>
  </w:style>
  <w:style w:type="character" w:customStyle="1" w:styleId="ListLabel2735">
    <w:name w:val="ListLabel 2735"/>
    <w:qFormat/>
    <w:rPr>
      <w:rFonts w:cs="OpenSymbol"/>
    </w:rPr>
  </w:style>
  <w:style w:type="character" w:customStyle="1" w:styleId="ListLabel2736">
    <w:name w:val="ListLabel 2736"/>
    <w:qFormat/>
    <w:rPr>
      <w:rFonts w:cs="OpenSymbol"/>
    </w:rPr>
  </w:style>
  <w:style w:type="character" w:customStyle="1" w:styleId="ListLabel2737">
    <w:name w:val="ListLabel 2737"/>
    <w:qFormat/>
    <w:rPr>
      <w:rFonts w:cs="OpenSymbol"/>
    </w:rPr>
  </w:style>
  <w:style w:type="character" w:customStyle="1" w:styleId="ListLabel2738">
    <w:name w:val="ListLabel 2738"/>
    <w:qFormat/>
    <w:rPr>
      <w:rFonts w:cs="OpenSymbol"/>
    </w:rPr>
  </w:style>
  <w:style w:type="character" w:customStyle="1" w:styleId="ListLabel2739">
    <w:name w:val="ListLabel 2739"/>
    <w:qFormat/>
    <w:rPr>
      <w:rFonts w:cs="OpenSymbol"/>
    </w:rPr>
  </w:style>
  <w:style w:type="character" w:customStyle="1" w:styleId="ListLabel2740">
    <w:name w:val="ListLabel 2740"/>
    <w:qFormat/>
    <w:rPr>
      <w:rFonts w:cs="OpenSymbol"/>
    </w:rPr>
  </w:style>
  <w:style w:type="character" w:customStyle="1" w:styleId="ListLabel2741">
    <w:name w:val="ListLabel 2741"/>
    <w:qFormat/>
    <w:rPr>
      <w:rFonts w:cs="OpenSymbol"/>
    </w:rPr>
  </w:style>
  <w:style w:type="character" w:customStyle="1" w:styleId="ListLabel2742">
    <w:name w:val="ListLabel 2742"/>
    <w:qFormat/>
    <w:rPr>
      <w:rFonts w:cs="OpenSymbol"/>
    </w:rPr>
  </w:style>
  <w:style w:type="character" w:customStyle="1" w:styleId="ListLabel2743">
    <w:name w:val="ListLabel 2743"/>
    <w:qFormat/>
    <w:rPr>
      <w:rFonts w:cs="OpenSymbol"/>
    </w:rPr>
  </w:style>
  <w:style w:type="character" w:customStyle="1" w:styleId="ListLabel2744">
    <w:name w:val="ListLabel 2744"/>
    <w:qFormat/>
    <w:rPr>
      <w:rFonts w:cs="OpenSymbol"/>
    </w:rPr>
  </w:style>
  <w:style w:type="character" w:customStyle="1" w:styleId="ListLabel2745">
    <w:name w:val="ListLabel 2745"/>
    <w:qFormat/>
    <w:rPr>
      <w:rFonts w:cs="OpenSymbol"/>
    </w:rPr>
  </w:style>
  <w:style w:type="character" w:customStyle="1" w:styleId="ListLabel2746">
    <w:name w:val="ListLabel 2746"/>
    <w:qFormat/>
    <w:rPr>
      <w:rFonts w:cs="OpenSymbol"/>
    </w:rPr>
  </w:style>
  <w:style w:type="character" w:customStyle="1" w:styleId="ListLabel2747">
    <w:name w:val="ListLabel 2747"/>
    <w:qFormat/>
    <w:rPr>
      <w:rFonts w:cs="OpenSymbol"/>
    </w:rPr>
  </w:style>
  <w:style w:type="character" w:customStyle="1" w:styleId="ListLabel2748">
    <w:name w:val="ListLabel 2748"/>
    <w:qFormat/>
    <w:rPr>
      <w:rFonts w:cs="OpenSymbol"/>
    </w:rPr>
  </w:style>
  <w:style w:type="character" w:customStyle="1" w:styleId="ListLabel2749">
    <w:name w:val="ListLabel 2749"/>
    <w:qFormat/>
    <w:rPr>
      <w:rFonts w:cs="OpenSymbol"/>
    </w:rPr>
  </w:style>
  <w:style w:type="character" w:customStyle="1" w:styleId="ListLabel2750">
    <w:name w:val="ListLabel 2750"/>
    <w:qFormat/>
    <w:rPr>
      <w:rFonts w:cs="OpenSymbol"/>
    </w:rPr>
  </w:style>
  <w:style w:type="character" w:customStyle="1" w:styleId="ListLabel2751">
    <w:name w:val="ListLabel 2751"/>
    <w:qFormat/>
    <w:rPr>
      <w:rFonts w:cs="OpenSymbol"/>
    </w:rPr>
  </w:style>
  <w:style w:type="character" w:customStyle="1" w:styleId="ListLabel2752">
    <w:name w:val="ListLabel 2752"/>
    <w:qFormat/>
    <w:rPr>
      <w:rFonts w:cs="OpenSymbol"/>
    </w:rPr>
  </w:style>
  <w:style w:type="character" w:customStyle="1" w:styleId="ListLabel2753">
    <w:name w:val="ListLabel 2753"/>
    <w:qFormat/>
    <w:rPr>
      <w:rFonts w:cs="OpenSymbol"/>
    </w:rPr>
  </w:style>
  <w:style w:type="character" w:customStyle="1" w:styleId="ListLabel2754">
    <w:name w:val="ListLabel 2754"/>
    <w:qFormat/>
    <w:rPr>
      <w:rFonts w:cs="OpenSymbol"/>
    </w:rPr>
  </w:style>
  <w:style w:type="character" w:customStyle="1" w:styleId="ListLabel2755">
    <w:name w:val="ListLabel 2755"/>
    <w:qFormat/>
    <w:rPr>
      <w:rFonts w:cs="OpenSymbol"/>
    </w:rPr>
  </w:style>
  <w:style w:type="character" w:customStyle="1" w:styleId="ListLabel2756">
    <w:name w:val="ListLabel 2756"/>
    <w:qFormat/>
    <w:rPr>
      <w:rFonts w:cs="OpenSymbol"/>
    </w:rPr>
  </w:style>
  <w:style w:type="character" w:customStyle="1" w:styleId="ListLabel2757">
    <w:name w:val="ListLabel 2757"/>
    <w:qFormat/>
    <w:rPr>
      <w:rFonts w:cs="OpenSymbol"/>
    </w:rPr>
  </w:style>
  <w:style w:type="character" w:customStyle="1" w:styleId="ListLabel2758">
    <w:name w:val="ListLabel 2758"/>
    <w:qFormat/>
    <w:rPr>
      <w:rFonts w:cs="OpenSymbol"/>
    </w:rPr>
  </w:style>
  <w:style w:type="character" w:customStyle="1" w:styleId="ListLabel2759">
    <w:name w:val="ListLabel 2759"/>
    <w:qFormat/>
    <w:rPr>
      <w:rFonts w:cs="OpenSymbol"/>
    </w:rPr>
  </w:style>
  <w:style w:type="character" w:customStyle="1" w:styleId="ListLabel2760">
    <w:name w:val="ListLabel 2760"/>
    <w:qFormat/>
    <w:rPr>
      <w:rFonts w:cs="OpenSymbol"/>
    </w:rPr>
  </w:style>
  <w:style w:type="character" w:customStyle="1" w:styleId="ListLabel2761">
    <w:name w:val="ListLabel 2761"/>
    <w:qFormat/>
    <w:rPr>
      <w:rFonts w:cs="OpenSymbol"/>
    </w:rPr>
  </w:style>
  <w:style w:type="character" w:customStyle="1" w:styleId="ListLabel2762">
    <w:name w:val="ListLabel 2762"/>
    <w:qFormat/>
    <w:rPr>
      <w:rFonts w:cs="OpenSymbol"/>
    </w:rPr>
  </w:style>
  <w:style w:type="character" w:customStyle="1" w:styleId="ListLabel2763">
    <w:name w:val="ListLabel 2763"/>
    <w:qFormat/>
    <w:rPr>
      <w:rFonts w:cs="OpenSymbol"/>
    </w:rPr>
  </w:style>
  <w:style w:type="character" w:customStyle="1" w:styleId="ListLabel2764">
    <w:name w:val="ListLabel 2764"/>
    <w:qFormat/>
    <w:rPr>
      <w:rFonts w:cs="OpenSymbol"/>
    </w:rPr>
  </w:style>
  <w:style w:type="character" w:customStyle="1" w:styleId="ListLabel2765">
    <w:name w:val="ListLabel 2765"/>
    <w:qFormat/>
    <w:rPr>
      <w:rFonts w:cs="OpenSymbol"/>
    </w:rPr>
  </w:style>
  <w:style w:type="character" w:customStyle="1" w:styleId="ListLabel2766">
    <w:name w:val="ListLabel 2766"/>
    <w:qFormat/>
    <w:rPr>
      <w:rFonts w:cs="OpenSymbol"/>
    </w:rPr>
  </w:style>
  <w:style w:type="character" w:customStyle="1" w:styleId="ListLabel2767">
    <w:name w:val="ListLabel 2767"/>
    <w:qFormat/>
    <w:rPr>
      <w:rFonts w:cs="OpenSymbol"/>
    </w:rPr>
  </w:style>
  <w:style w:type="character" w:customStyle="1" w:styleId="ListLabel2768">
    <w:name w:val="ListLabel 2768"/>
    <w:qFormat/>
    <w:rPr>
      <w:rFonts w:cs="OpenSymbol"/>
    </w:rPr>
  </w:style>
  <w:style w:type="character" w:customStyle="1" w:styleId="ListLabel2769">
    <w:name w:val="ListLabel 2769"/>
    <w:qFormat/>
    <w:rPr>
      <w:rFonts w:cs="OpenSymbol"/>
    </w:rPr>
  </w:style>
  <w:style w:type="character" w:customStyle="1" w:styleId="ListLabel2770">
    <w:name w:val="ListLabel 2770"/>
    <w:qFormat/>
    <w:rPr>
      <w:rFonts w:cs="OpenSymbol"/>
    </w:rPr>
  </w:style>
  <w:style w:type="character" w:customStyle="1" w:styleId="ListLabel2771">
    <w:name w:val="ListLabel 2771"/>
    <w:qFormat/>
    <w:rPr>
      <w:rFonts w:cs="OpenSymbol"/>
    </w:rPr>
  </w:style>
  <w:style w:type="character" w:customStyle="1" w:styleId="ListLabel2772">
    <w:name w:val="ListLabel 2772"/>
    <w:qFormat/>
    <w:rPr>
      <w:rFonts w:cs="OpenSymbol"/>
    </w:rPr>
  </w:style>
  <w:style w:type="character" w:customStyle="1" w:styleId="ListLabel2773">
    <w:name w:val="ListLabel 2773"/>
    <w:qFormat/>
    <w:rPr>
      <w:rFonts w:cs="OpenSymbol"/>
    </w:rPr>
  </w:style>
  <w:style w:type="character" w:customStyle="1" w:styleId="ListLabel2774">
    <w:name w:val="ListLabel 2774"/>
    <w:qFormat/>
    <w:rPr>
      <w:rFonts w:cs="OpenSymbol"/>
    </w:rPr>
  </w:style>
  <w:style w:type="character" w:customStyle="1" w:styleId="ListLabel2775">
    <w:name w:val="ListLabel 2775"/>
    <w:qFormat/>
    <w:rPr>
      <w:rFonts w:cs="OpenSymbol"/>
    </w:rPr>
  </w:style>
  <w:style w:type="character" w:customStyle="1" w:styleId="ListLabel2776">
    <w:name w:val="ListLabel 2776"/>
    <w:qFormat/>
    <w:rPr>
      <w:rFonts w:cs="OpenSymbol"/>
    </w:rPr>
  </w:style>
  <w:style w:type="character" w:customStyle="1" w:styleId="ListLabel2777">
    <w:name w:val="ListLabel 2777"/>
    <w:qFormat/>
    <w:rPr>
      <w:rFonts w:cs="OpenSymbol"/>
    </w:rPr>
  </w:style>
  <w:style w:type="character" w:customStyle="1" w:styleId="ListLabel2778">
    <w:name w:val="ListLabel 2778"/>
    <w:qFormat/>
    <w:rPr>
      <w:rFonts w:cs="OpenSymbol"/>
    </w:rPr>
  </w:style>
  <w:style w:type="character" w:customStyle="1" w:styleId="ListLabel2779">
    <w:name w:val="ListLabel 2779"/>
    <w:qFormat/>
    <w:rPr>
      <w:rFonts w:cs="OpenSymbol"/>
    </w:rPr>
  </w:style>
  <w:style w:type="character" w:customStyle="1" w:styleId="ListLabel2780">
    <w:name w:val="ListLabel 2780"/>
    <w:qFormat/>
    <w:rPr>
      <w:rFonts w:cs="OpenSymbol"/>
    </w:rPr>
  </w:style>
  <w:style w:type="character" w:customStyle="1" w:styleId="ListLabel2781">
    <w:name w:val="ListLabel 2781"/>
    <w:qFormat/>
    <w:rPr>
      <w:rFonts w:cs="OpenSymbol"/>
    </w:rPr>
  </w:style>
  <w:style w:type="character" w:customStyle="1" w:styleId="ListLabel2782">
    <w:name w:val="ListLabel 2782"/>
    <w:qFormat/>
    <w:rPr>
      <w:rFonts w:cs="OpenSymbol"/>
    </w:rPr>
  </w:style>
  <w:style w:type="character" w:customStyle="1" w:styleId="ListLabel2783">
    <w:name w:val="ListLabel 2783"/>
    <w:qFormat/>
    <w:rPr>
      <w:rFonts w:cs="OpenSymbol"/>
    </w:rPr>
  </w:style>
  <w:style w:type="character" w:customStyle="1" w:styleId="ListLabel2784">
    <w:name w:val="ListLabel 2784"/>
    <w:qFormat/>
    <w:rPr>
      <w:rFonts w:cs="OpenSymbol"/>
    </w:rPr>
  </w:style>
  <w:style w:type="character" w:customStyle="1" w:styleId="ListLabel2785">
    <w:name w:val="ListLabel 2785"/>
    <w:qFormat/>
    <w:rPr>
      <w:rFonts w:cs="OpenSymbol"/>
    </w:rPr>
  </w:style>
  <w:style w:type="character" w:customStyle="1" w:styleId="ListLabel2786">
    <w:name w:val="ListLabel 2786"/>
    <w:qFormat/>
    <w:rPr>
      <w:rFonts w:cs="OpenSymbol"/>
    </w:rPr>
  </w:style>
  <w:style w:type="character" w:customStyle="1" w:styleId="ListLabel2787">
    <w:name w:val="ListLabel 2787"/>
    <w:qFormat/>
    <w:rPr>
      <w:rFonts w:cs="OpenSymbol"/>
    </w:rPr>
  </w:style>
  <w:style w:type="character" w:customStyle="1" w:styleId="ListLabel2788">
    <w:name w:val="ListLabel 2788"/>
    <w:qFormat/>
    <w:rPr>
      <w:rFonts w:cs="OpenSymbol"/>
    </w:rPr>
  </w:style>
  <w:style w:type="character" w:customStyle="1" w:styleId="ListLabel2789">
    <w:name w:val="ListLabel 2789"/>
    <w:qFormat/>
    <w:rPr>
      <w:rFonts w:cs="OpenSymbol"/>
    </w:rPr>
  </w:style>
  <w:style w:type="character" w:customStyle="1" w:styleId="ListLabel2790">
    <w:name w:val="ListLabel 2790"/>
    <w:qFormat/>
    <w:rPr>
      <w:rFonts w:cs="OpenSymbol"/>
    </w:rPr>
  </w:style>
  <w:style w:type="character" w:customStyle="1" w:styleId="ListLabel2791">
    <w:name w:val="ListLabel 2791"/>
    <w:qFormat/>
    <w:rPr>
      <w:rFonts w:cs="OpenSymbol"/>
    </w:rPr>
  </w:style>
  <w:style w:type="character" w:customStyle="1" w:styleId="ListLabel2792">
    <w:name w:val="ListLabel 2792"/>
    <w:qFormat/>
    <w:rPr>
      <w:rFonts w:cs="OpenSymbol"/>
    </w:rPr>
  </w:style>
  <w:style w:type="character" w:customStyle="1" w:styleId="ListLabel2793">
    <w:name w:val="ListLabel 2793"/>
    <w:qFormat/>
    <w:rPr>
      <w:rFonts w:cs="OpenSymbol"/>
    </w:rPr>
  </w:style>
  <w:style w:type="character" w:customStyle="1" w:styleId="ListLabel2794">
    <w:name w:val="ListLabel 2794"/>
    <w:qFormat/>
    <w:rPr>
      <w:rFonts w:cs="OpenSymbol"/>
    </w:rPr>
  </w:style>
  <w:style w:type="character" w:customStyle="1" w:styleId="ListLabel2795">
    <w:name w:val="ListLabel 2795"/>
    <w:qFormat/>
    <w:rPr>
      <w:rFonts w:cs="OpenSymbol"/>
    </w:rPr>
  </w:style>
  <w:style w:type="character" w:customStyle="1" w:styleId="ListLabel2796">
    <w:name w:val="ListLabel 2796"/>
    <w:qFormat/>
    <w:rPr>
      <w:rFonts w:cs="OpenSymbol"/>
    </w:rPr>
  </w:style>
  <w:style w:type="character" w:customStyle="1" w:styleId="ListLabel2797">
    <w:name w:val="ListLabel 2797"/>
    <w:qFormat/>
    <w:rPr>
      <w:rFonts w:cs="OpenSymbol"/>
    </w:rPr>
  </w:style>
  <w:style w:type="character" w:customStyle="1" w:styleId="ListLabel2798">
    <w:name w:val="ListLabel 2798"/>
    <w:qFormat/>
    <w:rPr>
      <w:rFonts w:cs="OpenSymbol"/>
    </w:rPr>
  </w:style>
  <w:style w:type="character" w:customStyle="1" w:styleId="ListLabel2799">
    <w:name w:val="ListLabel 2799"/>
    <w:qFormat/>
    <w:rPr>
      <w:rFonts w:cs="OpenSymbol"/>
    </w:rPr>
  </w:style>
  <w:style w:type="character" w:customStyle="1" w:styleId="ListLabel2800">
    <w:name w:val="ListLabel 2800"/>
    <w:qFormat/>
    <w:rPr>
      <w:rFonts w:cs="OpenSymbol"/>
    </w:rPr>
  </w:style>
  <w:style w:type="character" w:customStyle="1" w:styleId="ListLabel2801">
    <w:name w:val="ListLabel 2801"/>
    <w:qFormat/>
    <w:rPr>
      <w:rFonts w:cs="OpenSymbol"/>
    </w:rPr>
  </w:style>
  <w:style w:type="character" w:customStyle="1" w:styleId="ListLabel2802">
    <w:name w:val="ListLabel 2802"/>
    <w:qFormat/>
    <w:rPr>
      <w:rFonts w:cs="OpenSymbol"/>
    </w:rPr>
  </w:style>
  <w:style w:type="character" w:customStyle="1" w:styleId="ListLabel2803">
    <w:name w:val="ListLabel 2803"/>
    <w:qFormat/>
    <w:rPr>
      <w:rFonts w:cs="OpenSymbol"/>
    </w:rPr>
  </w:style>
  <w:style w:type="character" w:customStyle="1" w:styleId="ListLabel2804">
    <w:name w:val="ListLabel 2804"/>
    <w:qFormat/>
    <w:rPr>
      <w:rFonts w:cs="OpenSymbol"/>
    </w:rPr>
  </w:style>
  <w:style w:type="character" w:customStyle="1" w:styleId="ListLabel2805">
    <w:name w:val="ListLabel 2805"/>
    <w:qFormat/>
    <w:rPr>
      <w:rFonts w:cs="OpenSymbol"/>
    </w:rPr>
  </w:style>
  <w:style w:type="character" w:customStyle="1" w:styleId="ListLabel2806">
    <w:name w:val="ListLabel 2806"/>
    <w:qFormat/>
    <w:rPr>
      <w:rFonts w:cs="OpenSymbol"/>
    </w:rPr>
  </w:style>
  <w:style w:type="character" w:customStyle="1" w:styleId="ListLabel2807">
    <w:name w:val="ListLabel 2807"/>
    <w:qFormat/>
    <w:rPr>
      <w:rFonts w:cs="OpenSymbol"/>
    </w:rPr>
  </w:style>
  <w:style w:type="character" w:customStyle="1" w:styleId="ListLabel2808">
    <w:name w:val="ListLabel 2808"/>
    <w:qFormat/>
    <w:rPr>
      <w:rFonts w:cs="OpenSymbol"/>
    </w:rPr>
  </w:style>
  <w:style w:type="character" w:customStyle="1" w:styleId="ListLabel2809">
    <w:name w:val="ListLabel 2809"/>
    <w:qFormat/>
    <w:rPr>
      <w:rFonts w:cs="OpenSymbol"/>
    </w:rPr>
  </w:style>
  <w:style w:type="character" w:customStyle="1" w:styleId="ListLabel2810">
    <w:name w:val="ListLabel 2810"/>
    <w:qFormat/>
    <w:rPr>
      <w:rFonts w:cs="OpenSymbol"/>
    </w:rPr>
  </w:style>
  <w:style w:type="character" w:customStyle="1" w:styleId="ListLabel2811">
    <w:name w:val="ListLabel 2811"/>
    <w:qFormat/>
    <w:rPr>
      <w:rFonts w:cs="OpenSymbol"/>
    </w:rPr>
  </w:style>
  <w:style w:type="character" w:customStyle="1" w:styleId="ListLabel2812">
    <w:name w:val="ListLabel 2812"/>
    <w:qFormat/>
    <w:rPr>
      <w:rFonts w:cs="OpenSymbol"/>
    </w:rPr>
  </w:style>
  <w:style w:type="character" w:customStyle="1" w:styleId="ListLabel2813">
    <w:name w:val="ListLabel 2813"/>
    <w:qFormat/>
    <w:rPr>
      <w:rFonts w:cs="OpenSymbol"/>
    </w:rPr>
  </w:style>
  <w:style w:type="character" w:customStyle="1" w:styleId="ListLabel2814">
    <w:name w:val="ListLabel 2814"/>
    <w:qFormat/>
    <w:rPr>
      <w:rFonts w:cs="OpenSymbol"/>
    </w:rPr>
  </w:style>
  <w:style w:type="character" w:customStyle="1" w:styleId="ListLabel2815">
    <w:name w:val="ListLabel 2815"/>
    <w:qFormat/>
    <w:rPr>
      <w:rFonts w:cs="OpenSymbol"/>
    </w:rPr>
  </w:style>
  <w:style w:type="character" w:customStyle="1" w:styleId="ListLabel2816">
    <w:name w:val="ListLabel 2816"/>
    <w:qFormat/>
    <w:rPr>
      <w:rFonts w:cs="OpenSymbol"/>
    </w:rPr>
  </w:style>
  <w:style w:type="character" w:customStyle="1" w:styleId="ListLabel2817">
    <w:name w:val="ListLabel 2817"/>
    <w:qFormat/>
    <w:rPr>
      <w:rFonts w:cs="OpenSymbol"/>
    </w:rPr>
  </w:style>
  <w:style w:type="character" w:customStyle="1" w:styleId="ListLabel2818">
    <w:name w:val="ListLabel 2818"/>
    <w:qFormat/>
    <w:rPr>
      <w:rFonts w:cs="OpenSymbol"/>
    </w:rPr>
  </w:style>
  <w:style w:type="character" w:customStyle="1" w:styleId="ListLabel2819">
    <w:name w:val="ListLabel 2819"/>
    <w:qFormat/>
    <w:rPr>
      <w:rFonts w:cs="OpenSymbol"/>
    </w:rPr>
  </w:style>
  <w:style w:type="character" w:customStyle="1" w:styleId="ListLabel2820">
    <w:name w:val="ListLabel 2820"/>
    <w:qFormat/>
    <w:rPr>
      <w:rFonts w:cs="OpenSymbol"/>
    </w:rPr>
  </w:style>
  <w:style w:type="character" w:customStyle="1" w:styleId="ListLabel2821">
    <w:name w:val="ListLabel 2821"/>
    <w:qFormat/>
    <w:rPr>
      <w:rFonts w:cs="OpenSymbol"/>
    </w:rPr>
  </w:style>
  <w:style w:type="character" w:customStyle="1" w:styleId="ListLabel2822">
    <w:name w:val="ListLabel 2822"/>
    <w:qFormat/>
    <w:rPr>
      <w:rFonts w:cs="OpenSymbol"/>
    </w:rPr>
  </w:style>
  <w:style w:type="character" w:customStyle="1" w:styleId="ListLabel2823">
    <w:name w:val="ListLabel 2823"/>
    <w:qFormat/>
    <w:rPr>
      <w:rFonts w:cs="OpenSymbol"/>
    </w:rPr>
  </w:style>
  <w:style w:type="character" w:customStyle="1" w:styleId="ListLabel2824">
    <w:name w:val="ListLabel 2824"/>
    <w:qFormat/>
    <w:rPr>
      <w:rFonts w:cs="OpenSymbol"/>
    </w:rPr>
  </w:style>
  <w:style w:type="character" w:customStyle="1" w:styleId="ListLabel2825">
    <w:name w:val="ListLabel 2825"/>
    <w:qFormat/>
    <w:rPr>
      <w:rFonts w:cs="OpenSymbol"/>
    </w:rPr>
  </w:style>
  <w:style w:type="character" w:customStyle="1" w:styleId="ListLabel2826">
    <w:name w:val="ListLabel 2826"/>
    <w:qFormat/>
    <w:rPr>
      <w:rFonts w:cs="OpenSymbol"/>
    </w:rPr>
  </w:style>
  <w:style w:type="character" w:customStyle="1" w:styleId="ListLabel2827">
    <w:name w:val="ListLabel 2827"/>
    <w:qFormat/>
    <w:rPr>
      <w:rFonts w:cs="OpenSymbol"/>
    </w:rPr>
  </w:style>
  <w:style w:type="character" w:customStyle="1" w:styleId="ListLabel2828">
    <w:name w:val="ListLabel 2828"/>
    <w:qFormat/>
    <w:rPr>
      <w:rFonts w:cs="OpenSymbol"/>
    </w:rPr>
  </w:style>
  <w:style w:type="character" w:customStyle="1" w:styleId="ListLabel2829">
    <w:name w:val="ListLabel 2829"/>
    <w:qFormat/>
    <w:rPr>
      <w:rFonts w:cs="OpenSymbol"/>
    </w:rPr>
  </w:style>
  <w:style w:type="character" w:customStyle="1" w:styleId="ListLabel2830">
    <w:name w:val="ListLabel 2830"/>
    <w:qFormat/>
    <w:rPr>
      <w:rFonts w:cs="OpenSymbol"/>
    </w:rPr>
  </w:style>
  <w:style w:type="character" w:customStyle="1" w:styleId="ListLabel2831">
    <w:name w:val="ListLabel 2831"/>
    <w:qFormat/>
    <w:rPr>
      <w:rFonts w:cs="OpenSymbol"/>
    </w:rPr>
  </w:style>
  <w:style w:type="character" w:customStyle="1" w:styleId="ListLabel2832">
    <w:name w:val="ListLabel 2832"/>
    <w:qFormat/>
    <w:rPr>
      <w:rFonts w:cs="OpenSymbol"/>
    </w:rPr>
  </w:style>
  <w:style w:type="character" w:customStyle="1" w:styleId="ListLabel2833">
    <w:name w:val="ListLabel 2833"/>
    <w:qFormat/>
    <w:rPr>
      <w:rFonts w:cs="OpenSymbol"/>
    </w:rPr>
  </w:style>
  <w:style w:type="character" w:customStyle="1" w:styleId="ListLabel2834">
    <w:name w:val="ListLabel 2834"/>
    <w:qFormat/>
    <w:rPr>
      <w:rFonts w:cs="OpenSymbol"/>
    </w:rPr>
  </w:style>
  <w:style w:type="character" w:customStyle="1" w:styleId="ListLabel2835">
    <w:name w:val="ListLabel 2835"/>
    <w:qFormat/>
    <w:rPr>
      <w:rFonts w:cs="OpenSymbol"/>
    </w:rPr>
  </w:style>
  <w:style w:type="character" w:customStyle="1" w:styleId="ListLabel2836">
    <w:name w:val="ListLabel 2836"/>
    <w:qFormat/>
    <w:rPr>
      <w:rFonts w:cs="OpenSymbol"/>
    </w:rPr>
  </w:style>
  <w:style w:type="character" w:customStyle="1" w:styleId="ListLabel2837">
    <w:name w:val="ListLabel 2837"/>
    <w:qFormat/>
    <w:rPr>
      <w:rFonts w:cs="OpenSymbol"/>
    </w:rPr>
  </w:style>
  <w:style w:type="character" w:customStyle="1" w:styleId="ListLabel2838">
    <w:name w:val="ListLabel 2838"/>
    <w:qFormat/>
    <w:rPr>
      <w:rFonts w:cs="OpenSymbol"/>
    </w:rPr>
  </w:style>
  <w:style w:type="character" w:customStyle="1" w:styleId="ListLabel2839">
    <w:name w:val="ListLabel 2839"/>
    <w:qFormat/>
    <w:rPr>
      <w:rFonts w:cs="OpenSymbol"/>
    </w:rPr>
  </w:style>
  <w:style w:type="character" w:customStyle="1" w:styleId="ListLabel2840">
    <w:name w:val="ListLabel 2840"/>
    <w:qFormat/>
    <w:rPr>
      <w:rFonts w:cs="OpenSymbol"/>
    </w:rPr>
  </w:style>
  <w:style w:type="character" w:customStyle="1" w:styleId="ListLabel2841">
    <w:name w:val="ListLabel 2841"/>
    <w:qFormat/>
    <w:rPr>
      <w:rFonts w:cs="OpenSymbol"/>
    </w:rPr>
  </w:style>
  <w:style w:type="character" w:customStyle="1" w:styleId="ListLabel2842">
    <w:name w:val="ListLabel 2842"/>
    <w:qFormat/>
    <w:rPr>
      <w:rFonts w:cs="OpenSymbol"/>
    </w:rPr>
  </w:style>
  <w:style w:type="character" w:customStyle="1" w:styleId="ListLabel2843">
    <w:name w:val="ListLabel 2843"/>
    <w:qFormat/>
    <w:rPr>
      <w:rFonts w:cs="OpenSymbol"/>
    </w:rPr>
  </w:style>
  <w:style w:type="character" w:customStyle="1" w:styleId="ListLabel2844">
    <w:name w:val="ListLabel 2844"/>
    <w:qFormat/>
    <w:rPr>
      <w:rFonts w:cs="OpenSymbol"/>
    </w:rPr>
  </w:style>
  <w:style w:type="character" w:customStyle="1" w:styleId="ListLabel2845">
    <w:name w:val="ListLabel 2845"/>
    <w:qFormat/>
    <w:rPr>
      <w:rFonts w:cs="OpenSymbol"/>
    </w:rPr>
  </w:style>
  <w:style w:type="character" w:customStyle="1" w:styleId="ListLabel2846">
    <w:name w:val="ListLabel 2846"/>
    <w:qFormat/>
    <w:rPr>
      <w:rFonts w:cs="OpenSymbol"/>
    </w:rPr>
  </w:style>
  <w:style w:type="character" w:customStyle="1" w:styleId="ListLabel2847">
    <w:name w:val="ListLabel 2847"/>
    <w:qFormat/>
    <w:rPr>
      <w:rFonts w:cs="OpenSymbol"/>
    </w:rPr>
  </w:style>
  <w:style w:type="character" w:customStyle="1" w:styleId="ListLabel2848">
    <w:name w:val="ListLabel 2848"/>
    <w:qFormat/>
    <w:rPr>
      <w:rFonts w:cs="OpenSymbol"/>
    </w:rPr>
  </w:style>
  <w:style w:type="character" w:customStyle="1" w:styleId="ListLabel2849">
    <w:name w:val="ListLabel 2849"/>
    <w:qFormat/>
    <w:rPr>
      <w:rFonts w:cs="OpenSymbol"/>
    </w:rPr>
  </w:style>
  <w:style w:type="character" w:customStyle="1" w:styleId="ListLabel2850">
    <w:name w:val="ListLabel 2850"/>
    <w:qFormat/>
    <w:rPr>
      <w:rFonts w:cs="OpenSymbol"/>
    </w:rPr>
  </w:style>
  <w:style w:type="character" w:customStyle="1" w:styleId="ListLabel2851">
    <w:name w:val="ListLabel 2851"/>
    <w:qFormat/>
    <w:rPr>
      <w:rFonts w:cs="OpenSymbol"/>
    </w:rPr>
  </w:style>
  <w:style w:type="character" w:customStyle="1" w:styleId="ListLabel2852">
    <w:name w:val="ListLabel 2852"/>
    <w:qFormat/>
    <w:rPr>
      <w:rFonts w:cs="OpenSymbol"/>
    </w:rPr>
  </w:style>
  <w:style w:type="character" w:customStyle="1" w:styleId="ListLabel2853">
    <w:name w:val="ListLabel 2853"/>
    <w:qFormat/>
    <w:rPr>
      <w:rFonts w:cs="OpenSymbol"/>
    </w:rPr>
  </w:style>
  <w:style w:type="character" w:customStyle="1" w:styleId="ListLabel2854">
    <w:name w:val="ListLabel 2854"/>
    <w:qFormat/>
    <w:rPr>
      <w:rFonts w:cs="OpenSymbol"/>
    </w:rPr>
  </w:style>
  <w:style w:type="character" w:customStyle="1" w:styleId="ListLabel2855">
    <w:name w:val="ListLabel 2855"/>
    <w:qFormat/>
    <w:rPr>
      <w:rFonts w:eastAsia="Calibri"/>
      <w:color w:val="000000"/>
      <w:sz w:val="28"/>
      <w:u w:val="none"/>
    </w:rPr>
  </w:style>
  <w:style w:type="character" w:customStyle="1" w:styleId="ListLabel2856">
    <w:name w:val="ListLabel 2856"/>
    <w:qFormat/>
    <w:rPr>
      <w:rFonts w:eastAsia="Calibri"/>
      <w:color w:val="000000"/>
      <w:sz w:val="28"/>
      <w:u w:val="none"/>
      <w:lang w:val="en-US"/>
    </w:rPr>
  </w:style>
  <w:style w:type="character" w:customStyle="1" w:styleId="ListLabel2857">
    <w:name w:val="ListLabel 2857"/>
    <w:qFormat/>
    <w:rPr>
      <w:rFonts w:eastAsia="Calibri"/>
      <w:color w:val="000000"/>
      <w:sz w:val="28"/>
      <w:u w:val="none"/>
      <w:lang w:val="uk-UA"/>
    </w:rPr>
  </w:style>
  <w:style w:type="character" w:customStyle="1" w:styleId="ListLabel2858">
    <w:name w:val="ListLabel 2858"/>
    <w:qFormat/>
    <w:rPr>
      <w:color w:val="000000"/>
      <w:sz w:val="28"/>
      <w:u w:val="none"/>
    </w:rPr>
  </w:style>
  <w:style w:type="character" w:customStyle="1" w:styleId="ListLabel2859">
    <w:name w:val="ListLabel 2859"/>
    <w:qFormat/>
    <w:rPr>
      <w:rFonts w:eastAsia="Calibri"/>
      <w:color w:val="C9211E"/>
      <w:sz w:val="28"/>
    </w:rPr>
  </w:style>
  <w:style w:type="character" w:customStyle="1" w:styleId="ListLabel2860">
    <w:name w:val="ListLabel 2860"/>
    <w:qFormat/>
    <w:rPr>
      <w:rFonts w:eastAsia="Calibri" w:cs="Times New Roman"/>
      <w:b/>
      <w:bCs/>
      <w:kern w:val="2"/>
      <w:sz w:val="28"/>
      <w:szCs w:val="28"/>
      <w:lang w:val="uk-UA" w:eastAsia="ru-RU"/>
    </w:rPr>
  </w:style>
  <w:style w:type="character" w:customStyle="1" w:styleId="ListLabel2861">
    <w:name w:val="ListLabel 2861"/>
    <w:qFormat/>
    <w:rPr>
      <w:rFonts w:eastAsia="Calibri"/>
      <w:b/>
      <w:bCs/>
      <w:color w:val="000000"/>
      <w:sz w:val="28"/>
      <w:u w:val="none"/>
      <w:lang w:val="en-US"/>
    </w:rPr>
  </w:style>
  <w:style w:type="character" w:customStyle="1" w:styleId="ListLabel2862">
    <w:name w:val="ListLabel 2862"/>
    <w:qFormat/>
    <w:rPr>
      <w:b w:val="0"/>
      <w:bCs w:val="0"/>
      <w:color w:val="FF8000"/>
      <w:sz w:val="28"/>
      <w:szCs w:val="28"/>
      <w:highlight w:val="yellow"/>
      <w:lang w:val="ru-RU"/>
    </w:rPr>
  </w:style>
  <w:style w:type="character" w:customStyle="1" w:styleId="ListLabel2863">
    <w:name w:val="ListLabel 2863"/>
    <w:qFormat/>
    <w:rPr>
      <w:b w:val="0"/>
      <w:bCs w:val="0"/>
      <w:i w:val="0"/>
      <w:caps w:val="0"/>
      <w:smallCaps w:val="0"/>
      <w:color w:val="158466"/>
      <w:spacing w:val="0"/>
      <w:sz w:val="28"/>
      <w:szCs w:val="28"/>
      <w:highlight w:val="yellow"/>
      <w:lang w:val="uk-UA"/>
    </w:rPr>
  </w:style>
  <w:style w:type="character" w:customStyle="1" w:styleId="ListLabel2864">
    <w:name w:val="ListLabel 2864"/>
    <w:qFormat/>
    <w:rPr>
      <w:rFonts w:eastAsia="Times New Roman" w:cs="Times New Roman"/>
      <w:b w:val="0"/>
      <w:bCs w:val="0"/>
      <w:i w:val="0"/>
      <w:caps w:val="0"/>
      <w:smallCaps w:val="0"/>
      <w:strike w:val="0"/>
      <w:dstrike w:val="0"/>
      <w:color w:val="000000"/>
      <w:spacing w:val="0"/>
      <w:kern w:val="2"/>
      <w:sz w:val="28"/>
      <w:szCs w:val="28"/>
      <w:highlight w:val="yellow"/>
      <w:u w:val="none"/>
      <w:effect w:val="none"/>
      <w:lang w:val="uk-UA"/>
    </w:rPr>
  </w:style>
  <w:style w:type="character" w:customStyle="1" w:styleId="ListLabel2865">
    <w:name w:val="ListLabel 2865"/>
    <w:qFormat/>
    <w:rPr>
      <w:rFonts w:eastAsia="Times New Roman" w:cs="Times New Roman"/>
      <w:b w:val="0"/>
      <w:bCs w:val="0"/>
      <w:i w:val="0"/>
      <w:caps w:val="0"/>
      <w:smallCaps w:val="0"/>
      <w:strike w:val="0"/>
      <w:dstrike w:val="0"/>
      <w:color w:val="2C2C2C"/>
      <w:spacing w:val="0"/>
      <w:kern w:val="2"/>
      <w:sz w:val="28"/>
      <w:szCs w:val="28"/>
      <w:highlight w:val="yellow"/>
      <w:u w:val="none"/>
      <w:effect w:val="none"/>
      <w:lang w:val="en-US"/>
    </w:rPr>
  </w:style>
  <w:style w:type="character" w:customStyle="1" w:styleId="ListLabel2866">
    <w:name w:val="ListLabel 2866"/>
    <w:qFormat/>
  </w:style>
  <w:style w:type="character" w:customStyle="1" w:styleId="ListLabel2867">
    <w:name w:val="ListLabel 2867"/>
    <w:qFormat/>
  </w:style>
  <w:style w:type="character" w:customStyle="1" w:styleId="ListLabel2868">
    <w:name w:val="ListLabel 2868"/>
    <w:qFormat/>
    <w:rPr>
      <w:color w:val="005EA2"/>
      <w:u w:val="single"/>
    </w:rPr>
  </w:style>
  <w:style w:type="character" w:customStyle="1" w:styleId="ListLabel2869">
    <w:name w:val="ListLabel 2869"/>
    <w:qFormat/>
    <w:rPr>
      <w:color w:val="C9211E"/>
      <w:u w:val="single"/>
    </w:rPr>
  </w:style>
  <w:style w:type="character" w:customStyle="1" w:styleId="ListLabel2870">
    <w:name w:val="ListLabel 2870"/>
    <w:qFormat/>
    <w:rPr>
      <w:b w:val="0"/>
      <w:i w:val="0"/>
      <w:caps w:val="0"/>
      <w:smallCaps w:val="0"/>
      <w:strike w:val="0"/>
      <w:dstrike w:val="0"/>
      <w:color w:val="2C72B7"/>
      <w:spacing w:val="0"/>
      <w:sz w:val="28"/>
      <w:szCs w:val="28"/>
      <w:highlight w:val="yellow"/>
      <w:u w:val="none"/>
      <w:effect w:val="none"/>
    </w:rPr>
  </w:style>
  <w:style w:type="character" w:customStyle="1" w:styleId="ListLabel2871">
    <w:name w:val="ListLabel 2871"/>
    <w:qFormat/>
    <w:rPr>
      <w:b w:val="0"/>
      <w:i w:val="0"/>
      <w:caps w:val="0"/>
      <w:smallCaps w:val="0"/>
      <w:color w:val="FF8000"/>
      <w:spacing w:val="0"/>
      <w:sz w:val="28"/>
      <w:szCs w:val="28"/>
      <w:u w:val="none"/>
    </w:rPr>
  </w:style>
  <w:style w:type="character" w:customStyle="1" w:styleId="ListLabel2872">
    <w:name w:val="ListLabel 2872"/>
    <w:qFormat/>
    <w:rPr>
      <w:b w:val="0"/>
      <w:strike w:val="0"/>
      <w:dstrike w:val="0"/>
      <w:color w:val="FF8000"/>
      <w:sz w:val="28"/>
      <w:szCs w:val="28"/>
      <w:highlight w:val="darkBlue"/>
      <w:u w:val="none"/>
      <w:effect w:val="none"/>
    </w:rPr>
  </w:style>
  <w:style w:type="character" w:customStyle="1" w:styleId="ListLabel2873">
    <w:name w:val="ListLabel 2873"/>
    <w:qFormat/>
    <w:rPr>
      <w:b w:val="0"/>
      <w:i w:val="0"/>
      <w:caps w:val="0"/>
      <w:smallCaps w:val="0"/>
      <w:strike w:val="0"/>
      <w:dstrike w:val="0"/>
      <w:color w:val="FF8000"/>
      <w:spacing w:val="0"/>
      <w:sz w:val="28"/>
      <w:szCs w:val="28"/>
      <w:u w:val="single"/>
    </w:rPr>
  </w:style>
  <w:style w:type="character" w:customStyle="1" w:styleId="ListLabel2874">
    <w:name w:val="ListLabel 2874"/>
    <w:qFormat/>
    <w:rPr>
      <w:b w:val="0"/>
      <w:i w:val="0"/>
      <w:caps w:val="0"/>
      <w:smallCaps w:val="0"/>
      <w:color w:val="FF8000"/>
      <w:spacing w:val="0"/>
      <w:sz w:val="28"/>
      <w:szCs w:val="28"/>
      <w:u w:val="single"/>
    </w:rPr>
  </w:style>
  <w:style w:type="character" w:customStyle="1" w:styleId="ListLabel2875">
    <w:name w:val="ListLabel 2875"/>
    <w:qFormat/>
    <w:rPr>
      <w:rFonts w:eastAsia="Times New Roman" w:cs="Arial"/>
      <w:b w:val="0"/>
      <w:bCs/>
      <w:i w:val="0"/>
      <w:caps w:val="0"/>
      <w:smallCaps w:val="0"/>
      <w:strike w:val="0"/>
      <w:dstrike w:val="0"/>
      <w:color w:val="FF8000"/>
      <w:spacing w:val="0"/>
      <w:kern w:val="2"/>
      <w:sz w:val="28"/>
      <w:szCs w:val="28"/>
      <w:highlight w:val="yellow"/>
      <w:effect w:val="none"/>
    </w:rPr>
  </w:style>
  <w:style w:type="character" w:customStyle="1" w:styleId="ListLabel2876">
    <w:name w:val="ListLabel 2876"/>
    <w:qFormat/>
    <w:rPr>
      <w:rFonts w:eastAsia="Times New Roman" w:cs="Times New Roman"/>
      <w:b w:val="0"/>
      <w:bCs w:val="0"/>
      <w:i w:val="0"/>
      <w:caps w:val="0"/>
      <w:smallCaps w:val="0"/>
      <w:strike w:val="0"/>
      <w:dstrike w:val="0"/>
      <w:color w:val="3366CC"/>
      <w:spacing w:val="0"/>
      <w:kern w:val="2"/>
      <w:sz w:val="28"/>
      <w:szCs w:val="28"/>
      <w:highlight w:val="white"/>
      <w:u w:val="none"/>
      <w:effect w:val="none"/>
      <w:lang w:val="uk-UA" w:eastAsia="ru-RU"/>
    </w:rPr>
  </w:style>
  <w:style w:type="character" w:customStyle="1" w:styleId="ListLabel2877">
    <w:name w:val="ListLabel 2877"/>
    <w:qFormat/>
    <w:rPr>
      <w:sz w:val="28"/>
      <w:szCs w:val="28"/>
      <w:lang w:val="uk-UA"/>
    </w:rPr>
  </w:style>
  <w:style w:type="character" w:customStyle="1" w:styleId="ListLabel2878">
    <w:name w:val="ListLabel 2878"/>
    <w:qFormat/>
    <w:rPr>
      <w:b/>
      <w:bCs/>
      <w:color w:val="FF8000"/>
      <w:sz w:val="28"/>
      <w:szCs w:val="28"/>
      <w:highlight w:val="yellow"/>
      <w:lang w:val="ru-RU"/>
    </w:rPr>
  </w:style>
  <w:style w:type="character" w:customStyle="1" w:styleId="ListLabel2879">
    <w:name w:val="ListLabel 2879"/>
    <w:qFormat/>
    <w:rPr>
      <w:rFonts w:cs="OpenSymbol"/>
      <w:b w:val="0"/>
      <w:sz w:val="28"/>
    </w:rPr>
  </w:style>
  <w:style w:type="character" w:customStyle="1" w:styleId="ListLabel2880">
    <w:name w:val="ListLabel 2880"/>
    <w:qFormat/>
    <w:rPr>
      <w:rFonts w:cs="OpenSymbol"/>
    </w:rPr>
  </w:style>
  <w:style w:type="character" w:customStyle="1" w:styleId="ListLabel2881">
    <w:name w:val="ListLabel 2881"/>
    <w:qFormat/>
    <w:rPr>
      <w:rFonts w:cs="OpenSymbol"/>
    </w:rPr>
  </w:style>
  <w:style w:type="character" w:customStyle="1" w:styleId="ListLabel2882">
    <w:name w:val="ListLabel 2882"/>
    <w:qFormat/>
    <w:rPr>
      <w:rFonts w:cs="OpenSymbol"/>
    </w:rPr>
  </w:style>
  <w:style w:type="character" w:customStyle="1" w:styleId="ListLabel2883">
    <w:name w:val="ListLabel 2883"/>
    <w:qFormat/>
    <w:rPr>
      <w:rFonts w:cs="OpenSymbol"/>
    </w:rPr>
  </w:style>
  <w:style w:type="character" w:customStyle="1" w:styleId="ListLabel2884">
    <w:name w:val="ListLabel 2884"/>
    <w:qFormat/>
    <w:rPr>
      <w:rFonts w:cs="OpenSymbol"/>
    </w:rPr>
  </w:style>
  <w:style w:type="character" w:customStyle="1" w:styleId="ListLabel2885">
    <w:name w:val="ListLabel 2885"/>
    <w:qFormat/>
    <w:rPr>
      <w:rFonts w:cs="OpenSymbol"/>
    </w:rPr>
  </w:style>
  <w:style w:type="character" w:customStyle="1" w:styleId="ListLabel2886">
    <w:name w:val="ListLabel 2886"/>
    <w:qFormat/>
    <w:rPr>
      <w:rFonts w:cs="OpenSymbol"/>
    </w:rPr>
  </w:style>
  <w:style w:type="character" w:customStyle="1" w:styleId="ListLabel2887">
    <w:name w:val="ListLabel 2887"/>
    <w:qFormat/>
    <w:rPr>
      <w:rFonts w:cs="OpenSymbol"/>
    </w:rPr>
  </w:style>
  <w:style w:type="character" w:customStyle="1" w:styleId="ListLabel2888">
    <w:name w:val="ListLabel 2888"/>
    <w:qFormat/>
    <w:rPr>
      <w:rFonts w:cs="OpenSymbol"/>
      <w:b w:val="0"/>
      <w:sz w:val="28"/>
    </w:rPr>
  </w:style>
  <w:style w:type="character" w:customStyle="1" w:styleId="ListLabel2889">
    <w:name w:val="ListLabel 2889"/>
    <w:qFormat/>
    <w:rPr>
      <w:rFonts w:cs="OpenSymbol"/>
    </w:rPr>
  </w:style>
  <w:style w:type="character" w:customStyle="1" w:styleId="ListLabel2890">
    <w:name w:val="ListLabel 2890"/>
    <w:qFormat/>
    <w:rPr>
      <w:rFonts w:cs="OpenSymbol"/>
    </w:rPr>
  </w:style>
  <w:style w:type="character" w:customStyle="1" w:styleId="ListLabel2891">
    <w:name w:val="ListLabel 2891"/>
    <w:qFormat/>
    <w:rPr>
      <w:rFonts w:cs="OpenSymbol"/>
    </w:rPr>
  </w:style>
  <w:style w:type="character" w:customStyle="1" w:styleId="ListLabel2892">
    <w:name w:val="ListLabel 2892"/>
    <w:qFormat/>
    <w:rPr>
      <w:rFonts w:cs="OpenSymbol"/>
    </w:rPr>
  </w:style>
  <w:style w:type="character" w:customStyle="1" w:styleId="ListLabel2893">
    <w:name w:val="ListLabel 2893"/>
    <w:qFormat/>
    <w:rPr>
      <w:rFonts w:cs="OpenSymbol"/>
    </w:rPr>
  </w:style>
  <w:style w:type="character" w:customStyle="1" w:styleId="ListLabel2894">
    <w:name w:val="ListLabel 2894"/>
    <w:qFormat/>
    <w:rPr>
      <w:rFonts w:cs="OpenSymbol"/>
    </w:rPr>
  </w:style>
  <w:style w:type="character" w:customStyle="1" w:styleId="ListLabel2895">
    <w:name w:val="ListLabel 2895"/>
    <w:qFormat/>
    <w:rPr>
      <w:rFonts w:cs="OpenSymbol"/>
    </w:rPr>
  </w:style>
  <w:style w:type="character" w:customStyle="1" w:styleId="ListLabel2896">
    <w:name w:val="ListLabel 2896"/>
    <w:qFormat/>
    <w:rPr>
      <w:rFonts w:cs="OpenSymbol"/>
    </w:rPr>
  </w:style>
  <w:style w:type="character" w:customStyle="1" w:styleId="ListLabel2897">
    <w:name w:val="ListLabel 2897"/>
    <w:qFormat/>
    <w:rPr>
      <w:rFonts w:cs="OpenSymbol"/>
      <w:b w:val="0"/>
      <w:sz w:val="28"/>
    </w:rPr>
  </w:style>
  <w:style w:type="character" w:customStyle="1" w:styleId="ListLabel2898">
    <w:name w:val="ListLabel 2898"/>
    <w:qFormat/>
    <w:rPr>
      <w:rFonts w:cs="OpenSymbol"/>
    </w:rPr>
  </w:style>
  <w:style w:type="character" w:customStyle="1" w:styleId="ListLabel2899">
    <w:name w:val="ListLabel 2899"/>
    <w:qFormat/>
    <w:rPr>
      <w:rFonts w:cs="OpenSymbol"/>
    </w:rPr>
  </w:style>
  <w:style w:type="character" w:customStyle="1" w:styleId="ListLabel2900">
    <w:name w:val="ListLabel 2900"/>
    <w:qFormat/>
    <w:rPr>
      <w:rFonts w:cs="OpenSymbol"/>
    </w:rPr>
  </w:style>
  <w:style w:type="character" w:customStyle="1" w:styleId="ListLabel2901">
    <w:name w:val="ListLabel 2901"/>
    <w:qFormat/>
    <w:rPr>
      <w:rFonts w:cs="OpenSymbol"/>
    </w:rPr>
  </w:style>
  <w:style w:type="character" w:customStyle="1" w:styleId="ListLabel2902">
    <w:name w:val="ListLabel 2902"/>
    <w:qFormat/>
    <w:rPr>
      <w:rFonts w:cs="OpenSymbol"/>
    </w:rPr>
  </w:style>
  <w:style w:type="character" w:customStyle="1" w:styleId="ListLabel2903">
    <w:name w:val="ListLabel 2903"/>
    <w:qFormat/>
    <w:rPr>
      <w:rFonts w:cs="OpenSymbol"/>
    </w:rPr>
  </w:style>
  <w:style w:type="character" w:customStyle="1" w:styleId="ListLabel2904">
    <w:name w:val="ListLabel 2904"/>
    <w:qFormat/>
    <w:rPr>
      <w:rFonts w:cs="OpenSymbol"/>
    </w:rPr>
  </w:style>
  <w:style w:type="character" w:customStyle="1" w:styleId="ListLabel2905">
    <w:name w:val="ListLabel 2905"/>
    <w:qFormat/>
    <w:rPr>
      <w:rFonts w:cs="OpenSymbol"/>
    </w:rPr>
  </w:style>
  <w:style w:type="character" w:customStyle="1" w:styleId="ListLabel2906">
    <w:name w:val="ListLabel 2906"/>
    <w:qFormat/>
    <w:rPr>
      <w:rFonts w:cs="OpenSymbol"/>
    </w:rPr>
  </w:style>
  <w:style w:type="character" w:customStyle="1" w:styleId="ListLabel2907">
    <w:name w:val="ListLabel 2907"/>
    <w:qFormat/>
    <w:rPr>
      <w:rFonts w:cs="OpenSymbol"/>
    </w:rPr>
  </w:style>
  <w:style w:type="character" w:customStyle="1" w:styleId="ListLabel2908">
    <w:name w:val="ListLabel 2908"/>
    <w:qFormat/>
    <w:rPr>
      <w:rFonts w:cs="OpenSymbol"/>
    </w:rPr>
  </w:style>
  <w:style w:type="character" w:customStyle="1" w:styleId="ListLabel2909">
    <w:name w:val="ListLabel 2909"/>
    <w:qFormat/>
    <w:rPr>
      <w:rFonts w:cs="OpenSymbol"/>
    </w:rPr>
  </w:style>
  <w:style w:type="character" w:customStyle="1" w:styleId="ListLabel2910">
    <w:name w:val="ListLabel 2910"/>
    <w:qFormat/>
    <w:rPr>
      <w:rFonts w:cs="OpenSymbol"/>
    </w:rPr>
  </w:style>
  <w:style w:type="character" w:customStyle="1" w:styleId="ListLabel2911">
    <w:name w:val="ListLabel 2911"/>
    <w:qFormat/>
    <w:rPr>
      <w:rFonts w:cs="OpenSymbol"/>
    </w:rPr>
  </w:style>
  <w:style w:type="character" w:customStyle="1" w:styleId="ListLabel2912">
    <w:name w:val="ListLabel 2912"/>
    <w:qFormat/>
    <w:rPr>
      <w:rFonts w:cs="OpenSymbol"/>
    </w:rPr>
  </w:style>
  <w:style w:type="character" w:customStyle="1" w:styleId="ListLabel2913">
    <w:name w:val="ListLabel 2913"/>
    <w:qFormat/>
    <w:rPr>
      <w:rFonts w:cs="OpenSymbol"/>
    </w:rPr>
  </w:style>
  <w:style w:type="character" w:customStyle="1" w:styleId="ListLabel2914">
    <w:name w:val="ListLabel 2914"/>
    <w:qFormat/>
    <w:rPr>
      <w:rFonts w:cs="OpenSymbol"/>
    </w:rPr>
  </w:style>
  <w:style w:type="character" w:customStyle="1" w:styleId="ListLabel2915">
    <w:name w:val="ListLabel 2915"/>
    <w:qFormat/>
    <w:rPr>
      <w:rFonts w:cs="OpenSymbol"/>
    </w:rPr>
  </w:style>
  <w:style w:type="character" w:customStyle="1" w:styleId="ListLabel2916">
    <w:name w:val="ListLabel 2916"/>
    <w:qFormat/>
    <w:rPr>
      <w:rFonts w:cs="OpenSymbol"/>
    </w:rPr>
  </w:style>
  <w:style w:type="character" w:customStyle="1" w:styleId="ListLabel2917">
    <w:name w:val="ListLabel 2917"/>
    <w:qFormat/>
    <w:rPr>
      <w:rFonts w:cs="OpenSymbol"/>
    </w:rPr>
  </w:style>
  <w:style w:type="character" w:customStyle="1" w:styleId="ListLabel2918">
    <w:name w:val="ListLabel 2918"/>
    <w:qFormat/>
    <w:rPr>
      <w:rFonts w:cs="OpenSymbol"/>
    </w:rPr>
  </w:style>
  <w:style w:type="character" w:customStyle="1" w:styleId="ListLabel2919">
    <w:name w:val="ListLabel 2919"/>
    <w:qFormat/>
    <w:rPr>
      <w:rFonts w:cs="OpenSymbol"/>
    </w:rPr>
  </w:style>
  <w:style w:type="character" w:customStyle="1" w:styleId="ListLabel2920">
    <w:name w:val="ListLabel 2920"/>
    <w:qFormat/>
    <w:rPr>
      <w:rFonts w:cs="OpenSymbol"/>
    </w:rPr>
  </w:style>
  <w:style w:type="character" w:customStyle="1" w:styleId="ListLabel2921">
    <w:name w:val="ListLabel 2921"/>
    <w:qFormat/>
    <w:rPr>
      <w:rFonts w:cs="OpenSymbol"/>
    </w:rPr>
  </w:style>
  <w:style w:type="character" w:customStyle="1" w:styleId="ListLabel2922">
    <w:name w:val="ListLabel 2922"/>
    <w:qFormat/>
    <w:rPr>
      <w:rFonts w:cs="OpenSymbol"/>
    </w:rPr>
  </w:style>
  <w:style w:type="character" w:customStyle="1" w:styleId="ListLabel2923">
    <w:name w:val="ListLabel 2923"/>
    <w:qFormat/>
    <w:rPr>
      <w:rFonts w:cs="OpenSymbol"/>
    </w:rPr>
  </w:style>
  <w:style w:type="character" w:customStyle="1" w:styleId="ListLabel2924">
    <w:name w:val="ListLabel 2924"/>
    <w:qFormat/>
    <w:rPr>
      <w:rFonts w:cs="OpenSymbol"/>
    </w:rPr>
  </w:style>
  <w:style w:type="character" w:customStyle="1" w:styleId="ListLabel2925">
    <w:name w:val="ListLabel 2925"/>
    <w:qFormat/>
    <w:rPr>
      <w:rFonts w:cs="OpenSymbol"/>
    </w:rPr>
  </w:style>
  <w:style w:type="character" w:customStyle="1" w:styleId="ListLabel2926">
    <w:name w:val="ListLabel 2926"/>
    <w:qFormat/>
    <w:rPr>
      <w:rFonts w:cs="OpenSymbol"/>
    </w:rPr>
  </w:style>
  <w:style w:type="character" w:customStyle="1" w:styleId="ListLabel2927">
    <w:name w:val="ListLabel 2927"/>
    <w:qFormat/>
    <w:rPr>
      <w:rFonts w:cs="OpenSymbol"/>
    </w:rPr>
  </w:style>
  <w:style w:type="character" w:customStyle="1" w:styleId="ListLabel2928">
    <w:name w:val="ListLabel 2928"/>
    <w:qFormat/>
    <w:rPr>
      <w:rFonts w:cs="OpenSymbol"/>
    </w:rPr>
  </w:style>
  <w:style w:type="character" w:customStyle="1" w:styleId="ListLabel2929">
    <w:name w:val="ListLabel 2929"/>
    <w:qFormat/>
    <w:rPr>
      <w:rFonts w:cs="OpenSymbol"/>
    </w:rPr>
  </w:style>
  <w:style w:type="character" w:customStyle="1" w:styleId="ListLabel2930">
    <w:name w:val="ListLabel 2930"/>
    <w:qFormat/>
    <w:rPr>
      <w:rFonts w:cs="OpenSymbol"/>
    </w:rPr>
  </w:style>
  <w:style w:type="character" w:customStyle="1" w:styleId="ListLabel2931">
    <w:name w:val="ListLabel 2931"/>
    <w:qFormat/>
    <w:rPr>
      <w:rFonts w:cs="OpenSymbol"/>
    </w:rPr>
  </w:style>
  <w:style w:type="character" w:customStyle="1" w:styleId="ListLabel2932">
    <w:name w:val="ListLabel 2932"/>
    <w:qFormat/>
    <w:rPr>
      <w:rFonts w:cs="OpenSymbol"/>
    </w:rPr>
  </w:style>
  <w:style w:type="character" w:customStyle="1" w:styleId="ListLabel2933">
    <w:name w:val="ListLabel 2933"/>
    <w:qFormat/>
    <w:rPr>
      <w:rFonts w:cs="OpenSymbol"/>
    </w:rPr>
  </w:style>
  <w:style w:type="character" w:customStyle="1" w:styleId="ListLabel2934">
    <w:name w:val="ListLabel 2934"/>
    <w:qFormat/>
    <w:rPr>
      <w:rFonts w:cs="OpenSymbol"/>
    </w:rPr>
  </w:style>
  <w:style w:type="character" w:customStyle="1" w:styleId="ListLabel2935">
    <w:name w:val="ListLabel 2935"/>
    <w:qFormat/>
    <w:rPr>
      <w:rFonts w:cs="OpenSymbol"/>
    </w:rPr>
  </w:style>
  <w:style w:type="character" w:customStyle="1" w:styleId="ListLabel2936">
    <w:name w:val="ListLabel 2936"/>
    <w:qFormat/>
    <w:rPr>
      <w:rFonts w:cs="OpenSymbol"/>
    </w:rPr>
  </w:style>
  <w:style w:type="character" w:customStyle="1" w:styleId="ListLabel2937">
    <w:name w:val="ListLabel 2937"/>
    <w:qFormat/>
    <w:rPr>
      <w:rFonts w:cs="OpenSymbol"/>
    </w:rPr>
  </w:style>
  <w:style w:type="character" w:customStyle="1" w:styleId="ListLabel2938">
    <w:name w:val="ListLabel 2938"/>
    <w:qFormat/>
    <w:rPr>
      <w:rFonts w:cs="OpenSymbol"/>
    </w:rPr>
  </w:style>
  <w:style w:type="character" w:customStyle="1" w:styleId="ListLabel2939">
    <w:name w:val="ListLabel 2939"/>
    <w:qFormat/>
    <w:rPr>
      <w:rFonts w:cs="OpenSymbol"/>
    </w:rPr>
  </w:style>
  <w:style w:type="character" w:customStyle="1" w:styleId="ListLabel2940">
    <w:name w:val="ListLabel 2940"/>
    <w:qFormat/>
    <w:rPr>
      <w:rFonts w:cs="OpenSymbol"/>
    </w:rPr>
  </w:style>
  <w:style w:type="character" w:customStyle="1" w:styleId="ListLabel2941">
    <w:name w:val="ListLabel 2941"/>
    <w:qFormat/>
    <w:rPr>
      <w:rFonts w:cs="OpenSymbol"/>
    </w:rPr>
  </w:style>
  <w:style w:type="character" w:customStyle="1" w:styleId="ListLabel2942">
    <w:name w:val="ListLabel 2942"/>
    <w:qFormat/>
    <w:rPr>
      <w:rFonts w:cs="OpenSymbol"/>
    </w:rPr>
  </w:style>
  <w:style w:type="character" w:customStyle="1" w:styleId="ListLabel2943">
    <w:name w:val="ListLabel 2943"/>
    <w:qFormat/>
    <w:rPr>
      <w:rFonts w:cs="OpenSymbol"/>
    </w:rPr>
  </w:style>
  <w:style w:type="character" w:customStyle="1" w:styleId="ListLabel2944">
    <w:name w:val="ListLabel 2944"/>
    <w:qFormat/>
    <w:rPr>
      <w:rFonts w:cs="OpenSymbol"/>
    </w:rPr>
  </w:style>
  <w:style w:type="character" w:customStyle="1" w:styleId="ListLabel2945">
    <w:name w:val="ListLabel 2945"/>
    <w:qFormat/>
    <w:rPr>
      <w:rFonts w:cs="OpenSymbol"/>
    </w:rPr>
  </w:style>
  <w:style w:type="character" w:customStyle="1" w:styleId="ListLabel2946">
    <w:name w:val="ListLabel 2946"/>
    <w:qFormat/>
    <w:rPr>
      <w:rFonts w:cs="OpenSymbol"/>
    </w:rPr>
  </w:style>
  <w:style w:type="character" w:customStyle="1" w:styleId="ListLabel2947">
    <w:name w:val="ListLabel 2947"/>
    <w:qFormat/>
    <w:rPr>
      <w:rFonts w:cs="OpenSymbol"/>
    </w:rPr>
  </w:style>
  <w:style w:type="character" w:customStyle="1" w:styleId="ListLabel2948">
    <w:name w:val="ListLabel 2948"/>
    <w:qFormat/>
    <w:rPr>
      <w:rFonts w:cs="OpenSymbol"/>
    </w:rPr>
  </w:style>
  <w:style w:type="character" w:customStyle="1" w:styleId="ListLabel2949">
    <w:name w:val="ListLabel 2949"/>
    <w:qFormat/>
    <w:rPr>
      <w:rFonts w:cs="OpenSymbol"/>
    </w:rPr>
  </w:style>
  <w:style w:type="character" w:customStyle="1" w:styleId="ListLabel2950">
    <w:name w:val="ListLabel 2950"/>
    <w:qFormat/>
    <w:rPr>
      <w:rFonts w:cs="OpenSymbol"/>
    </w:rPr>
  </w:style>
  <w:style w:type="character" w:customStyle="1" w:styleId="ListLabel2951">
    <w:name w:val="ListLabel 2951"/>
    <w:qFormat/>
    <w:rPr>
      <w:rFonts w:cs="OpenSymbol"/>
    </w:rPr>
  </w:style>
  <w:style w:type="character" w:customStyle="1" w:styleId="ListLabel2952">
    <w:name w:val="ListLabel 2952"/>
    <w:qFormat/>
    <w:rPr>
      <w:rFonts w:cs="OpenSymbol"/>
    </w:rPr>
  </w:style>
  <w:style w:type="character" w:customStyle="1" w:styleId="ListLabel2953">
    <w:name w:val="ListLabel 2953"/>
    <w:qFormat/>
    <w:rPr>
      <w:rFonts w:cs="OpenSymbol"/>
    </w:rPr>
  </w:style>
  <w:style w:type="character" w:customStyle="1" w:styleId="ListLabel2954">
    <w:name w:val="ListLabel 2954"/>
    <w:qFormat/>
    <w:rPr>
      <w:rFonts w:cs="OpenSymbol"/>
    </w:rPr>
  </w:style>
  <w:style w:type="character" w:customStyle="1" w:styleId="ListLabel2955">
    <w:name w:val="ListLabel 2955"/>
    <w:qFormat/>
    <w:rPr>
      <w:rFonts w:cs="OpenSymbol"/>
    </w:rPr>
  </w:style>
  <w:style w:type="character" w:customStyle="1" w:styleId="ListLabel2956">
    <w:name w:val="ListLabel 2956"/>
    <w:qFormat/>
    <w:rPr>
      <w:rFonts w:cs="OpenSymbol"/>
    </w:rPr>
  </w:style>
  <w:style w:type="character" w:customStyle="1" w:styleId="ListLabel2957">
    <w:name w:val="ListLabel 2957"/>
    <w:qFormat/>
    <w:rPr>
      <w:rFonts w:cs="OpenSymbol"/>
    </w:rPr>
  </w:style>
  <w:style w:type="character" w:customStyle="1" w:styleId="ListLabel2958">
    <w:name w:val="ListLabel 2958"/>
    <w:qFormat/>
    <w:rPr>
      <w:rFonts w:cs="OpenSymbol"/>
    </w:rPr>
  </w:style>
  <w:style w:type="character" w:customStyle="1" w:styleId="ListLabel2959">
    <w:name w:val="ListLabel 2959"/>
    <w:qFormat/>
    <w:rPr>
      <w:rFonts w:cs="OpenSymbol"/>
    </w:rPr>
  </w:style>
  <w:style w:type="character" w:customStyle="1" w:styleId="ListLabel2960">
    <w:name w:val="ListLabel 2960"/>
    <w:qFormat/>
    <w:rPr>
      <w:rFonts w:cs="OpenSymbol"/>
    </w:rPr>
  </w:style>
  <w:style w:type="character" w:customStyle="1" w:styleId="ListLabel2961">
    <w:name w:val="ListLabel 2961"/>
    <w:qFormat/>
    <w:rPr>
      <w:rFonts w:cs="OpenSymbol"/>
    </w:rPr>
  </w:style>
  <w:style w:type="character" w:customStyle="1" w:styleId="ListLabel2962">
    <w:name w:val="ListLabel 2962"/>
    <w:qFormat/>
    <w:rPr>
      <w:rFonts w:cs="OpenSymbol"/>
    </w:rPr>
  </w:style>
  <w:style w:type="character" w:customStyle="1" w:styleId="ListLabel2963">
    <w:name w:val="ListLabel 2963"/>
    <w:qFormat/>
    <w:rPr>
      <w:rFonts w:cs="OpenSymbol"/>
    </w:rPr>
  </w:style>
  <w:style w:type="character" w:customStyle="1" w:styleId="ListLabel2964">
    <w:name w:val="ListLabel 2964"/>
    <w:qFormat/>
    <w:rPr>
      <w:rFonts w:cs="OpenSymbol"/>
    </w:rPr>
  </w:style>
  <w:style w:type="character" w:customStyle="1" w:styleId="ListLabel2965">
    <w:name w:val="ListLabel 2965"/>
    <w:qFormat/>
    <w:rPr>
      <w:rFonts w:cs="OpenSymbol"/>
    </w:rPr>
  </w:style>
  <w:style w:type="character" w:customStyle="1" w:styleId="ListLabel2966">
    <w:name w:val="ListLabel 2966"/>
    <w:qFormat/>
    <w:rPr>
      <w:rFonts w:cs="OpenSymbol"/>
    </w:rPr>
  </w:style>
  <w:style w:type="character" w:customStyle="1" w:styleId="ListLabel2967">
    <w:name w:val="ListLabel 2967"/>
    <w:qFormat/>
    <w:rPr>
      <w:rFonts w:cs="OpenSymbol"/>
    </w:rPr>
  </w:style>
  <w:style w:type="character" w:customStyle="1" w:styleId="ListLabel2968">
    <w:name w:val="ListLabel 2968"/>
    <w:qFormat/>
    <w:rPr>
      <w:rFonts w:cs="OpenSymbol"/>
    </w:rPr>
  </w:style>
  <w:style w:type="character" w:customStyle="1" w:styleId="ListLabel2969">
    <w:name w:val="ListLabel 2969"/>
    <w:qFormat/>
    <w:rPr>
      <w:rFonts w:cs="OpenSymbol"/>
    </w:rPr>
  </w:style>
  <w:style w:type="character" w:customStyle="1" w:styleId="ListLabel2970">
    <w:name w:val="ListLabel 2970"/>
    <w:qFormat/>
    <w:rPr>
      <w:rFonts w:cs="OpenSymbol"/>
    </w:rPr>
  </w:style>
  <w:style w:type="character" w:customStyle="1" w:styleId="ListLabel2971">
    <w:name w:val="ListLabel 2971"/>
    <w:qFormat/>
    <w:rPr>
      <w:rFonts w:cs="OpenSymbol"/>
    </w:rPr>
  </w:style>
  <w:style w:type="character" w:customStyle="1" w:styleId="ListLabel2972">
    <w:name w:val="ListLabel 2972"/>
    <w:qFormat/>
    <w:rPr>
      <w:rFonts w:cs="OpenSymbol"/>
    </w:rPr>
  </w:style>
  <w:style w:type="character" w:customStyle="1" w:styleId="ListLabel2973">
    <w:name w:val="ListLabel 2973"/>
    <w:qFormat/>
    <w:rPr>
      <w:rFonts w:cs="OpenSymbol"/>
    </w:rPr>
  </w:style>
  <w:style w:type="character" w:customStyle="1" w:styleId="ListLabel2974">
    <w:name w:val="ListLabel 2974"/>
    <w:qFormat/>
    <w:rPr>
      <w:rFonts w:cs="OpenSymbol"/>
    </w:rPr>
  </w:style>
  <w:style w:type="character" w:customStyle="1" w:styleId="ListLabel2975">
    <w:name w:val="ListLabel 2975"/>
    <w:qFormat/>
    <w:rPr>
      <w:rFonts w:cs="OpenSymbol"/>
    </w:rPr>
  </w:style>
  <w:style w:type="character" w:customStyle="1" w:styleId="ListLabel2976">
    <w:name w:val="ListLabel 2976"/>
    <w:qFormat/>
    <w:rPr>
      <w:rFonts w:cs="OpenSymbol"/>
    </w:rPr>
  </w:style>
  <w:style w:type="character" w:customStyle="1" w:styleId="ListLabel2977">
    <w:name w:val="ListLabel 2977"/>
    <w:qFormat/>
    <w:rPr>
      <w:rFonts w:cs="OpenSymbol"/>
    </w:rPr>
  </w:style>
  <w:style w:type="character" w:customStyle="1" w:styleId="ListLabel2978">
    <w:name w:val="ListLabel 2978"/>
    <w:qFormat/>
    <w:rPr>
      <w:rFonts w:cs="OpenSymbol"/>
    </w:rPr>
  </w:style>
  <w:style w:type="character" w:customStyle="1" w:styleId="ListLabel2979">
    <w:name w:val="ListLabel 2979"/>
    <w:qFormat/>
    <w:rPr>
      <w:rFonts w:cs="OpenSymbol"/>
    </w:rPr>
  </w:style>
  <w:style w:type="character" w:customStyle="1" w:styleId="ListLabel2980">
    <w:name w:val="ListLabel 2980"/>
    <w:qFormat/>
    <w:rPr>
      <w:rFonts w:cs="OpenSymbol"/>
    </w:rPr>
  </w:style>
  <w:style w:type="character" w:customStyle="1" w:styleId="ListLabel2981">
    <w:name w:val="ListLabel 2981"/>
    <w:qFormat/>
    <w:rPr>
      <w:rFonts w:cs="OpenSymbol"/>
    </w:rPr>
  </w:style>
  <w:style w:type="character" w:customStyle="1" w:styleId="ListLabel2982">
    <w:name w:val="ListLabel 2982"/>
    <w:qFormat/>
    <w:rPr>
      <w:rFonts w:cs="OpenSymbol"/>
    </w:rPr>
  </w:style>
  <w:style w:type="character" w:customStyle="1" w:styleId="ListLabel2983">
    <w:name w:val="ListLabel 2983"/>
    <w:qFormat/>
    <w:rPr>
      <w:rFonts w:cs="OpenSymbol"/>
    </w:rPr>
  </w:style>
  <w:style w:type="character" w:customStyle="1" w:styleId="ListLabel2984">
    <w:name w:val="ListLabel 2984"/>
    <w:qFormat/>
    <w:rPr>
      <w:rFonts w:cs="OpenSymbol"/>
    </w:rPr>
  </w:style>
  <w:style w:type="character" w:customStyle="1" w:styleId="ListLabel2985">
    <w:name w:val="ListLabel 2985"/>
    <w:qFormat/>
    <w:rPr>
      <w:rFonts w:cs="OpenSymbol"/>
    </w:rPr>
  </w:style>
  <w:style w:type="character" w:customStyle="1" w:styleId="ListLabel2986">
    <w:name w:val="ListLabel 2986"/>
    <w:qFormat/>
    <w:rPr>
      <w:rFonts w:cs="OpenSymbol"/>
    </w:rPr>
  </w:style>
  <w:style w:type="character" w:customStyle="1" w:styleId="ListLabel2987">
    <w:name w:val="ListLabel 2987"/>
    <w:qFormat/>
    <w:rPr>
      <w:rFonts w:cs="OpenSymbol"/>
    </w:rPr>
  </w:style>
  <w:style w:type="character" w:customStyle="1" w:styleId="ListLabel2988">
    <w:name w:val="ListLabel 2988"/>
    <w:qFormat/>
    <w:rPr>
      <w:rFonts w:cs="OpenSymbol"/>
    </w:rPr>
  </w:style>
  <w:style w:type="character" w:customStyle="1" w:styleId="ListLabel2989">
    <w:name w:val="ListLabel 2989"/>
    <w:qFormat/>
    <w:rPr>
      <w:rFonts w:cs="OpenSymbol"/>
    </w:rPr>
  </w:style>
  <w:style w:type="character" w:customStyle="1" w:styleId="ListLabel2990">
    <w:name w:val="ListLabel 2990"/>
    <w:qFormat/>
    <w:rPr>
      <w:rFonts w:cs="OpenSymbol"/>
    </w:rPr>
  </w:style>
  <w:style w:type="character" w:customStyle="1" w:styleId="ListLabel2991">
    <w:name w:val="ListLabel 2991"/>
    <w:qFormat/>
    <w:rPr>
      <w:rFonts w:cs="OpenSymbol"/>
    </w:rPr>
  </w:style>
  <w:style w:type="character" w:customStyle="1" w:styleId="ListLabel2992">
    <w:name w:val="ListLabel 2992"/>
    <w:qFormat/>
    <w:rPr>
      <w:rFonts w:cs="OpenSymbol"/>
    </w:rPr>
  </w:style>
  <w:style w:type="character" w:customStyle="1" w:styleId="ListLabel2993">
    <w:name w:val="ListLabel 2993"/>
    <w:qFormat/>
    <w:rPr>
      <w:rFonts w:cs="OpenSymbol"/>
    </w:rPr>
  </w:style>
  <w:style w:type="character" w:customStyle="1" w:styleId="ListLabel2994">
    <w:name w:val="ListLabel 2994"/>
    <w:qFormat/>
    <w:rPr>
      <w:rFonts w:cs="OpenSymbol"/>
    </w:rPr>
  </w:style>
  <w:style w:type="character" w:customStyle="1" w:styleId="ListLabel2995">
    <w:name w:val="ListLabel 2995"/>
    <w:qFormat/>
    <w:rPr>
      <w:rFonts w:cs="OpenSymbol"/>
    </w:rPr>
  </w:style>
  <w:style w:type="character" w:customStyle="1" w:styleId="ListLabel2996">
    <w:name w:val="ListLabel 2996"/>
    <w:qFormat/>
    <w:rPr>
      <w:rFonts w:cs="OpenSymbol"/>
    </w:rPr>
  </w:style>
  <w:style w:type="character" w:customStyle="1" w:styleId="ListLabel2997">
    <w:name w:val="ListLabel 2997"/>
    <w:qFormat/>
    <w:rPr>
      <w:rFonts w:cs="OpenSymbol"/>
    </w:rPr>
  </w:style>
  <w:style w:type="character" w:customStyle="1" w:styleId="ListLabel2998">
    <w:name w:val="ListLabel 2998"/>
    <w:qFormat/>
    <w:rPr>
      <w:rFonts w:cs="OpenSymbol"/>
    </w:rPr>
  </w:style>
  <w:style w:type="character" w:customStyle="1" w:styleId="ListLabel2999">
    <w:name w:val="ListLabel 2999"/>
    <w:qFormat/>
    <w:rPr>
      <w:rFonts w:cs="OpenSymbol"/>
    </w:rPr>
  </w:style>
  <w:style w:type="character" w:customStyle="1" w:styleId="ListLabel3000">
    <w:name w:val="ListLabel 3000"/>
    <w:qFormat/>
    <w:rPr>
      <w:rFonts w:cs="OpenSymbol"/>
    </w:rPr>
  </w:style>
  <w:style w:type="character" w:customStyle="1" w:styleId="ListLabel3001">
    <w:name w:val="ListLabel 3001"/>
    <w:qFormat/>
    <w:rPr>
      <w:rFonts w:cs="OpenSymbol"/>
    </w:rPr>
  </w:style>
  <w:style w:type="character" w:customStyle="1" w:styleId="ListLabel3002">
    <w:name w:val="ListLabel 3002"/>
    <w:qFormat/>
    <w:rPr>
      <w:rFonts w:cs="OpenSymbol"/>
    </w:rPr>
  </w:style>
  <w:style w:type="character" w:customStyle="1" w:styleId="ListLabel3003">
    <w:name w:val="ListLabel 3003"/>
    <w:qFormat/>
    <w:rPr>
      <w:rFonts w:cs="OpenSymbol"/>
    </w:rPr>
  </w:style>
  <w:style w:type="character" w:customStyle="1" w:styleId="ListLabel3004">
    <w:name w:val="ListLabel 3004"/>
    <w:qFormat/>
    <w:rPr>
      <w:rFonts w:cs="OpenSymbol"/>
    </w:rPr>
  </w:style>
  <w:style w:type="character" w:customStyle="1" w:styleId="ListLabel3005">
    <w:name w:val="ListLabel 3005"/>
    <w:qFormat/>
    <w:rPr>
      <w:rFonts w:cs="OpenSymbol"/>
    </w:rPr>
  </w:style>
  <w:style w:type="character" w:customStyle="1" w:styleId="ListLabel3006">
    <w:name w:val="ListLabel 3006"/>
    <w:qFormat/>
    <w:rPr>
      <w:rFonts w:cs="OpenSymbol"/>
    </w:rPr>
  </w:style>
  <w:style w:type="character" w:customStyle="1" w:styleId="ListLabel3007">
    <w:name w:val="ListLabel 3007"/>
    <w:qFormat/>
    <w:rPr>
      <w:rFonts w:cs="OpenSymbol"/>
    </w:rPr>
  </w:style>
  <w:style w:type="character" w:customStyle="1" w:styleId="ListLabel3008">
    <w:name w:val="ListLabel 3008"/>
    <w:qFormat/>
    <w:rPr>
      <w:rFonts w:cs="OpenSymbol"/>
    </w:rPr>
  </w:style>
  <w:style w:type="character" w:customStyle="1" w:styleId="ListLabel3009">
    <w:name w:val="ListLabel 3009"/>
    <w:qFormat/>
    <w:rPr>
      <w:rFonts w:cs="OpenSymbol"/>
    </w:rPr>
  </w:style>
  <w:style w:type="character" w:customStyle="1" w:styleId="ListLabel3010">
    <w:name w:val="ListLabel 3010"/>
    <w:qFormat/>
    <w:rPr>
      <w:rFonts w:cs="OpenSymbol"/>
    </w:rPr>
  </w:style>
  <w:style w:type="character" w:customStyle="1" w:styleId="ListLabel3011">
    <w:name w:val="ListLabel 3011"/>
    <w:qFormat/>
    <w:rPr>
      <w:rFonts w:cs="OpenSymbol"/>
    </w:rPr>
  </w:style>
  <w:style w:type="character" w:customStyle="1" w:styleId="ListLabel3012">
    <w:name w:val="ListLabel 3012"/>
    <w:qFormat/>
    <w:rPr>
      <w:rFonts w:cs="OpenSymbol"/>
    </w:rPr>
  </w:style>
  <w:style w:type="character" w:customStyle="1" w:styleId="ListLabel3013">
    <w:name w:val="ListLabel 3013"/>
    <w:qFormat/>
    <w:rPr>
      <w:rFonts w:cs="OpenSymbol"/>
    </w:rPr>
  </w:style>
  <w:style w:type="character" w:customStyle="1" w:styleId="ListLabel3014">
    <w:name w:val="ListLabel 3014"/>
    <w:qFormat/>
    <w:rPr>
      <w:rFonts w:cs="OpenSymbol"/>
    </w:rPr>
  </w:style>
  <w:style w:type="character" w:customStyle="1" w:styleId="ListLabel3015">
    <w:name w:val="ListLabel 3015"/>
    <w:qFormat/>
    <w:rPr>
      <w:rFonts w:cs="OpenSymbol"/>
    </w:rPr>
  </w:style>
  <w:style w:type="character" w:customStyle="1" w:styleId="ListLabel3016">
    <w:name w:val="ListLabel 3016"/>
    <w:qFormat/>
    <w:rPr>
      <w:rFonts w:cs="OpenSymbol"/>
    </w:rPr>
  </w:style>
  <w:style w:type="character" w:customStyle="1" w:styleId="ListLabel3017">
    <w:name w:val="ListLabel 3017"/>
    <w:qFormat/>
    <w:rPr>
      <w:rFonts w:cs="OpenSymbol"/>
    </w:rPr>
  </w:style>
  <w:style w:type="character" w:customStyle="1" w:styleId="ListLabel3018">
    <w:name w:val="ListLabel 3018"/>
    <w:qFormat/>
    <w:rPr>
      <w:rFonts w:cs="OpenSymbol"/>
    </w:rPr>
  </w:style>
  <w:style w:type="character" w:customStyle="1" w:styleId="ListLabel3019">
    <w:name w:val="ListLabel 3019"/>
    <w:qFormat/>
    <w:rPr>
      <w:rFonts w:cs="OpenSymbol"/>
    </w:rPr>
  </w:style>
  <w:style w:type="character" w:customStyle="1" w:styleId="ListLabel3020">
    <w:name w:val="ListLabel 3020"/>
    <w:qFormat/>
    <w:rPr>
      <w:rFonts w:cs="OpenSymbol"/>
    </w:rPr>
  </w:style>
  <w:style w:type="character" w:customStyle="1" w:styleId="ListLabel3021">
    <w:name w:val="ListLabel 3021"/>
    <w:qFormat/>
    <w:rPr>
      <w:rFonts w:cs="OpenSymbol"/>
    </w:rPr>
  </w:style>
  <w:style w:type="character" w:customStyle="1" w:styleId="ListLabel3022">
    <w:name w:val="ListLabel 3022"/>
    <w:qFormat/>
    <w:rPr>
      <w:rFonts w:cs="OpenSymbol"/>
    </w:rPr>
  </w:style>
  <w:style w:type="character" w:customStyle="1" w:styleId="ListLabel3023">
    <w:name w:val="ListLabel 3023"/>
    <w:qFormat/>
    <w:rPr>
      <w:rFonts w:cs="OpenSymbol"/>
    </w:rPr>
  </w:style>
  <w:style w:type="character" w:customStyle="1" w:styleId="ListLabel3024">
    <w:name w:val="ListLabel 3024"/>
    <w:qFormat/>
    <w:rPr>
      <w:rFonts w:cs="OpenSymbol"/>
    </w:rPr>
  </w:style>
  <w:style w:type="character" w:customStyle="1" w:styleId="ListLabel3025">
    <w:name w:val="ListLabel 3025"/>
    <w:qFormat/>
    <w:rPr>
      <w:rFonts w:cs="OpenSymbol"/>
    </w:rPr>
  </w:style>
  <w:style w:type="character" w:customStyle="1" w:styleId="ListLabel3026">
    <w:name w:val="ListLabel 3026"/>
    <w:qFormat/>
    <w:rPr>
      <w:rFonts w:cs="OpenSymbol"/>
    </w:rPr>
  </w:style>
  <w:style w:type="character" w:customStyle="1" w:styleId="ListLabel3027">
    <w:name w:val="ListLabel 3027"/>
    <w:qFormat/>
    <w:rPr>
      <w:rFonts w:cs="OpenSymbol"/>
    </w:rPr>
  </w:style>
  <w:style w:type="character" w:customStyle="1" w:styleId="ListLabel3028">
    <w:name w:val="ListLabel 3028"/>
    <w:qFormat/>
    <w:rPr>
      <w:rFonts w:cs="OpenSymbol"/>
    </w:rPr>
  </w:style>
  <w:style w:type="character" w:customStyle="1" w:styleId="ListLabel3029">
    <w:name w:val="ListLabel 3029"/>
    <w:qFormat/>
    <w:rPr>
      <w:rFonts w:cs="OpenSymbol"/>
    </w:rPr>
  </w:style>
  <w:style w:type="character" w:customStyle="1" w:styleId="ListLabel3030">
    <w:name w:val="ListLabel 3030"/>
    <w:qFormat/>
    <w:rPr>
      <w:rFonts w:cs="OpenSymbol"/>
    </w:rPr>
  </w:style>
  <w:style w:type="character" w:customStyle="1" w:styleId="ListLabel3031">
    <w:name w:val="ListLabel 3031"/>
    <w:qFormat/>
    <w:rPr>
      <w:rFonts w:cs="OpenSymbol"/>
    </w:rPr>
  </w:style>
  <w:style w:type="character" w:customStyle="1" w:styleId="ListLabel3032">
    <w:name w:val="ListLabel 3032"/>
    <w:qFormat/>
    <w:rPr>
      <w:rFonts w:cs="OpenSymbol"/>
    </w:rPr>
  </w:style>
  <w:style w:type="character" w:customStyle="1" w:styleId="ListLabel3033">
    <w:name w:val="ListLabel 3033"/>
    <w:qFormat/>
    <w:rPr>
      <w:rFonts w:cs="OpenSymbol"/>
    </w:rPr>
  </w:style>
  <w:style w:type="character" w:customStyle="1" w:styleId="ListLabel3034">
    <w:name w:val="ListLabel 3034"/>
    <w:qFormat/>
    <w:rPr>
      <w:rFonts w:cs="OpenSymbol"/>
    </w:rPr>
  </w:style>
  <w:style w:type="character" w:customStyle="1" w:styleId="ListLabel3035">
    <w:name w:val="ListLabel 3035"/>
    <w:qFormat/>
    <w:rPr>
      <w:rFonts w:cs="OpenSymbol"/>
    </w:rPr>
  </w:style>
  <w:style w:type="character" w:customStyle="1" w:styleId="ListLabel3036">
    <w:name w:val="ListLabel 3036"/>
    <w:qFormat/>
    <w:rPr>
      <w:rFonts w:cs="OpenSymbol"/>
    </w:rPr>
  </w:style>
  <w:style w:type="character" w:customStyle="1" w:styleId="ListLabel3037">
    <w:name w:val="ListLabel 3037"/>
    <w:qFormat/>
    <w:rPr>
      <w:rFonts w:cs="OpenSymbol"/>
    </w:rPr>
  </w:style>
  <w:style w:type="character" w:customStyle="1" w:styleId="ListLabel3038">
    <w:name w:val="ListLabel 3038"/>
    <w:qFormat/>
    <w:rPr>
      <w:rFonts w:cs="OpenSymbol"/>
    </w:rPr>
  </w:style>
  <w:style w:type="character" w:customStyle="1" w:styleId="ListLabel3039">
    <w:name w:val="ListLabel 3039"/>
    <w:qFormat/>
    <w:rPr>
      <w:rFonts w:cs="OpenSymbol"/>
    </w:rPr>
  </w:style>
  <w:style w:type="character" w:customStyle="1" w:styleId="ListLabel3040">
    <w:name w:val="ListLabel 3040"/>
    <w:qFormat/>
    <w:rPr>
      <w:rFonts w:cs="OpenSymbol"/>
    </w:rPr>
  </w:style>
  <w:style w:type="character" w:customStyle="1" w:styleId="ListLabel3041">
    <w:name w:val="ListLabel 3041"/>
    <w:qFormat/>
    <w:rPr>
      <w:rFonts w:cs="OpenSymbol"/>
    </w:rPr>
  </w:style>
  <w:style w:type="character" w:customStyle="1" w:styleId="ListLabel3042">
    <w:name w:val="ListLabel 3042"/>
    <w:qFormat/>
    <w:rPr>
      <w:rFonts w:cs="OpenSymbol"/>
    </w:rPr>
  </w:style>
  <w:style w:type="character" w:customStyle="1" w:styleId="ListLabel3043">
    <w:name w:val="ListLabel 3043"/>
    <w:qFormat/>
    <w:rPr>
      <w:rFonts w:cs="OpenSymbol"/>
    </w:rPr>
  </w:style>
  <w:style w:type="character" w:customStyle="1" w:styleId="ListLabel3044">
    <w:name w:val="ListLabel 3044"/>
    <w:qFormat/>
    <w:rPr>
      <w:rFonts w:cs="OpenSymbol"/>
    </w:rPr>
  </w:style>
  <w:style w:type="character" w:customStyle="1" w:styleId="ListLabel3045">
    <w:name w:val="ListLabel 3045"/>
    <w:qFormat/>
    <w:rPr>
      <w:rFonts w:cs="OpenSymbol"/>
    </w:rPr>
  </w:style>
  <w:style w:type="character" w:customStyle="1" w:styleId="ListLabel3046">
    <w:name w:val="ListLabel 3046"/>
    <w:qFormat/>
    <w:rPr>
      <w:rFonts w:cs="OpenSymbol"/>
    </w:rPr>
  </w:style>
  <w:style w:type="character" w:customStyle="1" w:styleId="ListLabel3047">
    <w:name w:val="ListLabel 3047"/>
    <w:qFormat/>
    <w:rPr>
      <w:rFonts w:cs="OpenSymbol"/>
    </w:rPr>
  </w:style>
  <w:style w:type="character" w:customStyle="1" w:styleId="ListLabel3048">
    <w:name w:val="ListLabel 3048"/>
    <w:qFormat/>
    <w:rPr>
      <w:rFonts w:cs="OpenSymbol"/>
    </w:rPr>
  </w:style>
  <w:style w:type="character" w:customStyle="1" w:styleId="ListLabel3049">
    <w:name w:val="ListLabel 3049"/>
    <w:qFormat/>
    <w:rPr>
      <w:rFonts w:cs="OpenSymbol"/>
    </w:rPr>
  </w:style>
  <w:style w:type="character" w:customStyle="1" w:styleId="ListLabel3050">
    <w:name w:val="ListLabel 3050"/>
    <w:qFormat/>
    <w:rPr>
      <w:rFonts w:cs="OpenSymbol"/>
    </w:rPr>
  </w:style>
  <w:style w:type="character" w:customStyle="1" w:styleId="ListLabel3051">
    <w:name w:val="ListLabel 3051"/>
    <w:qFormat/>
    <w:rPr>
      <w:rFonts w:cs="OpenSymbol"/>
    </w:rPr>
  </w:style>
  <w:style w:type="character" w:customStyle="1" w:styleId="ListLabel3052">
    <w:name w:val="ListLabel 3052"/>
    <w:qFormat/>
    <w:rPr>
      <w:rFonts w:cs="OpenSymbol"/>
    </w:rPr>
  </w:style>
  <w:style w:type="character" w:customStyle="1" w:styleId="ListLabel3053">
    <w:name w:val="ListLabel 3053"/>
    <w:qFormat/>
    <w:rPr>
      <w:rFonts w:cs="OpenSymbol"/>
    </w:rPr>
  </w:style>
  <w:style w:type="character" w:customStyle="1" w:styleId="ListLabel3054">
    <w:name w:val="ListLabel 3054"/>
    <w:qFormat/>
    <w:rPr>
      <w:rFonts w:cs="OpenSymbol"/>
    </w:rPr>
  </w:style>
  <w:style w:type="character" w:customStyle="1" w:styleId="ListLabel3055">
    <w:name w:val="ListLabel 3055"/>
    <w:qFormat/>
    <w:rPr>
      <w:rFonts w:cs="OpenSymbol"/>
    </w:rPr>
  </w:style>
  <w:style w:type="character" w:customStyle="1" w:styleId="ListLabel3056">
    <w:name w:val="ListLabel 3056"/>
    <w:qFormat/>
    <w:rPr>
      <w:rFonts w:cs="OpenSymbol"/>
    </w:rPr>
  </w:style>
  <w:style w:type="character" w:customStyle="1" w:styleId="ListLabel3057">
    <w:name w:val="ListLabel 3057"/>
    <w:qFormat/>
    <w:rPr>
      <w:rFonts w:cs="OpenSymbol"/>
    </w:rPr>
  </w:style>
  <w:style w:type="character" w:customStyle="1" w:styleId="ListLabel3058">
    <w:name w:val="ListLabel 3058"/>
    <w:qFormat/>
    <w:rPr>
      <w:rFonts w:cs="OpenSymbol"/>
    </w:rPr>
  </w:style>
  <w:style w:type="character" w:customStyle="1" w:styleId="ListLabel3059">
    <w:name w:val="ListLabel 3059"/>
    <w:qFormat/>
    <w:rPr>
      <w:rFonts w:cs="OpenSymbol"/>
    </w:rPr>
  </w:style>
  <w:style w:type="character" w:customStyle="1" w:styleId="ListLabel3060">
    <w:name w:val="ListLabel 3060"/>
    <w:qFormat/>
    <w:rPr>
      <w:rFonts w:cs="OpenSymbol"/>
    </w:rPr>
  </w:style>
  <w:style w:type="character" w:customStyle="1" w:styleId="ListLabel3061">
    <w:name w:val="ListLabel 3061"/>
    <w:qFormat/>
    <w:rPr>
      <w:rFonts w:cs="OpenSymbol"/>
    </w:rPr>
  </w:style>
  <w:style w:type="character" w:customStyle="1" w:styleId="ListLabel3062">
    <w:name w:val="ListLabel 3062"/>
    <w:qFormat/>
    <w:rPr>
      <w:rFonts w:cs="OpenSymbol"/>
    </w:rPr>
  </w:style>
  <w:style w:type="character" w:customStyle="1" w:styleId="ListLabel3063">
    <w:name w:val="ListLabel 3063"/>
    <w:qFormat/>
    <w:rPr>
      <w:rFonts w:cs="OpenSymbol"/>
    </w:rPr>
  </w:style>
  <w:style w:type="character" w:customStyle="1" w:styleId="ListLabel3064">
    <w:name w:val="ListLabel 3064"/>
    <w:qFormat/>
    <w:rPr>
      <w:rFonts w:cs="OpenSymbol"/>
    </w:rPr>
  </w:style>
  <w:style w:type="character" w:customStyle="1" w:styleId="ListLabel3065">
    <w:name w:val="ListLabel 3065"/>
    <w:qFormat/>
    <w:rPr>
      <w:rFonts w:cs="OpenSymbol"/>
    </w:rPr>
  </w:style>
  <w:style w:type="character" w:customStyle="1" w:styleId="ListLabel3066">
    <w:name w:val="ListLabel 3066"/>
    <w:qFormat/>
    <w:rPr>
      <w:rFonts w:cs="OpenSymbol"/>
    </w:rPr>
  </w:style>
  <w:style w:type="character" w:customStyle="1" w:styleId="ListLabel3067">
    <w:name w:val="ListLabel 3067"/>
    <w:qFormat/>
    <w:rPr>
      <w:rFonts w:cs="OpenSymbol"/>
    </w:rPr>
  </w:style>
  <w:style w:type="character" w:customStyle="1" w:styleId="ListLabel3068">
    <w:name w:val="ListLabel 3068"/>
    <w:qFormat/>
    <w:rPr>
      <w:rFonts w:cs="OpenSymbol"/>
    </w:rPr>
  </w:style>
  <w:style w:type="character" w:customStyle="1" w:styleId="ListLabel3069">
    <w:name w:val="ListLabel 3069"/>
    <w:qFormat/>
    <w:rPr>
      <w:rFonts w:cs="OpenSymbol"/>
    </w:rPr>
  </w:style>
  <w:style w:type="character" w:customStyle="1" w:styleId="ListLabel3070">
    <w:name w:val="ListLabel 3070"/>
    <w:qFormat/>
    <w:rPr>
      <w:rFonts w:cs="OpenSymbol"/>
    </w:rPr>
  </w:style>
  <w:style w:type="character" w:customStyle="1" w:styleId="ListLabel3071">
    <w:name w:val="ListLabel 3071"/>
    <w:qFormat/>
    <w:rPr>
      <w:rFonts w:cs="OpenSymbol"/>
    </w:rPr>
  </w:style>
  <w:style w:type="character" w:customStyle="1" w:styleId="ListLabel3072">
    <w:name w:val="ListLabel 3072"/>
    <w:qFormat/>
    <w:rPr>
      <w:rFonts w:cs="OpenSymbol"/>
    </w:rPr>
  </w:style>
  <w:style w:type="character" w:customStyle="1" w:styleId="ListLabel3073">
    <w:name w:val="ListLabel 3073"/>
    <w:qFormat/>
    <w:rPr>
      <w:rFonts w:cs="OpenSymbol"/>
    </w:rPr>
  </w:style>
  <w:style w:type="character" w:customStyle="1" w:styleId="ListLabel3074">
    <w:name w:val="ListLabel 3074"/>
    <w:qFormat/>
    <w:rPr>
      <w:rFonts w:cs="OpenSymbol"/>
    </w:rPr>
  </w:style>
  <w:style w:type="character" w:customStyle="1" w:styleId="ListLabel3075">
    <w:name w:val="ListLabel 3075"/>
    <w:qFormat/>
    <w:rPr>
      <w:rFonts w:cs="OpenSymbol"/>
    </w:rPr>
  </w:style>
  <w:style w:type="character" w:customStyle="1" w:styleId="ListLabel3076">
    <w:name w:val="ListLabel 3076"/>
    <w:qFormat/>
    <w:rPr>
      <w:rFonts w:cs="OpenSymbol"/>
    </w:rPr>
  </w:style>
  <w:style w:type="character" w:customStyle="1" w:styleId="ListLabel3077">
    <w:name w:val="ListLabel 3077"/>
    <w:qFormat/>
    <w:rPr>
      <w:rFonts w:cs="OpenSymbol"/>
    </w:rPr>
  </w:style>
  <w:style w:type="character" w:customStyle="1" w:styleId="ListLabel3078">
    <w:name w:val="ListLabel 3078"/>
    <w:qFormat/>
    <w:rPr>
      <w:rFonts w:cs="OpenSymbol"/>
    </w:rPr>
  </w:style>
  <w:style w:type="character" w:customStyle="1" w:styleId="ListLabel3079">
    <w:name w:val="ListLabel 3079"/>
    <w:qFormat/>
    <w:rPr>
      <w:rFonts w:cs="OpenSymbol"/>
    </w:rPr>
  </w:style>
  <w:style w:type="character" w:customStyle="1" w:styleId="ListLabel3080">
    <w:name w:val="ListLabel 3080"/>
    <w:qFormat/>
    <w:rPr>
      <w:rFonts w:cs="OpenSymbol"/>
    </w:rPr>
  </w:style>
  <w:style w:type="character" w:customStyle="1" w:styleId="ListLabel3081">
    <w:name w:val="ListLabel 3081"/>
    <w:qFormat/>
    <w:rPr>
      <w:rFonts w:cs="OpenSymbol"/>
    </w:rPr>
  </w:style>
  <w:style w:type="character" w:customStyle="1" w:styleId="ListLabel3082">
    <w:name w:val="ListLabel 3082"/>
    <w:qFormat/>
    <w:rPr>
      <w:rFonts w:cs="OpenSymbol"/>
    </w:rPr>
  </w:style>
  <w:style w:type="character" w:customStyle="1" w:styleId="ListLabel3083">
    <w:name w:val="ListLabel 3083"/>
    <w:qFormat/>
    <w:rPr>
      <w:rFonts w:cs="OpenSymbol"/>
    </w:rPr>
  </w:style>
  <w:style w:type="character" w:customStyle="1" w:styleId="ListLabel3084">
    <w:name w:val="ListLabel 3084"/>
    <w:qFormat/>
    <w:rPr>
      <w:rFonts w:cs="OpenSymbol"/>
    </w:rPr>
  </w:style>
  <w:style w:type="character" w:customStyle="1" w:styleId="ListLabel3085">
    <w:name w:val="ListLabel 3085"/>
    <w:qFormat/>
    <w:rPr>
      <w:rFonts w:cs="OpenSymbol"/>
    </w:rPr>
  </w:style>
  <w:style w:type="character" w:customStyle="1" w:styleId="ListLabel3086">
    <w:name w:val="ListLabel 3086"/>
    <w:qFormat/>
    <w:rPr>
      <w:rFonts w:cs="OpenSymbol"/>
    </w:rPr>
  </w:style>
  <w:style w:type="character" w:customStyle="1" w:styleId="ListLabel3087">
    <w:name w:val="ListLabel 3087"/>
    <w:qFormat/>
    <w:rPr>
      <w:rFonts w:cs="OpenSymbol"/>
    </w:rPr>
  </w:style>
  <w:style w:type="character" w:customStyle="1" w:styleId="ListLabel3088">
    <w:name w:val="ListLabel 3088"/>
    <w:qFormat/>
    <w:rPr>
      <w:rFonts w:cs="OpenSymbol"/>
    </w:rPr>
  </w:style>
  <w:style w:type="character" w:customStyle="1" w:styleId="ListLabel3089">
    <w:name w:val="ListLabel 3089"/>
    <w:qFormat/>
    <w:rPr>
      <w:rFonts w:cs="OpenSymbol"/>
    </w:rPr>
  </w:style>
  <w:style w:type="character" w:customStyle="1" w:styleId="ListLabel3090">
    <w:name w:val="ListLabel 3090"/>
    <w:qFormat/>
    <w:rPr>
      <w:rFonts w:cs="OpenSymbol"/>
    </w:rPr>
  </w:style>
  <w:style w:type="character" w:customStyle="1" w:styleId="ListLabel3091">
    <w:name w:val="ListLabel 3091"/>
    <w:qFormat/>
    <w:rPr>
      <w:rFonts w:cs="OpenSymbol"/>
    </w:rPr>
  </w:style>
  <w:style w:type="character" w:customStyle="1" w:styleId="ListLabel3092">
    <w:name w:val="ListLabel 3092"/>
    <w:qFormat/>
    <w:rPr>
      <w:rFonts w:cs="OpenSymbol"/>
    </w:rPr>
  </w:style>
  <w:style w:type="character" w:customStyle="1" w:styleId="ListLabel3093">
    <w:name w:val="ListLabel 3093"/>
    <w:qFormat/>
    <w:rPr>
      <w:rFonts w:cs="OpenSymbol"/>
    </w:rPr>
  </w:style>
  <w:style w:type="character" w:customStyle="1" w:styleId="ListLabel3094">
    <w:name w:val="ListLabel 3094"/>
    <w:qFormat/>
    <w:rPr>
      <w:rFonts w:cs="OpenSymbol"/>
    </w:rPr>
  </w:style>
  <w:style w:type="character" w:customStyle="1" w:styleId="ListLabel3095">
    <w:name w:val="ListLabel 3095"/>
    <w:qFormat/>
    <w:rPr>
      <w:rFonts w:cs="OpenSymbol"/>
    </w:rPr>
  </w:style>
  <w:style w:type="character" w:customStyle="1" w:styleId="ListLabel3096">
    <w:name w:val="ListLabel 3096"/>
    <w:qFormat/>
    <w:rPr>
      <w:rFonts w:cs="OpenSymbol"/>
    </w:rPr>
  </w:style>
  <w:style w:type="character" w:customStyle="1" w:styleId="ListLabel3097">
    <w:name w:val="ListLabel 3097"/>
    <w:qFormat/>
    <w:rPr>
      <w:rFonts w:cs="OpenSymbol"/>
    </w:rPr>
  </w:style>
  <w:style w:type="character" w:customStyle="1" w:styleId="ListLabel3098">
    <w:name w:val="ListLabel 3098"/>
    <w:qFormat/>
    <w:rPr>
      <w:rFonts w:cs="OpenSymbol"/>
    </w:rPr>
  </w:style>
  <w:style w:type="character" w:customStyle="1" w:styleId="ListLabel3099">
    <w:name w:val="ListLabel 3099"/>
    <w:qFormat/>
    <w:rPr>
      <w:rFonts w:cs="OpenSymbol"/>
    </w:rPr>
  </w:style>
  <w:style w:type="character" w:customStyle="1" w:styleId="ListLabel3100">
    <w:name w:val="ListLabel 3100"/>
    <w:qFormat/>
    <w:rPr>
      <w:rFonts w:cs="OpenSymbol"/>
    </w:rPr>
  </w:style>
  <w:style w:type="character" w:customStyle="1" w:styleId="ListLabel3101">
    <w:name w:val="ListLabel 3101"/>
    <w:qFormat/>
    <w:rPr>
      <w:rFonts w:cs="OpenSymbol"/>
    </w:rPr>
  </w:style>
  <w:style w:type="character" w:customStyle="1" w:styleId="ListLabel3102">
    <w:name w:val="ListLabel 3102"/>
    <w:qFormat/>
    <w:rPr>
      <w:rFonts w:cs="OpenSymbol"/>
    </w:rPr>
  </w:style>
  <w:style w:type="character" w:customStyle="1" w:styleId="ListLabel3103">
    <w:name w:val="ListLabel 3103"/>
    <w:qFormat/>
    <w:rPr>
      <w:rFonts w:cs="OpenSymbol"/>
    </w:rPr>
  </w:style>
  <w:style w:type="character" w:customStyle="1" w:styleId="ListLabel3104">
    <w:name w:val="ListLabel 3104"/>
    <w:qFormat/>
    <w:rPr>
      <w:rFonts w:cs="OpenSymbol"/>
    </w:rPr>
  </w:style>
  <w:style w:type="character" w:customStyle="1" w:styleId="ListLabel3105">
    <w:name w:val="ListLabel 3105"/>
    <w:qFormat/>
    <w:rPr>
      <w:rFonts w:cs="OpenSymbol"/>
    </w:rPr>
  </w:style>
  <w:style w:type="character" w:customStyle="1" w:styleId="ListLabel3106">
    <w:name w:val="ListLabel 3106"/>
    <w:qFormat/>
    <w:rPr>
      <w:rFonts w:cs="OpenSymbol"/>
    </w:rPr>
  </w:style>
  <w:style w:type="character" w:customStyle="1" w:styleId="ListLabel3107">
    <w:name w:val="ListLabel 3107"/>
    <w:qFormat/>
    <w:rPr>
      <w:rFonts w:cs="OpenSymbol"/>
    </w:rPr>
  </w:style>
  <w:style w:type="character" w:customStyle="1" w:styleId="ListLabel3108">
    <w:name w:val="ListLabel 3108"/>
    <w:qFormat/>
    <w:rPr>
      <w:rFonts w:cs="OpenSymbol"/>
    </w:rPr>
  </w:style>
  <w:style w:type="character" w:customStyle="1" w:styleId="ListLabel3109">
    <w:name w:val="ListLabel 3109"/>
    <w:qFormat/>
    <w:rPr>
      <w:rFonts w:cs="OpenSymbol"/>
    </w:rPr>
  </w:style>
  <w:style w:type="character" w:customStyle="1" w:styleId="ListLabel3110">
    <w:name w:val="ListLabel 3110"/>
    <w:qFormat/>
    <w:rPr>
      <w:rFonts w:cs="OpenSymbol"/>
    </w:rPr>
  </w:style>
  <w:style w:type="character" w:customStyle="1" w:styleId="ListLabel3111">
    <w:name w:val="ListLabel 3111"/>
    <w:qFormat/>
    <w:rPr>
      <w:rFonts w:cs="OpenSymbol"/>
    </w:rPr>
  </w:style>
  <w:style w:type="character" w:customStyle="1" w:styleId="ListLabel3112">
    <w:name w:val="ListLabel 3112"/>
    <w:qFormat/>
    <w:rPr>
      <w:rFonts w:eastAsia="Calibri"/>
      <w:color w:val="000000"/>
      <w:sz w:val="28"/>
      <w:u w:val="none"/>
    </w:rPr>
  </w:style>
  <w:style w:type="character" w:customStyle="1" w:styleId="ListLabel3113">
    <w:name w:val="ListLabel 3113"/>
    <w:qFormat/>
    <w:rPr>
      <w:rFonts w:eastAsia="Calibri"/>
      <w:color w:val="000000"/>
      <w:sz w:val="28"/>
      <w:u w:val="none"/>
      <w:lang w:val="en-US"/>
    </w:rPr>
  </w:style>
  <w:style w:type="character" w:customStyle="1" w:styleId="ListLabel3114">
    <w:name w:val="ListLabel 3114"/>
    <w:qFormat/>
    <w:rPr>
      <w:rFonts w:eastAsia="Calibri"/>
      <w:color w:val="000000"/>
      <w:sz w:val="28"/>
      <w:u w:val="none"/>
      <w:lang w:val="uk-UA"/>
    </w:rPr>
  </w:style>
  <w:style w:type="character" w:customStyle="1" w:styleId="ListLabel3115">
    <w:name w:val="ListLabel 3115"/>
    <w:qFormat/>
    <w:rPr>
      <w:color w:val="000000"/>
      <w:sz w:val="28"/>
      <w:u w:val="none"/>
    </w:rPr>
  </w:style>
  <w:style w:type="character" w:customStyle="1" w:styleId="ListLabel3116">
    <w:name w:val="ListLabel 3116"/>
    <w:qFormat/>
    <w:rPr>
      <w:rFonts w:eastAsia="Calibri"/>
      <w:color w:val="C9211E"/>
      <w:sz w:val="28"/>
    </w:rPr>
  </w:style>
  <w:style w:type="character" w:customStyle="1" w:styleId="ListLabel3117">
    <w:name w:val="ListLabel 3117"/>
    <w:qFormat/>
    <w:rPr>
      <w:rFonts w:eastAsia="Calibri" w:cs="Times New Roman"/>
      <w:b/>
      <w:bCs/>
      <w:kern w:val="2"/>
      <w:sz w:val="28"/>
      <w:szCs w:val="28"/>
      <w:lang w:val="uk-UA" w:eastAsia="ru-RU"/>
    </w:rPr>
  </w:style>
  <w:style w:type="character" w:customStyle="1" w:styleId="ListLabel3118">
    <w:name w:val="ListLabel 3118"/>
    <w:qFormat/>
    <w:rPr>
      <w:rFonts w:eastAsia="Calibri"/>
      <w:b/>
      <w:bCs/>
      <w:color w:val="000000"/>
      <w:sz w:val="28"/>
      <w:u w:val="none"/>
      <w:lang w:val="en-US"/>
    </w:rPr>
  </w:style>
  <w:style w:type="character" w:customStyle="1" w:styleId="ListLabel3119">
    <w:name w:val="ListLabel 3119"/>
    <w:qFormat/>
    <w:rPr>
      <w:b w:val="0"/>
      <w:bCs w:val="0"/>
      <w:color w:val="FF8000"/>
      <w:sz w:val="28"/>
      <w:szCs w:val="28"/>
      <w:highlight w:val="yellow"/>
      <w:lang w:val="ru-RU"/>
    </w:rPr>
  </w:style>
  <w:style w:type="character" w:customStyle="1" w:styleId="ListLabel3120">
    <w:name w:val="ListLabel 3120"/>
    <w:qFormat/>
    <w:rPr>
      <w:b w:val="0"/>
      <w:bCs w:val="0"/>
      <w:i w:val="0"/>
      <w:caps w:val="0"/>
      <w:smallCaps w:val="0"/>
      <w:color w:val="158466"/>
      <w:spacing w:val="0"/>
      <w:sz w:val="28"/>
      <w:szCs w:val="28"/>
      <w:highlight w:val="yellow"/>
      <w:lang w:val="uk-UA"/>
    </w:rPr>
  </w:style>
  <w:style w:type="character" w:customStyle="1" w:styleId="ListLabel3121">
    <w:name w:val="ListLabel 3121"/>
    <w:qFormat/>
    <w:rPr>
      <w:rFonts w:eastAsia="Times New Roman" w:cs="Times New Roman"/>
      <w:b w:val="0"/>
      <w:bCs w:val="0"/>
      <w:i w:val="0"/>
      <w:caps w:val="0"/>
      <w:smallCaps w:val="0"/>
      <w:strike w:val="0"/>
      <w:dstrike w:val="0"/>
      <w:color w:val="000000"/>
      <w:spacing w:val="0"/>
      <w:kern w:val="2"/>
      <w:sz w:val="28"/>
      <w:szCs w:val="28"/>
      <w:highlight w:val="yellow"/>
      <w:u w:val="none"/>
      <w:effect w:val="none"/>
      <w:lang w:val="uk-UA"/>
    </w:rPr>
  </w:style>
  <w:style w:type="character" w:customStyle="1" w:styleId="ListLabel3122">
    <w:name w:val="ListLabel 3122"/>
    <w:qFormat/>
    <w:rPr>
      <w:rFonts w:eastAsia="Times New Roman" w:cs="Times New Roman"/>
      <w:b w:val="0"/>
      <w:bCs w:val="0"/>
      <w:i w:val="0"/>
      <w:caps w:val="0"/>
      <w:smallCaps w:val="0"/>
      <w:strike w:val="0"/>
      <w:dstrike w:val="0"/>
      <w:color w:val="2C2C2C"/>
      <w:spacing w:val="0"/>
      <w:kern w:val="2"/>
      <w:sz w:val="28"/>
      <w:szCs w:val="28"/>
      <w:highlight w:val="yellow"/>
      <w:u w:val="none"/>
      <w:effect w:val="none"/>
      <w:lang w:val="en-US"/>
    </w:rPr>
  </w:style>
  <w:style w:type="character" w:customStyle="1" w:styleId="ListLabel3123">
    <w:name w:val="ListLabel 3123"/>
    <w:qFormat/>
  </w:style>
  <w:style w:type="character" w:customStyle="1" w:styleId="ListLabel3124">
    <w:name w:val="ListLabel 3124"/>
    <w:qFormat/>
  </w:style>
  <w:style w:type="character" w:customStyle="1" w:styleId="ListLabel3125">
    <w:name w:val="ListLabel 3125"/>
    <w:qFormat/>
    <w:rPr>
      <w:b w:val="0"/>
      <w:i w:val="0"/>
      <w:caps w:val="0"/>
      <w:smallCaps w:val="0"/>
      <w:strike w:val="0"/>
      <w:dstrike w:val="0"/>
      <w:color w:val="2C72B7"/>
      <w:spacing w:val="0"/>
      <w:sz w:val="28"/>
      <w:szCs w:val="28"/>
      <w:highlight w:val="yellow"/>
      <w:u w:val="none"/>
      <w:effect w:val="none"/>
    </w:rPr>
  </w:style>
  <w:style w:type="character" w:customStyle="1" w:styleId="ListLabel3126">
    <w:name w:val="ListLabel 3126"/>
    <w:qFormat/>
    <w:rPr>
      <w:b w:val="0"/>
      <w:i w:val="0"/>
      <w:caps w:val="0"/>
      <w:smallCaps w:val="0"/>
      <w:color w:val="FF8000"/>
      <w:spacing w:val="0"/>
      <w:sz w:val="28"/>
      <w:szCs w:val="28"/>
      <w:u w:val="none"/>
    </w:rPr>
  </w:style>
  <w:style w:type="character" w:customStyle="1" w:styleId="ListLabel3127">
    <w:name w:val="ListLabel 3127"/>
    <w:qFormat/>
    <w:rPr>
      <w:b w:val="0"/>
      <w:strike w:val="0"/>
      <w:dstrike w:val="0"/>
      <w:color w:val="FF8000"/>
      <w:sz w:val="28"/>
      <w:szCs w:val="28"/>
      <w:highlight w:val="darkBlue"/>
      <w:u w:val="none"/>
      <w:effect w:val="none"/>
    </w:rPr>
  </w:style>
  <w:style w:type="character" w:customStyle="1" w:styleId="ListLabel3128">
    <w:name w:val="ListLabel 3128"/>
    <w:qFormat/>
    <w:rPr>
      <w:b w:val="0"/>
      <w:i w:val="0"/>
      <w:caps w:val="0"/>
      <w:smallCaps w:val="0"/>
      <w:strike w:val="0"/>
      <w:dstrike w:val="0"/>
      <w:color w:val="FF8000"/>
      <w:spacing w:val="0"/>
      <w:sz w:val="28"/>
      <w:szCs w:val="28"/>
      <w:u w:val="single"/>
    </w:rPr>
  </w:style>
  <w:style w:type="character" w:customStyle="1" w:styleId="ListLabel3129">
    <w:name w:val="ListLabel 3129"/>
    <w:qFormat/>
    <w:rPr>
      <w:b w:val="0"/>
      <w:i w:val="0"/>
      <w:caps w:val="0"/>
      <w:smallCaps w:val="0"/>
      <w:color w:val="FF8000"/>
      <w:spacing w:val="0"/>
      <w:sz w:val="28"/>
      <w:szCs w:val="28"/>
      <w:u w:val="single"/>
    </w:rPr>
  </w:style>
  <w:style w:type="character" w:customStyle="1" w:styleId="ListLabel3130">
    <w:name w:val="ListLabel 3130"/>
    <w:qFormat/>
    <w:rPr>
      <w:rFonts w:eastAsia="Times New Roman" w:cs="Arial"/>
      <w:b w:val="0"/>
      <w:bCs/>
      <w:i w:val="0"/>
      <w:caps w:val="0"/>
      <w:smallCaps w:val="0"/>
      <w:strike w:val="0"/>
      <w:dstrike w:val="0"/>
      <w:color w:val="FF8000"/>
      <w:spacing w:val="0"/>
      <w:kern w:val="2"/>
      <w:sz w:val="28"/>
      <w:szCs w:val="28"/>
      <w:highlight w:val="yellow"/>
      <w:effect w:val="none"/>
    </w:rPr>
  </w:style>
  <w:style w:type="character" w:customStyle="1" w:styleId="ListLabel3131">
    <w:name w:val="ListLabel 3131"/>
    <w:qFormat/>
    <w:rPr>
      <w:rFonts w:eastAsia="Times New Roman" w:cs="Times New Roman"/>
      <w:b w:val="0"/>
      <w:bCs w:val="0"/>
      <w:i w:val="0"/>
      <w:caps w:val="0"/>
      <w:smallCaps w:val="0"/>
      <w:strike w:val="0"/>
      <w:dstrike w:val="0"/>
      <w:color w:val="3366CC"/>
      <w:spacing w:val="0"/>
      <w:kern w:val="2"/>
      <w:sz w:val="28"/>
      <w:szCs w:val="28"/>
      <w:highlight w:val="white"/>
      <w:u w:val="none"/>
      <w:effect w:val="none"/>
      <w:lang w:val="uk-UA" w:eastAsia="ru-RU"/>
    </w:rPr>
  </w:style>
  <w:style w:type="character" w:customStyle="1" w:styleId="ListLabel3132">
    <w:name w:val="ListLabel 3132"/>
    <w:qFormat/>
    <w:rPr>
      <w:sz w:val="28"/>
      <w:szCs w:val="28"/>
      <w:lang w:val="uk-UA"/>
    </w:rPr>
  </w:style>
  <w:style w:type="character" w:customStyle="1" w:styleId="ListLabel3133">
    <w:name w:val="ListLabel 3133"/>
    <w:qFormat/>
    <w:rPr>
      <w:b/>
      <w:bCs/>
      <w:color w:val="FF8000"/>
      <w:sz w:val="28"/>
      <w:szCs w:val="28"/>
      <w:highlight w:val="yellow"/>
      <w:lang w:val="ru-RU"/>
    </w:rPr>
  </w:style>
  <w:style w:type="character" w:customStyle="1" w:styleId="ListLabel3134">
    <w:name w:val="ListLabel 3134"/>
    <w:qFormat/>
    <w:rPr>
      <w:rFonts w:cs="OpenSymbol"/>
      <w:b w:val="0"/>
      <w:sz w:val="28"/>
    </w:rPr>
  </w:style>
  <w:style w:type="character" w:customStyle="1" w:styleId="ListLabel3135">
    <w:name w:val="ListLabel 3135"/>
    <w:qFormat/>
    <w:rPr>
      <w:rFonts w:cs="OpenSymbol"/>
    </w:rPr>
  </w:style>
  <w:style w:type="character" w:customStyle="1" w:styleId="ListLabel3136">
    <w:name w:val="ListLabel 3136"/>
    <w:qFormat/>
    <w:rPr>
      <w:rFonts w:cs="OpenSymbol"/>
    </w:rPr>
  </w:style>
  <w:style w:type="character" w:customStyle="1" w:styleId="ListLabel3137">
    <w:name w:val="ListLabel 3137"/>
    <w:qFormat/>
    <w:rPr>
      <w:rFonts w:cs="OpenSymbol"/>
    </w:rPr>
  </w:style>
  <w:style w:type="character" w:customStyle="1" w:styleId="ListLabel3138">
    <w:name w:val="ListLabel 3138"/>
    <w:qFormat/>
    <w:rPr>
      <w:rFonts w:cs="OpenSymbol"/>
    </w:rPr>
  </w:style>
  <w:style w:type="character" w:customStyle="1" w:styleId="ListLabel3139">
    <w:name w:val="ListLabel 3139"/>
    <w:qFormat/>
    <w:rPr>
      <w:rFonts w:cs="OpenSymbol"/>
    </w:rPr>
  </w:style>
  <w:style w:type="character" w:customStyle="1" w:styleId="ListLabel3140">
    <w:name w:val="ListLabel 3140"/>
    <w:qFormat/>
    <w:rPr>
      <w:rFonts w:cs="OpenSymbol"/>
    </w:rPr>
  </w:style>
  <w:style w:type="character" w:customStyle="1" w:styleId="ListLabel3141">
    <w:name w:val="ListLabel 3141"/>
    <w:qFormat/>
    <w:rPr>
      <w:rFonts w:cs="OpenSymbol"/>
    </w:rPr>
  </w:style>
  <w:style w:type="character" w:customStyle="1" w:styleId="ListLabel3142">
    <w:name w:val="ListLabel 3142"/>
    <w:qFormat/>
    <w:rPr>
      <w:rFonts w:cs="OpenSymbol"/>
    </w:rPr>
  </w:style>
  <w:style w:type="character" w:customStyle="1" w:styleId="ListLabel3143">
    <w:name w:val="ListLabel 3143"/>
    <w:qFormat/>
    <w:rPr>
      <w:rFonts w:cs="OpenSymbol"/>
      <w:b w:val="0"/>
      <w:sz w:val="28"/>
    </w:rPr>
  </w:style>
  <w:style w:type="character" w:customStyle="1" w:styleId="ListLabel3144">
    <w:name w:val="ListLabel 3144"/>
    <w:qFormat/>
    <w:rPr>
      <w:rFonts w:cs="OpenSymbol"/>
    </w:rPr>
  </w:style>
  <w:style w:type="character" w:customStyle="1" w:styleId="ListLabel3145">
    <w:name w:val="ListLabel 3145"/>
    <w:qFormat/>
    <w:rPr>
      <w:rFonts w:cs="OpenSymbol"/>
    </w:rPr>
  </w:style>
  <w:style w:type="character" w:customStyle="1" w:styleId="ListLabel3146">
    <w:name w:val="ListLabel 3146"/>
    <w:qFormat/>
    <w:rPr>
      <w:rFonts w:cs="OpenSymbol"/>
    </w:rPr>
  </w:style>
  <w:style w:type="character" w:customStyle="1" w:styleId="ListLabel3147">
    <w:name w:val="ListLabel 3147"/>
    <w:qFormat/>
    <w:rPr>
      <w:rFonts w:cs="OpenSymbol"/>
    </w:rPr>
  </w:style>
  <w:style w:type="character" w:customStyle="1" w:styleId="ListLabel3148">
    <w:name w:val="ListLabel 3148"/>
    <w:qFormat/>
    <w:rPr>
      <w:rFonts w:cs="OpenSymbol"/>
    </w:rPr>
  </w:style>
  <w:style w:type="character" w:customStyle="1" w:styleId="ListLabel3149">
    <w:name w:val="ListLabel 3149"/>
    <w:qFormat/>
    <w:rPr>
      <w:rFonts w:cs="OpenSymbol"/>
    </w:rPr>
  </w:style>
  <w:style w:type="character" w:customStyle="1" w:styleId="ListLabel3150">
    <w:name w:val="ListLabel 3150"/>
    <w:qFormat/>
    <w:rPr>
      <w:rFonts w:cs="OpenSymbol"/>
    </w:rPr>
  </w:style>
  <w:style w:type="character" w:customStyle="1" w:styleId="ListLabel3151">
    <w:name w:val="ListLabel 3151"/>
    <w:qFormat/>
    <w:rPr>
      <w:rFonts w:cs="OpenSymbol"/>
    </w:rPr>
  </w:style>
  <w:style w:type="character" w:customStyle="1" w:styleId="ListLabel3152">
    <w:name w:val="ListLabel 3152"/>
    <w:qFormat/>
    <w:rPr>
      <w:rFonts w:cs="OpenSymbol"/>
      <w:b w:val="0"/>
      <w:sz w:val="28"/>
    </w:rPr>
  </w:style>
  <w:style w:type="character" w:customStyle="1" w:styleId="ListLabel3153">
    <w:name w:val="ListLabel 3153"/>
    <w:qFormat/>
    <w:rPr>
      <w:rFonts w:cs="OpenSymbol"/>
    </w:rPr>
  </w:style>
  <w:style w:type="character" w:customStyle="1" w:styleId="ListLabel3154">
    <w:name w:val="ListLabel 3154"/>
    <w:qFormat/>
    <w:rPr>
      <w:rFonts w:cs="OpenSymbol"/>
    </w:rPr>
  </w:style>
  <w:style w:type="character" w:customStyle="1" w:styleId="ListLabel3155">
    <w:name w:val="ListLabel 3155"/>
    <w:qFormat/>
    <w:rPr>
      <w:rFonts w:cs="OpenSymbol"/>
    </w:rPr>
  </w:style>
  <w:style w:type="character" w:customStyle="1" w:styleId="ListLabel3156">
    <w:name w:val="ListLabel 3156"/>
    <w:qFormat/>
    <w:rPr>
      <w:rFonts w:cs="OpenSymbol"/>
    </w:rPr>
  </w:style>
  <w:style w:type="character" w:customStyle="1" w:styleId="ListLabel3157">
    <w:name w:val="ListLabel 3157"/>
    <w:qFormat/>
    <w:rPr>
      <w:rFonts w:cs="OpenSymbol"/>
    </w:rPr>
  </w:style>
  <w:style w:type="character" w:customStyle="1" w:styleId="ListLabel3158">
    <w:name w:val="ListLabel 3158"/>
    <w:qFormat/>
    <w:rPr>
      <w:rFonts w:cs="OpenSymbol"/>
    </w:rPr>
  </w:style>
  <w:style w:type="character" w:customStyle="1" w:styleId="ListLabel3159">
    <w:name w:val="ListLabel 3159"/>
    <w:qFormat/>
    <w:rPr>
      <w:rFonts w:cs="OpenSymbol"/>
    </w:rPr>
  </w:style>
  <w:style w:type="character" w:customStyle="1" w:styleId="ListLabel3160">
    <w:name w:val="ListLabel 3160"/>
    <w:qFormat/>
    <w:rPr>
      <w:rFonts w:cs="OpenSymbol"/>
    </w:rPr>
  </w:style>
  <w:style w:type="character" w:customStyle="1" w:styleId="ListLabel3161">
    <w:name w:val="ListLabel 3161"/>
    <w:qFormat/>
    <w:rPr>
      <w:rFonts w:cs="OpenSymbol"/>
    </w:rPr>
  </w:style>
  <w:style w:type="character" w:customStyle="1" w:styleId="ListLabel3162">
    <w:name w:val="ListLabel 3162"/>
    <w:qFormat/>
    <w:rPr>
      <w:rFonts w:cs="OpenSymbol"/>
    </w:rPr>
  </w:style>
  <w:style w:type="character" w:customStyle="1" w:styleId="ListLabel3163">
    <w:name w:val="ListLabel 3163"/>
    <w:qFormat/>
    <w:rPr>
      <w:rFonts w:cs="OpenSymbol"/>
    </w:rPr>
  </w:style>
  <w:style w:type="character" w:customStyle="1" w:styleId="ListLabel3164">
    <w:name w:val="ListLabel 3164"/>
    <w:qFormat/>
    <w:rPr>
      <w:rFonts w:cs="OpenSymbol"/>
    </w:rPr>
  </w:style>
  <w:style w:type="character" w:customStyle="1" w:styleId="ListLabel3165">
    <w:name w:val="ListLabel 3165"/>
    <w:qFormat/>
    <w:rPr>
      <w:rFonts w:cs="OpenSymbol"/>
    </w:rPr>
  </w:style>
  <w:style w:type="character" w:customStyle="1" w:styleId="ListLabel3166">
    <w:name w:val="ListLabel 3166"/>
    <w:qFormat/>
    <w:rPr>
      <w:rFonts w:cs="OpenSymbol"/>
    </w:rPr>
  </w:style>
  <w:style w:type="character" w:customStyle="1" w:styleId="ListLabel3167">
    <w:name w:val="ListLabel 3167"/>
    <w:qFormat/>
    <w:rPr>
      <w:rFonts w:cs="OpenSymbol"/>
    </w:rPr>
  </w:style>
  <w:style w:type="character" w:customStyle="1" w:styleId="ListLabel3168">
    <w:name w:val="ListLabel 3168"/>
    <w:qFormat/>
    <w:rPr>
      <w:rFonts w:cs="OpenSymbol"/>
    </w:rPr>
  </w:style>
  <w:style w:type="character" w:customStyle="1" w:styleId="ListLabel3169">
    <w:name w:val="ListLabel 3169"/>
    <w:qFormat/>
    <w:rPr>
      <w:rFonts w:cs="OpenSymbol"/>
    </w:rPr>
  </w:style>
  <w:style w:type="character" w:customStyle="1" w:styleId="ListLabel3170">
    <w:name w:val="ListLabel 3170"/>
    <w:qFormat/>
    <w:rPr>
      <w:rFonts w:cs="OpenSymbol"/>
    </w:rPr>
  </w:style>
  <w:style w:type="character" w:customStyle="1" w:styleId="ListLabel3171">
    <w:name w:val="ListLabel 3171"/>
    <w:qFormat/>
    <w:rPr>
      <w:rFonts w:cs="OpenSymbol"/>
    </w:rPr>
  </w:style>
  <w:style w:type="character" w:customStyle="1" w:styleId="ListLabel3172">
    <w:name w:val="ListLabel 3172"/>
    <w:qFormat/>
    <w:rPr>
      <w:rFonts w:cs="OpenSymbol"/>
    </w:rPr>
  </w:style>
  <w:style w:type="character" w:customStyle="1" w:styleId="ListLabel3173">
    <w:name w:val="ListLabel 3173"/>
    <w:qFormat/>
    <w:rPr>
      <w:rFonts w:cs="OpenSymbol"/>
    </w:rPr>
  </w:style>
  <w:style w:type="character" w:customStyle="1" w:styleId="ListLabel3174">
    <w:name w:val="ListLabel 3174"/>
    <w:qFormat/>
    <w:rPr>
      <w:rFonts w:cs="OpenSymbol"/>
    </w:rPr>
  </w:style>
  <w:style w:type="character" w:customStyle="1" w:styleId="ListLabel3175">
    <w:name w:val="ListLabel 3175"/>
    <w:qFormat/>
    <w:rPr>
      <w:rFonts w:cs="OpenSymbol"/>
    </w:rPr>
  </w:style>
  <w:style w:type="character" w:customStyle="1" w:styleId="ListLabel3176">
    <w:name w:val="ListLabel 3176"/>
    <w:qFormat/>
    <w:rPr>
      <w:rFonts w:cs="OpenSymbol"/>
    </w:rPr>
  </w:style>
  <w:style w:type="character" w:customStyle="1" w:styleId="ListLabel3177">
    <w:name w:val="ListLabel 3177"/>
    <w:qFormat/>
    <w:rPr>
      <w:rFonts w:cs="OpenSymbol"/>
    </w:rPr>
  </w:style>
  <w:style w:type="character" w:customStyle="1" w:styleId="ListLabel3178">
    <w:name w:val="ListLabel 3178"/>
    <w:qFormat/>
    <w:rPr>
      <w:rFonts w:cs="OpenSymbol"/>
    </w:rPr>
  </w:style>
  <w:style w:type="character" w:customStyle="1" w:styleId="ListLabel3179">
    <w:name w:val="ListLabel 3179"/>
    <w:qFormat/>
    <w:rPr>
      <w:rFonts w:cs="OpenSymbol"/>
    </w:rPr>
  </w:style>
  <w:style w:type="character" w:customStyle="1" w:styleId="ListLabel3180">
    <w:name w:val="ListLabel 3180"/>
    <w:qFormat/>
    <w:rPr>
      <w:rFonts w:cs="OpenSymbol"/>
    </w:rPr>
  </w:style>
  <w:style w:type="character" w:customStyle="1" w:styleId="ListLabel3181">
    <w:name w:val="ListLabel 3181"/>
    <w:qFormat/>
    <w:rPr>
      <w:rFonts w:cs="OpenSymbol"/>
    </w:rPr>
  </w:style>
  <w:style w:type="character" w:customStyle="1" w:styleId="ListLabel3182">
    <w:name w:val="ListLabel 3182"/>
    <w:qFormat/>
    <w:rPr>
      <w:rFonts w:cs="OpenSymbol"/>
    </w:rPr>
  </w:style>
  <w:style w:type="character" w:customStyle="1" w:styleId="ListLabel3183">
    <w:name w:val="ListLabel 3183"/>
    <w:qFormat/>
    <w:rPr>
      <w:rFonts w:cs="OpenSymbol"/>
    </w:rPr>
  </w:style>
  <w:style w:type="character" w:customStyle="1" w:styleId="ListLabel3184">
    <w:name w:val="ListLabel 3184"/>
    <w:qFormat/>
    <w:rPr>
      <w:rFonts w:cs="OpenSymbol"/>
    </w:rPr>
  </w:style>
  <w:style w:type="character" w:customStyle="1" w:styleId="ListLabel3185">
    <w:name w:val="ListLabel 3185"/>
    <w:qFormat/>
    <w:rPr>
      <w:rFonts w:cs="OpenSymbol"/>
    </w:rPr>
  </w:style>
  <w:style w:type="character" w:customStyle="1" w:styleId="ListLabel3186">
    <w:name w:val="ListLabel 3186"/>
    <w:qFormat/>
    <w:rPr>
      <w:rFonts w:cs="OpenSymbol"/>
    </w:rPr>
  </w:style>
  <w:style w:type="character" w:customStyle="1" w:styleId="ListLabel3187">
    <w:name w:val="ListLabel 3187"/>
    <w:qFormat/>
    <w:rPr>
      <w:rFonts w:cs="OpenSymbol"/>
    </w:rPr>
  </w:style>
  <w:style w:type="character" w:customStyle="1" w:styleId="ListLabel3188">
    <w:name w:val="ListLabel 3188"/>
    <w:qFormat/>
    <w:rPr>
      <w:rFonts w:cs="OpenSymbol"/>
    </w:rPr>
  </w:style>
  <w:style w:type="character" w:customStyle="1" w:styleId="ListLabel3189">
    <w:name w:val="ListLabel 3189"/>
    <w:qFormat/>
    <w:rPr>
      <w:rFonts w:cs="OpenSymbol"/>
    </w:rPr>
  </w:style>
  <w:style w:type="character" w:customStyle="1" w:styleId="ListLabel3190">
    <w:name w:val="ListLabel 3190"/>
    <w:qFormat/>
    <w:rPr>
      <w:rFonts w:cs="OpenSymbol"/>
    </w:rPr>
  </w:style>
  <w:style w:type="character" w:customStyle="1" w:styleId="ListLabel3191">
    <w:name w:val="ListLabel 3191"/>
    <w:qFormat/>
    <w:rPr>
      <w:rFonts w:cs="OpenSymbol"/>
    </w:rPr>
  </w:style>
  <w:style w:type="character" w:customStyle="1" w:styleId="ListLabel3192">
    <w:name w:val="ListLabel 3192"/>
    <w:qFormat/>
    <w:rPr>
      <w:rFonts w:cs="OpenSymbol"/>
    </w:rPr>
  </w:style>
  <w:style w:type="character" w:customStyle="1" w:styleId="ListLabel3193">
    <w:name w:val="ListLabel 3193"/>
    <w:qFormat/>
    <w:rPr>
      <w:rFonts w:cs="OpenSymbol"/>
    </w:rPr>
  </w:style>
  <w:style w:type="character" w:customStyle="1" w:styleId="ListLabel3194">
    <w:name w:val="ListLabel 3194"/>
    <w:qFormat/>
    <w:rPr>
      <w:rFonts w:cs="OpenSymbol"/>
    </w:rPr>
  </w:style>
  <w:style w:type="character" w:customStyle="1" w:styleId="ListLabel3195">
    <w:name w:val="ListLabel 3195"/>
    <w:qFormat/>
    <w:rPr>
      <w:rFonts w:cs="OpenSymbol"/>
    </w:rPr>
  </w:style>
  <w:style w:type="character" w:customStyle="1" w:styleId="ListLabel3196">
    <w:name w:val="ListLabel 3196"/>
    <w:qFormat/>
    <w:rPr>
      <w:rFonts w:cs="OpenSymbol"/>
    </w:rPr>
  </w:style>
  <w:style w:type="character" w:customStyle="1" w:styleId="ListLabel3197">
    <w:name w:val="ListLabel 3197"/>
    <w:qFormat/>
    <w:rPr>
      <w:rFonts w:cs="OpenSymbol"/>
    </w:rPr>
  </w:style>
  <w:style w:type="character" w:customStyle="1" w:styleId="ListLabel3198">
    <w:name w:val="ListLabel 3198"/>
    <w:qFormat/>
    <w:rPr>
      <w:rFonts w:cs="OpenSymbol"/>
    </w:rPr>
  </w:style>
  <w:style w:type="character" w:customStyle="1" w:styleId="ListLabel3199">
    <w:name w:val="ListLabel 3199"/>
    <w:qFormat/>
    <w:rPr>
      <w:rFonts w:cs="OpenSymbol"/>
    </w:rPr>
  </w:style>
  <w:style w:type="character" w:customStyle="1" w:styleId="ListLabel3200">
    <w:name w:val="ListLabel 3200"/>
    <w:qFormat/>
    <w:rPr>
      <w:rFonts w:cs="OpenSymbol"/>
    </w:rPr>
  </w:style>
  <w:style w:type="character" w:customStyle="1" w:styleId="ListLabel3201">
    <w:name w:val="ListLabel 3201"/>
    <w:qFormat/>
    <w:rPr>
      <w:rFonts w:cs="OpenSymbol"/>
    </w:rPr>
  </w:style>
  <w:style w:type="character" w:customStyle="1" w:styleId="ListLabel3202">
    <w:name w:val="ListLabel 3202"/>
    <w:qFormat/>
    <w:rPr>
      <w:rFonts w:cs="OpenSymbol"/>
    </w:rPr>
  </w:style>
  <w:style w:type="character" w:customStyle="1" w:styleId="ListLabel3203">
    <w:name w:val="ListLabel 3203"/>
    <w:qFormat/>
    <w:rPr>
      <w:rFonts w:cs="OpenSymbol"/>
    </w:rPr>
  </w:style>
  <w:style w:type="character" w:customStyle="1" w:styleId="ListLabel3204">
    <w:name w:val="ListLabel 3204"/>
    <w:qFormat/>
    <w:rPr>
      <w:rFonts w:cs="OpenSymbol"/>
    </w:rPr>
  </w:style>
  <w:style w:type="character" w:customStyle="1" w:styleId="ListLabel3205">
    <w:name w:val="ListLabel 3205"/>
    <w:qFormat/>
    <w:rPr>
      <w:rFonts w:cs="OpenSymbol"/>
    </w:rPr>
  </w:style>
  <w:style w:type="character" w:customStyle="1" w:styleId="ListLabel3206">
    <w:name w:val="ListLabel 3206"/>
    <w:qFormat/>
    <w:rPr>
      <w:rFonts w:cs="OpenSymbol"/>
    </w:rPr>
  </w:style>
  <w:style w:type="character" w:customStyle="1" w:styleId="ListLabel3207">
    <w:name w:val="ListLabel 3207"/>
    <w:qFormat/>
    <w:rPr>
      <w:rFonts w:cs="OpenSymbol"/>
    </w:rPr>
  </w:style>
  <w:style w:type="character" w:customStyle="1" w:styleId="ListLabel3208">
    <w:name w:val="ListLabel 3208"/>
    <w:qFormat/>
    <w:rPr>
      <w:rFonts w:cs="OpenSymbol"/>
    </w:rPr>
  </w:style>
  <w:style w:type="character" w:customStyle="1" w:styleId="ListLabel3209">
    <w:name w:val="ListLabel 3209"/>
    <w:qFormat/>
    <w:rPr>
      <w:rFonts w:cs="OpenSymbol"/>
    </w:rPr>
  </w:style>
  <w:style w:type="character" w:customStyle="1" w:styleId="ListLabel3210">
    <w:name w:val="ListLabel 3210"/>
    <w:qFormat/>
    <w:rPr>
      <w:rFonts w:cs="OpenSymbol"/>
    </w:rPr>
  </w:style>
  <w:style w:type="character" w:customStyle="1" w:styleId="ListLabel3211">
    <w:name w:val="ListLabel 3211"/>
    <w:qFormat/>
    <w:rPr>
      <w:rFonts w:cs="OpenSymbol"/>
    </w:rPr>
  </w:style>
  <w:style w:type="character" w:customStyle="1" w:styleId="ListLabel3212">
    <w:name w:val="ListLabel 3212"/>
    <w:qFormat/>
    <w:rPr>
      <w:rFonts w:cs="OpenSymbol"/>
    </w:rPr>
  </w:style>
  <w:style w:type="character" w:customStyle="1" w:styleId="ListLabel3213">
    <w:name w:val="ListLabel 3213"/>
    <w:qFormat/>
    <w:rPr>
      <w:rFonts w:cs="OpenSymbol"/>
    </w:rPr>
  </w:style>
  <w:style w:type="character" w:customStyle="1" w:styleId="ListLabel3214">
    <w:name w:val="ListLabel 3214"/>
    <w:qFormat/>
    <w:rPr>
      <w:rFonts w:cs="OpenSymbol"/>
    </w:rPr>
  </w:style>
  <w:style w:type="character" w:customStyle="1" w:styleId="ListLabel3215">
    <w:name w:val="ListLabel 3215"/>
    <w:qFormat/>
    <w:rPr>
      <w:rFonts w:cs="OpenSymbol"/>
    </w:rPr>
  </w:style>
  <w:style w:type="character" w:customStyle="1" w:styleId="ListLabel3216">
    <w:name w:val="ListLabel 3216"/>
    <w:qFormat/>
    <w:rPr>
      <w:rFonts w:cs="OpenSymbol"/>
    </w:rPr>
  </w:style>
  <w:style w:type="character" w:customStyle="1" w:styleId="ListLabel3217">
    <w:name w:val="ListLabel 3217"/>
    <w:qFormat/>
    <w:rPr>
      <w:rFonts w:cs="OpenSymbol"/>
    </w:rPr>
  </w:style>
  <w:style w:type="character" w:customStyle="1" w:styleId="ListLabel3218">
    <w:name w:val="ListLabel 3218"/>
    <w:qFormat/>
    <w:rPr>
      <w:rFonts w:cs="OpenSymbol"/>
    </w:rPr>
  </w:style>
  <w:style w:type="character" w:customStyle="1" w:styleId="ListLabel3219">
    <w:name w:val="ListLabel 3219"/>
    <w:qFormat/>
    <w:rPr>
      <w:rFonts w:cs="OpenSymbol"/>
    </w:rPr>
  </w:style>
  <w:style w:type="character" w:customStyle="1" w:styleId="ListLabel3220">
    <w:name w:val="ListLabel 3220"/>
    <w:qFormat/>
    <w:rPr>
      <w:rFonts w:cs="OpenSymbol"/>
    </w:rPr>
  </w:style>
  <w:style w:type="character" w:customStyle="1" w:styleId="ListLabel3221">
    <w:name w:val="ListLabel 3221"/>
    <w:qFormat/>
    <w:rPr>
      <w:rFonts w:cs="OpenSymbol"/>
    </w:rPr>
  </w:style>
  <w:style w:type="character" w:customStyle="1" w:styleId="ListLabel3222">
    <w:name w:val="ListLabel 3222"/>
    <w:qFormat/>
    <w:rPr>
      <w:rFonts w:cs="OpenSymbol"/>
    </w:rPr>
  </w:style>
  <w:style w:type="character" w:customStyle="1" w:styleId="ListLabel3223">
    <w:name w:val="ListLabel 3223"/>
    <w:qFormat/>
    <w:rPr>
      <w:rFonts w:cs="OpenSymbol"/>
    </w:rPr>
  </w:style>
  <w:style w:type="character" w:customStyle="1" w:styleId="ListLabel3224">
    <w:name w:val="ListLabel 3224"/>
    <w:qFormat/>
    <w:rPr>
      <w:rFonts w:cs="OpenSymbol"/>
    </w:rPr>
  </w:style>
  <w:style w:type="character" w:customStyle="1" w:styleId="ListLabel3225">
    <w:name w:val="ListLabel 3225"/>
    <w:qFormat/>
    <w:rPr>
      <w:rFonts w:cs="OpenSymbol"/>
    </w:rPr>
  </w:style>
  <w:style w:type="character" w:customStyle="1" w:styleId="ListLabel3226">
    <w:name w:val="ListLabel 3226"/>
    <w:qFormat/>
    <w:rPr>
      <w:rFonts w:cs="OpenSymbol"/>
    </w:rPr>
  </w:style>
  <w:style w:type="character" w:customStyle="1" w:styleId="ListLabel3227">
    <w:name w:val="ListLabel 3227"/>
    <w:qFormat/>
    <w:rPr>
      <w:rFonts w:cs="OpenSymbol"/>
    </w:rPr>
  </w:style>
  <w:style w:type="character" w:customStyle="1" w:styleId="ListLabel3228">
    <w:name w:val="ListLabel 3228"/>
    <w:qFormat/>
    <w:rPr>
      <w:rFonts w:cs="OpenSymbol"/>
    </w:rPr>
  </w:style>
  <w:style w:type="character" w:customStyle="1" w:styleId="ListLabel3229">
    <w:name w:val="ListLabel 3229"/>
    <w:qFormat/>
    <w:rPr>
      <w:rFonts w:cs="OpenSymbol"/>
    </w:rPr>
  </w:style>
  <w:style w:type="character" w:customStyle="1" w:styleId="ListLabel3230">
    <w:name w:val="ListLabel 3230"/>
    <w:qFormat/>
    <w:rPr>
      <w:rFonts w:cs="OpenSymbol"/>
    </w:rPr>
  </w:style>
  <w:style w:type="character" w:customStyle="1" w:styleId="ListLabel3231">
    <w:name w:val="ListLabel 3231"/>
    <w:qFormat/>
    <w:rPr>
      <w:rFonts w:cs="OpenSymbol"/>
    </w:rPr>
  </w:style>
  <w:style w:type="character" w:customStyle="1" w:styleId="ListLabel3232">
    <w:name w:val="ListLabel 3232"/>
    <w:qFormat/>
    <w:rPr>
      <w:rFonts w:cs="OpenSymbol"/>
    </w:rPr>
  </w:style>
  <w:style w:type="character" w:customStyle="1" w:styleId="ListLabel3233">
    <w:name w:val="ListLabel 3233"/>
    <w:qFormat/>
    <w:rPr>
      <w:rFonts w:cs="OpenSymbol"/>
    </w:rPr>
  </w:style>
  <w:style w:type="character" w:customStyle="1" w:styleId="ListLabel3234">
    <w:name w:val="ListLabel 3234"/>
    <w:qFormat/>
    <w:rPr>
      <w:rFonts w:cs="OpenSymbol"/>
    </w:rPr>
  </w:style>
  <w:style w:type="character" w:customStyle="1" w:styleId="ListLabel3235">
    <w:name w:val="ListLabel 3235"/>
    <w:qFormat/>
    <w:rPr>
      <w:rFonts w:cs="OpenSymbol"/>
    </w:rPr>
  </w:style>
  <w:style w:type="character" w:customStyle="1" w:styleId="ListLabel3236">
    <w:name w:val="ListLabel 3236"/>
    <w:qFormat/>
    <w:rPr>
      <w:rFonts w:cs="OpenSymbol"/>
    </w:rPr>
  </w:style>
  <w:style w:type="character" w:customStyle="1" w:styleId="ListLabel3237">
    <w:name w:val="ListLabel 3237"/>
    <w:qFormat/>
    <w:rPr>
      <w:rFonts w:cs="OpenSymbol"/>
    </w:rPr>
  </w:style>
  <w:style w:type="character" w:customStyle="1" w:styleId="ListLabel3238">
    <w:name w:val="ListLabel 3238"/>
    <w:qFormat/>
    <w:rPr>
      <w:rFonts w:cs="OpenSymbol"/>
    </w:rPr>
  </w:style>
  <w:style w:type="character" w:customStyle="1" w:styleId="ListLabel3239">
    <w:name w:val="ListLabel 3239"/>
    <w:qFormat/>
    <w:rPr>
      <w:rFonts w:cs="OpenSymbol"/>
    </w:rPr>
  </w:style>
  <w:style w:type="character" w:customStyle="1" w:styleId="ListLabel3240">
    <w:name w:val="ListLabel 3240"/>
    <w:qFormat/>
    <w:rPr>
      <w:rFonts w:cs="OpenSymbol"/>
    </w:rPr>
  </w:style>
  <w:style w:type="character" w:customStyle="1" w:styleId="ListLabel3241">
    <w:name w:val="ListLabel 3241"/>
    <w:qFormat/>
    <w:rPr>
      <w:rFonts w:cs="OpenSymbol"/>
    </w:rPr>
  </w:style>
  <w:style w:type="character" w:customStyle="1" w:styleId="ListLabel3242">
    <w:name w:val="ListLabel 3242"/>
    <w:qFormat/>
    <w:rPr>
      <w:rFonts w:cs="OpenSymbol"/>
    </w:rPr>
  </w:style>
  <w:style w:type="character" w:customStyle="1" w:styleId="ListLabel3243">
    <w:name w:val="ListLabel 3243"/>
    <w:qFormat/>
    <w:rPr>
      <w:rFonts w:cs="OpenSymbol"/>
    </w:rPr>
  </w:style>
  <w:style w:type="character" w:customStyle="1" w:styleId="ListLabel3244">
    <w:name w:val="ListLabel 3244"/>
    <w:qFormat/>
    <w:rPr>
      <w:rFonts w:cs="OpenSymbol"/>
    </w:rPr>
  </w:style>
  <w:style w:type="character" w:customStyle="1" w:styleId="ListLabel3245">
    <w:name w:val="ListLabel 3245"/>
    <w:qFormat/>
    <w:rPr>
      <w:rFonts w:cs="OpenSymbol"/>
    </w:rPr>
  </w:style>
  <w:style w:type="character" w:customStyle="1" w:styleId="ListLabel3246">
    <w:name w:val="ListLabel 3246"/>
    <w:qFormat/>
    <w:rPr>
      <w:rFonts w:cs="OpenSymbol"/>
    </w:rPr>
  </w:style>
  <w:style w:type="character" w:customStyle="1" w:styleId="ListLabel3247">
    <w:name w:val="ListLabel 3247"/>
    <w:qFormat/>
    <w:rPr>
      <w:rFonts w:cs="OpenSymbol"/>
    </w:rPr>
  </w:style>
  <w:style w:type="character" w:customStyle="1" w:styleId="ListLabel3248">
    <w:name w:val="ListLabel 3248"/>
    <w:qFormat/>
    <w:rPr>
      <w:rFonts w:cs="OpenSymbol"/>
    </w:rPr>
  </w:style>
  <w:style w:type="character" w:customStyle="1" w:styleId="ListLabel3249">
    <w:name w:val="ListLabel 3249"/>
    <w:qFormat/>
    <w:rPr>
      <w:rFonts w:cs="OpenSymbol"/>
    </w:rPr>
  </w:style>
  <w:style w:type="character" w:customStyle="1" w:styleId="ListLabel3250">
    <w:name w:val="ListLabel 3250"/>
    <w:qFormat/>
    <w:rPr>
      <w:rFonts w:cs="OpenSymbol"/>
    </w:rPr>
  </w:style>
  <w:style w:type="character" w:customStyle="1" w:styleId="ListLabel3251">
    <w:name w:val="ListLabel 3251"/>
    <w:qFormat/>
    <w:rPr>
      <w:rFonts w:cs="OpenSymbol"/>
    </w:rPr>
  </w:style>
  <w:style w:type="character" w:customStyle="1" w:styleId="ListLabel3252">
    <w:name w:val="ListLabel 3252"/>
    <w:qFormat/>
    <w:rPr>
      <w:rFonts w:cs="OpenSymbol"/>
    </w:rPr>
  </w:style>
  <w:style w:type="character" w:customStyle="1" w:styleId="ListLabel3253">
    <w:name w:val="ListLabel 3253"/>
    <w:qFormat/>
    <w:rPr>
      <w:rFonts w:cs="OpenSymbol"/>
    </w:rPr>
  </w:style>
  <w:style w:type="character" w:customStyle="1" w:styleId="ListLabel3254">
    <w:name w:val="ListLabel 3254"/>
    <w:qFormat/>
    <w:rPr>
      <w:rFonts w:cs="OpenSymbol"/>
    </w:rPr>
  </w:style>
  <w:style w:type="character" w:customStyle="1" w:styleId="ListLabel3255">
    <w:name w:val="ListLabel 3255"/>
    <w:qFormat/>
    <w:rPr>
      <w:rFonts w:cs="OpenSymbol"/>
    </w:rPr>
  </w:style>
  <w:style w:type="character" w:customStyle="1" w:styleId="ListLabel3256">
    <w:name w:val="ListLabel 3256"/>
    <w:qFormat/>
    <w:rPr>
      <w:rFonts w:cs="OpenSymbol"/>
    </w:rPr>
  </w:style>
  <w:style w:type="character" w:customStyle="1" w:styleId="ListLabel3257">
    <w:name w:val="ListLabel 3257"/>
    <w:qFormat/>
    <w:rPr>
      <w:rFonts w:cs="OpenSymbol"/>
    </w:rPr>
  </w:style>
  <w:style w:type="character" w:customStyle="1" w:styleId="ListLabel3258">
    <w:name w:val="ListLabel 3258"/>
    <w:qFormat/>
    <w:rPr>
      <w:rFonts w:cs="OpenSymbol"/>
    </w:rPr>
  </w:style>
  <w:style w:type="character" w:customStyle="1" w:styleId="ListLabel3259">
    <w:name w:val="ListLabel 3259"/>
    <w:qFormat/>
    <w:rPr>
      <w:rFonts w:cs="OpenSymbol"/>
    </w:rPr>
  </w:style>
  <w:style w:type="character" w:customStyle="1" w:styleId="ListLabel3260">
    <w:name w:val="ListLabel 3260"/>
    <w:qFormat/>
    <w:rPr>
      <w:rFonts w:cs="OpenSymbol"/>
    </w:rPr>
  </w:style>
  <w:style w:type="character" w:customStyle="1" w:styleId="ListLabel3261">
    <w:name w:val="ListLabel 3261"/>
    <w:qFormat/>
    <w:rPr>
      <w:rFonts w:cs="OpenSymbol"/>
    </w:rPr>
  </w:style>
  <w:style w:type="character" w:customStyle="1" w:styleId="ListLabel3262">
    <w:name w:val="ListLabel 3262"/>
    <w:qFormat/>
    <w:rPr>
      <w:rFonts w:cs="OpenSymbol"/>
    </w:rPr>
  </w:style>
  <w:style w:type="character" w:customStyle="1" w:styleId="ListLabel3263">
    <w:name w:val="ListLabel 3263"/>
    <w:qFormat/>
    <w:rPr>
      <w:rFonts w:cs="OpenSymbol"/>
    </w:rPr>
  </w:style>
  <w:style w:type="character" w:customStyle="1" w:styleId="ListLabel3264">
    <w:name w:val="ListLabel 3264"/>
    <w:qFormat/>
    <w:rPr>
      <w:rFonts w:cs="OpenSymbol"/>
    </w:rPr>
  </w:style>
  <w:style w:type="character" w:customStyle="1" w:styleId="ListLabel3265">
    <w:name w:val="ListLabel 3265"/>
    <w:qFormat/>
    <w:rPr>
      <w:rFonts w:cs="OpenSymbol"/>
    </w:rPr>
  </w:style>
  <w:style w:type="character" w:customStyle="1" w:styleId="ListLabel3266">
    <w:name w:val="ListLabel 3266"/>
    <w:qFormat/>
    <w:rPr>
      <w:rFonts w:cs="OpenSymbol"/>
    </w:rPr>
  </w:style>
  <w:style w:type="character" w:customStyle="1" w:styleId="ListLabel3267">
    <w:name w:val="ListLabel 3267"/>
    <w:qFormat/>
    <w:rPr>
      <w:rFonts w:cs="OpenSymbol"/>
    </w:rPr>
  </w:style>
  <w:style w:type="character" w:customStyle="1" w:styleId="ListLabel3268">
    <w:name w:val="ListLabel 3268"/>
    <w:qFormat/>
    <w:rPr>
      <w:rFonts w:cs="OpenSymbol"/>
    </w:rPr>
  </w:style>
  <w:style w:type="character" w:customStyle="1" w:styleId="ListLabel3269">
    <w:name w:val="ListLabel 3269"/>
    <w:qFormat/>
    <w:rPr>
      <w:rFonts w:cs="OpenSymbol"/>
    </w:rPr>
  </w:style>
  <w:style w:type="character" w:customStyle="1" w:styleId="ListLabel3270">
    <w:name w:val="ListLabel 3270"/>
    <w:qFormat/>
    <w:rPr>
      <w:rFonts w:cs="OpenSymbol"/>
    </w:rPr>
  </w:style>
  <w:style w:type="character" w:customStyle="1" w:styleId="ListLabel3271">
    <w:name w:val="ListLabel 3271"/>
    <w:qFormat/>
    <w:rPr>
      <w:rFonts w:cs="OpenSymbol"/>
    </w:rPr>
  </w:style>
  <w:style w:type="character" w:customStyle="1" w:styleId="ListLabel3272">
    <w:name w:val="ListLabel 3272"/>
    <w:qFormat/>
    <w:rPr>
      <w:rFonts w:cs="OpenSymbol"/>
    </w:rPr>
  </w:style>
  <w:style w:type="character" w:customStyle="1" w:styleId="ListLabel3273">
    <w:name w:val="ListLabel 3273"/>
    <w:qFormat/>
    <w:rPr>
      <w:rFonts w:cs="OpenSymbol"/>
    </w:rPr>
  </w:style>
  <w:style w:type="character" w:customStyle="1" w:styleId="ListLabel3274">
    <w:name w:val="ListLabel 3274"/>
    <w:qFormat/>
    <w:rPr>
      <w:rFonts w:cs="OpenSymbol"/>
    </w:rPr>
  </w:style>
  <w:style w:type="character" w:customStyle="1" w:styleId="ListLabel3275">
    <w:name w:val="ListLabel 3275"/>
    <w:qFormat/>
    <w:rPr>
      <w:rFonts w:cs="OpenSymbol"/>
    </w:rPr>
  </w:style>
  <w:style w:type="character" w:customStyle="1" w:styleId="ListLabel3276">
    <w:name w:val="ListLabel 3276"/>
    <w:qFormat/>
    <w:rPr>
      <w:rFonts w:cs="OpenSymbol"/>
    </w:rPr>
  </w:style>
  <w:style w:type="character" w:customStyle="1" w:styleId="ListLabel3277">
    <w:name w:val="ListLabel 3277"/>
    <w:qFormat/>
    <w:rPr>
      <w:rFonts w:cs="OpenSymbol"/>
    </w:rPr>
  </w:style>
  <w:style w:type="character" w:customStyle="1" w:styleId="ListLabel3278">
    <w:name w:val="ListLabel 3278"/>
    <w:qFormat/>
    <w:rPr>
      <w:rFonts w:cs="OpenSymbol"/>
    </w:rPr>
  </w:style>
  <w:style w:type="character" w:customStyle="1" w:styleId="ListLabel3279">
    <w:name w:val="ListLabel 3279"/>
    <w:qFormat/>
    <w:rPr>
      <w:rFonts w:cs="OpenSymbol"/>
    </w:rPr>
  </w:style>
  <w:style w:type="character" w:customStyle="1" w:styleId="ListLabel3280">
    <w:name w:val="ListLabel 3280"/>
    <w:qFormat/>
    <w:rPr>
      <w:rFonts w:cs="OpenSymbol"/>
    </w:rPr>
  </w:style>
  <w:style w:type="character" w:customStyle="1" w:styleId="ListLabel3281">
    <w:name w:val="ListLabel 3281"/>
    <w:qFormat/>
    <w:rPr>
      <w:rFonts w:cs="OpenSymbol"/>
    </w:rPr>
  </w:style>
  <w:style w:type="character" w:customStyle="1" w:styleId="ListLabel3282">
    <w:name w:val="ListLabel 3282"/>
    <w:qFormat/>
    <w:rPr>
      <w:rFonts w:cs="OpenSymbol"/>
    </w:rPr>
  </w:style>
  <w:style w:type="character" w:customStyle="1" w:styleId="ListLabel3283">
    <w:name w:val="ListLabel 3283"/>
    <w:qFormat/>
    <w:rPr>
      <w:rFonts w:cs="OpenSymbol"/>
    </w:rPr>
  </w:style>
  <w:style w:type="character" w:customStyle="1" w:styleId="ListLabel3284">
    <w:name w:val="ListLabel 3284"/>
    <w:qFormat/>
    <w:rPr>
      <w:rFonts w:cs="OpenSymbol"/>
    </w:rPr>
  </w:style>
  <w:style w:type="character" w:customStyle="1" w:styleId="ListLabel3285">
    <w:name w:val="ListLabel 3285"/>
    <w:qFormat/>
    <w:rPr>
      <w:rFonts w:cs="OpenSymbol"/>
    </w:rPr>
  </w:style>
  <w:style w:type="character" w:customStyle="1" w:styleId="ListLabel3286">
    <w:name w:val="ListLabel 3286"/>
    <w:qFormat/>
    <w:rPr>
      <w:rFonts w:cs="OpenSymbol"/>
    </w:rPr>
  </w:style>
  <w:style w:type="character" w:customStyle="1" w:styleId="ListLabel3287">
    <w:name w:val="ListLabel 3287"/>
    <w:qFormat/>
    <w:rPr>
      <w:rFonts w:cs="OpenSymbol"/>
    </w:rPr>
  </w:style>
  <w:style w:type="character" w:customStyle="1" w:styleId="ListLabel3288">
    <w:name w:val="ListLabel 3288"/>
    <w:qFormat/>
    <w:rPr>
      <w:rFonts w:cs="OpenSymbol"/>
    </w:rPr>
  </w:style>
  <w:style w:type="character" w:customStyle="1" w:styleId="ListLabel3289">
    <w:name w:val="ListLabel 3289"/>
    <w:qFormat/>
    <w:rPr>
      <w:rFonts w:cs="OpenSymbol"/>
    </w:rPr>
  </w:style>
  <w:style w:type="character" w:customStyle="1" w:styleId="ListLabel3290">
    <w:name w:val="ListLabel 3290"/>
    <w:qFormat/>
    <w:rPr>
      <w:rFonts w:cs="OpenSymbol"/>
    </w:rPr>
  </w:style>
  <w:style w:type="character" w:customStyle="1" w:styleId="ListLabel3291">
    <w:name w:val="ListLabel 3291"/>
    <w:qFormat/>
    <w:rPr>
      <w:rFonts w:cs="OpenSymbol"/>
    </w:rPr>
  </w:style>
  <w:style w:type="character" w:customStyle="1" w:styleId="ListLabel3292">
    <w:name w:val="ListLabel 3292"/>
    <w:qFormat/>
    <w:rPr>
      <w:rFonts w:cs="OpenSymbol"/>
    </w:rPr>
  </w:style>
  <w:style w:type="character" w:customStyle="1" w:styleId="ListLabel3293">
    <w:name w:val="ListLabel 3293"/>
    <w:qFormat/>
    <w:rPr>
      <w:rFonts w:cs="OpenSymbol"/>
    </w:rPr>
  </w:style>
  <w:style w:type="character" w:customStyle="1" w:styleId="ListLabel3294">
    <w:name w:val="ListLabel 3294"/>
    <w:qFormat/>
    <w:rPr>
      <w:rFonts w:cs="OpenSymbol"/>
    </w:rPr>
  </w:style>
  <w:style w:type="character" w:customStyle="1" w:styleId="ListLabel3295">
    <w:name w:val="ListLabel 3295"/>
    <w:qFormat/>
    <w:rPr>
      <w:rFonts w:cs="OpenSymbol"/>
    </w:rPr>
  </w:style>
  <w:style w:type="character" w:customStyle="1" w:styleId="ListLabel3296">
    <w:name w:val="ListLabel 3296"/>
    <w:qFormat/>
    <w:rPr>
      <w:rFonts w:cs="OpenSymbol"/>
    </w:rPr>
  </w:style>
  <w:style w:type="character" w:customStyle="1" w:styleId="ListLabel3297">
    <w:name w:val="ListLabel 3297"/>
    <w:qFormat/>
    <w:rPr>
      <w:rFonts w:cs="OpenSymbol"/>
    </w:rPr>
  </w:style>
  <w:style w:type="character" w:customStyle="1" w:styleId="ListLabel3298">
    <w:name w:val="ListLabel 3298"/>
    <w:qFormat/>
    <w:rPr>
      <w:rFonts w:cs="OpenSymbol"/>
    </w:rPr>
  </w:style>
  <w:style w:type="character" w:customStyle="1" w:styleId="ListLabel3299">
    <w:name w:val="ListLabel 3299"/>
    <w:qFormat/>
    <w:rPr>
      <w:rFonts w:cs="OpenSymbol"/>
    </w:rPr>
  </w:style>
  <w:style w:type="character" w:customStyle="1" w:styleId="ListLabel3300">
    <w:name w:val="ListLabel 3300"/>
    <w:qFormat/>
    <w:rPr>
      <w:rFonts w:cs="OpenSymbol"/>
    </w:rPr>
  </w:style>
  <w:style w:type="character" w:customStyle="1" w:styleId="ListLabel3301">
    <w:name w:val="ListLabel 3301"/>
    <w:qFormat/>
    <w:rPr>
      <w:rFonts w:cs="OpenSymbol"/>
    </w:rPr>
  </w:style>
  <w:style w:type="character" w:customStyle="1" w:styleId="ListLabel3302">
    <w:name w:val="ListLabel 3302"/>
    <w:qFormat/>
    <w:rPr>
      <w:rFonts w:cs="OpenSymbol"/>
    </w:rPr>
  </w:style>
  <w:style w:type="character" w:customStyle="1" w:styleId="ListLabel3303">
    <w:name w:val="ListLabel 3303"/>
    <w:qFormat/>
    <w:rPr>
      <w:rFonts w:cs="OpenSymbol"/>
    </w:rPr>
  </w:style>
  <w:style w:type="character" w:customStyle="1" w:styleId="ListLabel3304">
    <w:name w:val="ListLabel 3304"/>
    <w:qFormat/>
    <w:rPr>
      <w:rFonts w:cs="OpenSymbol"/>
    </w:rPr>
  </w:style>
  <w:style w:type="character" w:customStyle="1" w:styleId="ListLabel3305">
    <w:name w:val="ListLabel 3305"/>
    <w:qFormat/>
    <w:rPr>
      <w:rFonts w:cs="OpenSymbol"/>
    </w:rPr>
  </w:style>
  <w:style w:type="character" w:customStyle="1" w:styleId="ListLabel3306">
    <w:name w:val="ListLabel 3306"/>
    <w:qFormat/>
    <w:rPr>
      <w:rFonts w:cs="OpenSymbol"/>
    </w:rPr>
  </w:style>
  <w:style w:type="character" w:customStyle="1" w:styleId="ListLabel3307">
    <w:name w:val="ListLabel 3307"/>
    <w:qFormat/>
    <w:rPr>
      <w:rFonts w:cs="OpenSymbol"/>
    </w:rPr>
  </w:style>
  <w:style w:type="character" w:customStyle="1" w:styleId="ListLabel3308">
    <w:name w:val="ListLabel 3308"/>
    <w:qFormat/>
    <w:rPr>
      <w:rFonts w:cs="OpenSymbol"/>
    </w:rPr>
  </w:style>
  <w:style w:type="character" w:customStyle="1" w:styleId="ListLabel3309">
    <w:name w:val="ListLabel 3309"/>
    <w:qFormat/>
    <w:rPr>
      <w:rFonts w:cs="OpenSymbol"/>
    </w:rPr>
  </w:style>
  <w:style w:type="character" w:customStyle="1" w:styleId="ListLabel3310">
    <w:name w:val="ListLabel 3310"/>
    <w:qFormat/>
    <w:rPr>
      <w:rFonts w:cs="OpenSymbol"/>
    </w:rPr>
  </w:style>
  <w:style w:type="character" w:customStyle="1" w:styleId="ListLabel3311">
    <w:name w:val="ListLabel 3311"/>
    <w:qFormat/>
    <w:rPr>
      <w:rFonts w:cs="OpenSymbol"/>
    </w:rPr>
  </w:style>
  <w:style w:type="character" w:customStyle="1" w:styleId="ListLabel3312">
    <w:name w:val="ListLabel 3312"/>
    <w:qFormat/>
    <w:rPr>
      <w:rFonts w:cs="OpenSymbol"/>
    </w:rPr>
  </w:style>
  <w:style w:type="character" w:customStyle="1" w:styleId="ListLabel3313">
    <w:name w:val="ListLabel 3313"/>
    <w:qFormat/>
    <w:rPr>
      <w:rFonts w:eastAsia="Calibri"/>
      <w:color w:val="000000"/>
      <w:sz w:val="28"/>
      <w:u w:val="none"/>
    </w:rPr>
  </w:style>
  <w:style w:type="character" w:customStyle="1" w:styleId="ListLabel3314">
    <w:name w:val="ListLabel 3314"/>
    <w:qFormat/>
    <w:rPr>
      <w:rFonts w:eastAsia="Calibri"/>
      <w:color w:val="000000"/>
      <w:sz w:val="28"/>
      <w:u w:val="none"/>
      <w:lang w:val="en-US"/>
    </w:rPr>
  </w:style>
  <w:style w:type="character" w:customStyle="1" w:styleId="ListLabel3315">
    <w:name w:val="ListLabel 3315"/>
    <w:qFormat/>
    <w:rPr>
      <w:rFonts w:eastAsia="Calibri"/>
      <w:color w:val="000000"/>
      <w:sz w:val="28"/>
      <w:u w:val="none"/>
      <w:lang w:val="uk-UA"/>
    </w:rPr>
  </w:style>
  <w:style w:type="character" w:customStyle="1" w:styleId="ListLabel3316">
    <w:name w:val="ListLabel 3316"/>
    <w:qFormat/>
    <w:rPr>
      <w:color w:val="000000"/>
      <w:sz w:val="28"/>
      <w:u w:val="none"/>
    </w:rPr>
  </w:style>
  <w:style w:type="character" w:customStyle="1" w:styleId="ListLabel3317">
    <w:name w:val="ListLabel 3317"/>
    <w:qFormat/>
    <w:rPr>
      <w:rFonts w:eastAsia="Calibri"/>
      <w:color w:val="C9211E"/>
      <w:sz w:val="28"/>
    </w:rPr>
  </w:style>
  <w:style w:type="character" w:customStyle="1" w:styleId="ListLabel3318">
    <w:name w:val="ListLabel 3318"/>
    <w:qFormat/>
    <w:rPr>
      <w:rFonts w:eastAsia="Calibri" w:cs="Times New Roman"/>
      <w:b/>
      <w:bCs/>
      <w:kern w:val="2"/>
      <w:sz w:val="28"/>
      <w:szCs w:val="28"/>
      <w:lang w:val="uk-UA" w:eastAsia="ru-RU"/>
    </w:rPr>
  </w:style>
  <w:style w:type="character" w:customStyle="1" w:styleId="ListLabel3319">
    <w:name w:val="ListLabel 3319"/>
    <w:qFormat/>
    <w:rPr>
      <w:rFonts w:eastAsia="Calibri"/>
      <w:b/>
      <w:bCs/>
      <w:color w:val="000000"/>
      <w:sz w:val="28"/>
      <w:u w:val="none"/>
      <w:lang w:val="en-US"/>
    </w:rPr>
  </w:style>
  <w:style w:type="character" w:customStyle="1" w:styleId="ListLabel3320">
    <w:name w:val="ListLabel 3320"/>
    <w:qFormat/>
    <w:rPr>
      <w:b w:val="0"/>
      <w:bCs w:val="0"/>
      <w:color w:val="FF8000"/>
      <w:sz w:val="28"/>
      <w:szCs w:val="28"/>
      <w:highlight w:val="yellow"/>
      <w:lang w:val="ru-RU"/>
    </w:rPr>
  </w:style>
  <w:style w:type="character" w:customStyle="1" w:styleId="ListLabel3321">
    <w:name w:val="ListLabel 3321"/>
    <w:qFormat/>
    <w:rPr>
      <w:b w:val="0"/>
      <w:bCs w:val="0"/>
      <w:i w:val="0"/>
      <w:caps w:val="0"/>
      <w:smallCaps w:val="0"/>
      <w:color w:val="158466"/>
      <w:spacing w:val="0"/>
      <w:sz w:val="28"/>
      <w:szCs w:val="28"/>
      <w:highlight w:val="yellow"/>
      <w:lang w:val="uk-UA"/>
    </w:rPr>
  </w:style>
  <w:style w:type="character" w:customStyle="1" w:styleId="ListLabel3322">
    <w:name w:val="ListLabel 3322"/>
    <w:qFormat/>
    <w:rPr>
      <w:rFonts w:eastAsia="Times New Roman" w:cs="Times New Roman"/>
      <w:b w:val="0"/>
      <w:bCs w:val="0"/>
      <w:i w:val="0"/>
      <w:caps w:val="0"/>
      <w:smallCaps w:val="0"/>
      <w:strike w:val="0"/>
      <w:dstrike w:val="0"/>
      <w:color w:val="000000"/>
      <w:spacing w:val="0"/>
      <w:kern w:val="2"/>
      <w:sz w:val="28"/>
      <w:szCs w:val="28"/>
      <w:highlight w:val="yellow"/>
      <w:u w:val="none"/>
      <w:effect w:val="none"/>
      <w:lang w:val="uk-UA"/>
    </w:rPr>
  </w:style>
  <w:style w:type="character" w:customStyle="1" w:styleId="ListLabel3323">
    <w:name w:val="ListLabel 3323"/>
    <w:qFormat/>
    <w:rPr>
      <w:rFonts w:eastAsia="Times New Roman" w:cs="Times New Roman"/>
      <w:b w:val="0"/>
      <w:bCs w:val="0"/>
      <w:i w:val="0"/>
      <w:caps w:val="0"/>
      <w:smallCaps w:val="0"/>
      <w:strike w:val="0"/>
      <w:dstrike w:val="0"/>
      <w:color w:val="2C2C2C"/>
      <w:spacing w:val="0"/>
      <w:kern w:val="2"/>
      <w:sz w:val="28"/>
      <w:szCs w:val="28"/>
      <w:highlight w:val="yellow"/>
      <w:u w:val="none"/>
      <w:effect w:val="none"/>
      <w:lang w:val="en-US"/>
    </w:rPr>
  </w:style>
  <w:style w:type="character" w:customStyle="1" w:styleId="ListLabel3324">
    <w:name w:val="ListLabel 3324"/>
    <w:qFormat/>
  </w:style>
  <w:style w:type="character" w:customStyle="1" w:styleId="ListLabel3325">
    <w:name w:val="ListLabel 3325"/>
    <w:qFormat/>
  </w:style>
  <w:style w:type="character" w:customStyle="1" w:styleId="ListLabel3326">
    <w:name w:val="ListLabel 3326"/>
    <w:qFormat/>
    <w:rPr>
      <w:b w:val="0"/>
      <w:i w:val="0"/>
      <w:caps w:val="0"/>
      <w:smallCaps w:val="0"/>
      <w:strike w:val="0"/>
      <w:dstrike w:val="0"/>
      <w:color w:val="2C72B7"/>
      <w:spacing w:val="0"/>
      <w:sz w:val="28"/>
      <w:szCs w:val="28"/>
      <w:highlight w:val="yellow"/>
      <w:u w:val="none"/>
      <w:effect w:val="none"/>
    </w:rPr>
  </w:style>
  <w:style w:type="character" w:customStyle="1" w:styleId="ListLabel3327">
    <w:name w:val="ListLabel 3327"/>
    <w:qFormat/>
    <w:rPr>
      <w:b w:val="0"/>
      <w:i w:val="0"/>
      <w:caps w:val="0"/>
      <w:smallCaps w:val="0"/>
      <w:color w:val="FF8000"/>
      <w:spacing w:val="0"/>
      <w:sz w:val="28"/>
      <w:szCs w:val="28"/>
      <w:u w:val="none"/>
    </w:rPr>
  </w:style>
  <w:style w:type="character" w:customStyle="1" w:styleId="ListLabel3328">
    <w:name w:val="ListLabel 3328"/>
    <w:qFormat/>
    <w:rPr>
      <w:b w:val="0"/>
      <w:strike w:val="0"/>
      <w:dstrike w:val="0"/>
      <w:color w:val="FF8000"/>
      <w:sz w:val="28"/>
      <w:szCs w:val="28"/>
      <w:highlight w:val="darkBlue"/>
      <w:u w:val="none"/>
      <w:effect w:val="none"/>
    </w:rPr>
  </w:style>
  <w:style w:type="character" w:customStyle="1" w:styleId="ListLabel3329">
    <w:name w:val="ListLabel 3329"/>
    <w:qFormat/>
    <w:rPr>
      <w:b w:val="0"/>
      <w:i w:val="0"/>
      <w:caps w:val="0"/>
      <w:smallCaps w:val="0"/>
      <w:strike w:val="0"/>
      <w:dstrike w:val="0"/>
      <w:color w:val="FF8000"/>
      <w:spacing w:val="0"/>
      <w:sz w:val="28"/>
      <w:szCs w:val="28"/>
      <w:u w:val="single"/>
    </w:rPr>
  </w:style>
  <w:style w:type="character" w:customStyle="1" w:styleId="ListLabel3330">
    <w:name w:val="ListLabel 3330"/>
    <w:qFormat/>
    <w:rPr>
      <w:b w:val="0"/>
      <w:i w:val="0"/>
      <w:caps w:val="0"/>
      <w:smallCaps w:val="0"/>
      <w:color w:val="FF8000"/>
      <w:spacing w:val="0"/>
      <w:sz w:val="28"/>
      <w:szCs w:val="28"/>
      <w:u w:val="single"/>
    </w:rPr>
  </w:style>
  <w:style w:type="character" w:customStyle="1" w:styleId="ListLabel3331">
    <w:name w:val="ListLabel 3331"/>
    <w:qFormat/>
    <w:rPr>
      <w:rFonts w:eastAsia="Times New Roman" w:cs="Arial"/>
      <w:b w:val="0"/>
      <w:bCs/>
      <w:i w:val="0"/>
      <w:caps w:val="0"/>
      <w:smallCaps w:val="0"/>
      <w:strike w:val="0"/>
      <w:dstrike w:val="0"/>
      <w:color w:val="FF8000"/>
      <w:spacing w:val="0"/>
      <w:kern w:val="2"/>
      <w:sz w:val="28"/>
      <w:szCs w:val="28"/>
      <w:highlight w:val="yellow"/>
      <w:effect w:val="none"/>
    </w:rPr>
  </w:style>
  <w:style w:type="character" w:customStyle="1" w:styleId="ListLabel3332">
    <w:name w:val="ListLabel 3332"/>
    <w:qFormat/>
    <w:rPr>
      <w:rFonts w:eastAsia="Times New Roman" w:cs="Times New Roman"/>
      <w:b w:val="0"/>
      <w:bCs w:val="0"/>
      <w:i w:val="0"/>
      <w:caps w:val="0"/>
      <w:smallCaps w:val="0"/>
      <w:strike w:val="0"/>
      <w:dstrike w:val="0"/>
      <w:color w:val="3366CC"/>
      <w:spacing w:val="0"/>
      <w:kern w:val="2"/>
      <w:sz w:val="28"/>
      <w:szCs w:val="28"/>
      <w:highlight w:val="white"/>
      <w:u w:val="none"/>
      <w:effect w:val="none"/>
      <w:lang w:val="uk-UA" w:eastAsia="ru-RU"/>
    </w:rPr>
  </w:style>
  <w:style w:type="character" w:customStyle="1" w:styleId="ListLabel3333">
    <w:name w:val="ListLabel 3333"/>
    <w:qFormat/>
    <w:rPr>
      <w:sz w:val="28"/>
      <w:szCs w:val="28"/>
      <w:lang w:val="uk-UA"/>
    </w:rPr>
  </w:style>
  <w:style w:type="character" w:customStyle="1" w:styleId="ListLabel3334">
    <w:name w:val="ListLabel 3334"/>
    <w:qFormat/>
    <w:rPr>
      <w:b/>
      <w:bCs/>
      <w:color w:val="FF8000"/>
      <w:sz w:val="28"/>
      <w:szCs w:val="28"/>
      <w:highlight w:val="yellow"/>
      <w:lang w:val="ru-RU"/>
    </w:rPr>
  </w:style>
  <w:style w:type="character" w:customStyle="1" w:styleId="ListLabel3335">
    <w:name w:val="ListLabel 3335"/>
    <w:qFormat/>
    <w:rPr>
      <w:rFonts w:cs="OpenSymbol"/>
      <w:b w:val="0"/>
      <w:sz w:val="28"/>
    </w:rPr>
  </w:style>
  <w:style w:type="character" w:customStyle="1" w:styleId="ListLabel3336">
    <w:name w:val="ListLabel 3336"/>
    <w:qFormat/>
    <w:rPr>
      <w:rFonts w:cs="OpenSymbol"/>
    </w:rPr>
  </w:style>
  <w:style w:type="character" w:customStyle="1" w:styleId="ListLabel3337">
    <w:name w:val="ListLabel 3337"/>
    <w:qFormat/>
    <w:rPr>
      <w:rFonts w:cs="OpenSymbol"/>
    </w:rPr>
  </w:style>
  <w:style w:type="character" w:customStyle="1" w:styleId="ListLabel3338">
    <w:name w:val="ListLabel 3338"/>
    <w:qFormat/>
    <w:rPr>
      <w:rFonts w:cs="OpenSymbol"/>
    </w:rPr>
  </w:style>
  <w:style w:type="character" w:customStyle="1" w:styleId="ListLabel3339">
    <w:name w:val="ListLabel 3339"/>
    <w:qFormat/>
    <w:rPr>
      <w:rFonts w:cs="OpenSymbol"/>
    </w:rPr>
  </w:style>
  <w:style w:type="character" w:customStyle="1" w:styleId="ListLabel3340">
    <w:name w:val="ListLabel 3340"/>
    <w:qFormat/>
    <w:rPr>
      <w:rFonts w:cs="OpenSymbol"/>
    </w:rPr>
  </w:style>
  <w:style w:type="character" w:customStyle="1" w:styleId="ListLabel3341">
    <w:name w:val="ListLabel 3341"/>
    <w:qFormat/>
    <w:rPr>
      <w:rFonts w:cs="OpenSymbol"/>
    </w:rPr>
  </w:style>
  <w:style w:type="character" w:customStyle="1" w:styleId="ListLabel3342">
    <w:name w:val="ListLabel 3342"/>
    <w:qFormat/>
    <w:rPr>
      <w:rFonts w:cs="OpenSymbol"/>
    </w:rPr>
  </w:style>
  <w:style w:type="character" w:customStyle="1" w:styleId="ListLabel3343">
    <w:name w:val="ListLabel 3343"/>
    <w:qFormat/>
    <w:rPr>
      <w:rFonts w:cs="OpenSymbol"/>
    </w:rPr>
  </w:style>
  <w:style w:type="character" w:customStyle="1" w:styleId="ListLabel3344">
    <w:name w:val="ListLabel 3344"/>
    <w:qFormat/>
    <w:rPr>
      <w:rFonts w:cs="OpenSymbol"/>
      <w:b w:val="0"/>
      <w:sz w:val="28"/>
    </w:rPr>
  </w:style>
  <w:style w:type="character" w:customStyle="1" w:styleId="ListLabel3345">
    <w:name w:val="ListLabel 3345"/>
    <w:qFormat/>
    <w:rPr>
      <w:rFonts w:cs="OpenSymbol"/>
    </w:rPr>
  </w:style>
  <w:style w:type="character" w:customStyle="1" w:styleId="ListLabel3346">
    <w:name w:val="ListLabel 3346"/>
    <w:qFormat/>
    <w:rPr>
      <w:rFonts w:cs="OpenSymbol"/>
    </w:rPr>
  </w:style>
  <w:style w:type="character" w:customStyle="1" w:styleId="ListLabel3347">
    <w:name w:val="ListLabel 3347"/>
    <w:qFormat/>
    <w:rPr>
      <w:rFonts w:cs="OpenSymbol"/>
    </w:rPr>
  </w:style>
  <w:style w:type="character" w:customStyle="1" w:styleId="ListLabel3348">
    <w:name w:val="ListLabel 3348"/>
    <w:qFormat/>
    <w:rPr>
      <w:rFonts w:cs="OpenSymbol"/>
    </w:rPr>
  </w:style>
  <w:style w:type="character" w:customStyle="1" w:styleId="ListLabel3349">
    <w:name w:val="ListLabel 3349"/>
    <w:qFormat/>
    <w:rPr>
      <w:rFonts w:cs="OpenSymbol"/>
    </w:rPr>
  </w:style>
  <w:style w:type="character" w:customStyle="1" w:styleId="ListLabel3350">
    <w:name w:val="ListLabel 3350"/>
    <w:qFormat/>
    <w:rPr>
      <w:rFonts w:cs="OpenSymbol"/>
    </w:rPr>
  </w:style>
  <w:style w:type="character" w:customStyle="1" w:styleId="ListLabel3351">
    <w:name w:val="ListLabel 3351"/>
    <w:qFormat/>
    <w:rPr>
      <w:rFonts w:cs="OpenSymbol"/>
    </w:rPr>
  </w:style>
  <w:style w:type="character" w:customStyle="1" w:styleId="ListLabel3352">
    <w:name w:val="ListLabel 3352"/>
    <w:qFormat/>
    <w:rPr>
      <w:rFonts w:cs="OpenSymbol"/>
    </w:rPr>
  </w:style>
  <w:style w:type="character" w:customStyle="1" w:styleId="ListLabel3353">
    <w:name w:val="ListLabel 3353"/>
    <w:qFormat/>
    <w:rPr>
      <w:rFonts w:cs="OpenSymbol"/>
      <w:b w:val="0"/>
      <w:sz w:val="28"/>
    </w:rPr>
  </w:style>
  <w:style w:type="character" w:customStyle="1" w:styleId="ListLabel3354">
    <w:name w:val="ListLabel 3354"/>
    <w:qFormat/>
    <w:rPr>
      <w:rFonts w:cs="OpenSymbol"/>
    </w:rPr>
  </w:style>
  <w:style w:type="character" w:customStyle="1" w:styleId="ListLabel3355">
    <w:name w:val="ListLabel 3355"/>
    <w:qFormat/>
    <w:rPr>
      <w:rFonts w:cs="OpenSymbol"/>
    </w:rPr>
  </w:style>
  <w:style w:type="character" w:customStyle="1" w:styleId="ListLabel3356">
    <w:name w:val="ListLabel 3356"/>
    <w:qFormat/>
    <w:rPr>
      <w:rFonts w:cs="OpenSymbol"/>
    </w:rPr>
  </w:style>
  <w:style w:type="character" w:customStyle="1" w:styleId="ListLabel3357">
    <w:name w:val="ListLabel 3357"/>
    <w:qFormat/>
    <w:rPr>
      <w:rFonts w:cs="OpenSymbol"/>
    </w:rPr>
  </w:style>
  <w:style w:type="character" w:customStyle="1" w:styleId="ListLabel3358">
    <w:name w:val="ListLabel 3358"/>
    <w:qFormat/>
    <w:rPr>
      <w:rFonts w:cs="OpenSymbol"/>
    </w:rPr>
  </w:style>
  <w:style w:type="character" w:customStyle="1" w:styleId="ListLabel3359">
    <w:name w:val="ListLabel 3359"/>
    <w:qFormat/>
    <w:rPr>
      <w:rFonts w:cs="OpenSymbol"/>
    </w:rPr>
  </w:style>
  <w:style w:type="character" w:customStyle="1" w:styleId="ListLabel3360">
    <w:name w:val="ListLabel 3360"/>
    <w:qFormat/>
    <w:rPr>
      <w:rFonts w:cs="OpenSymbol"/>
    </w:rPr>
  </w:style>
  <w:style w:type="character" w:customStyle="1" w:styleId="ListLabel3361">
    <w:name w:val="ListLabel 3361"/>
    <w:qFormat/>
    <w:rPr>
      <w:rFonts w:cs="OpenSymbol"/>
    </w:rPr>
  </w:style>
  <w:style w:type="character" w:customStyle="1" w:styleId="ListLabel3362">
    <w:name w:val="ListLabel 3362"/>
    <w:qFormat/>
    <w:rPr>
      <w:rFonts w:cs="OpenSymbol"/>
    </w:rPr>
  </w:style>
  <w:style w:type="character" w:customStyle="1" w:styleId="ListLabel3363">
    <w:name w:val="ListLabel 3363"/>
    <w:qFormat/>
    <w:rPr>
      <w:rFonts w:cs="OpenSymbol"/>
    </w:rPr>
  </w:style>
  <w:style w:type="character" w:customStyle="1" w:styleId="ListLabel3364">
    <w:name w:val="ListLabel 3364"/>
    <w:qFormat/>
    <w:rPr>
      <w:rFonts w:cs="OpenSymbol"/>
    </w:rPr>
  </w:style>
  <w:style w:type="character" w:customStyle="1" w:styleId="ListLabel3365">
    <w:name w:val="ListLabel 3365"/>
    <w:qFormat/>
    <w:rPr>
      <w:rFonts w:cs="OpenSymbol"/>
    </w:rPr>
  </w:style>
  <w:style w:type="character" w:customStyle="1" w:styleId="ListLabel3366">
    <w:name w:val="ListLabel 3366"/>
    <w:qFormat/>
    <w:rPr>
      <w:rFonts w:cs="OpenSymbol"/>
    </w:rPr>
  </w:style>
  <w:style w:type="character" w:customStyle="1" w:styleId="ListLabel3367">
    <w:name w:val="ListLabel 3367"/>
    <w:qFormat/>
    <w:rPr>
      <w:rFonts w:cs="OpenSymbol"/>
    </w:rPr>
  </w:style>
  <w:style w:type="character" w:customStyle="1" w:styleId="ListLabel3368">
    <w:name w:val="ListLabel 3368"/>
    <w:qFormat/>
    <w:rPr>
      <w:rFonts w:cs="OpenSymbol"/>
    </w:rPr>
  </w:style>
  <w:style w:type="character" w:customStyle="1" w:styleId="ListLabel3369">
    <w:name w:val="ListLabel 3369"/>
    <w:qFormat/>
    <w:rPr>
      <w:rFonts w:cs="OpenSymbol"/>
    </w:rPr>
  </w:style>
  <w:style w:type="character" w:customStyle="1" w:styleId="ListLabel3370">
    <w:name w:val="ListLabel 3370"/>
    <w:qFormat/>
    <w:rPr>
      <w:rFonts w:cs="OpenSymbol"/>
    </w:rPr>
  </w:style>
  <w:style w:type="character" w:customStyle="1" w:styleId="ListLabel3371">
    <w:name w:val="ListLabel 3371"/>
    <w:qFormat/>
    <w:rPr>
      <w:rFonts w:cs="OpenSymbol"/>
    </w:rPr>
  </w:style>
  <w:style w:type="character" w:customStyle="1" w:styleId="ListLabel3372">
    <w:name w:val="ListLabel 3372"/>
    <w:qFormat/>
    <w:rPr>
      <w:rFonts w:cs="OpenSymbol"/>
    </w:rPr>
  </w:style>
  <w:style w:type="character" w:customStyle="1" w:styleId="ListLabel3373">
    <w:name w:val="ListLabel 3373"/>
    <w:qFormat/>
    <w:rPr>
      <w:rFonts w:cs="OpenSymbol"/>
    </w:rPr>
  </w:style>
  <w:style w:type="character" w:customStyle="1" w:styleId="ListLabel3374">
    <w:name w:val="ListLabel 3374"/>
    <w:qFormat/>
    <w:rPr>
      <w:rFonts w:cs="OpenSymbol"/>
    </w:rPr>
  </w:style>
  <w:style w:type="character" w:customStyle="1" w:styleId="ListLabel3375">
    <w:name w:val="ListLabel 3375"/>
    <w:qFormat/>
    <w:rPr>
      <w:rFonts w:cs="OpenSymbol"/>
    </w:rPr>
  </w:style>
  <w:style w:type="character" w:customStyle="1" w:styleId="ListLabel3376">
    <w:name w:val="ListLabel 3376"/>
    <w:qFormat/>
    <w:rPr>
      <w:rFonts w:cs="OpenSymbol"/>
    </w:rPr>
  </w:style>
  <w:style w:type="character" w:customStyle="1" w:styleId="ListLabel3377">
    <w:name w:val="ListLabel 3377"/>
    <w:qFormat/>
    <w:rPr>
      <w:rFonts w:cs="OpenSymbol"/>
    </w:rPr>
  </w:style>
  <w:style w:type="character" w:customStyle="1" w:styleId="ListLabel3378">
    <w:name w:val="ListLabel 3378"/>
    <w:qFormat/>
    <w:rPr>
      <w:rFonts w:cs="OpenSymbol"/>
    </w:rPr>
  </w:style>
  <w:style w:type="character" w:customStyle="1" w:styleId="ListLabel3379">
    <w:name w:val="ListLabel 3379"/>
    <w:qFormat/>
    <w:rPr>
      <w:rFonts w:cs="OpenSymbol"/>
    </w:rPr>
  </w:style>
  <w:style w:type="character" w:customStyle="1" w:styleId="ListLabel3380">
    <w:name w:val="ListLabel 3380"/>
    <w:qFormat/>
    <w:rPr>
      <w:rFonts w:cs="OpenSymbol"/>
    </w:rPr>
  </w:style>
  <w:style w:type="character" w:customStyle="1" w:styleId="ListLabel3381">
    <w:name w:val="ListLabel 3381"/>
    <w:qFormat/>
    <w:rPr>
      <w:rFonts w:cs="OpenSymbol"/>
    </w:rPr>
  </w:style>
  <w:style w:type="character" w:customStyle="1" w:styleId="ListLabel3382">
    <w:name w:val="ListLabel 3382"/>
    <w:qFormat/>
    <w:rPr>
      <w:rFonts w:cs="OpenSymbol"/>
    </w:rPr>
  </w:style>
  <w:style w:type="character" w:customStyle="1" w:styleId="ListLabel3383">
    <w:name w:val="ListLabel 3383"/>
    <w:qFormat/>
    <w:rPr>
      <w:rFonts w:cs="OpenSymbol"/>
    </w:rPr>
  </w:style>
  <w:style w:type="character" w:customStyle="1" w:styleId="ListLabel3384">
    <w:name w:val="ListLabel 3384"/>
    <w:qFormat/>
    <w:rPr>
      <w:rFonts w:cs="OpenSymbol"/>
    </w:rPr>
  </w:style>
  <w:style w:type="character" w:customStyle="1" w:styleId="ListLabel3385">
    <w:name w:val="ListLabel 3385"/>
    <w:qFormat/>
    <w:rPr>
      <w:rFonts w:cs="OpenSymbol"/>
    </w:rPr>
  </w:style>
  <w:style w:type="character" w:customStyle="1" w:styleId="ListLabel3386">
    <w:name w:val="ListLabel 3386"/>
    <w:qFormat/>
    <w:rPr>
      <w:rFonts w:cs="OpenSymbol"/>
    </w:rPr>
  </w:style>
  <w:style w:type="character" w:customStyle="1" w:styleId="ListLabel3387">
    <w:name w:val="ListLabel 3387"/>
    <w:qFormat/>
    <w:rPr>
      <w:rFonts w:cs="OpenSymbol"/>
    </w:rPr>
  </w:style>
  <w:style w:type="character" w:customStyle="1" w:styleId="ListLabel3388">
    <w:name w:val="ListLabel 3388"/>
    <w:qFormat/>
    <w:rPr>
      <w:rFonts w:cs="OpenSymbol"/>
    </w:rPr>
  </w:style>
  <w:style w:type="character" w:customStyle="1" w:styleId="ListLabel3389">
    <w:name w:val="ListLabel 3389"/>
    <w:qFormat/>
    <w:rPr>
      <w:rFonts w:cs="OpenSymbol"/>
    </w:rPr>
  </w:style>
  <w:style w:type="character" w:customStyle="1" w:styleId="ListLabel3390">
    <w:name w:val="ListLabel 3390"/>
    <w:qFormat/>
    <w:rPr>
      <w:rFonts w:cs="OpenSymbol"/>
    </w:rPr>
  </w:style>
  <w:style w:type="character" w:customStyle="1" w:styleId="ListLabel3391">
    <w:name w:val="ListLabel 3391"/>
    <w:qFormat/>
    <w:rPr>
      <w:rFonts w:cs="OpenSymbol"/>
    </w:rPr>
  </w:style>
  <w:style w:type="character" w:customStyle="1" w:styleId="ListLabel3392">
    <w:name w:val="ListLabel 3392"/>
    <w:qFormat/>
    <w:rPr>
      <w:rFonts w:cs="OpenSymbol"/>
    </w:rPr>
  </w:style>
  <w:style w:type="character" w:customStyle="1" w:styleId="ListLabel3393">
    <w:name w:val="ListLabel 3393"/>
    <w:qFormat/>
    <w:rPr>
      <w:rFonts w:cs="OpenSymbol"/>
    </w:rPr>
  </w:style>
  <w:style w:type="character" w:customStyle="1" w:styleId="ListLabel3394">
    <w:name w:val="ListLabel 3394"/>
    <w:qFormat/>
    <w:rPr>
      <w:rFonts w:cs="OpenSymbol"/>
    </w:rPr>
  </w:style>
  <w:style w:type="character" w:customStyle="1" w:styleId="ListLabel3395">
    <w:name w:val="ListLabel 3395"/>
    <w:qFormat/>
    <w:rPr>
      <w:rFonts w:cs="OpenSymbol"/>
    </w:rPr>
  </w:style>
  <w:style w:type="character" w:customStyle="1" w:styleId="ListLabel3396">
    <w:name w:val="ListLabel 3396"/>
    <w:qFormat/>
    <w:rPr>
      <w:rFonts w:cs="OpenSymbol"/>
    </w:rPr>
  </w:style>
  <w:style w:type="character" w:customStyle="1" w:styleId="ListLabel3397">
    <w:name w:val="ListLabel 3397"/>
    <w:qFormat/>
    <w:rPr>
      <w:rFonts w:cs="OpenSymbol"/>
    </w:rPr>
  </w:style>
  <w:style w:type="character" w:customStyle="1" w:styleId="ListLabel3398">
    <w:name w:val="ListLabel 3398"/>
    <w:qFormat/>
    <w:rPr>
      <w:rFonts w:cs="OpenSymbol"/>
    </w:rPr>
  </w:style>
  <w:style w:type="character" w:customStyle="1" w:styleId="ListLabel3399">
    <w:name w:val="ListLabel 3399"/>
    <w:qFormat/>
    <w:rPr>
      <w:rFonts w:cs="OpenSymbol"/>
    </w:rPr>
  </w:style>
  <w:style w:type="character" w:customStyle="1" w:styleId="ListLabel3400">
    <w:name w:val="ListLabel 3400"/>
    <w:qFormat/>
    <w:rPr>
      <w:rFonts w:cs="OpenSymbol"/>
    </w:rPr>
  </w:style>
  <w:style w:type="character" w:customStyle="1" w:styleId="ListLabel3401">
    <w:name w:val="ListLabel 3401"/>
    <w:qFormat/>
    <w:rPr>
      <w:rFonts w:cs="OpenSymbol"/>
    </w:rPr>
  </w:style>
  <w:style w:type="character" w:customStyle="1" w:styleId="ListLabel3402">
    <w:name w:val="ListLabel 3402"/>
    <w:qFormat/>
    <w:rPr>
      <w:rFonts w:cs="OpenSymbol"/>
    </w:rPr>
  </w:style>
  <w:style w:type="character" w:customStyle="1" w:styleId="ListLabel3403">
    <w:name w:val="ListLabel 3403"/>
    <w:qFormat/>
    <w:rPr>
      <w:rFonts w:cs="OpenSymbol"/>
    </w:rPr>
  </w:style>
  <w:style w:type="character" w:customStyle="1" w:styleId="ListLabel3404">
    <w:name w:val="ListLabel 3404"/>
    <w:qFormat/>
    <w:rPr>
      <w:rFonts w:cs="OpenSymbol"/>
    </w:rPr>
  </w:style>
  <w:style w:type="character" w:customStyle="1" w:styleId="ListLabel3405">
    <w:name w:val="ListLabel 3405"/>
    <w:qFormat/>
    <w:rPr>
      <w:rFonts w:cs="OpenSymbol"/>
    </w:rPr>
  </w:style>
  <w:style w:type="character" w:customStyle="1" w:styleId="ListLabel3406">
    <w:name w:val="ListLabel 3406"/>
    <w:qFormat/>
    <w:rPr>
      <w:rFonts w:cs="OpenSymbol"/>
    </w:rPr>
  </w:style>
  <w:style w:type="character" w:customStyle="1" w:styleId="ListLabel3407">
    <w:name w:val="ListLabel 3407"/>
    <w:qFormat/>
    <w:rPr>
      <w:rFonts w:cs="OpenSymbol"/>
    </w:rPr>
  </w:style>
  <w:style w:type="character" w:customStyle="1" w:styleId="ListLabel3408">
    <w:name w:val="ListLabel 3408"/>
    <w:qFormat/>
    <w:rPr>
      <w:rFonts w:cs="OpenSymbol"/>
    </w:rPr>
  </w:style>
  <w:style w:type="character" w:customStyle="1" w:styleId="ListLabel3409">
    <w:name w:val="ListLabel 3409"/>
    <w:qFormat/>
    <w:rPr>
      <w:rFonts w:cs="OpenSymbol"/>
    </w:rPr>
  </w:style>
  <w:style w:type="character" w:customStyle="1" w:styleId="ListLabel3410">
    <w:name w:val="ListLabel 3410"/>
    <w:qFormat/>
    <w:rPr>
      <w:rFonts w:cs="OpenSymbol"/>
    </w:rPr>
  </w:style>
  <w:style w:type="character" w:customStyle="1" w:styleId="ListLabel3411">
    <w:name w:val="ListLabel 3411"/>
    <w:qFormat/>
    <w:rPr>
      <w:rFonts w:cs="OpenSymbol"/>
    </w:rPr>
  </w:style>
  <w:style w:type="character" w:customStyle="1" w:styleId="ListLabel3412">
    <w:name w:val="ListLabel 3412"/>
    <w:qFormat/>
    <w:rPr>
      <w:rFonts w:cs="OpenSymbol"/>
    </w:rPr>
  </w:style>
  <w:style w:type="character" w:customStyle="1" w:styleId="ListLabel3413">
    <w:name w:val="ListLabel 3413"/>
    <w:qFormat/>
    <w:rPr>
      <w:rFonts w:cs="OpenSymbol"/>
    </w:rPr>
  </w:style>
  <w:style w:type="character" w:customStyle="1" w:styleId="ListLabel3414">
    <w:name w:val="ListLabel 3414"/>
    <w:qFormat/>
    <w:rPr>
      <w:rFonts w:cs="OpenSymbol"/>
    </w:rPr>
  </w:style>
  <w:style w:type="character" w:customStyle="1" w:styleId="ListLabel3415">
    <w:name w:val="ListLabel 3415"/>
    <w:qFormat/>
    <w:rPr>
      <w:rFonts w:cs="OpenSymbol"/>
    </w:rPr>
  </w:style>
  <w:style w:type="character" w:customStyle="1" w:styleId="ListLabel3416">
    <w:name w:val="ListLabel 3416"/>
    <w:qFormat/>
    <w:rPr>
      <w:rFonts w:cs="OpenSymbol"/>
    </w:rPr>
  </w:style>
  <w:style w:type="character" w:customStyle="1" w:styleId="ListLabel3417">
    <w:name w:val="ListLabel 3417"/>
    <w:qFormat/>
    <w:rPr>
      <w:rFonts w:cs="OpenSymbol"/>
    </w:rPr>
  </w:style>
  <w:style w:type="character" w:customStyle="1" w:styleId="ListLabel3418">
    <w:name w:val="ListLabel 3418"/>
    <w:qFormat/>
    <w:rPr>
      <w:rFonts w:cs="OpenSymbol"/>
    </w:rPr>
  </w:style>
  <w:style w:type="character" w:customStyle="1" w:styleId="ListLabel3419">
    <w:name w:val="ListLabel 3419"/>
    <w:qFormat/>
    <w:rPr>
      <w:rFonts w:cs="OpenSymbol"/>
    </w:rPr>
  </w:style>
  <w:style w:type="character" w:customStyle="1" w:styleId="ListLabel3420">
    <w:name w:val="ListLabel 3420"/>
    <w:qFormat/>
    <w:rPr>
      <w:rFonts w:cs="OpenSymbol"/>
    </w:rPr>
  </w:style>
  <w:style w:type="character" w:customStyle="1" w:styleId="ListLabel3421">
    <w:name w:val="ListLabel 3421"/>
    <w:qFormat/>
    <w:rPr>
      <w:rFonts w:cs="OpenSymbol"/>
    </w:rPr>
  </w:style>
  <w:style w:type="character" w:customStyle="1" w:styleId="ListLabel3422">
    <w:name w:val="ListLabel 3422"/>
    <w:qFormat/>
    <w:rPr>
      <w:rFonts w:cs="OpenSymbol"/>
    </w:rPr>
  </w:style>
  <w:style w:type="character" w:customStyle="1" w:styleId="ListLabel3423">
    <w:name w:val="ListLabel 3423"/>
    <w:qFormat/>
    <w:rPr>
      <w:rFonts w:cs="OpenSymbol"/>
    </w:rPr>
  </w:style>
  <w:style w:type="character" w:customStyle="1" w:styleId="ListLabel3424">
    <w:name w:val="ListLabel 3424"/>
    <w:qFormat/>
    <w:rPr>
      <w:rFonts w:cs="OpenSymbol"/>
    </w:rPr>
  </w:style>
  <w:style w:type="character" w:customStyle="1" w:styleId="ListLabel3425">
    <w:name w:val="ListLabel 3425"/>
    <w:qFormat/>
    <w:rPr>
      <w:rFonts w:cs="OpenSymbol"/>
    </w:rPr>
  </w:style>
  <w:style w:type="character" w:customStyle="1" w:styleId="ListLabel3426">
    <w:name w:val="ListLabel 3426"/>
    <w:qFormat/>
    <w:rPr>
      <w:rFonts w:cs="OpenSymbol"/>
    </w:rPr>
  </w:style>
  <w:style w:type="character" w:customStyle="1" w:styleId="ListLabel3427">
    <w:name w:val="ListLabel 3427"/>
    <w:qFormat/>
    <w:rPr>
      <w:rFonts w:cs="OpenSymbol"/>
    </w:rPr>
  </w:style>
  <w:style w:type="character" w:customStyle="1" w:styleId="ListLabel3428">
    <w:name w:val="ListLabel 3428"/>
    <w:qFormat/>
    <w:rPr>
      <w:rFonts w:cs="OpenSymbol"/>
    </w:rPr>
  </w:style>
  <w:style w:type="character" w:customStyle="1" w:styleId="ListLabel3429">
    <w:name w:val="ListLabel 3429"/>
    <w:qFormat/>
    <w:rPr>
      <w:rFonts w:cs="OpenSymbol"/>
    </w:rPr>
  </w:style>
  <w:style w:type="character" w:customStyle="1" w:styleId="ListLabel3430">
    <w:name w:val="ListLabel 3430"/>
    <w:qFormat/>
    <w:rPr>
      <w:rFonts w:cs="OpenSymbol"/>
    </w:rPr>
  </w:style>
  <w:style w:type="character" w:customStyle="1" w:styleId="ListLabel3431">
    <w:name w:val="ListLabel 3431"/>
    <w:qFormat/>
    <w:rPr>
      <w:rFonts w:cs="OpenSymbol"/>
    </w:rPr>
  </w:style>
  <w:style w:type="character" w:customStyle="1" w:styleId="ListLabel3432">
    <w:name w:val="ListLabel 3432"/>
    <w:qFormat/>
    <w:rPr>
      <w:rFonts w:cs="OpenSymbol"/>
    </w:rPr>
  </w:style>
  <w:style w:type="character" w:customStyle="1" w:styleId="ListLabel3433">
    <w:name w:val="ListLabel 3433"/>
    <w:qFormat/>
    <w:rPr>
      <w:rFonts w:cs="OpenSymbol"/>
    </w:rPr>
  </w:style>
  <w:style w:type="character" w:customStyle="1" w:styleId="ListLabel3434">
    <w:name w:val="ListLabel 3434"/>
    <w:qFormat/>
    <w:rPr>
      <w:rFonts w:cs="OpenSymbol"/>
    </w:rPr>
  </w:style>
  <w:style w:type="character" w:customStyle="1" w:styleId="ListLabel3435">
    <w:name w:val="ListLabel 3435"/>
    <w:qFormat/>
    <w:rPr>
      <w:rFonts w:cs="OpenSymbol"/>
    </w:rPr>
  </w:style>
  <w:style w:type="character" w:customStyle="1" w:styleId="ListLabel3436">
    <w:name w:val="ListLabel 3436"/>
    <w:qFormat/>
    <w:rPr>
      <w:rFonts w:cs="OpenSymbol"/>
    </w:rPr>
  </w:style>
  <w:style w:type="character" w:customStyle="1" w:styleId="ListLabel3437">
    <w:name w:val="ListLabel 3437"/>
    <w:qFormat/>
    <w:rPr>
      <w:rFonts w:cs="OpenSymbol"/>
    </w:rPr>
  </w:style>
  <w:style w:type="character" w:customStyle="1" w:styleId="ListLabel3438">
    <w:name w:val="ListLabel 3438"/>
    <w:qFormat/>
    <w:rPr>
      <w:rFonts w:cs="OpenSymbol"/>
    </w:rPr>
  </w:style>
  <w:style w:type="character" w:customStyle="1" w:styleId="ListLabel3439">
    <w:name w:val="ListLabel 3439"/>
    <w:qFormat/>
    <w:rPr>
      <w:rFonts w:cs="OpenSymbol"/>
    </w:rPr>
  </w:style>
  <w:style w:type="character" w:customStyle="1" w:styleId="ListLabel3440">
    <w:name w:val="ListLabel 3440"/>
    <w:qFormat/>
    <w:rPr>
      <w:rFonts w:cs="OpenSymbol"/>
    </w:rPr>
  </w:style>
  <w:style w:type="character" w:customStyle="1" w:styleId="ListLabel3441">
    <w:name w:val="ListLabel 3441"/>
    <w:qFormat/>
    <w:rPr>
      <w:rFonts w:cs="OpenSymbol"/>
    </w:rPr>
  </w:style>
  <w:style w:type="character" w:customStyle="1" w:styleId="ListLabel3442">
    <w:name w:val="ListLabel 3442"/>
    <w:qFormat/>
    <w:rPr>
      <w:rFonts w:cs="OpenSymbol"/>
    </w:rPr>
  </w:style>
  <w:style w:type="character" w:customStyle="1" w:styleId="ListLabel3443">
    <w:name w:val="ListLabel 3443"/>
    <w:qFormat/>
    <w:rPr>
      <w:rFonts w:cs="OpenSymbol"/>
    </w:rPr>
  </w:style>
  <w:style w:type="character" w:customStyle="1" w:styleId="ListLabel3444">
    <w:name w:val="ListLabel 3444"/>
    <w:qFormat/>
    <w:rPr>
      <w:rFonts w:cs="OpenSymbol"/>
    </w:rPr>
  </w:style>
  <w:style w:type="character" w:customStyle="1" w:styleId="ListLabel3445">
    <w:name w:val="ListLabel 3445"/>
    <w:qFormat/>
    <w:rPr>
      <w:rFonts w:cs="OpenSymbol"/>
    </w:rPr>
  </w:style>
  <w:style w:type="character" w:customStyle="1" w:styleId="ListLabel3446">
    <w:name w:val="ListLabel 3446"/>
    <w:qFormat/>
    <w:rPr>
      <w:rFonts w:cs="OpenSymbol"/>
    </w:rPr>
  </w:style>
  <w:style w:type="character" w:customStyle="1" w:styleId="ListLabel3447">
    <w:name w:val="ListLabel 3447"/>
    <w:qFormat/>
    <w:rPr>
      <w:rFonts w:cs="OpenSymbol"/>
    </w:rPr>
  </w:style>
  <w:style w:type="character" w:customStyle="1" w:styleId="ListLabel3448">
    <w:name w:val="ListLabel 3448"/>
    <w:qFormat/>
    <w:rPr>
      <w:rFonts w:cs="OpenSymbol"/>
    </w:rPr>
  </w:style>
  <w:style w:type="character" w:customStyle="1" w:styleId="ListLabel3449">
    <w:name w:val="ListLabel 3449"/>
    <w:qFormat/>
    <w:rPr>
      <w:rFonts w:cs="OpenSymbol"/>
    </w:rPr>
  </w:style>
  <w:style w:type="character" w:customStyle="1" w:styleId="ListLabel3450">
    <w:name w:val="ListLabel 3450"/>
    <w:qFormat/>
    <w:rPr>
      <w:rFonts w:cs="OpenSymbol"/>
    </w:rPr>
  </w:style>
  <w:style w:type="character" w:customStyle="1" w:styleId="ListLabel3451">
    <w:name w:val="ListLabel 3451"/>
    <w:qFormat/>
    <w:rPr>
      <w:rFonts w:cs="OpenSymbol"/>
    </w:rPr>
  </w:style>
  <w:style w:type="character" w:customStyle="1" w:styleId="ListLabel3452">
    <w:name w:val="ListLabel 3452"/>
    <w:qFormat/>
    <w:rPr>
      <w:rFonts w:cs="OpenSymbol"/>
    </w:rPr>
  </w:style>
  <w:style w:type="character" w:customStyle="1" w:styleId="ListLabel3453">
    <w:name w:val="ListLabel 3453"/>
    <w:qFormat/>
    <w:rPr>
      <w:rFonts w:cs="OpenSymbol"/>
    </w:rPr>
  </w:style>
  <w:style w:type="character" w:customStyle="1" w:styleId="ListLabel3454">
    <w:name w:val="ListLabel 3454"/>
    <w:qFormat/>
    <w:rPr>
      <w:rFonts w:cs="OpenSymbol"/>
    </w:rPr>
  </w:style>
  <w:style w:type="character" w:customStyle="1" w:styleId="ListLabel3455">
    <w:name w:val="ListLabel 3455"/>
    <w:qFormat/>
    <w:rPr>
      <w:rFonts w:cs="OpenSymbol"/>
    </w:rPr>
  </w:style>
  <w:style w:type="character" w:customStyle="1" w:styleId="ListLabel3456">
    <w:name w:val="ListLabel 3456"/>
    <w:qFormat/>
    <w:rPr>
      <w:rFonts w:cs="OpenSymbol"/>
    </w:rPr>
  </w:style>
  <w:style w:type="character" w:customStyle="1" w:styleId="ListLabel3457">
    <w:name w:val="ListLabel 3457"/>
    <w:qFormat/>
    <w:rPr>
      <w:rFonts w:cs="OpenSymbol"/>
    </w:rPr>
  </w:style>
  <w:style w:type="character" w:customStyle="1" w:styleId="ListLabel3458">
    <w:name w:val="ListLabel 3458"/>
    <w:qFormat/>
    <w:rPr>
      <w:rFonts w:cs="OpenSymbol"/>
    </w:rPr>
  </w:style>
  <w:style w:type="character" w:customStyle="1" w:styleId="ListLabel3459">
    <w:name w:val="ListLabel 3459"/>
    <w:qFormat/>
    <w:rPr>
      <w:rFonts w:cs="OpenSymbol"/>
    </w:rPr>
  </w:style>
  <w:style w:type="character" w:customStyle="1" w:styleId="ListLabel3460">
    <w:name w:val="ListLabel 3460"/>
    <w:qFormat/>
    <w:rPr>
      <w:rFonts w:cs="OpenSymbol"/>
    </w:rPr>
  </w:style>
  <w:style w:type="character" w:customStyle="1" w:styleId="ListLabel3461">
    <w:name w:val="ListLabel 3461"/>
    <w:qFormat/>
    <w:rPr>
      <w:rFonts w:cs="OpenSymbol"/>
    </w:rPr>
  </w:style>
  <w:style w:type="character" w:customStyle="1" w:styleId="ListLabel3462">
    <w:name w:val="ListLabel 3462"/>
    <w:qFormat/>
    <w:rPr>
      <w:rFonts w:cs="OpenSymbol"/>
    </w:rPr>
  </w:style>
  <w:style w:type="character" w:customStyle="1" w:styleId="ListLabel3463">
    <w:name w:val="ListLabel 3463"/>
    <w:qFormat/>
    <w:rPr>
      <w:rFonts w:cs="OpenSymbol"/>
    </w:rPr>
  </w:style>
  <w:style w:type="character" w:customStyle="1" w:styleId="ListLabel3464">
    <w:name w:val="ListLabel 3464"/>
    <w:qFormat/>
    <w:rPr>
      <w:rFonts w:cs="OpenSymbol"/>
    </w:rPr>
  </w:style>
  <w:style w:type="character" w:customStyle="1" w:styleId="ListLabel3465">
    <w:name w:val="ListLabel 3465"/>
    <w:qFormat/>
    <w:rPr>
      <w:rFonts w:cs="OpenSymbol"/>
    </w:rPr>
  </w:style>
  <w:style w:type="character" w:customStyle="1" w:styleId="ListLabel3466">
    <w:name w:val="ListLabel 3466"/>
    <w:qFormat/>
    <w:rPr>
      <w:rFonts w:cs="OpenSymbol"/>
    </w:rPr>
  </w:style>
  <w:style w:type="character" w:customStyle="1" w:styleId="ListLabel3467">
    <w:name w:val="ListLabel 3467"/>
    <w:qFormat/>
    <w:rPr>
      <w:rFonts w:cs="OpenSymbol"/>
    </w:rPr>
  </w:style>
  <w:style w:type="character" w:customStyle="1" w:styleId="ListLabel3468">
    <w:name w:val="ListLabel 3468"/>
    <w:qFormat/>
    <w:rPr>
      <w:rFonts w:cs="OpenSymbol"/>
    </w:rPr>
  </w:style>
  <w:style w:type="character" w:customStyle="1" w:styleId="ListLabel3469">
    <w:name w:val="ListLabel 3469"/>
    <w:qFormat/>
    <w:rPr>
      <w:rFonts w:cs="OpenSymbol"/>
    </w:rPr>
  </w:style>
  <w:style w:type="character" w:customStyle="1" w:styleId="ListLabel3470">
    <w:name w:val="ListLabel 3470"/>
    <w:qFormat/>
    <w:rPr>
      <w:rFonts w:cs="OpenSymbol"/>
    </w:rPr>
  </w:style>
  <w:style w:type="character" w:customStyle="1" w:styleId="ListLabel3471">
    <w:name w:val="ListLabel 3471"/>
    <w:qFormat/>
    <w:rPr>
      <w:rFonts w:cs="OpenSymbol"/>
    </w:rPr>
  </w:style>
  <w:style w:type="character" w:customStyle="1" w:styleId="ListLabel3472">
    <w:name w:val="ListLabel 3472"/>
    <w:qFormat/>
    <w:rPr>
      <w:rFonts w:cs="OpenSymbol"/>
    </w:rPr>
  </w:style>
  <w:style w:type="character" w:customStyle="1" w:styleId="ListLabel3473">
    <w:name w:val="ListLabel 3473"/>
    <w:qFormat/>
    <w:rPr>
      <w:rFonts w:cs="OpenSymbol"/>
    </w:rPr>
  </w:style>
  <w:style w:type="character" w:customStyle="1" w:styleId="ListLabel3474">
    <w:name w:val="ListLabel 3474"/>
    <w:qFormat/>
    <w:rPr>
      <w:rFonts w:cs="OpenSymbol"/>
    </w:rPr>
  </w:style>
  <w:style w:type="character" w:customStyle="1" w:styleId="ListLabel3475">
    <w:name w:val="ListLabel 3475"/>
    <w:qFormat/>
    <w:rPr>
      <w:rFonts w:cs="OpenSymbol"/>
    </w:rPr>
  </w:style>
  <w:style w:type="character" w:customStyle="1" w:styleId="ListLabel3476">
    <w:name w:val="ListLabel 3476"/>
    <w:qFormat/>
    <w:rPr>
      <w:rFonts w:cs="OpenSymbol"/>
    </w:rPr>
  </w:style>
  <w:style w:type="character" w:customStyle="1" w:styleId="ListLabel3477">
    <w:name w:val="ListLabel 3477"/>
    <w:qFormat/>
    <w:rPr>
      <w:rFonts w:cs="OpenSymbol"/>
    </w:rPr>
  </w:style>
  <w:style w:type="character" w:customStyle="1" w:styleId="ListLabel3478">
    <w:name w:val="ListLabel 3478"/>
    <w:qFormat/>
    <w:rPr>
      <w:rFonts w:cs="OpenSymbol"/>
    </w:rPr>
  </w:style>
  <w:style w:type="character" w:customStyle="1" w:styleId="ListLabel3479">
    <w:name w:val="ListLabel 3479"/>
    <w:qFormat/>
    <w:rPr>
      <w:rFonts w:cs="OpenSymbol"/>
    </w:rPr>
  </w:style>
  <w:style w:type="character" w:customStyle="1" w:styleId="ListLabel3480">
    <w:name w:val="ListLabel 3480"/>
    <w:qFormat/>
    <w:rPr>
      <w:rFonts w:cs="OpenSymbol"/>
    </w:rPr>
  </w:style>
  <w:style w:type="character" w:customStyle="1" w:styleId="ListLabel3481">
    <w:name w:val="ListLabel 3481"/>
    <w:qFormat/>
    <w:rPr>
      <w:rFonts w:cs="OpenSymbol"/>
    </w:rPr>
  </w:style>
  <w:style w:type="character" w:customStyle="1" w:styleId="ListLabel3482">
    <w:name w:val="ListLabel 3482"/>
    <w:qFormat/>
    <w:rPr>
      <w:rFonts w:cs="OpenSymbol"/>
    </w:rPr>
  </w:style>
  <w:style w:type="character" w:customStyle="1" w:styleId="ListLabel3483">
    <w:name w:val="ListLabel 3483"/>
    <w:qFormat/>
    <w:rPr>
      <w:rFonts w:cs="OpenSymbol"/>
    </w:rPr>
  </w:style>
  <w:style w:type="character" w:customStyle="1" w:styleId="ListLabel3484">
    <w:name w:val="ListLabel 3484"/>
    <w:qFormat/>
    <w:rPr>
      <w:rFonts w:cs="OpenSymbol"/>
    </w:rPr>
  </w:style>
  <w:style w:type="character" w:customStyle="1" w:styleId="ListLabel3485">
    <w:name w:val="ListLabel 3485"/>
    <w:qFormat/>
    <w:rPr>
      <w:rFonts w:cs="OpenSymbol"/>
    </w:rPr>
  </w:style>
  <w:style w:type="character" w:customStyle="1" w:styleId="ListLabel3486">
    <w:name w:val="ListLabel 3486"/>
    <w:qFormat/>
    <w:rPr>
      <w:rFonts w:cs="OpenSymbol"/>
    </w:rPr>
  </w:style>
  <w:style w:type="character" w:customStyle="1" w:styleId="ListLabel3487">
    <w:name w:val="ListLabel 3487"/>
    <w:qFormat/>
    <w:rPr>
      <w:rFonts w:cs="OpenSymbol"/>
    </w:rPr>
  </w:style>
  <w:style w:type="character" w:customStyle="1" w:styleId="ListLabel3488">
    <w:name w:val="ListLabel 3488"/>
    <w:qFormat/>
    <w:rPr>
      <w:rFonts w:cs="OpenSymbol"/>
    </w:rPr>
  </w:style>
  <w:style w:type="character" w:customStyle="1" w:styleId="ListLabel3489">
    <w:name w:val="ListLabel 3489"/>
    <w:qFormat/>
    <w:rPr>
      <w:rFonts w:cs="OpenSymbol"/>
    </w:rPr>
  </w:style>
  <w:style w:type="character" w:customStyle="1" w:styleId="ListLabel3490">
    <w:name w:val="ListLabel 3490"/>
    <w:qFormat/>
    <w:rPr>
      <w:rFonts w:cs="OpenSymbol"/>
    </w:rPr>
  </w:style>
  <w:style w:type="character" w:customStyle="1" w:styleId="ListLabel3491">
    <w:name w:val="ListLabel 3491"/>
    <w:qFormat/>
    <w:rPr>
      <w:rFonts w:cs="OpenSymbol"/>
    </w:rPr>
  </w:style>
  <w:style w:type="character" w:customStyle="1" w:styleId="ListLabel3492">
    <w:name w:val="ListLabel 3492"/>
    <w:qFormat/>
    <w:rPr>
      <w:rFonts w:cs="OpenSymbol"/>
    </w:rPr>
  </w:style>
  <w:style w:type="character" w:customStyle="1" w:styleId="ListLabel3493">
    <w:name w:val="ListLabel 3493"/>
    <w:qFormat/>
    <w:rPr>
      <w:rFonts w:cs="OpenSymbol"/>
    </w:rPr>
  </w:style>
  <w:style w:type="character" w:customStyle="1" w:styleId="ListLabel3494">
    <w:name w:val="ListLabel 3494"/>
    <w:qFormat/>
    <w:rPr>
      <w:rFonts w:cs="OpenSymbol"/>
    </w:rPr>
  </w:style>
  <w:style w:type="character" w:customStyle="1" w:styleId="ListLabel3495">
    <w:name w:val="ListLabel 3495"/>
    <w:qFormat/>
    <w:rPr>
      <w:rFonts w:cs="OpenSymbol"/>
    </w:rPr>
  </w:style>
  <w:style w:type="character" w:customStyle="1" w:styleId="ListLabel3496">
    <w:name w:val="ListLabel 3496"/>
    <w:qFormat/>
    <w:rPr>
      <w:rFonts w:cs="OpenSymbol"/>
    </w:rPr>
  </w:style>
  <w:style w:type="character" w:customStyle="1" w:styleId="ListLabel3497">
    <w:name w:val="ListLabel 3497"/>
    <w:qFormat/>
    <w:rPr>
      <w:rFonts w:cs="OpenSymbol"/>
    </w:rPr>
  </w:style>
  <w:style w:type="character" w:customStyle="1" w:styleId="ListLabel3498">
    <w:name w:val="ListLabel 3498"/>
    <w:qFormat/>
    <w:rPr>
      <w:rFonts w:cs="OpenSymbol"/>
    </w:rPr>
  </w:style>
  <w:style w:type="character" w:customStyle="1" w:styleId="ListLabel3499">
    <w:name w:val="ListLabel 3499"/>
    <w:qFormat/>
    <w:rPr>
      <w:rFonts w:cs="OpenSymbol"/>
    </w:rPr>
  </w:style>
  <w:style w:type="character" w:customStyle="1" w:styleId="ListLabel3500">
    <w:name w:val="ListLabel 3500"/>
    <w:qFormat/>
    <w:rPr>
      <w:rFonts w:cs="OpenSymbol"/>
    </w:rPr>
  </w:style>
  <w:style w:type="character" w:customStyle="1" w:styleId="ListLabel3501">
    <w:name w:val="ListLabel 3501"/>
    <w:qFormat/>
    <w:rPr>
      <w:rFonts w:cs="OpenSymbol"/>
    </w:rPr>
  </w:style>
  <w:style w:type="character" w:customStyle="1" w:styleId="ListLabel3502">
    <w:name w:val="ListLabel 3502"/>
    <w:qFormat/>
    <w:rPr>
      <w:rFonts w:cs="OpenSymbol"/>
    </w:rPr>
  </w:style>
  <w:style w:type="character" w:customStyle="1" w:styleId="ListLabel3503">
    <w:name w:val="ListLabel 3503"/>
    <w:qFormat/>
    <w:rPr>
      <w:rFonts w:cs="OpenSymbol"/>
    </w:rPr>
  </w:style>
  <w:style w:type="character" w:customStyle="1" w:styleId="ListLabel3504">
    <w:name w:val="ListLabel 3504"/>
    <w:qFormat/>
    <w:rPr>
      <w:rFonts w:cs="OpenSymbol"/>
    </w:rPr>
  </w:style>
  <w:style w:type="character" w:customStyle="1" w:styleId="ListLabel3505">
    <w:name w:val="ListLabel 3505"/>
    <w:qFormat/>
    <w:rPr>
      <w:rFonts w:cs="OpenSymbol"/>
    </w:rPr>
  </w:style>
  <w:style w:type="character" w:customStyle="1" w:styleId="ListLabel3506">
    <w:name w:val="ListLabel 3506"/>
    <w:qFormat/>
    <w:rPr>
      <w:rFonts w:cs="OpenSymbol"/>
    </w:rPr>
  </w:style>
  <w:style w:type="character" w:customStyle="1" w:styleId="ListLabel3507">
    <w:name w:val="ListLabel 3507"/>
    <w:qFormat/>
    <w:rPr>
      <w:rFonts w:cs="OpenSymbol"/>
    </w:rPr>
  </w:style>
  <w:style w:type="character" w:customStyle="1" w:styleId="ListLabel3508">
    <w:name w:val="ListLabel 3508"/>
    <w:qFormat/>
    <w:rPr>
      <w:rFonts w:cs="OpenSymbol"/>
    </w:rPr>
  </w:style>
  <w:style w:type="character" w:customStyle="1" w:styleId="ListLabel3509">
    <w:name w:val="ListLabel 3509"/>
    <w:qFormat/>
    <w:rPr>
      <w:rFonts w:cs="OpenSymbol"/>
    </w:rPr>
  </w:style>
  <w:style w:type="character" w:customStyle="1" w:styleId="ListLabel3510">
    <w:name w:val="ListLabel 3510"/>
    <w:qFormat/>
    <w:rPr>
      <w:rFonts w:cs="OpenSymbol"/>
    </w:rPr>
  </w:style>
  <w:style w:type="character" w:customStyle="1" w:styleId="ListLabel3511">
    <w:name w:val="ListLabel 3511"/>
    <w:qFormat/>
    <w:rPr>
      <w:rFonts w:cs="OpenSymbol"/>
    </w:rPr>
  </w:style>
  <w:style w:type="character" w:customStyle="1" w:styleId="ListLabel3512">
    <w:name w:val="ListLabel 3512"/>
    <w:qFormat/>
    <w:rPr>
      <w:rFonts w:cs="OpenSymbol"/>
    </w:rPr>
  </w:style>
  <w:style w:type="character" w:customStyle="1" w:styleId="ListLabel3513">
    <w:name w:val="ListLabel 3513"/>
    <w:qFormat/>
    <w:rPr>
      <w:rFonts w:cs="OpenSymbol"/>
    </w:rPr>
  </w:style>
  <w:style w:type="character" w:customStyle="1" w:styleId="ListLabel3514">
    <w:name w:val="ListLabel 3514"/>
    <w:qFormat/>
    <w:rPr>
      <w:rFonts w:eastAsia="Calibri"/>
      <w:color w:val="000000"/>
      <w:sz w:val="28"/>
      <w:u w:val="none"/>
    </w:rPr>
  </w:style>
  <w:style w:type="character" w:customStyle="1" w:styleId="ListLabel3515">
    <w:name w:val="ListLabel 3515"/>
    <w:qFormat/>
    <w:rPr>
      <w:rFonts w:eastAsia="Calibri"/>
      <w:color w:val="000000"/>
      <w:sz w:val="28"/>
      <w:u w:val="none"/>
      <w:lang w:val="en-US"/>
    </w:rPr>
  </w:style>
  <w:style w:type="character" w:customStyle="1" w:styleId="ListLabel3516">
    <w:name w:val="ListLabel 3516"/>
    <w:qFormat/>
    <w:rPr>
      <w:rFonts w:eastAsia="Calibri"/>
      <w:color w:val="000000"/>
      <w:sz w:val="28"/>
      <w:u w:val="none"/>
      <w:lang w:val="uk-UA"/>
    </w:rPr>
  </w:style>
  <w:style w:type="character" w:customStyle="1" w:styleId="ListLabel3517">
    <w:name w:val="ListLabel 3517"/>
    <w:qFormat/>
    <w:rPr>
      <w:color w:val="000000"/>
      <w:sz w:val="28"/>
      <w:u w:val="none"/>
    </w:rPr>
  </w:style>
  <w:style w:type="character" w:customStyle="1" w:styleId="ListLabel3518">
    <w:name w:val="ListLabel 3518"/>
    <w:qFormat/>
    <w:rPr>
      <w:rFonts w:eastAsia="Calibri"/>
      <w:color w:val="C9211E"/>
      <w:sz w:val="28"/>
    </w:rPr>
  </w:style>
  <w:style w:type="character" w:customStyle="1" w:styleId="ListLabel3519">
    <w:name w:val="ListLabel 3519"/>
    <w:qFormat/>
    <w:rPr>
      <w:rFonts w:eastAsia="Calibri" w:cs="Times New Roman"/>
      <w:b/>
      <w:bCs/>
      <w:kern w:val="2"/>
      <w:sz w:val="28"/>
      <w:szCs w:val="28"/>
      <w:lang w:val="uk-UA" w:eastAsia="ru-RU"/>
    </w:rPr>
  </w:style>
  <w:style w:type="character" w:customStyle="1" w:styleId="ListLabel3520">
    <w:name w:val="ListLabel 3520"/>
    <w:qFormat/>
    <w:rPr>
      <w:rFonts w:eastAsia="Calibri"/>
      <w:b/>
      <w:bCs/>
      <w:color w:val="000000"/>
      <w:sz w:val="28"/>
      <w:u w:val="none"/>
      <w:lang w:val="en-US"/>
    </w:rPr>
  </w:style>
  <w:style w:type="character" w:customStyle="1" w:styleId="ListLabel3521">
    <w:name w:val="ListLabel 3521"/>
    <w:qFormat/>
    <w:rPr>
      <w:b w:val="0"/>
      <w:bCs w:val="0"/>
      <w:color w:val="FF8000"/>
      <w:sz w:val="28"/>
      <w:szCs w:val="28"/>
      <w:highlight w:val="yellow"/>
      <w:lang w:val="ru-RU"/>
    </w:rPr>
  </w:style>
  <w:style w:type="character" w:customStyle="1" w:styleId="ListLabel3522">
    <w:name w:val="ListLabel 3522"/>
    <w:qFormat/>
    <w:rPr>
      <w:b w:val="0"/>
      <w:bCs w:val="0"/>
      <w:i w:val="0"/>
      <w:caps w:val="0"/>
      <w:smallCaps w:val="0"/>
      <w:color w:val="158466"/>
      <w:spacing w:val="0"/>
      <w:sz w:val="28"/>
      <w:szCs w:val="28"/>
      <w:highlight w:val="yellow"/>
      <w:lang w:val="uk-UA"/>
    </w:rPr>
  </w:style>
  <w:style w:type="character" w:customStyle="1" w:styleId="ListLabel3523">
    <w:name w:val="ListLabel 3523"/>
    <w:qFormat/>
    <w:rPr>
      <w:rFonts w:eastAsia="Times New Roman" w:cs="Times New Roman"/>
      <w:b w:val="0"/>
      <w:bCs w:val="0"/>
      <w:i w:val="0"/>
      <w:caps w:val="0"/>
      <w:smallCaps w:val="0"/>
      <w:strike w:val="0"/>
      <w:dstrike w:val="0"/>
      <w:color w:val="000000"/>
      <w:spacing w:val="0"/>
      <w:kern w:val="2"/>
      <w:sz w:val="28"/>
      <w:szCs w:val="28"/>
      <w:highlight w:val="yellow"/>
      <w:u w:val="none"/>
      <w:effect w:val="none"/>
      <w:lang w:val="uk-UA"/>
    </w:rPr>
  </w:style>
  <w:style w:type="character" w:customStyle="1" w:styleId="ListLabel3524">
    <w:name w:val="ListLabel 3524"/>
    <w:qFormat/>
    <w:rPr>
      <w:rFonts w:eastAsia="Times New Roman" w:cs="Times New Roman"/>
      <w:b w:val="0"/>
      <w:bCs w:val="0"/>
      <w:i w:val="0"/>
      <w:caps w:val="0"/>
      <w:smallCaps w:val="0"/>
      <w:strike w:val="0"/>
      <w:dstrike w:val="0"/>
      <w:color w:val="2C2C2C"/>
      <w:spacing w:val="0"/>
      <w:kern w:val="2"/>
      <w:sz w:val="28"/>
      <w:szCs w:val="28"/>
      <w:highlight w:val="yellow"/>
      <w:u w:val="none"/>
      <w:effect w:val="none"/>
      <w:lang w:val="en-US"/>
    </w:rPr>
  </w:style>
  <w:style w:type="character" w:customStyle="1" w:styleId="ListLabel3525">
    <w:name w:val="ListLabel 3525"/>
    <w:qFormat/>
  </w:style>
  <w:style w:type="character" w:customStyle="1" w:styleId="ListLabel3526">
    <w:name w:val="ListLabel 3526"/>
    <w:qFormat/>
  </w:style>
  <w:style w:type="character" w:customStyle="1" w:styleId="ListLabel3527">
    <w:name w:val="ListLabel 3527"/>
    <w:qFormat/>
    <w:rPr>
      <w:b w:val="0"/>
      <w:i w:val="0"/>
      <w:caps w:val="0"/>
      <w:smallCaps w:val="0"/>
      <w:strike w:val="0"/>
      <w:dstrike w:val="0"/>
      <w:color w:val="2C72B7"/>
      <w:spacing w:val="0"/>
      <w:sz w:val="28"/>
      <w:szCs w:val="28"/>
      <w:highlight w:val="yellow"/>
      <w:u w:val="none"/>
      <w:effect w:val="none"/>
    </w:rPr>
  </w:style>
  <w:style w:type="character" w:customStyle="1" w:styleId="ListLabel3528">
    <w:name w:val="ListLabel 3528"/>
    <w:qFormat/>
    <w:rPr>
      <w:b w:val="0"/>
      <w:i w:val="0"/>
      <w:caps w:val="0"/>
      <w:smallCaps w:val="0"/>
      <w:color w:val="FF8000"/>
      <w:spacing w:val="0"/>
      <w:sz w:val="28"/>
      <w:szCs w:val="28"/>
      <w:u w:val="none"/>
    </w:rPr>
  </w:style>
  <w:style w:type="character" w:customStyle="1" w:styleId="ListLabel3529">
    <w:name w:val="ListLabel 3529"/>
    <w:qFormat/>
    <w:rPr>
      <w:b w:val="0"/>
      <w:strike w:val="0"/>
      <w:dstrike w:val="0"/>
      <w:color w:val="FF8000"/>
      <w:sz w:val="28"/>
      <w:szCs w:val="28"/>
      <w:highlight w:val="darkBlue"/>
      <w:u w:val="none"/>
      <w:effect w:val="none"/>
    </w:rPr>
  </w:style>
  <w:style w:type="character" w:customStyle="1" w:styleId="ListLabel3530">
    <w:name w:val="ListLabel 3530"/>
    <w:qFormat/>
    <w:rPr>
      <w:b w:val="0"/>
      <w:i w:val="0"/>
      <w:caps w:val="0"/>
      <w:smallCaps w:val="0"/>
      <w:strike w:val="0"/>
      <w:dstrike w:val="0"/>
      <w:color w:val="FF8000"/>
      <w:spacing w:val="0"/>
      <w:sz w:val="28"/>
      <w:szCs w:val="28"/>
      <w:u w:val="single"/>
    </w:rPr>
  </w:style>
  <w:style w:type="character" w:customStyle="1" w:styleId="ListLabel3531">
    <w:name w:val="ListLabel 3531"/>
    <w:qFormat/>
    <w:rPr>
      <w:b w:val="0"/>
      <w:i w:val="0"/>
      <w:caps w:val="0"/>
      <w:smallCaps w:val="0"/>
      <w:color w:val="FF8000"/>
      <w:spacing w:val="0"/>
      <w:sz w:val="28"/>
      <w:szCs w:val="28"/>
      <w:u w:val="single"/>
    </w:rPr>
  </w:style>
  <w:style w:type="character" w:customStyle="1" w:styleId="ListLabel3532">
    <w:name w:val="ListLabel 3532"/>
    <w:qFormat/>
    <w:rPr>
      <w:rFonts w:eastAsia="Times New Roman" w:cs="Arial"/>
      <w:b w:val="0"/>
      <w:bCs/>
      <w:i w:val="0"/>
      <w:caps w:val="0"/>
      <w:smallCaps w:val="0"/>
      <w:strike w:val="0"/>
      <w:dstrike w:val="0"/>
      <w:color w:val="FF8000"/>
      <w:spacing w:val="0"/>
      <w:kern w:val="2"/>
      <w:sz w:val="28"/>
      <w:szCs w:val="28"/>
      <w:highlight w:val="yellow"/>
      <w:effect w:val="none"/>
    </w:rPr>
  </w:style>
  <w:style w:type="character" w:customStyle="1" w:styleId="ListLabel3533">
    <w:name w:val="ListLabel 3533"/>
    <w:qFormat/>
    <w:rPr>
      <w:rFonts w:eastAsia="Times New Roman" w:cs="Times New Roman"/>
      <w:b w:val="0"/>
      <w:bCs w:val="0"/>
      <w:i w:val="0"/>
      <w:caps w:val="0"/>
      <w:smallCaps w:val="0"/>
      <w:strike w:val="0"/>
      <w:dstrike w:val="0"/>
      <w:color w:val="3366CC"/>
      <w:spacing w:val="0"/>
      <w:kern w:val="2"/>
      <w:sz w:val="28"/>
      <w:szCs w:val="28"/>
      <w:highlight w:val="white"/>
      <w:u w:val="none"/>
      <w:effect w:val="none"/>
      <w:lang w:val="uk-UA" w:eastAsia="ru-RU"/>
    </w:rPr>
  </w:style>
  <w:style w:type="character" w:customStyle="1" w:styleId="ListLabel3534">
    <w:name w:val="ListLabel 3534"/>
    <w:qFormat/>
    <w:rPr>
      <w:sz w:val="28"/>
      <w:szCs w:val="28"/>
      <w:lang w:val="uk-UA"/>
    </w:rPr>
  </w:style>
  <w:style w:type="character" w:customStyle="1" w:styleId="ListLabel3535">
    <w:name w:val="ListLabel 3535"/>
    <w:qFormat/>
    <w:rPr>
      <w:b/>
      <w:bCs/>
      <w:color w:val="FF8000"/>
      <w:sz w:val="28"/>
      <w:szCs w:val="28"/>
      <w:highlight w:val="yellow"/>
      <w:lang w:val="ru-RU"/>
    </w:rPr>
  </w:style>
  <w:style w:type="character" w:customStyle="1" w:styleId="ListLabel3536">
    <w:name w:val="ListLabel 3536"/>
    <w:qFormat/>
    <w:rPr>
      <w:rFonts w:cs="OpenSymbol"/>
      <w:b w:val="0"/>
      <w:sz w:val="28"/>
    </w:rPr>
  </w:style>
  <w:style w:type="character" w:customStyle="1" w:styleId="ListLabel3537">
    <w:name w:val="ListLabel 3537"/>
    <w:qFormat/>
    <w:rPr>
      <w:rFonts w:cs="OpenSymbol"/>
    </w:rPr>
  </w:style>
  <w:style w:type="character" w:customStyle="1" w:styleId="ListLabel3538">
    <w:name w:val="ListLabel 3538"/>
    <w:qFormat/>
    <w:rPr>
      <w:rFonts w:cs="OpenSymbol"/>
    </w:rPr>
  </w:style>
  <w:style w:type="character" w:customStyle="1" w:styleId="ListLabel3539">
    <w:name w:val="ListLabel 3539"/>
    <w:qFormat/>
    <w:rPr>
      <w:rFonts w:cs="OpenSymbol"/>
    </w:rPr>
  </w:style>
  <w:style w:type="character" w:customStyle="1" w:styleId="ListLabel3540">
    <w:name w:val="ListLabel 3540"/>
    <w:qFormat/>
    <w:rPr>
      <w:rFonts w:cs="OpenSymbol"/>
    </w:rPr>
  </w:style>
  <w:style w:type="character" w:customStyle="1" w:styleId="ListLabel3541">
    <w:name w:val="ListLabel 3541"/>
    <w:qFormat/>
    <w:rPr>
      <w:rFonts w:cs="OpenSymbol"/>
    </w:rPr>
  </w:style>
  <w:style w:type="character" w:customStyle="1" w:styleId="ListLabel3542">
    <w:name w:val="ListLabel 3542"/>
    <w:qFormat/>
    <w:rPr>
      <w:rFonts w:cs="OpenSymbol"/>
    </w:rPr>
  </w:style>
  <w:style w:type="character" w:customStyle="1" w:styleId="ListLabel3543">
    <w:name w:val="ListLabel 3543"/>
    <w:qFormat/>
    <w:rPr>
      <w:rFonts w:cs="OpenSymbol"/>
    </w:rPr>
  </w:style>
  <w:style w:type="character" w:customStyle="1" w:styleId="ListLabel3544">
    <w:name w:val="ListLabel 3544"/>
    <w:qFormat/>
    <w:rPr>
      <w:rFonts w:cs="OpenSymbol"/>
    </w:rPr>
  </w:style>
  <w:style w:type="character" w:customStyle="1" w:styleId="ListLabel3545">
    <w:name w:val="ListLabel 3545"/>
    <w:qFormat/>
    <w:rPr>
      <w:rFonts w:cs="OpenSymbol"/>
      <w:b w:val="0"/>
      <w:sz w:val="28"/>
    </w:rPr>
  </w:style>
  <w:style w:type="character" w:customStyle="1" w:styleId="ListLabel3546">
    <w:name w:val="ListLabel 3546"/>
    <w:qFormat/>
    <w:rPr>
      <w:rFonts w:cs="OpenSymbol"/>
    </w:rPr>
  </w:style>
  <w:style w:type="character" w:customStyle="1" w:styleId="ListLabel3547">
    <w:name w:val="ListLabel 3547"/>
    <w:qFormat/>
    <w:rPr>
      <w:rFonts w:cs="OpenSymbol"/>
    </w:rPr>
  </w:style>
  <w:style w:type="character" w:customStyle="1" w:styleId="ListLabel3548">
    <w:name w:val="ListLabel 3548"/>
    <w:qFormat/>
    <w:rPr>
      <w:rFonts w:cs="OpenSymbol"/>
    </w:rPr>
  </w:style>
  <w:style w:type="character" w:customStyle="1" w:styleId="ListLabel3549">
    <w:name w:val="ListLabel 3549"/>
    <w:qFormat/>
    <w:rPr>
      <w:rFonts w:cs="OpenSymbol"/>
    </w:rPr>
  </w:style>
  <w:style w:type="character" w:customStyle="1" w:styleId="ListLabel3550">
    <w:name w:val="ListLabel 3550"/>
    <w:qFormat/>
    <w:rPr>
      <w:rFonts w:cs="OpenSymbol"/>
    </w:rPr>
  </w:style>
  <w:style w:type="character" w:customStyle="1" w:styleId="ListLabel3551">
    <w:name w:val="ListLabel 3551"/>
    <w:qFormat/>
    <w:rPr>
      <w:rFonts w:cs="OpenSymbol"/>
    </w:rPr>
  </w:style>
  <w:style w:type="character" w:customStyle="1" w:styleId="ListLabel3552">
    <w:name w:val="ListLabel 3552"/>
    <w:qFormat/>
    <w:rPr>
      <w:rFonts w:cs="OpenSymbol"/>
    </w:rPr>
  </w:style>
  <w:style w:type="character" w:customStyle="1" w:styleId="ListLabel3553">
    <w:name w:val="ListLabel 3553"/>
    <w:qFormat/>
    <w:rPr>
      <w:rFonts w:cs="OpenSymbol"/>
    </w:rPr>
  </w:style>
  <w:style w:type="character" w:customStyle="1" w:styleId="ListLabel3554">
    <w:name w:val="ListLabel 3554"/>
    <w:qFormat/>
    <w:rPr>
      <w:rFonts w:cs="OpenSymbol"/>
      <w:b w:val="0"/>
      <w:sz w:val="28"/>
    </w:rPr>
  </w:style>
  <w:style w:type="character" w:customStyle="1" w:styleId="ListLabel3555">
    <w:name w:val="ListLabel 3555"/>
    <w:qFormat/>
    <w:rPr>
      <w:rFonts w:cs="OpenSymbol"/>
    </w:rPr>
  </w:style>
  <w:style w:type="character" w:customStyle="1" w:styleId="ListLabel3556">
    <w:name w:val="ListLabel 3556"/>
    <w:qFormat/>
    <w:rPr>
      <w:rFonts w:cs="OpenSymbol"/>
    </w:rPr>
  </w:style>
  <w:style w:type="character" w:customStyle="1" w:styleId="ListLabel3557">
    <w:name w:val="ListLabel 3557"/>
    <w:qFormat/>
    <w:rPr>
      <w:rFonts w:cs="OpenSymbol"/>
    </w:rPr>
  </w:style>
  <w:style w:type="character" w:customStyle="1" w:styleId="ListLabel3558">
    <w:name w:val="ListLabel 3558"/>
    <w:qFormat/>
    <w:rPr>
      <w:rFonts w:cs="OpenSymbol"/>
    </w:rPr>
  </w:style>
  <w:style w:type="character" w:customStyle="1" w:styleId="ListLabel3559">
    <w:name w:val="ListLabel 3559"/>
    <w:qFormat/>
    <w:rPr>
      <w:rFonts w:cs="OpenSymbol"/>
    </w:rPr>
  </w:style>
  <w:style w:type="character" w:customStyle="1" w:styleId="ListLabel3560">
    <w:name w:val="ListLabel 3560"/>
    <w:qFormat/>
    <w:rPr>
      <w:rFonts w:cs="OpenSymbol"/>
    </w:rPr>
  </w:style>
  <w:style w:type="character" w:customStyle="1" w:styleId="ListLabel3561">
    <w:name w:val="ListLabel 3561"/>
    <w:qFormat/>
    <w:rPr>
      <w:rFonts w:cs="OpenSymbol"/>
    </w:rPr>
  </w:style>
  <w:style w:type="character" w:customStyle="1" w:styleId="ListLabel3562">
    <w:name w:val="ListLabel 3562"/>
    <w:qFormat/>
    <w:rPr>
      <w:rFonts w:cs="OpenSymbol"/>
    </w:rPr>
  </w:style>
  <w:style w:type="character" w:customStyle="1" w:styleId="ListLabel3563">
    <w:name w:val="ListLabel 3563"/>
    <w:qFormat/>
    <w:rPr>
      <w:rFonts w:cs="OpenSymbol"/>
    </w:rPr>
  </w:style>
  <w:style w:type="character" w:customStyle="1" w:styleId="ListLabel3564">
    <w:name w:val="ListLabel 3564"/>
    <w:qFormat/>
    <w:rPr>
      <w:rFonts w:cs="OpenSymbol"/>
    </w:rPr>
  </w:style>
  <w:style w:type="character" w:customStyle="1" w:styleId="ListLabel3565">
    <w:name w:val="ListLabel 3565"/>
    <w:qFormat/>
    <w:rPr>
      <w:rFonts w:cs="OpenSymbol"/>
    </w:rPr>
  </w:style>
  <w:style w:type="character" w:customStyle="1" w:styleId="ListLabel3566">
    <w:name w:val="ListLabel 3566"/>
    <w:qFormat/>
    <w:rPr>
      <w:rFonts w:cs="OpenSymbol"/>
    </w:rPr>
  </w:style>
  <w:style w:type="character" w:customStyle="1" w:styleId="ListLabel3567">
    <w:name w:val="ListLabel 3567"/>
    <w:qFormat/>
    <w:rPr>
      <w:rFonts w:cs="OpenSymbol"/>
    </w:rPr>
  </w:style>
  <w:style w:type="character" w:customStyle="1" w:styleId="ListLabel3568">
    <w:name w:val="ListLabel 3568"/>
    <w:qFormat/>
    <w:rPr>
      <w:rFonts w:cs="OpenSymbol"/>
    </w:rPr>
  </w:style>
  <w:style w:type="character" w:customStyle="1" w:styleId="ListLabel3569">
    <w:name w:val="ListLabel 3569"/>
    <w:qFormat/>
    <w:rPr>
      <w:rFonts w:cs="OpenSymbol"/>
    </w:rPr>
  </w:style>
  <w:style w:type="character" w:customStyle="1" w:styleId="ListLabel3570">
    <w:name w:val="ListLabel 3570"/>
    <w:qFormat/>
    <w:rPr>
      <w:rFonts w:cs="OpenSymbol"/>
    </w:rPr>
  </w:style>
  <w:style w:type="character" w:customStyle="1" w:styleId="ListLabel3571">
    <w:name w:val="ListLabel 3571"/>
    <w:qFormat/>
    <w:rPr>
      <w:rFonts w:cs="OpenSymbol"/>
    </w:rPr>
  </w:style>
  <w:style w:type="character" w:customStyle="1" w:styleId="ListLabel3572">
    <w:name w:val="ListLabel 3572"/>
    <w:qFormat/>
    <w:rPr>
      <w:rFonts w:cs="OpenSymbol"/>
    </w:rPr>
  </w:style>
  <w:style w:type="character" w:customStyle="1" w:styleId="ListLabel3573">
    <w:name w:val="ListLabel 3573"/>
    <w:qFormat/>
    <w:rPr>
      <w:rFonts w:cs="OpenSymbol"/>
    </w:rPr>
  </w:style>
  <w:style w:type="character" w:customStyle="1" w:styleId="ListLabel3574">
    <w:name w:val="ListLabel 3574"/>
    <w:qFormat/>
    <w:rPr>
      <w:rFonts w:cs="OpenSymbol"/>
    </w:rPr>
  </w:style>
  <w:style w:type="character" w:customStyle="1" w:styleId="ListLabel3575">
    <w:name w:val="ListLabel 3575"/>
    <w:qFormat/>
    <w:rPr>
      <w:rFonts w:cs="OpenSymbol"/>
    </w:rPr>
  </w:style>
  <w:style w:type="character" w:customStyle="1" w:styleId="ListLabel3576">
    <w:name w:val="ListLabel 3576"/>
    <w:qFormat/>
    <w:rPr>
      <w:rFonts w:cs="OpenSymbol"/>
    </w:rPr>
  </w:style>
  <w:style w:type="character" w:customStyle="1" w:styleId="ListLabel3577">
    <w:name w:val="ListLabel 3577"/>
    <w:qFormat/>
    <w:rPr>
      <w:rFonts w:cs="OpenSymbol"/>
    </w:rPr>
  </w:style>
  <w:style w:type="character" w:customStyle="1" w:styleId="ListLabel3578">
    <w:name w:val="ListLabel 3578"/>
    <w:qFormat/>
    <w:rPr>
      <w:rFonts w:cs="OpenSymbol"/>
    </w:rPr>
  </w:style>
  <w:style w:type="character" w:customStyle="1" w:styleId="ListLabel3579">
    <w:name w:val="ListLabel 3579"/>
    <w:qFormat/>
    <w:rPr>
      <w:rFonts w:cs="OpenSymbol"/>
    </w:rPr>
  </w:style>
  <w:style w:type="character" w:customStyle="1" w:styleId="ListLabel3580">
    <w:name w:val="ListLabel 3580"/>
    <w:qFormat/>
    <w:rPr>
      <w:rFonts w:cs="OpenSymbol"/>
    </w:rPr>
  </w:style>
  <w:style w:type="character" w:customStyle="1" w:styleId="ListLabel3581">
    <w:name w:val="ListLabel 3581"/>
    <w:qFormat/>
    <w:rPr>
      <w:rFonts w:cs="OpenSymbol"/>
    </w:rPr>
  </w:style>
  <w:style w:type="character" w:customStyle="1" w:styleId="ListLabel3582">
    <w:name w:val="ListLabel 3582"/>
    <w:qFormat/>
    <w:rPr>
      <w:rFonts w:cs="OpenSymbol"/>
    </w:rPr>
  </w:style>
  <w:style w:type="character" w:customStyle="1" w:styleId="ListLabel3583">
    <w:name w:val="ListLabel 3583"/>
    <w:qFormat/>
    <w:rPr>
      <w:rFonts w:cs="OpenSymbol"/>
    </w:rPr>
  </w:style>
  <w:style w:type="character" w:customStyle="1" w:styleId="ListLabel3584">
    <w:name w:val="ListLabel 3584"/>
    <w:qFormat/>
    <w:rPr>
      <w:rFonts w:cs="OpenSymbol"/>
    </w:rPr>
  </w:style>
  <w:style w:type="character" w:customStyle="1" w:styleId="ListLabel3585">
    <w:name w:val="ListLabel 3585"/>
    <w:qFormat/>
    <w:rPr>
      <w:rFonts w:cs="OpenSymbol"/>
    </w:rPr>
  </w:style>
  <w:style w:type="character" w:customStyle="1" w:styleId="ListLabel3586">
    <w:name w:val="ListLabel 3586"/>
    <w:qFormat/>
    <w:rPr>
      <w:rFonts w:cs="OpenSymbol"/>
    </w:rPr>
  </w:style>
  <w:style w:type="character" w:customStyle="1" w:styleId="ListLabel3587">
    <w:name w:val="ListLabel 3587"/>
    <w:qFormat/>
    <w:rPr>
      <w:rFonts w:cs="OpenSymbol"/>
    </w:rPr>
  </w:style>
  <w:style w:type="character" w:customStyle="1" w:styleId="ListLabel3588">
    <w:name w:val="ListLabel 3588"/>
    <w:qFormat/>
    <w:rPr>
      <w:rFonts w:cs="OpenSymbol"/>
    </w:rPr>
  </w:style>
  <w:style w:type="character" w:customStyle="1" w:styleId="ListLabel3589">
    <w:name w:val="ListLabel 3589"/>
    <w:qFormat/>
    <w:rPr>
      <w:rFonts w:cs="OpenSymbol"/>
    </w:rPr>
  </w:style>
  <w:style w:type="character" w:customStyle="1" w:styleId="ListLabel3590">
    <w:name w:val="ListLabel 3590"/>
    <w:qFormat/>
    <w:rPr>
      <w:rFonts w:cs="OpenSymbol"/>
    </w:rPr>
  </w:style>
  <w:style w:type="character" w:customStyle="1" w:styleId="ListLabel3591">
    <w:name w:val="ListLabel 3591"/>
    <w:qFormat/>
    <w:rPr>
      <w:rFonts w:cs="OpenSymbol"/>
    </w:rPr>
  </w:style>
  <w:style w:type="character" w:customStyle="1" w:styleId="ListLabel3592">
    <w:name w:val="ListLabel 3592"/>
    <w:qFormat/>
    <w:rPr>
      <w:rFonts w:cs="OpenSymbol"/>
    </w:rPr>
  </w:style>
  <w:style w:type="character" w:customStyle="1" w:styleId="ListLabel3593">
    <w:name w:val="ListLabel 3593"/>
    <w:qFormat/>
    <w:rPr>
      <w:rFonts w:cs="OpenSymbol"/>
    </w:rPr>
  </w:style>
  <w:style w:type="character" w:customStyle="1" w:styleId="ListLabel3594">
    <w:name w:val="ListLabel 3594"/>
    <w:qFormat/>
    <w:rPr>
      <w:rFonts w:cs="OpenSymbol"/>
    </w:rPr>
  </w:style>
  <w:style w:type="character" w:customStyle="1" w:styleId="ListLabel3595">
    <w:name w:val="ListLabel 3595"/>
    <w:qFormat/>
    <w:rPr>
      <w:rFonts w:cs="OpenSymbol"/>
    </w:rPr>
  </w:style>
  <w:style w:type="character" w:customStyle="1" w:styleId="ListLabel3596">
    <w:name w:val="ListLabel 3596"/>
    <w:qFormat/>
    <w:rPr>
      <w:rFonts w:cs="OpenSymbol"/>
    </w:rPr>
  </w:style>
  <w:style w:type="character" w:customStyle="1" w:styleId="ListLabel3597">
    <w:name w:val="ListLabel 3597"/>
    <w:qFormat/>
    <w:rPr>
      <w:rFonts w:cs="OpenSymbol"/>
    </w:rPr>
  </w:style>
  <w:style w:type="character" w:customStyle="1" w:styleId="ListLabel3598">
    <w:name w:val="ListLabel 3598"/>
    <w:qFormat/>
    <w:rPr>
      <w:rFonts w:cs="OpenSymbol"/>
    </w:rPr>
  </w:style>
  <w:style w:type="character" w:customStyle="1" w:styleId="ListLabel3599">
    <w:name w:val="ListLabel 3599"/>
    <w:qFormat/>
    <w:rPr>
      <w:rFonts w:cs="OpenSymbol"/>
    </w:rPr>
  </w:style>
  <w:style w:type="character" w:customStyle="1" w:styleId="ListLabel3600">
    <w:name w:val="ListLabel 3600"/>
    <w:qFormat/>
    <w:rPr>
      <w:rFonts w:cs="OpenSymbol"/>
    </w:rPr>
  </w:style>
  <w:style w:type="character" w:customStyle="1" w:styleId="ListLabel3601">
    <w:name w:val="ListLabel 3601"/>
    <w:qFormat/>
    <w:rPr>
      <w:rFonts w:cs="OpenSymbol"/>
    </w:rPr>
  </w:style>
  <w:style w:type="character" w:customStyle="1" w:styleId="ListLabel3602">
    <w:name w:val="ListLabel 3602"/>
    <w:qFormat/>
    <w:rPr>
      <w:rFonts w:cs="OpenSymbol"/>
    </w:rPr>
  </w:style>
  <w:style w:type="character" w:customStyle="1" w:styleId="ListLabel3603">
    <w:name w:val="ListLabel 3603"/>
    <w:qFormat/>
    <w:rPr>
      <w:rFonts w:cs="OpenSymbol"/>
    </w:rPr>
  </w:style>
  <w:style w:type="character" w:customStyle="1" w:styleId="ListLabel3604">
    <w:name w:val="ListLabel 3604"/>
    <w:qFormat/>
    <w:rPr>
      <w:rFonts w:cs="OpenSymbol"/>
    </w:rPr>
  </w:style>
  <w:style w:type="character" w:customStyle="1" w:styleId="ListLabel3605">
    <w:name w:val="ListLabel 3605"/>
    <w:qFormat/>
    <w:rPr>
      <w:rFonts w:cs="OpenSymbol"/>
    </w:rPr>
  </w:style>
  <w:style w:type="character" w:customStyle="1" w:styleId="ListLabel3606">
    <w:name w:val="ListLabel 3606"/>
    <w:qFormat/>
    <w:rPr>
      <w:rFonts w:cs="OpenSymbol"/>
    </w:rPr>
  </w:style>
  <w:style w:type="character" w:customStyle="1" w:styleId="ListLabel3607">
    <w:name w:val="ListLabel 3607"/>
    <w:qFormat/>
    <w:rPr>
      <w:rFonts w:cs="OpenSymbol"/>
    </w:rPr>
  </w:style>
  <w:style w:type="character" w:customStyle="1" w:styleId="ListLabel3608">
    <w:name w:val="ListLabel 3608"/>
    <w:qFormat/>
    <w:rPr>
      <w:rFonts w:cs="OpenSymbol"/>
    </w:rPr>
  </w:style>
  <w:style w:type="character" w:customStyle="1" w:styleId="ListLabel3609">
    <w:name w:val="ListLabel 3609"/>
    <w:qFormat/>
    <w:rPr>
      <w:rFonts w:cs="OpenSymbol"/>
    </w:rPr>
  </w:style>
  <w:style w:type="character" w:customStyle="1" w:styleId="ListLabel3610">
    <w:name w:val="ListLabel 3610"/>
    <w:qFormat/>
    <w:rPr>
      <w:rFonts w:cs="OpenSymbol"/>
    </w:rPr>
  </w:style>
  <w:style w:type="character" w:customStyle="1" w:styleId="ListLabel3611">
    <w:name w:val="ListLabel 3611"/>
    <w:qFormat/>
    <w:rPr>
      <w:rFonts w:cs="OpenSymbol"/>
    </w:rPr>
  </w:style>
  <w:style w:type="character" w:customStyle="1" w:styleId="ListLabel3612">
    <w:name w:val="ListLabel 3612"/>
    <w:qFormat/>
    <w:rPr>
      <w:rFonts w:cs="OpenSymbol"/>
    </w:rPr>
  </w:style>
  <w:style w:type="character" w:customStyle="1" w:styleId="ListLabel3613">
    <w:name w:val="ListLabel 3613"/>
    <w:qFormat/>
    <w:rPr>
      <w:rFonts w:cs="OpenSymbol"/>
    </w:rPr>
  </w:style>
  <w:style w:type="character" w:customStyle="1" w:styleId="ListLabel3614">
    <w:name w:val="ListLabel 3614"/>
    <w:qFormat/>
    <w:rPr>
      <w:rFonts w:cs="OpenSymbol"/>
    </w:rPr>
  </w:style>
  <w:style w:type="character" w:customStyle="1" w:styleId="ListLabel3615">
    <w:name w:val="ListLabel 3615"/>
    <w:qFormat/>
    <w:rPr>
      <w:rFonts w:cs="OpenSymbol"/>
    </w:rPr>
  </w:style>
  <w:style w:type="character" w:customStyle="1" w:styleId="ListLabel3616">
    <w:name w:val="ListLabel 3616"/>
    <w:qFormat/>
    <w:rPr>
      <w:rFonts w:cs="OpenSymbol"/>
    </w:rPr>
  </w:style>
  <w:style w:type="character" w:customStyle="1" w:styleId="ListLabel3617">
    <w:name w:val="ListLabel 3617"/>
    <w:qFormat/>
    <w:rPr>
      <w:rFonts w:cs="OpenSymbol"/>
    </w:rPr>
  </w:style>
  <w:style w:type="character" w:customStyle="1" w:styleId="ListLabel3618">
    <w:name w:val="ListLabel 3618"/>
    <w:qFormat/>
    <w:rPr>
      <w:rFonts w:cs="OpenSymbol"/>
    </w:rPr>
  </w:style>
  <w:style w:type="character" w:customStyle="1" w:styleId="ListLabel3619">
    <w:name w:val="ListLabel 3619"/>
    <w:qFormat/>
    <w:rPr>
      <w:rFonts w:cs="OpenSymbol"/>
    </w:rPr>
  </w:style>
  <w:style w:type="character" w:customStyle="1" w:styleId="ListLabel3620">
    <w:name w:val="ListLabel 3620"/>
    <w:qFormat/>
    <w:rPr>
      <w:rFonts w:cs="OpenSymbol"/>
    </w:rPr>
  </w:style>
  <w:style w:type="character" w:customStyle="1" w:styleId="ListLabel3621">
    <w:name w:val="ListLabel 3621"/>
    <w:qFormat/>
    <w:rPr>
      <w:rFonts w:cs="OpenSymbol"/>
    </w:rPr>
  </w:style>
  <w:style w:type="character" w:customStyle="1" w:styleId="ListLabel3622">
    <w:name w:val="ListLabel 3622"/>
    <w:qFormat/>
    <w:rPr>
      <w:rFonts w:cs="OpenSymbol"/>
    </w:rPr>
  </w:style>
  <w:style w:type="character" w:customStyle="1" w:styleId="ListLabel3623">
    <w:name w:val="ListLabel 3623"/>
    <w:qFormat/>
    <w:rPr>
      <w:rFonts w:cs="OpenSymbol"/>
    </w:rPr>
  </w:style>
  <w:style w:type="character" w:customStyle="1" w:styleId="ListLabel3624">
    <w:name w:val="ListLabel 3624"/>
    <w:qFormat/>
    <w:rPr>
      <w:rFonts w:cs="OpenSymbol"/>
    </w:rPr>
  </w:style>
  <w:style w:type="character" w:customStyle="1" w:styleId="ListLabel3625">
    <w:name w:val="ListLabel 3625"/>
    <w:qFormat/>
    <w:rPr>
      <w:rFonts w:cs="OpenSymbol"/>
    </w:rPr>
  </w:style>
  <w:style w:type="character" w:customStyle="1" w:styleId="ListLabel3626">
    <w:name w:val="ListLabel 3626"/>
    <w:qFormat/>
    <w:rPr>
      <w:rFonts w:cs="OpenSymbol"/>
    </w:rPr>
  </w:style>
  <w:style w:type="character" w:customStyle="1" w:styleId="ListLabel3627">
    <w:name w:val="ListLabel 3627"/>
    <w:qFormat/>
    <w:rPr>
      <w:rFonts w:cs="OpenSymbol"/>
    </w:rPr>
  </w:style>
  <w:style w:type="character" w:customStyle="1" w:styleId="ListLabel3628">
    <w:name w:val="ListLabel 3628"/>
    <w:qFormat/>
    <w:rPr>
      <w:rFonts w:cs="OpenSymbol"/>
    </w:rPr>
  </w:style>
  <w:style w:type="character" w:customStyle="1" w:styleId="ListLabel3629">
    <w:name w:val="ListLabel 3629"/>
    <w:qFormat/>
    <w:rPr>
      <w:rFonts w:cs="OpenSymbol"/>
    </w:rPr>
  </w:style>
  <w:style w:type="character" w:customStyle="1" w:styleId="ListLabel3630">
    <w:name w:val="ListLabel 3630"/>
    <w:qFormat/>
    <w:rPr>
      <w:rFonts w:cs="OpenSymbol"/>
    </w:rPr>
  </w:style>
  <w:style w:type="character" w:customStyle="1" w:styleId="ListLabel3631">
    <w:name w:val="ListLabel 3631"/>
    <w:qFormat/>
    <w:rPr>
      <w:rFonts w:cs="OpenSymbol"/>
    </w:rPr>
  </w:style>
  <w:style w:type="character" w:customStyle="1" w:styleId="ListLabel3632">
    <w:name w:val="ListLabel 3632"/>
    <w:qFormat/>
    <w:rPr>
      <w:rFonts w:cs="OpenSymbol"/>
    </w:rPr>
  </w:style>
  <w:style w:type="character" w:customStyle="1" w:styleId="ListLabel3633">
    <w:name w:val="ListLabel 3633"/>
    <w:qFormat/>
    <w:rPr>
      <w:rFonts w:cs="OpenSymbol"/>
    </w:rPr>
  </w:style>
  <w:style w:type="character" w:customStyle="1" w:styleId="ListLabel3634">
    <w:name w:val="ListLabel 3634"/>
    <w:qFormat/>
    <w:rPr>
      <w:rFonts w:cs="OpenSymbol"/>
    </w:rPr>
  </w:style>
  <w:style w:type="character" w:customStyle="1" w:styleId="ListLabel3635">
    <w:name w:val="ListLabel 3635"/>
    <w:qFormat/>
    <w:rPr>
      <w:rFonts w:cs="OpenSymbol"/>
    </w:rPr>
  </w:style>
  <w:style w:type="character" w:customStyle="1" w:styleId="ListLabel3636">
    <w:name w:val="ListLabel 3636"/>
    <w:qFormat/>
    <w:rPr>
      <w:rFonts w:cs="OpenSymbol"/>
    </w:rPr>
  </w:style>
  <w:style w:type="character" w:customStyle="1" w:styleId="ListLabel3637">
    <w:name w:val="ListLabel 3637"/>
    <w:qFormat/>
    <w:rPr>
      <w:rFonts w:cs="OpenSymbol"/>
    </w:rPr>
  </w:style>
  <w:style w:type="character" w:customStyle="1" w:styleId="ListLabel3638">
    <w:name w:val="ListLabel 3638"/>
    <w:qFormat/>
    <w:rPr>
      <w:rFonts w:cs="OpenSymbol"/>
    </w:rPr>
  </w:style>
  <w:style w:type="character" w:customStyle="1" w:styleId="ListLabel3639">
    <w:name w:val="ListLabel 3639"/>
    <w:qFormat/>
    <w:rPr>
      <w:rFonts w:cs="OpenSymbol"/>
    </w:rPr>
  </w:style>
  <w:style w:type="character" w:customStyle="1" w:styleId="ListLabel3640">
    <w:name w:val="ListLabel 3640"/>
    <w:qFormat/>
    <w:rPr>
      <w:rFonts w:cs="OpenSymbol"/>
    </w:rPr>
  </w:style>
  <w:style w:type="character" w:customStyle="1" w:styleId="ListLabel3641">
    <w:name w:val="ListLabel 3641"/>
    <w:qFormat/>
    <w:rPr>
      <w:rFonts w:cs="OpenSymbol"/>
    </w:rPr>
  </w:style>
  <w:style w:type="character" w:customStyle="1" w:styleId="ListLabel3642">
    <w:name w:val="ListLabel 3642"/>
    <w:qFormat/>
    <w:rPr>
      <w:rFonts w:cs="OpenSymbol"/>
    </w:rPr>
  </w:style>
  <w:style w:type="character" w:customStyle="1" w:styleId="ListLabel3643">
    <w:name w:val="ListLabel 3643"/>
    <w:qFormat/>
    <w:rPr>
      <w:rFonts w:cs="OpenSymbol"/>
    </w:rPr>
  </w:style>
  <w:style w:type="character" w:customStyle="1" w:styleId="ListLabel3644">
    <w:name w:val="ListLabel 3644"/>
    <w:qFormat/>
    <w:rPr>
      <w:rFonts w:cs="OpenSymbol"/>
    </w:rPr>
  </w:style>
  <w:style w:type="character" w:customStyle="1" w:styleId="ListLabel3645">
    <w:name w:val="ListLabel 3645"/>
    <w:qFormat/>
    <w:rPr>
      <w:rFonts w:cs="OpenSymbol"/>
    </w:rPr>
  </w:style>
  <w:style w:type="character" w:customStyle="1" w:styleId="ListLabel3646">
    <w:name w:val="ListLabel 3646"/>
    <w:qFormat/>
    <w:rPr>
      <w:rFonts w:cs="OpenSymbol"/>
    </w:rPr>
  </w:style>
  <w:style w:type="character" w:customStyle="1" w:styleId="ListLabel3647">
    <w:name w:val="ListLabel 3647"/>
    <w:qFormat/>
    <w:rPr>
      <w:rFonts w:cs="OpenSymbol"/>
    </w:rPr>
  </w:style>
  <w:style w:type="character" w:customStyle="1" w:styleId="ListLabel3648">
    <w:name w:val="ListLabel 3648"/>
    <w:qFormat/>
    <w:rPr>
      <w:rFonts w:cs="OpenSymbol"/>
    </w:rPr>
  </w:style>
  <w:style w:type="character" w:customStyle="1" w:styleId="ListLabel3649">
    <w:name w:val="ListLabel 3649"/>
    <w:qFormat/>
    <w:rPr>
      <w:rFonts w:cs="OpenSymbol"/>
    </w:rPr>
  </w:style>
  <w:style w:type="character" w:customStyle="1" w:styleId="ListLabel3650">
    <w:name w:val="ListLabel 3650"/>
    <w:qFormat/>
    <w:rPr>
      <w:rFonts w:cs="OpenSymbol"/>
    </w:rPr>
  </w:style>
  <w:style w:type="character" w:customStyle="1" w:styleId="ListLabel3651">
    <w:name w:val="ListLabel 3651"/>
    <w:qFormat/>
    <w:rPr>
      <w:rFonts w:cs="OpenSymbol"/>
    </w:rPr>
  </w:style>
  <w:style w:type="character" w:customStyle="1" w:styleId="ListLabel3652">
    <w:name w:val="ListLabel 3652"/>
    <w:qFormat/>
    <w:rPr>
      <w:rFonts w:cs="OpenSymbol"/>
    </w:rPr>
  </w:style>
  <w:style w:type="character" w:customStyle="1" w:styleId="ListLabel3653">
    <w:name w:val="ListLabel 3653"/>
    <w:qFormat/>
    <w:rPr>
      <w:rFonts w:cs="OpenSymbol"/>
    </w:rPr>
  </w:style>
  <w:style w:type="character" w:customStyle="1" w:styleId="ListLabel3654">
    <w:name w:val="ListLabel 3654"/>
    <w:qFormat/>
    <w:rPr>
      <w:rFonts w:cs="OpenSymbol"/>
    </w:rPr>
  </w:style>
  <w:style w:type="character" w:customStyle="1" w:styleId="ListLabel3655">
    <w:name w:val="ListLabel 3655"/>
    <w:qFormat/>
    <w:rPr>
      <w:rFonts w:cs="OpenSymbol"/>
    </w:rPr>
  </w:style>
  <w:style w:type="character" w:customStyle="1" w:styleId="ListLabel3656">
    <w:name w:val="ListLabel 3656"/>
    <w:qFormat/>
    <w:rPr>
      <w:rFonts w:cs="OpenSymbol"/>
    </w:rPr>
  </w:style>
  <w:style w:type="character" w:customStyle="1" w:styleId="ListLabel3657">
    <w:name w:val="ListLabel 3657"/>
    <w:qFormat/>
    <w:rPr>
      <w:rFonts w:cs="OpenSymbol"/>
    </w:rPr>
  </w:style>
  <w:style w:type="character" w:customStyle="1" w:styleId="ListLabel3658">
    <w:name w:val="ListLabel 3658"/>
    <w:qFormat/>
    <w:rPr>
      <w:rFonts w:cs="OpenSymbol"/>
    </w:rPr>
  </w:style>
  <w:style w:type="character" w:customStyle="1" w:styleId="ListLabel3659">
    <w:name w:val="ListLabel 3659"/>
    <w:qFormat/>
    <w:rPr>
      <w:rFonts w:cs="OpenSymbol"/>
    </w:rPr>
  </w:style>
  <w:style w:type="character" w:customStyle="1" w:styleId="ListLabel3660">
    <w:name w:val="ListLabel 3660"/>
    <w:qFormat/>
    <w:rPr>
      <w:rFonts w:cs="OpenSymbol"/>
    </w:rPr>
  </w:style>
  <w:style w:type="character" w:customStyle="1" w:styleId="ListLabel3661">
    <w:name w:val="ListLabel 3661"/>
    <w:qFormat/>
    <w:rPr>
      <w:rFonts w:cs="OpenSymbol"/>
    </w:rPr>
  </w:style>
  <w:style w:type="character" w:customStyle="1" w:styleId="ListLabel3662">
    <w:name w:val="ListLabel 3662"/>
    <w:qFormat/>
    <w:rPr>
      <w:rFonts w:cs="OpenSymbol"/>
    </w:rPr>
  </w:style>
  <w:style w:type="character" w:customStyle="1" w:styleId="ListLabel3663">
    <w:name w:val="ListLabel 3663"/>
    <w:qFormat/>
    <w:rPr>
      <w:rFonts w:cs="OpenSymbol"/>
    </w:rPr>
  </w:style>
  <w:style w:type="character" w:customStyle="1" w:styleId="ListLabel3664">
    <w:name w:val="ListLabel 3664"/>
    <w:qFormat/>
    <w:rPr>
      <w:rFonts w:cs="OpenSymbol"/>
    </w:rPr>
  </w:style>
  <w:style w:type="character" w:customStyle="1" w:styleId="ListLabel3665">
    <w:name w:val="ListLabel 3665"/>
    <w:qFormat/>
    <w:rPr>
      <w:rFonts w:cs="OpenSymbol"/>
    </w:rPr>
  </w:style>
  <w:style w:type="character" w:customStyle="1" w:styleId="ListLabel3666">
    <w:name w:val="ListLabel 3666"/>
    <w:qFormat/>
    <w:rPr>
      <w:rFonts w:cs="OpenSymbol"/>
    </w:rPr>
  </w:style>
  <w:style w:type="character" w:customStyle="1" w:styleId="ListLabel3667">
    <w:name w:val="ListLabel 3667"/>
    <w:qFormat/>
    <w:rPr>
      <w:rFonts w:cs="OpenSymbol"/>
    </w:rPr>
  </w:style>
  <w:style w:type="character" w:customStyle="1" w:styleId="ListLabel3668">
    <w:name w:val="ListLabel 3668"/>
    <w:qFormat/>
    <w:rPr>
      <w:rFonts w:cs="OpenSymbol"/>
    </w:rPr>
  </w:style>
  <w:style w:type="character" w:customStyle="1" w:styleId="ListLabel3669">
    <w:name w:val="ListLabel 3669"/>
    <w:qFormat/>
    <w:rPr>
      <w:rFonts w:cs="OpenSymbol"/>
    </w:rPr>
  </w:style>
  <w:style w:type="character" w:customStyle="1" w:styleId="ListLabel3670">
    <w:name w:val="ListLabel 3670"/>
    <w:qFormat/>
    <w:rPr>
      <w:rFonts w:cs="OpenSymbol"/>
    </w:rPr>
  </w:style>
  <w:style w:type="character" w:customStyle="1" w:styleId="ListLabel3671">
    <w:name w:val="ListLabel 3671"/>
    <w:qFormat/>
    <w:rPr>
      <w:rFonts w:cs="OpenSymbol"/>
    </w:rPr>
  </w:style>
  <w:style w:type="character" w:customStyle="1" w:styleId="ListLabel3672">
    <w:name w:val="ListLabel 3672"/>
    <w:qFormat/>
    <w:rPr>
      <w:rFonts w:cs="OpenSymbol"/>
    </w:rPr>
  </w:style>
  <w:style w:type="character" w:customStyle="1" w:styleId="ListLabel3673">
    <w:name w:val="ListLabel 3673"/>
    <w:qFormat/>
    <w:rPr>
      <w:rFonts w:cs="OpenSymbol"/>
    </w:rPr>
  </w:style>
  <w:style w:type="character" w:customStyle="1" w:styleId="ListLabel3674">
    <w:name w:val="ListLabel 3674"/>
    <w:qFormat/>
    <w:rPr>
      <w:rFonts w:cs="OpenSymbol"/>
    </w:rPr>
  </w:style>
  <w:style w:type="character" w:customStyle="1" w:styleId="ListLabel3675">
    <w:name w:val="ListLabel 3675"/>
    <w:qFormat/>
    <w:rPr>
      <w:rFonts w:cs="OpenSymbol"/>
    </w:rPr>
  </w:style>
  <w:style w:type="character" w:customStyle="1" w:styleId="ListLabel3676">
    <w:name w:val="ListLabel 3676"/>
    <w:qFormat/>
    <w:rPr>
      <w:rFonts w:cs="OpenSymbol"/>
    </w:rPr>
  </w:style>
  <w:style w:type="character" w:customStyle="1" w:styleId="ListLabel3677">
    <w:name w:val="ListLabel 3677"/>
    <w:qFormat/>
    <w:rPr>
      <w:rFonts w:cs="OpenSymbol"/>
    </w:rPr>
  </w:style>
  <w:style w:type="character" w:customStyle="1" w:styleId="ListLabel3678">
    <w:name w:val="ListLabel 3678"/>
    <w:qFormat/>
    <w:rPr>
      <w:rFonts w:cs="OpenSymbol"/>
    </w:rPr>
  </w:style>
  <w:style w:type="character" w:customStyle="1" w:styleId="ListLabel3679">
    <w:name w:val="ListLabel 3679"/>
    <w:qFormat/>
    <w:rPr>
      <w:rFonts w:cs="OpenSymbol"/>
    </w:rPr>
  </w:style>
  <w:style w:type="character" w:customStyle="1" w:styleId="ListLabel3680">
    <w:name w:val="ListLabel 3680"/>
    <w:qFormat/>
    <w:rPr>
      <w:rFonts w:cs="OpenSymbol"/>
    </w:rPr>
  </w:style>
  <w:style w:type="character" w:customStyle="1" w:styleId="ListLabel3681">
    <w:name w:val="ListLabel 3681"/>
    <w:qFormat/>
    <w:rPr>
      <w:rFonts w:cs="OpenSymbol"/>
    </w:rPr>
  </w:style>
  <w:style w:type="character" w:customStyle="1" w:styleId="ListLabel3682">
    <w:name w:val="ListLabel 3682"/>
    <w:qFormat/>
    <w:rPr>
      <w:rFonts w:cs="OpenSymbol"/>
    </w:rPr>
  </w:style>
  <w:style w:type="character" w:customStyle="1" w:styleId="ListLabel3683">
    <w:name w:val="ListLabel 3683"/>
    <w:qFormat/>
    <w:rPr>
      <w:rFonts w:cs="OpenSymbol"/>
    </w:rPr>
  </w:style>
  <w:style w:type="character" w:customStyle="1" w:styleId="ListLabel3684">
    <w:name w:val="ListLabel 3684"/>
    <w:qFormat/>
    <w:rPr>
      <w:rFonts w:cs="OpenSymbol"/>
    </w:rPr>
  </w:style>
  <w:style w:type="character" w:customStyle="1" w:styleId="ListLabel3685">
    <w:name w:val="ListLabel 3685"/>
    <w:qFormat/>
    <w:rPr>
      <w:rFonts w:cs="OpenSymbol"/>
    </w:rPr>
  </w:style>
  <w:style w:type="character" w:customStyle="1" w:styleId="ListLabel3686">
    <w:name w:val="ListLabel 3686"/>
    <w:qFormat/>
    <w:rPr>
      <w:rFonts w:cs="OpenSymbol"/>
    </w:rPr>
  </w:style>
  <w:style w:type="character" w:customStyle="1" w:styleId="ListLabel3687">
    <w:name w:val="ListLabel 3687"/>
    <w:qFormat/>
    <w:rPr>
      <w:rFonts w:cs="OpenSymbol"/>
    </w:rPr>
  </w:style>
  <w:style w:type="character" w:customStyle="1" w:styleId="ListLabel3688">
    <w:name w:val="ListLabel 3688"/>
    <w:qFormat/>
    <w:rPr>
      <w:rFonts w:cs="OpenSymbol"/>
    </w:rPr>
  </w:style>
  <w:style w:type="character" w:customStyle="1" w:styleId="ListLabel3689">
    <w:name w:val="ListLabel 3689"/>
    <w:qFormat/>
    <w:rPr>
      <w:rFonts w:cs="OpenSymbol"/>
    </w:rPr>
  </w:style>
  <w:style w:type="character" w:customStyle="1" w:styleId="ListLabel3690">
    <w:name w:val="ListLabel 3690"/>
    <w:qFormat/>
    <w:rPr>
      <w:rFonts w:cs="OpenSymbol"/>
    </w:rPr>
  </w:style>
  <w:style w:type="character" w:customStyle="1" w:styleId="ListLabel3691">
    <w:name w:val="ListLabel 3691"/>
    <w:qFormat/>
    <w:rPr>
      <w:rFonts w:cs="OpenSymbol"/>
    </w:rPr>
  </w:style>
  <w:style w:type="character" w:customStyle="1" w:styleId="ListLabel3692">
    <w:name w:val="ListLabel 3692"/>
    <w:qFormat/>
    <w:rPr>
      <w:rFonts w:cs="OpenSymbol"/>
    </w:rPr>
  </w:style>
  <w:style w:type="character" w:customStyle="1" w:styleId="ListLabel3693">
    <w:name w:val="ListLabel 3693"/>
    <w:qFormat/>
    <w:rPr>
      <w:rFonts w:cs="OpenSymbol"/>
    </w:rPr>
  </w:style>
  <w:style w:type="character" w:customStyle="1" w:styleId="ListLabel3694">
    <w:name w:val="ListLabel 3694"/>
    <w:qFormat/>
    <w:rPr>
      <w:rFonts w:cs="OpenSymbol"/>
    </w:rPr>
  </w:style>
  <w:style w:type="character" w:customStyle="1" w:styleId="ListLabel3695">
    <w:name w:val="ListLabel 3695"/>
    <w:qFormat/>
    <w:rPr>
      <w:rFonts w:cs="OpenSymbol"/>
    </w:rPr>
  </w:style>
  <w:style w:type="character" w:customStyle="1" w:styleId="ListLabel3696">
    <w:name w:val="ListLabel 3696"/>
    <w:qFormat/>
    <w:rPr>
      <w:rFonts w:cs="OpenSymbol"/>
    </w:rPr>
  </w:style>
  <w:style w:type="character" w:customStyle="1" w:styleId="ListLabel3697">
    <w:name w:val="ListLabel 3697"/>
    <w:qFormat/>
    <w:rPr>
      <w:rFonts w:cs="OpenSymbol"/>
    </w:rPr>
  </w:style>
  <w:style w:type="character" w:customStyle="1" w:styleId="ListLabel3698">
    <w:name w:val="ListLabel 3698"/>
    <w:qFormat/>
    <w:rPr>
      <w:rFonts w:cs="OpenSymbol"/>
    </w:rPr>
  </w:style>
  <w:style w:type="character" w:customStyle="1" w:styleId="ListLabel3699">
    <w:name w:val="ListLabel 3699"/>
    <w:qFormat/>
    <w:rPr>
      <w:rFonts w:cs="OpenSymbol"/>
    </w:rPr>
  </w:style>
  <w:style w:type="character" w:customStyle="1" w:styleId="ListLabel3700">
    <w:name w:val="ListLabel 3700"/>
    <w:qFormat/>
    <w:rPr>
      <w:rFonts w:cs="OpenSymbol"/>
    </w:rPr>
  </w:style>
  <w:style w:type="character" w:customStyle="1" w:styleId="ListLabel3701">
    <w:name w:val="ListLabel 3701"/>
    <w:qFormat/>
    <w:rPr>
      <w:rFonts w:cs="OpenSymbol"/>
    </w:rPr>
  </w:style>
  <w:style w:type="character" w:customStyle="1" w:styleId="ListLabel3702">
    <w:name w:val="ListLabel 3702"/>
    <w:qFormat/>
    <w:rPr>
      <w:rFonts w:cs="OpenSymbol"/>
    </w:rPr>
  </w:style>
  <w:style w:type="character" w:customStyle="1" w:styleId="ListLabel3703">
    <w:name w:val="ListLabel 3703"/>
    <w:qFormat/>
    <w:rPr>
      <w:rFonts w:cs="OpenSymbol"/>
    </w:rPr>
  </w:style>
  <w:style w:type="character" w:customStyle="1" w:styleId="ListLabel3704">
    <w:name w:val="ListLabel 3704"/>
    <w:qFormat/>
    <w:rPr>
      <w:rFonts w:cs="OpenSymbol"/>
    </w:rPr>
  </w:style>
  <w:style w:type="character" w:customStyle="1" w:styleId="ListLabel3705">
    <w:name w:val="ListLabel 3705"/>
    <w:qFormat/>
    <w:rPr>
      <w:rFonts w:cs="OpenSymbol"/>
    </w:rPr>
  </w:style>
  <w:style w:type="character" w:customStyle="1" w:styleId="ListLabel3706">
    <w:name w:val="ListLabel 3706"/>
    <w:qFormat/>
    <w:rPr>
      <w:rFonts w:cs="OpenSymbol"/>
    </w:rPr>
  </w:style>
  <w:style w:type="character" w:customStyle="1" w:styleId="ListLabel3707">
    <w:name w:val="ListLabel 3707"/>
    <w:qFormat/>
    <w:rPr>
      <w:rFonts w:cs="OpenSymbol"/>
    </w:rPr>
  </w:style>
  <w:style w:type="character" w:customStyle="1" w:styleId="ListLabel3708">
    <w:name w:val="ListLabel 3708"/>
    <w:qFormat/>
    <w:rPr>
      <w:rFonts w:cs="OpenSymbol"/>
    </w:rPr>
  </w:style>
  <w:style w:type="character" w:customStyle="1" w:styleId="ListLabel3709">
    <w:name w:val="ListLabel 3709"/>
    <w:qFormat/>
    <w:rPr>
      <w:rFonts w:cs="OpenSymbol"/>
    </w:rPr>
  </w:style>
  <w:style w:type="character" w:customStyle="1" w:styleId="ListLabel3710">
    <w:name w:val="ListLabel 3710"/>
    <w:qFormat/>
    <w:rPr>
      <w:rFonts w:cs="OpenSymbol"/>
    </w:rPr>
  </w:style>
  <w:style w:type="character" w:customStyle="1" w:styleId="ListLabel3711">
    <w:name w:val="ListLabel 3711"/>
    <w:qFormat/>
    <w:rPr>
      <w:rFonts w:cs="OpenSymbol"/>
    </w:rPr>
  </w:style>
  <w:style w:type="character" w:customStyle="1" w:styleId="ListLabel3712">
    <w:name w:val="ListLabel 3712"/>
    <w:qFormat/>
    <w:rPr>
      <w:rFonts w:cs="OpenSymbol"/>
    </w:rPr>
  </w:style>
  <w:style w:type="character" w:customStyle="1" w:styleId="ListLabel3713">
    <w:name w:val="ListLabel 3713"/>
    <w:qFormat/>
    <w:rPr>
      <w:rFonts w:cs="OpenSymbol"/>
    </w:rPr>
  </w:style>
  <w:style w:type="character" w:customStyle="1" w:styleId="ListLabel3714">
    <w:name w:val="ListLabel 3714"/>
    <w:qFormat/>
    <w:rPr>
      <w:rFonts w:cs="OpenSymbol"/>
    </w:rPr>
  </w:style>
  <w:style w:type="character" w:customStyle="1" w:styleId="ListLabel3715">
    <w:name w:val="ListLabel 3715"/>
    <w:qFormat/>
    <w:rPr>
      <w:rFonts w:cs="OpenSymbol"/>
    </w:rPr>
  </w:style>
  <w:style w:type="character" w:customStyle="1" w:styleId="ListLabel3716">
    <w:name w:val="ListLabel 3716"/>
    <w:qFormat/>
    <w:rPr>
      <w:rFonts w:cs="OpenSymbol"/>
    </w:rPr>
  </w:style>
  <w:style w:type="character" w:customStyle="1" w:styleId="ListLabel3717">
    <w:name w:val="ListLabel 3717"/>
    <w:qFormat/>
    <w:rPr>
      <w:rFonts w:cs="OpenSymbol"/>
    </w:rPr>
  </w:style>
  <w:style w:type="character" w:customStyle="1" w:styleId="ListLabel3718">
    <w:name w:val="ListLabel 3718"/>
    <w:qFormat/>
    <w:rPr>
      <w:rFonts w:cs="OpenSymbol"/>
    </w:rPr>
  </w:style>
  <w:style w:type="character" w:customStyle="1" w:styleId="ListLabel3719">
    <w:name w:val="ListLabel 3719"/>
    <w:qFormat/>
    <w:rPr>
      <w:rFonts w:cs="OpenSymbol"/>
    </w:rPr>
  </w:style>
  <w:style w:type="character" w:customStyle="1" w:styleId="ListLabel3720">
    <w:name w:val="ListLabel 3720"/>
    <w:qFormat/>
    <w:rPr>
      <w:rFonts w:cs="OpenSymbol"/>
    </w:rPr>
  </w:style>
  <w:style w:type="character" w:customStyle="1" w:styleId="ListLabel3721">
    <w:name w:val="ListLabel 3721"/>
    <w:qFormat/>
    <w:rPr>
      <w:rFonts w:cs="OpenSymbol"/>
    </w:rPr>
  </w:style>
  <w:style w:type="character" w:customStyle="1" w:styleId="ListLabel3722">
    <w:name w:val="ListLabel 3722"/>
    <w:qFormat/>
    <w:rPr>
      <w:rFonts w:cs="OpenSymbol"/>
    </w:rPr>
  </w:style>
  <w:style w:type="character" w:customStyle="1" w:styleId="ListLabel3723">
    <w:name w:val="ListLabel 3723"/>
    <w:qFormat/>
    <w:rPr>
      <w:rFonts w:cs="OpenSymbol"/>
    </w:rPr>
  </w:style>
  <w:style w:type="character" w:customStyle="1" w:styleId="ListLabel3724">
    <w:name w:val="ListLabel 3724"/>
    <w:qFormat/>
    <w:rPr>
      <w:rFonts w:eastAsia="Calibri"/>
      <w:color w:val="000000"/>
      <w:sz w:val="28"/>
      <w:u w:val="none"/>
    </w:rPr>
  </w:style>
  <w:style w:type="character" w:customStyle="1" w:styleId="ListLabel3725">
    <w:name w:val="ListLabel 3725"/>
    <w:qFormat/>
    <w:rPr>
      <w:rFonts w:eastAsia="Calibri"/>
      <w:color w:val="000000"/>
      <w:sz w:val="28"/>
      <w:u w:val="none"/>
      <w:lang w:val="en-US"/>
    </w:rPr>
  </w:style>
  <w:style w:type="character" w:customStyle="1" w:styleId="ListLabel3726">
    <w:name w:val="ListLabel 3726"/>
    <w:qFormat/>
    <w:rPr>
      <w:rFonts w:eastAsia="Calibri"/>
      <w:color w:val="000000"/>
      <w:sz w:val="28"/>
      <w:u w:val="none"/>
      <w:lang w:val="uk-UA"/>
    </w:rPr>
  </w:style>
  <w:style w:type="character" w:customStyle="1" w:styleId="ListLabel3727">
    <w:name w:val="ListLabel 3727"/>
    <w:qFormat/>
    <w:rPr>
      <w:color w:val="000000"/>
      <w:sz w:val="28"/>
      <w:u w:val="none"/>
    </w:rPr>
  </w:style>
  <w:style w:type="character" w:customStyle="1" w:styleId="ListLabel3728">
    <w:name w:val="ListLabel 3728"/>
    <w:qFormat/>
    <w:rPr>
      <w:rFonts w:eastAsia="Calibri"/>
      <w:color w:val="C9211E"/>
      <w:sz w:val="28"/>
    </w:rPr>
  </w:style>
  <w:style w:type="character" w:customStyle="1" w:styleId="ListLabel3729">
    <w:name w:val="ListLabel 3729"/>
    <w:qFormat/>
    <w:rPr>
      <w:rFonts w:eastAsia="Calibri" w:cs="Times New Roman"/>
      <w:b/>
      <w:bCs/>
      <w:kern w:val="2"/>
      <w:sz w:val="28"/>
      <w:szCs w:val="28"/>
      <w:lang w:val="uk-UA" w:eastAsia="ru-RU"/>
    </w:rPr>
  </w:style>
  <w:style w:type="character" w:customStyle="1" w:styleId="ListLabel3730">
    <w:name w:val="ListLabel 3730"/>
    <w:qFormat/>
    <w:rPr>
      <w:rFonts w:eastAsia="Calibri"/>
      <w:b/>
      <w:bCs/>
      <w:color w:val="000000"/>
      <w:sz w:val="28"/>
      <w:u w:val="none"/>
      <w:lang w:val="en-US"/>
    </w:rPr>
  </w:style>
  <w:style w:type="character" w:customStyle="1" w:styleId="ListLabel3731">
    <w:name w:val="ListLabel 3731"/>
    <w:qFormat/>
    <w:rPr>
      <w:b w:val="0"/>
      <w:bCs w:val="0"/>
      <w:color w:val="FF8000"/>
      <w:sz w:val="28"/>
      <w:szCs w:val="28"/>
      <w:highlight w:val="yellow"/>
      <w:lang w:val="ru-RU"/>
    </w:rPr>
  </w:style>
  <w:style w:type="character" w:customStyle="1" w:styleId="ListLabel3732">
    <w:name w:val="ListLabel 3732"/>
    <w:qFormat/>
    <w:rPr>
      <w:b w:val="0"/>
      <w:bCs w:val="0"/>
      <w:i w:val="0"/>
      <w:caps w:val="0"/>
      <w:smallCaps w:val="0"/>
      <w:color w:val="158466"/>
      <w:spacing w:val="0"/>
      <w:sz w:val="28"/>
      <w:szCs w:val="28"/>
      <w:highlight w:val="yellow"/>
      <w:lang w:val="uk-UA"/>
    </w:rPr>
  </w:style>
  <w:style w:type="character" w:customStyle="1" w:styleId="ListLabel3733">
    <w:name w:val="ListLabel 3733"/>
    <w:qFormat/>
    <w:rPr>
      <w:rFonts w:eastAsia="Times New Roman" w:cs="Times New Roman"/>
      <w:b w:val="0"/>
      <w:bCs w:val="0"/>
      <w:i w:val="0"/>
      <w:caps w:val="0"/>
      <w:smallCaps w:val="0"/>
      <w:strike w:val="0"/>
      <w:dstrike w:val="0"/>
      <w:color w:val="000000"/>
      <w:spacing w:val="0"/>
      <w:kern w:val="2"/>
      <w:sz w:val="28"/>
      <w:szCs w:val="28"/>
      <w:highlight w:val="yellow"/>
      <w:u w:val="none"/>
      <w:effect w:val="none"/>
      <w:lang w:val="uk-UA"/>
    </w:rPr>
  </w:style>
  <w:style w:type="character" w:customStyle="1" w:styleId="ListLabel3734">
    <w:name w:val="ListLabel 3734"/>
    <w:qFormat/>
    <w:rPr>
      <w:rFonts w:eastAsia="Times New Roman" w:cs="Times New Roman"/>
      <w:b w:val="0"/>
      <w:bCs w:val="0"/>
      <w:i w:val="0"/>
      <w:caps w:val="0"/>
      <w:smallCaps w:val="0"/>
      <w:strike w:val="0"/>
      <w:dstrike w:val="0"/>
      <w:color w:val="2C2C2C"/>
      <w:spacing w:val="0"/>
      <w:kern w:val="2"/>
      <w:sz w:val="28"/>
      <w:szCs w:val="28"/>
      <w:highlight w:val="yellow"/>
      <w:u w:val="none"/>
      <w:effect w:val="none"/>
      <w:lang w:val="en-US"/>
    </w:rPr>
  </w:style>
  <w:style w:type="character" w:customStyle="1" w:styleId="ListLabel3735">
    <w:name w:val="ListLabel 3735"/>
    <w:qFormat/>
  </w:style>
  <w:style w:type="character" w:customStyle="1" w:styleId="ListLabel3736">
    <w:name w:val="ListLabel 3736"/>
    <w:qFormat/>
  </w:style>
  <w:style w:type="character" w:customStyle="1" w:styleId="ListLabel3737">
    <w:name w:val="ListLabel 3737"/>
    <w:qFormat/>
    <w:rPr>
      <w:b w:val="0"/>
      <w:i w:val="0"/>
      <w:caps w:val="0"/>
      <w:smallCaps w:val="0"/>
      <w:strike w:val="0"/>
      <w:dstrike w:val="0"/>
      <w:color w:val="2C72B7"/>
      <w:spacing w:val="0"/>
      <w:sz w:val="28"/>
      <w:szCs w:val="28"/>
      <w:highlight w:val="yellow"/>
      <w:u w:val="none"/>
      <w:effect w:val="none"/>
    </w:rPr>
  </w:style>
  <w:style w:type="character" w:customStyle="1" w:styleId="ListLabel3738">
    <w:name w:val="ListLabel 3738"/>
    <w:qFormat/>
    <w:rPr>
      <w:b w:val="0"/>
      <w:i w:val="0"/>
      <w:caps w:val="0"/>
      <w:smallCaps w:val="0"/>
      <w:color w:val="FF8000"/>
      <w:spacing w:val="0"/>
      <w:sz w:val="28"/>
      <w:szCs w:val="28"/>
      <w:u w:val="none"/>
    </w:rPr>
  </w:style>
  <w:style w:type="character" w:customStyle="1" w:styleId="ListLabel3739">
    <w:name w:val="ListLabel 3739"/>
    <w:qFormat/>
    <w:rPr>
      <w:b w:val="0"/>
      <w:strike w:val="0"/>
      <w:dstrike w:val="0"/>
      <w:color w:val="FF8000"/>
      <w:sz w:val="28"/>
      <w:szCs w:val="28"/>
      <w:highlight w:val="darkBlue"/>
      <w:u w:val="none"/>
      <w:effect w:val="none"/>
    </w:rPr>
  </w:style>
  <w:style w:type="character" w:customStyle="1" w:styleId="ListLabel3740">
    <w:name w:val="ListLabel 3740"/>
    <w:qFormat/>
    <w:rPr>
      <w:b w:val="0"/>
      <w:i w:val="0"/>
      <w:caps w:val="0"/>
      <w:smallCaps w:val="0"/>
      <w:strike w:val="0"/>
      <w:dstrike w:val="0"/>
      <w:color w:val="FF8000"/>
      <w:spacing w:val="0"/>
      <w:sz w:val="28"/>
      <w:szCs w:val="28"/>
      <w:u w:val="single"/>
    </w:rPr>
  </w:style>
  <w:style w:type="character" w:customStyle="1" w:styleId="ListLabel3741">
    <w:name w:val="ListLabel 3741"/>
    <w:qFormat/>
    <w:rPr>
      <w:b w:val="0"/>
      <w:i w:val="0"/>
      <w:caps w:val="0"/>
      <w:smallCaps w:val="0"/>
      <w:color w:val="FF8000"/>
      <w:spacing w:val="0"/>
      <w:sz w:val="28"/>
      <w:szCs w:val="28"/>
      <w:u w:val="single"/>
    </w:rPr>
  </w:style>
  <w:style w:type="character" w:customStyle="1" w:styleId="ListLabel3742">
    <w:name w:val="ListLabel 3742"/>
    <w:qFormat/>
    <w:rPr>
      <w:rFonts w:eastAsia="Times New Roman" w:cs="Arial"/>
      <w:b w:val="0"/>
      <w:bCs/>
      <w:i w:val="0"/>
      <w:caps w:val="0"/>
      <w:smallCaps w:val="0"/>
      <w:strike w:val="0"/>
      <w:dstrike w:val="0"/>
      <w:color w:val="FF8000"/>
      <w:spacing w:val="0"/>
      <w:kern w:val="2"/>
      <w:sz w:val="28"/>
      <w:szCs w:val="28"/>
      <w:highlight w:val="yellow"/>
      <w:effect w:val="none"/>
    </w:rPr>
  </w:style>
  <w:style w:type="character" w:customStyle="1" w:styleId="ListLabel3743">
    <w:name w:val="ListLabel 3743"/>
    <w:qFormat/>
    <w:rPr>
      <w:rFonts w:eastAsia="Times New Roman" w:cs="Times New Roman"/>
      <w:b w:val="0"/>
      <w:bCs w:val="0"/>
      <w:i w:val="0"/>
      <w:caps w:val="0"/>
      <w:smallCaps w:val="0"/>
      <w:strike w:val="0"/>
      <w:dstrike w:val="0"/>
      <w:color w:val="3366CC"/>
      <w:spacing w:val="0"/>
      <w:kern w:val="2"/>
      <w:sz w:val="28"/>
      <w:szCs w:val="28"/>
      <w:highlight w:val="white"/>
      <w:u w:val="none"/>
      <w:effect w:val="none"/>
      <w:lang w:val="uk-UA" w:eastAsia="ru-RU"/>
    </w:rPr>
  </w:style>
  <w:style w:type="character" w:customStyle="1" w:styleId="ListLabel3744">
    <w:name w:val="ListLabel 3744"/>
    <w:qFormat/>
    <w:rPr>
      <w:sz w:val="28"/>
      <w:szCs w:val="28"/>
      <w:lang w:val="uk-UA"/>
    </w:rPr>
  </w:style>
  <w:style w:type="character" w:customStyle="1" w:styleId="ListLabel3745">
    <w:name w:val="ListLabel 3745"/>
    <w:qFormat/>
    <w:rPr>
      <w:b/>
      <w:bCs/>
      <w:color w:val="FF8000"/>
      <w:sz w:val="28"/>
      <w:szCs w:val="28"/>
      <w:highlight w:val="yellow"/>
      <w:lang w:val="ru-RU"/>
    </w:rPr>
  </w:style>
  <w:style w:type="character" w:customStyle="1" w:styleId="ListLabel3746">
    <w:name w:val="ListLabel 3746"/>
    <w:qFormat/>
    <w:rPr>
      <w:rFonts w:cs="OpenSymbol"/>
      <w:b w:val="0"/>
      <w:sz w:val="28"/>
    </w:rPr>
  </w:style>
  <w:style w:type="character" w:customStyle="1" w:styleId="ListLabel3747">
    <w:name w:val="ListLabel 3747"/>
    <w:qFormat/>
    <w:rPr>
      <w:rFonts w:cs="OpenSymbol"/>
    </w:rPr>
  </w:style>
  <w:style w:type="character" w:customStyle="1" w:styleId="ListLabel3748">
    <w:name w:val="ListLabel 3748"/>
    <w:qFormat/>
    <w:rPr>
      <w:rFonts w:cs="OpenSymbol"/>
    </w:rPr>
  </w:style>
  <w:style w:type="character" w:customStyle="1" w:styleId="ListLabel3749">
    <w:name w:val="ListLabel 3749"/>
    <w:qFormat/>
    <w:rPr>
      <w:rFonts w:cs="OpenSymbol"/>
    </w:rPr>
  </w:style>
  <w:style w:type="character" w:customStyle="1" w:styleId="ListLabel3750">
    <w:name w:val="ListLabel 3750"/>
    <w:qFormat/>
    <w:rPr>
      <w:rFonts w:cs="OpenSymbol"/>
    </w:rPr>
  </w:style>
  <w:style w:type="character" w:customStyle="1" w:styleId="ListLabel3751">
    <w:name w:val="ListLabel 3751"/>
    <w:qFormat/>
    <w:rPr>
      <w:rFonts w:cs="OpenSymbol"/>
    </w:rPr>
  </w:style>
  <w:style w:type="character" w:customStyle="1" w:styleId="ListLabel3752">
    <w:name w:val="ListLabel 3752"/>
    <w:qFormat/>
    <w:rPr>
      <w:rFonts w:cs="OpenSymbol"/>
    </w:rPr>
  </w:style>
  <w:style w:type="character" w:customStyle="1" w:styleId="ListLabel3753">
    <w:name w:val="ListLabel 3753"/>
    <w:qFormat/>
    <w:rPr>
      <w:rFonts w:cs="OpenSymbol"/>
    </w:rPr>
  </w:style>
  <w:style w:type="character" w:customStyle="1" w:styleId="ListLabel3754">
    <w:name w:val="ListLabel 3754"/>
    <w:qFormat/>
    <w:rPr>
      <w:rFonts w:cs="OpenSymbol"/>
    </w:rPr>
  </w:style>
  <w:style w:type="character" w:customStyle="1" w:styleId="ListLabel3755">
    <w:name w:val="ListLabel 3755"/>
    <w:qFormat/>
    <w:rPr>
      <w:rFonts w:cs="OpenSymbol"/>
      <w:b w:val="0"/>
      <w:sz w:val="28"/>
    </w:rPr>
  </w:style>
  <w:style w:type="character" w:customStyle="1" w:styleId="ListLabel3756">
    <w:name w:val="ListLabel 3756"/>
    <w:qFormat/>
    <w:rPr>
      <w:rFonts w:cs="OpenSymbol"/>
    </w:rPr>
  </w:style>
  <w:style w:type="character" w:customStyle="1" w:styleId="ListLabel3757">
    <w:name w:val="ListLabel 3757"/>
    <w:qFormat/>
    <w:rPr>
      <w:rFonts w:cs="OpenSymbol"/>
    </w:rPr>
  </w:style>
  <w:style w:type="character" w:customStyle="1" w:styleId="ListLabel3758">
    <w:name w:val="ListLabel 3758"/>
    <w:qFormat/>
    <w:rPr>
      <w:rFonts w:cs="OpenSymbol"/>
    </w:rPr>
  </w:style>
  <w:style w:type="character" w:customStyle="1" w:styleId="ListLabel3759">
    <w:name w:val="ListLabel 3759"/>
    <w:qFormat/>
    <w:rPr>
      <w:rFonts w:cs="OpenSymbol"/>
    </w:rPr>
  </w:style>
  <w:style w:type="character" w:customStyle="1" w:styleId="ListLabel3760">
    <w:name w:val="ListLabel 3760"/>
    <w:qFormat/>
    <w:rPr>
      <w:rFonts w:cs="OpenSymbol"/>
    </w:rPr>
  </w:style>
  <w:style w:type="character" w:customStyle="1" w:styleId="ListLabel3761">
    <w:name w:val="ListLabel 3761"/>
    <w:qFormat/>
    <w:rPr>
      <w:rFonts w:cs="OpenSymbol"/>
    </w:rPr>
  </w:style>
  <w:style w:type="character" w:customStyle="1" w:styleId="ListLabel3762">
    <w:name w:val="ListLabel 3762"/>
    <w:qFormat/>
    <w:rPr>
      <w:rFonts w:cs="OpenSymbol"/>
    </w:rPr>
  </w:style>
  <w:style w:type="character" w:customStyle="1" w:styleId="ListLabel3763">
    <w:name w:val="ListLabel 3763"/>
    <w:qFormat/>
    <w:rPr>
      <w:rFonts w:cs="OpenSymbol"/>
    </w:rPr>
  </w:style>
  <w:style w:type="character" w:customStyle="1" w:styleId="ListLabel3764">
    <w:name w:val="ListLabel 3764"/>
    <w:qFormat/>
    <w:rPr>
      <w:rFonts w:cs="OpenSymbol"/>
      <w:b w:val="0"/>
      <w:sz w:val="28"/>
    </w:rPr>
  </w:style>
  <w:style w:type="character" w:customStyle="1" w:styleId="ListLabel3765">
    <w:name w:val="ListLabel 3765"/>
    <w:qFormat/>
    <w:rPr>
      <w:rFonts w:cs="OpenSymbol"/>
    </w:rPr>
  </w:style>
  <w:style w:type="character" w:customStyle="1" w:styleId="ListLabel3766">
    <w:name w:val="ListLabel 3766"/>
    <w:qFormat/>
    <w:rPr>
      <w:rFonts w:cs="OpenSymbol"/>
    </w:rPr>
  </w:style>
  <w:style w:type="character" w:customStyle="1" w:styleId="ListLabel3767">
    <w:name w:val="ListLabel 3767"/>
    <w:qFormat/>
    <w:rPr>
      <w:rFonts w:cs="OpenSymbol"/>
    </w:rPr>
  </w:style>
  <w:style w:type="character" w:customStyle="1" w:styleId="ListLabel3768">
    <w:name w:val="ListLabel 3768"/>
    <w:qFormat/>
    <w:rPr>
      <w:rFonts w:cs="OpenSymbol"/>
    </w:rPr>
  </w:style>
  <w:style w:type="character" w:customStyle="1" w:styleId="ListLabel3769">
    <w:name w:val="ListLabel 3769"/>
    <w:qFormat/>
    <w:rPr>
      <w:rFonts w:cs="OpenSymbol"/>
    </w:rPr>
  </w:style>
  <w:style w:type="character" w:customStyle="1" w:styleId="ListLabel3770">
    <w:name w:val="ListLabel 3770"/>
    <w:qFormat/>
    <w:rPr>
      <w:rFonts w:cs="OpenSymbol"/>
    </w:rPr>
  </w:style>
  <w:style w:type="character" w:customStyle="1" w:styleId="ListLabel3771">
    <w:name w:val="ListLabel 3771"/>
    <w:qFormat/>
    <w:rPr>
      <w:rFonts w:cs="OpenSymbol"/>
    </w:rPr>
  </w:style>
  <w:style w:type="character" w:customStyle="1" w:styleId="ListLabel3772">
    <w:name w:val="ListLabel 3772"/>
    <w:qFormat/>
    <w:rPr>
      <w:rFonts w:cs="OpenSymbol"/>
    </w:rPr>
  </w:style>
  <w:style w:type="character" w:customStyle="1" w:styleId="ListLabel3773">
    <w:name w:val="ListLabel 3773"/>
    <w:qFormat/>
    <w:rPr>
      <w:rFonts w:cs="OpenSymbol"/>
    </w:rPr>
  </w:style>
  <w:style w:type="character" w:customStyle="1" w:styleId="ListLabel3774">
    <w:name w:val="ListLabel 3774"/>
    <w:qFormat/>
    <w:rPr>
      <w:rFonts w:cs="OpenSymbol"/>
    </w:rPr>
  </w:style>
  <w:style w:type="character" w:customStyle="1" w:styleId="ListLabel3775">
    <w:name w:val="ListLabel 3775"/>
    <w:qFormat/>
    <w:rPr>
      <w:rFonts w:cs="OpenSymbol"/>
    </w:rPr>
  </w:style>
  <w:style w:type="character" w:customStyle="1" w:styleId="ListLabel3776">
    <w:name w:val="ListLabel 3776"/>
    <w:qFormat/>
    <w:rPr>
      <w:rFonts w:cs="OpenSymbol"/>
    </w:rPr>
  </w:style>
  <w:style w:type="character" w:customStyle="1" w:styleId="ListLabel3777">
    <w:name w:val="ListLabel 3777"/>
    <w:qFormat/>
    <w:rPr>
      <w:rFonts w:cs="OpenSymbol"/>
    </w:rPr>
  </w:style>
  <w:style w:type="character" w:customStyle="1" w:styleId="ListLabel3778">
    <w:name w:val="ListLabel 3778"/>
    <w:qFormat/>
    <w:rPr>
      <w:rFonts w:cs="OpenSymbol"/>
    </w:rPr>
  </w:style>
  <w:style w:type="character" w:customStyle="1" w:styleId="ListLabel3779">
    <w:name w:val="ListLabel 3779"/>
    <w:qFormat/>
    <w:rPr>
      <w:rFonts w:cs="OpenSymbol"/>
    </w:rPr>
  </w:style>
  <w:style w:type="character" w:customStyle="1" w:styleId="ListLabel3780">
    <w:name w:val="ListLabel 3780"/>
    <w:qFormat/>
    <w:rPr>
      <w:rFonts w:cs="OpenSymbol"/>
    </w:rPr>
  </w:style>
  <w:style w:type="character" w:customStyle="1" w:styleId="ListLabel3781">
    <w:name w:val="ListLabel 3781"/>
    <w:qFormat/>
    <w:rPr>
      <w:rFonts w:cs="OpenSymbol"/>
    </w:rPr>
  </w:style>
  <w:style w:type="character" w:customStyle="1" w:styleId="ListLabel3782">
    <w:name w:val="ListLabel 3782"/>
    <w:qFormat/>
    <w:rPr>
      <w:rFonts w:cs="OpenSymbol"/>
    </w:rPr>
  </w:style>
  <w:style w:type="character" w:customStyle="1" w:styleId="ListLabel3783">
    <w:name w:val="ListLabel 3783"/>
    <w:qFormat/>
    <w:rPr>
      <w:rFonts w:cs="OpenSymbol"/>
    </w:rPr>
  </w:style>
  <w:style w:type="character" w:customStyle="1" w:styleId="ListLabel3784">
    <w:name w:val="ListLabel 3784"/>
    <w:qFormat/>
    <w:rPr>
      <w:rFonts w:cs="OpenSymbol"/>
    </w:rPr>
  </w:style>
  <w:style w:type="character" w:customStyle="1" w:styleId="ListLabel3785">
    <w:name w:val="ListLabel 3785"/>
    <w:qFormat/>
    <w:rPr>
      <w:rFonts w:cs="OpenSymbol"/>
    </w:rPr>
  </w:style>
  <w:style w:type="character" w:customStyle="1" w:styleId="ListLabel3786">
    <w:name w:val="ListLabel 3786"/>
    <w:qFormat/>
    <w:rPr>
      <w:rFonts w:cs="OpenSymbol"/>
    </w:rPr>
  </w:style>
  <w:style w:type="character" w:customStyle="1" w:styleId="ListLabel3787">
    <w:name w:val="ListLabel 3787"/>
    <w:qFormat/>
    <w:rPr>
      <w:rFonts w:cs="OpenSymbol"/>
    </w:rPr>
  </w:style>
  <w:style w:type="character" w:customStyle="1" w:styleId="ListLabel3788">
    <w:name w:val="ListLabel 3788"/>
    <w:qFormat/>
    <w:rPr>
      <w:rFonts w:cs="OpenSymbol"/>
    </w:rPr>
  </w:style>
  <w:style w:type="character" w:customStyle="1" w:styleId="ListLabel3789">
    <w:name w:val="ListLabel 3789"/>
    <w:qFormat/>
    <w:rPr>
      <w:rFonts w:cs="OpenSymbol"/>
    </w:rPr>
  </w:style>
  <w:style w:type="character" w:customStyle="1" w:styleId="ListLabel3790">
    <w:name w:val="ListLabel 3790"/>
    <w:qFormat/>
    <w:rPr>
      <w:rFonts w:cs="OpenSymbol"/>
    </w:rPr>
  </w:style>
  <w:style w:type="character" w:customStyle="1" w:styleId="ListLabel3791">
    <w:name w:val="ListLabel 3791"/>
    <w:qFormat/>
    <w:rPr>
      <w:rFonts w:cs="OpenSymbol"/>
    </w:rPr>
  </w:style>
  <w:style w:type="character" w:customStyle="1" w:styleId="ListLabel3792">
    <w:name w:val="ListLabel 3792"/>
    <w:qFormat/>
    <w:rPr>
      <w:rFonts w:cs="OpenSymbol"/>
    </w:rPr>
  </w:style>
  <w:style w:type="character" w:customStyle="1" w:styleId="ListLabel3793">
    <w:name w:val="ListLabel 3793"/>
    <w:qFormat/>
    <w:rPr>
      <w:rFonts w:cs="OpenSymbol"/>
    </w:rPr>
  </w:style>
  <w:style w:type="character" w:customStyle="1" w:styleId="ListLabel3794">
    <w:name w:val="ListLabel 3794"/>
    <w:qFormat/>
    <w:rPr>
      <w:rFonts w:cs="OpenSymbol"/>
    </w:rPr>
  </w:style>
  <w:style w:type="character" w:customStyle="1" w:styleId="ListLabel3795">
    <w:name w:val="ListLabel 3795"/>
    <w:qFormat/>
    <w:rPr>
      <w:rFonts w:cs="OpenSymbol"/>
    </w:rPr>
  </w:style>
  <w:style w:type="character" w:customStyle="1" w:styleId="ListLabel3796">
    <w:name w:val="ListLabel 3796"/>
    <w:qFormat/>
    <w:rPr>
      <w:rFonts w:cs="OpenSymbol"/>
    </w:rPr>
  </w:style>
  <w:style w:type="character" w:customStyle="1" w:styleId="ListLabel3797">
    <w:name w:val="ListLabel 3797"/>
    <w:qFormat/>
    <w:rPr>
      <w:rFonts w:cs="OpenSymbol"/>
    </w:rPr>
  </w:style>
  <w:style w:type="character" w:customStyle="1" w:styleId="ListLabel3798">
    <w:name w:val="ListLabel 3798"/>
    <w:qFormat/>
    <w:rPr>
      <w:rFonts w:cs="OpenSymbol"/>
    </w:rPr>
  </w:style>
  <w:style w:type="character" w:customStyle="1" w:styleId="ListLabel3799">
    <w:name w:val="ListLabel 3799"/>
    <w:qFormat/>
    <w:rPr>
      <w:rFonts w:cs="OpenSymbol"/>
    </w:rPr>
  </w:style>
  <w:style w:type="character" w:customStyle="1" w:styleId="ListLabel3800">
    <w:name w:val="ListLabel 3800"/>
    <w:qFormat/>
    <w:rPr>
      <w:rFonts w:cs="OpenSymbol"/>
    </w:rPr>
  </w:style>
  <w:style w:type="character" w:customStyle="1" w:styleId="ListLabel3801">
    <w:name w:val="ListLabel 3801"/>
    <w:qFormat/>
    <w:rPr>
      <w:rFonts w:cs="OpenSymbol"/>
    </w:rPr>
  </w:style>
  <w:style w:type="character" w:customStyle="1" w:styleId="ListLabel3802">
    <w:name w:val="ListLabel 3802"/>
    <w:qFormat/>
    <w:rPr>
      <w:rFonts w:cs="OpenSymbol"/>
    </w:rPr>
  </w:style>
  <w:style w:type="character" w:customStyle="1" w:styleId="ListLabel3803">
    <w:name w:val="ListLabel 3803"/>
    <w:qFormat/>
    <w:rPr>
      <w:rFonts w:cs="OpenSymbol"/>
    </w:rPr>
  </w:style>
  <w:style w:type="character" w:customStyle="1" w:styleId="ListLabel3804">
    <w:name w:val="ListLabel 3804"/>
    <w:qFormat/>
    <w:rPr>
      <w:rFonts w:cs="OpenSymbol"/>
    </w:rPr>
  </w:style>
  <w:style w:type="character" w:customStyle="1" w:styleId="ListLabel3805">
    <w:name w:val="ListLabel 3805"/>
    <w:qFormat/>
    <w:rPr>
      <w:rFonts w:cs="OpenSymbol"/>
    </w:rPr>
  </w:style>
  <w:style w:type="character" w:customStyle="1" w:styleId="ListLabel3806">
    <w:name w:val="ListLabel 3806"/>
    <w:qFormat/>
    <w:rPr>
      <w:rFonts w:cs="OpenSymbol"/>
    </w:rPr>
  </w:style>
  <w:style w:type="character" w:customStyle="1" w:styleId="ListLabel3807">
    <w:name w:val="ListLabel 3807"/>
    <w:qFormat/>
    <w:rPr>
      <w:rFonts w:cs="OpenSymbol"/>
    </w:rPr>
  </w:style>
  <w:style w:type="character" w:customStyle="1" w:styleId="ListLabel3808">
    <w:name w:val="ListLabel 3808"/>
    <w:qFormat/>
    <w:rPr>
      <w:rFonts w:cs="OpenSymbol"/>
    </w:rPr>
  </w:style>
  <w:style w:type="character" w:customStyle="1" w:styleId="ListLabel3809">
    <w:name w:val="ListLabel 3809"/>
    <w:qFormat/>
    <w:rPr>
      <w:rFonts w:cs="OpenSymbol"/>
    </w:rPr>
  </w:style>
  <w:style w:type="character" w:customStyle="1" w:styleId="ListLabel3810">
    <w:name w:val="ListLabel 3810"/>
    <w:qFormat/>
    <w:rPr>
      <w:rFonts w:cs="OpenSymbol"/>
    </w:rPr>
  </w:style>
  <w:style w:type="character" w:customStyle="1" w:styleId="ListLabel3811">
    <w:name w:val="ListLabel 3811"/>
    <w:qFormat/>
    <w:rPr>
      <w:rFonts w:cs="OpenSymbol"/>
    </w:rPr>
  </w:style>
  <w:style w:type="character" w:customStyle="1" w:styleId="ListLabel3812">
    <w:name w:val="ListLabel 3812"/>
    <w:qFormat/>
    <w:rPr>
      <w:rFonts w:cs="OpenSymbol"/>
    </w:rPr>
  </w:style>
  <w:style w:type="character" w:customStyle="1" w:styleId="ListLabel3813">
    <w:name w:val="ListLabel 3813"/>
    <w:qFormat/>
    <w:rPr>
      <w:rFonts w:cs="OpenSymbol"/>
    </w:rPr>
  </w:style>
  <w:style w:type="character" w:customStyle="1" w:styleId="ListLabel3814">
    <w:name w:val="ListLabel 3814"/>
    <w:qFormat/>
    <w:rPr>
      <w:rFonts w:cs="OpenSymbol"/>
    </w:rPr>
  </w:style>
  <w:style w:type="character" w:customStyle="1" w:styleId="ListLabel3815">
    <w:name w:val="ListLabel 3815"/>
    <w:qFormat/>
    <w:rPr>
      <w:rFonts w:cs="OpenSymbol"/>
    </w:rPr>
  </w:style>
  <w:style w:type="character" w:customStyle="1" w:styleId="ListLabel3816">
    <w:name w:val="ListLabel 3816"/>
    <w:qFormat/>
    <w:rPr>
      <w:rFonts w:cs="OpenSymbol"/>
    </w:rPr>
  </w:style>
  <w:style w:type="character" w:customStyle="1" w:styleId="ListLabel3817">
    <w:name w:val="ListLabel 3817"/>
    <w:qFormat/>
    <w:rPr>
      <w:rFonts w:cs="OpenSymbol"/>
    </w:rPr>
  </w:style>
  <w:style w:type="character" w:customStyle="1" w:styleId="ListLabel3818">
    <w:name w:val="ListLabel 3818"/>
    <w:qFormat/>
    <w:rPr>
      <w:rFonts w:cs="OpenSymbol"/>
    </w:rPr>
  </w:style>
  <w:style w:type="character" w:customStyle="1" w:styleId="ListLabel3819">
    <w:name w:val="ListLabel 3819"/>
    <w:qFormat/>
    <w:rPr>
      <w:rFonts w:cs="OpenSymbol"/>
    </w:rPr>
  </w:style>
  <w:style w:type="character" w:customStyle="1" w:styleId="ListLabel3820">
    <w:name w:val="ListLabel 3820"/>
    <w:qFormat/>
    <w:rPr>
      <w:rFonts w:cs="OpenSymbol"/>
    </w:rPr>
  </w:style>
  <w:style w:type="character" w:customStyle="1" w:styleId="ListLabel3821">
    <w:name w:val="ListLabel 3821"/>
    <w:qFormat/>
    <w:rPr>
      <w:rFonts w:cs="OpenSymbol"/>
    </w:rPr>
  </w:style>
  <w:style w:type="character" w:customStyle="1" w:styleId="ListLabel3822">
    <w:name w:val="ListLabel 3822"/>
    <w:qFormat/>
    <w:rPr>
      <w:rFonts w:cs="OpenSymbol"/>
    </w:rPr>
  </w:style>
  <w:style w:type="character" w:customStyle="1" w:styleId="ListLabel3823">
    <w:name w:val="ListLabel 3823"/>
    <w:qFormat/>
    <w:rPr>
      <w:rFonts w:cs="OpenSymbol"/>
    </w:rPr>
  </w:style>
  <w:style w:type="character" w:customStyle="1" w:styleId="ListLabel3824">
    <w:name w:val="ListLabel 3824"/>
    <w:qFormat/>
    <w:rPr>
      <w:rFonts w:cs="OpenSymbol"/>
    </w:rPr>
  </w:style>
  <w:style w:type="character" w:customStyle="1" w:styleId="ListLabel3825">
    <w:name w:val="ListLabel 3825"/>
    <w:qFormat/>
    <w:rPr>
      <w:rFonts w:cs="OpenSymbol"/>
    </w:rPr>
  </w:style>
  <w:style w:type="character" w:customStyle="1" w:styleId="ListLabel3826">
    <w:name w:val="ListLabel 3826"/>
    <w:qFormat/>
    <w:rPr>
      <w:rFonts w:cs="OpenSymbol"/>
    </w:rPr>
  </w:style>
  <w:style w:type="character" w:customStyle="1" w:styleId="ListLabel3827">
    <w:name w:val="ListLabel 3827"/>
    <w:qFormat/>
    <w:rPr>
      <w:rFonts w:cs="OpenSymbol"/>
    </w:rPr>
  </w:style>
  <w:style w:type="character" w:customStyle="1" w:styleId="ListLabel3828">
    <w:name w:val="ListLabel 3828"/>
    <w:qFormat/>
    <w:rPr>
      <w:rFonts w:cs="OpenSymbol"/>
    </w:rPr>
  </w:style>
  <w:style w:type="character" w:customStyle="1" w:styleId="ListLabel3829">
    <w:name w:val="ListLabel 3829"/>
    <w:qFormat/>
    <w:rPr>
      <w:rFonts w:cs="OpenSymbol"/>
    </w:rPr>
  </w:style>
  <w:style w:type="character" w:customStyle="1" w:styleId="ListLabel3830">
    <w:name w:val="ListLabel 3830"/>
    <w:qFormat/>
    <w:rPr>
      <w:rFonts w:cs="OpenSymbol"/>
    </w:rPr>
  </w:style>
  <w:style w:type="character" w:customStyle="1" w:styleId="ListLabel3831">
    <w:name w:val="ListLabel 3831"/>
    <w:qFormat/>
    <w:rPr>
      <w:rFonts w:cs="OpenSymbol"/>
    </w:rPr>
  </w:style>
  <w:style w:type="character" w:customStyle="1" w:styleId="ListLabel3832">
    <w:name w:val="ListLabel 3832"/>
    <w:qFormat/>
    <w:rPr>
      <w:rFonts w:cs="OpenSymbol"/>
    </w:rPr>
  </w:style>
  <w:style w:type="character" w:customStyle="1" w:styleId="ListLabel3833">
    <w:name w:val="ListLabel 3833"/>
    <w:qFormat/>
    <w:rPr>
      <w:rFonts w:cs="OpenSymbol"/>
    </w:rPr>
  </w:style>
  <w:style w:type="character" w:customStyle="1" w:styleId="ListLabel3834">
    <w:name w:val="ListLabel 3834"/>
    <w:qFormat/>
    <w:rPr>
      <w:rFonts w:cs="OpenSymbol"/>
    </w:rPr>
  </w:style>
  <w:style w:type="character" w:customStyle="1" w:styleId="ListLabel3835">
    <w:name w:val="ListLabel 3835"/>
    <w:qFormat/>
    <w:rPr>
      <w:rFonts w:cs="OpenSymbol"/>
    </w:rPr>
  </w:style>
  <w:style w:type="character" w:customStyle="1" w:styleId="ListLabel3836">
    <w:name w:val="ListLabel 3836"/>
    <w:qFormat/>
    <w:rPr>
      <w:rFonts w:cs="OpenSymbol"/>
    </w:rPr>
  </w:style>
  <w:style w:type="character" w:customStyle="1" w:styleId="ListLabel3837">
    <w:name w:val="ListLabel 3837"/>
    <w:qFormat/>
    <w:rPr>
      <w:rFonts w:cs="OpenSymbol"/>
    </w:rPr>
  </w:style>
  <w:style w:type="character" w:customStyle="1" w:styleId="ListLabel3838">
    <w:name w:val="ListLabel 3838"/>
    <w:qFormat/>
    <w:rPr>
      <w:rFonts w:cs="OpenSymbol"/>
    </w:rPr>
  </w:style>
  <w:style w:type="character" w:customStyle="1" w:styleId="ListLabel3839">
    <w:name w:val="ListLabel 3839"/>
    <w:qFormat/>
    <w:rPr>
      <w:rFonts w:cs="OpenSymbol"/>
    </w:rPr>
  </w:style>
  <w:style w:type="character" w:customStyle="1" w:styleId="ListLabel3840">
    <w:name w:val="ListLabel 3840"/>
    <w:qFormat/>
    <w:rPr>
      <w:rFonts w:cs="OpenSymbol"/>
    </w:rPr>
  </w:style>
  <w:style w:type="character" w:customStyle="1" w:styleId="ListLabel3841">
    <w:name w:val="ListLabel 3841"/>
    <w:qFormat/>
    <w:rPr>
      <w:rFonts w:cs="OpenSymbol"/>
    </w:rPr>
  </w:style>
  <w:style w:type="character" w:customStyle="1" w:styleId="ListLabel3842">
    <w:name w:val="ListLabel 3842"/>
    <w:qFormat/>
    <w:rPr>
      <w:rFonts w:cs="OpenSymbol"/>
    </w:rPr>
  </w:style>
  <w:style w:type="character" w:customStyle="1" w:styleId="ListLabel3843">
    <w:name w:val="ListLabel 3843"/>
    <w:qFormat/>
    <w:rPr>
      <w:rFonts w:cs="OpenSymbol"/>
    </w:rPr>
  </w:style>
  <w:style w:type="character" w:customStyle="1" w:styleId="ListLabel3844">
    <w:name w:val="ListLabel 3844"/>
    <w:qFormat/>
    <w:rPr>
      <w:rFonts w:cs="OpenSymbol"/>
    </w:rPr>
  </w:style>
  <w:style w:type="character" w:customStyle="1" w:styleId="ListLabel3845">
    <w:name w:val="ListLabel 3845"/>
    <w:qFormat/>
    <w:rPr>
      <w:rFonts w:cs="OpenSymbol"/>
    </w:rPr>
  </w:style>
  <w:style w:type="character" w:customStyle="1" w:styleId="ListLabel3846">
    <w:name w:val="ListLabel 3846"/>
    <w:qFormat/>
    <w:rPr>
      <w:rFonts w:cs="OpenSymbol"/>
    </w:rPr>
  </w:style>
  <w:style w:type="character" w:customStyle="1" w:styleId="ListLabel3847">
    <w:name w:val="ListLabel 3847"/>
    <w:qFormat/>
    <w:rPr>
      <w:rFonts w:cs="OpenSymbol"/>
    </w:rPr>
  </w:style>
  <w:style w:type="character" w:customStyle="1" w:styleId="ListLabel3848">
    <w:name w:val="ListLabel 3848"/>
    <w:qFormat/>
    <w:rPr>
      <w:rFonts w:cs="OpenSymbol"/>
    </w:rPr>
  </w:style>
  <w:style w:type="character" w:customStyle="1" w:styleId="ListLabel3849">
    <w:name w:val="ListLabel 3849"/>
    <w:qFormat/>
    <w:rPr>
      <w:rFonts w:cs="OpenSymbol"/>
    </w:rPr>
  </w:style>
  <w:style w:type="character" w:customStyle="1" w:styleId="ListLabel3850">
    <w:name w:val="ListLabel 3850"/>
    <w:qFormat/>
    <w:rPr>
      <w:rFonts w:cs="OpenSymbol"/>
    </w:rPr>
  </w:style>
  <w:style w:type="character" w:customStyle="1" w:styleId="ListLabel3851">
    <w:name w:val="ListLabel 3851"/>
    <w:qFormat/>
    <w:rPr>
      <w:rFonts w:cs="OpenSymbol"/>
    </w:rPr>
  </w:style>
  <w:style w:type="character" w:customStyle="1" w:styleId="ListLabel3852">
    <w:name w:val="ListLabel 3852"/>
    <w:qFormat/>
    <w:rPr>
      <w:rFonts w:cs="OpenSymbol"/>
    </w:rPr>
  </w:style>
  <w:style w:type="character" w:customStyle="1" w:styleId="ListLabel3853">
    <w:name w:val="ListLabel 3853"/>
    <w:qFormat/>
    <w:rPr>
      <w:rFonts w:cs="OpenSymbol"/>
    </w:rPr>
  </w:style>
  <w:style w:type="character" w:customStyle="1" w:styleId="ListLabel3854">
    <w:name w:val="ListLabel 3854"/>
    <w:qFormat/>
    <w:rPr>
      <w:rFonts w:cs="OpenSymbol"/>
    </w:rPr>
  </w:style>
  <w:style w:type="character" w:customStyle="1" w:styleId="ListLabel3855">
    <w:name w:val="ListLabel 3855"/>
    <w:qFormat/>
    <w:rPr>
      <w:rFonts w:cs="OpenSymbol"/>
    </w:rPr>
  </w:style>
  <w:style w:type="character" w:customStyle="1" w:styleId="ListLabel3856">
    <w:name w:val="ListLabel 3856"/>
    <w:qFormat/>
    <w:rPr>
      <w:rFonts w:cs="OpenSymbol"/>
    </w:rPr>
  </w:style>
  <w:style w:type="character" w:customStyle="1" w:styleId="ListLabel3857">
    <w:name w:val="ListLabel 3857"/>
    <w:qFormat/>
    <w:rPr>
      <w:rFonts w:cs="OpenSymbol"/>
    </w:rPr>
  </w:style>
  <w:style w:type="character" w:customStyle="1" w:styleId="ListLabel3858">
    <w:name w:val="ListLabel 3858"/>
    <w:qFormat/>
    <w:rPr>
      <w:rFonts w:cs="OpenSymbol"/>
    </w:rPr>
  </w:style>
  <w:style w:type="character" w:customStyle="1" w:styleId="ListLabel3859">
    <w:name w:val="ListLabel 3859"/>
    <w:qFormat/>
    <w:rPr>
      <w:rFonts w:cs="OpenSymbol"/>
    </w:rPr>
  </w:style>
  <w:style w:type="character" w:customStyle="1" w:styleId="ListLabel3860">
    <w:name w:val="ListLabel 3860"/>
    <w:qFormat/>
    <w:rPr>
      <w:rFonts w:cs="OpenSymbol"/>
    </w:rPr>
  </w:style>
  <w:style w:type="character" w:customStyle="1" w:styleId="ListLabel3861">
    <w:name w:val="ListLabel 3861"/>
    <w:qFormat/>
    <w:rPr>
      <w:rFonts w:cs="OpenSymbol"/>
    </w:rPr>
  </w:style>
  <w:style w:type="character" w:customStyle="1" w:styleId="ListLabel3862">
    <w:name w:val="ListLabel 3862"/>
    <w:qFormat/>
    <w:rPr>
      <w:rFonts w:cs="OpenSymbol"/>
    </w:rPr>
  </w:style>
  <w:style w:type="character" w:customStyle="1" w:styleId="ListLabel3863">
    <w:name w:val="ListLabel 3863"/>
    <w:qFormat/>
    <w:rPr>
      <w:rFonts w:cs="OpenSymbol"/>
    </w:rPr>
  </w:style>
  <w:style w:type="character" w:customStyle="1" w:styleId="ListLabel3864">
    <w:name w:val="ListLabel 3864"/>
    <w:qFormat/>
    <w:rPr>
      <w:rFonts w:cs="OpenSymbol"/>
    </w:rPr>
  </w:style>
  <w:style w:type="character" w:customStyle="1" w:styleId="ListLabel3865">
    <w:name w:val="ListLabel 3865"/>
    <w:qFormat/>
    <w:rPr>
      <w:rFonts w:cs="OpenSymbol"/>
    </w:rPr>
  </w:style>
  <w:style w:type="character" w:customStyle="1" w:styleId="ListLabel3866">
    <w:name w:val="ListLabel 3866"/>
    <w:qFormat/>
    <w:rPr>
      <w:rFonts w:cs="OpenSymbol"/>
    </w:rPr>
  </w:style>
  <w:style w:type="character" w:customStyle="1" w:styleId="ListLabel3867">
    <w:name w:val="ListLabel 3867"/>
    <w:qFormat/>
    <w:rPr>
      <w:rFonts w:cs="OpenSymbol"/>
    </w:rPr>
  </w:style>
  <w:style w:type="character" w:customStyle="1" w:styleId="ListLabel3868">
    <w:name w:val="ListLabel 3868"/>
    <w:qFormat/>
    <w:rPr>
      <w:rFonts w:cs="OpenSymbol"/>
    </w:rPr>
  </w:style>
  <w:style w:type="character" w:customStyle="1" w:styleId="ListLabel3869">
    <w:name w:val="ListLabel 3869"/>
    <w:qFormat/>
    <w:rPr>
      <w:rFonts w:cs="OpenSymbol"/>
    </w:rPr>
  </w:style>
  <w:style w:type="character" w:customStyle="1" w:styleId="ListLabel3870">
    <w:name w:val="ListLabel 3870"/>
    <w:qFormat/>
    <w:rPr>
      <w:rFonts w:cs="OpenSymbol"/>
    </w:rPr>
  </w:style>
  <w:style w:type="character" w:customStyle="1" w:styleId="ListLabel3871">
    <w:name w:val="ListLabel 3871"/>
    <w:qFormat/>
    <w:rPr>
      <w:rFonts w:cs="OpenSymbol"/>
    </w:rPr>
  </w:style>
  <w:style w:type="character" w:customStyle="1" w:styleId="ListLabel3872">
    <w:name w:val="ListLabel 3872"/>
    <w:qFormat/>
    <w:rPr>
      <w:rFonts w:cs="OpenSymbol"/>
    </w:rPr>
  </w:style>
  <w:style w:type="character" w:customStyle="1" w:styleId="ListLabel3873">
    <w:name w:val="ListLabel 3873"/>
    <w:qFormat/>
    <w:rPr>
      <w:rFonts w:cs="OpenSymbol"/>
    </w:rPr>
  </w:style>
  <w:style w:type="character" w:customStyle="1" w:styleId="ListLabel3874">
    <w:name w:val="ListLabel 3874"/>
    <w:qFormat/>
    <w:rPr>
      <w:rFonts w:cs="OpenSymbol"/>
    </w:rPr>
  </w:style>
  <w:style w:type="character" w:customStyle="1" w:styleId="ListLabel3875">
    <w:name w:val="ListLabel 3875"/>
    <w:qFormat/>
    <w:rPr>
      <w:rFonts w:cs="OpenSymbol"/>
    </w:rPr>
  </w:style>
  <w:style w:type="character" w:customStyle="1" w:styleId="ListLabel3876">
    <w:name w:val="ListLabel 3876"/>
    <w:qFormat/>
    <w:rPr>
      <w:rFonts w:cs="OpenSymbol"/>
    </w:rPr>
  </w:style>
  <w:style w:type="character" w:customStyle="1" w:styleId="ListLabel3877">
    <w:name w:val="ListLabel 3877"/>
    <w:qFormat/>
    <w:rPr>
      <w:rFonts w:cs="OpenSymbol"/>
    </w:rPr>
  </w:style>
  <w:style w:type="character" w:customStyle="1" w:styleId="ListLabel3878">
    <w:name w:val="ListLabel 3878"/>
    <w:qFormat/>
    <w:rPr>
      <w:rFonts w:cs="OpenSymbol"/>
    </w:rPr>
  </w:style>
  <w:style w:type="character" w:customStyle="1" w:styleId="ListLabel3879">
    <w:name w:val="ListLabel 3879"/>
    <w:qFormat/>
    <w:rPr>
      <w:rFonts w:cs="OpenSymbol"/>
    </w:rPr>
  </w:style>
  <w:style w:type="character" w:customStyle="1" w:styleId="ListLabel3880">
    <w:name w:val="ListLabel 3880"/>
    <w:qFormat/>
    <w:rPr>
      <w:rFonts w:cs="OpenSymbol"/>
    </w:rPr>
  </w:style>
  <w:style w:type="character" w:customStyle="1" w:styleId="ListLabel3881">
    <w:name w:val="ListLabel 3881"/>
    <w:qFormat/>
    <w:rPr>
      <w:rFonts w:cs="OpenSymbol"/>
    </w:rPr>
  </w:style>
  <w:style w:type="character" w:customStyle="1" w:styleId="ListLabel3882">
    <w:name w:val="ListLabel 3882"/>
    <w:qFormat/>
    <w:rPr>
      <w:rFonts w:cs="OpenSymbol"/>
    </w:rPr>
  </w:style>
  <w:style w:type="character" w:customStyle="1" w:styleId="ListLabel3883">
    <w:name w:val="ListLabel 3883"/>
    <w:qFormat/>
    <w:rPr>
      <w:rFonts w:cs="OpenSymbol"/>
    </w:rPr>
  </w:style>
  <w:style w:type="character" w:customStyle="1" w:styleId="ListLabel3884">
    <w:name w:val="ListLabel 3884"/>
    <w:qFormat/>
    <w:rPr>
      <w:rFonts w:cs="OpenSymbol"/>
    </w:rPr>
  </w:style>
  <w:style w:type="character" w:customStyle="1" w:styleId="ListLabel3885">
    <w:name w:val="ListLabel 3885"/>
    <w:qFormat/>
    <w:rPr>
      <w:rFonts w:cs="OpenSymbol"/>
    </w:rPr>
  </w:style>
  <w:style w:type="character" w:customStyle="1" w:styleId="ListLabel3886">
    <w:name w:val="ListLabel 3886"/>
    <w:qFormat/>
    <w:rPr>
      <w:rFonts w:cs="OpenSymbol"/>
    </w:rPr>
  </w:style>
  <w:style w:type="character" w:customStyle="1" w:styleId="ListLabel3887">
    <w:name w:val="ListLabel 3887"/>
    <w:qFormat/>
    <w:rPr>
      <w:rFonts w:cs="OpenSymbol"/>
    </w:rPr>
  </w:style>
  <w:style w:type="character" w:customStyle="1" w:styleId="ListLabel3888">
    <w:name w:val="ListLabel 3888"/>
    <w:qFormat/>
    <w:rPr>
      <w:rFonts w:cs="OpenSymbol"/>
    </w:rPr>
  </w:style>
  <w:style w:type="character" w:customStyle="1" w:styleId="ListLabel3889">
    <w:name w:val="ListLabel 3889"/>
    <w:qFormat/>
    <w:rPr>
      <w:rFonts w:cs="OpenSymbol"/>
    </w:rPr>
  </w:style>
  <w:style w:type="character" w:customStyle="1" w:styleId="ListLabel3890">
    <w:name w:val="ListLabel 3890"/>
    <w:qFormat/>
    <w:rPr>
      <w:rFonts w:cs="OpenSymbol"/>
    </w:rPr>
  </w:style>
  <w:style w:type="character" w:customStyle="1" w:styleId="ListLabel3891">
    <w:name w:val="ListLabel 3891"/>
    <w:qFormat/>
    <w:rPr>
      <w:rFonts w:cs="OpenSymbol"/>
    </w:rPr>
  </w:style>
  <w:style w:type="character" w:customStyle="1" w:styleId="ListLabel3892">
    <w:name w:val="ListLabel 3892"/>
    <w:qFormat/>
    <w:rPr>
      <w:rFonts w:cs="OpenSymbol"/>
    </w:rPr>
  </w:style>
  <w:style w:type="character" w:customStyle="1" w:styleId="ListLabel3893">
    <w:name w:val="ListLabel 3893"/>
    <w:qFormat/>
    <w:rPr>
      <w:rFonts w:cs="OpenSymbol"/>
    </w:rPr>
  </w:style>
  <w:style w:type="character" w:customStyle="1" w:styleId="ListLabel3894">
    <w:name w:val="ListLabel 3894"/>
    <w:qFormat/>
    <w:rPr>
      <w:rFonts w:cs="OpenSymbol"/>
    </w:rPr>
  </w:style>
  <w:style w:type="character" w:customStyle="1" w:styleId="ListLabel3895">
    <w:name w:val="ListLabel 3895"/>
    <w:qFormat/>
    <w:rPr>
      <w:rFonts w:cs="OpenSymbol"/>
    </w:rPr>
  </w:style>
  <w:style w:type="character" w:customStyle="1" w:styleId="ListLabel3896">
    <w:name w:val="ListLabel 3896"/>
    <w:qFormat/>
    <w:rPr>
      <w:rFonts w:cs="OpenSymbol"/>
    </w:rPr>
  </w:style>
  <w:style w:type="character" w:customStyle="1" w:styleId="ListLabel3897">
    <w:name w:val="ListLabel 3897"/>
    <w:qFormat/>
    <w:rPr>
      <w:rFonts w:cs="OpenSymbol"/>
    </w:rPr>
  </w:style>
  <w:style w:type="character" w:customStyle="1" w:styleId="ListLabel3898">
    <w:name w:val="ListLabel 3898"/>
    <w:qFormat/>
    <w:rPr>
      <w:rFonts w:cs="OpenSymbol"/>
    </w:rPr>
  </w:style>
  <w:style w:type="character" w:customStyle="1" w:styleId="ListLabel3899">
    <w:name w:val="ListLabel 3899"/>
    <w:qFormat/>
    <w:rPr>
      <w:rFonts w:cs="OpenSymbol"/>
    </w:rPr>
  </w:style>
  <w:style w:type="character" w:customStyle="1" w:styleId="ListLabel3900">
    <w:name w:val="ListLabel 3900"/>
    <w:qFormat/>
    <w:rPr>
      <w:rFonts w:cs="OpenSymbol"/>
    </w:rPr>
  </w:style>
  <w:style w:type="character" w:customStyle="1" w:styleId="ListLabel3901">
    <w:name w:val="ListLabel 3901"/>
    <w:qFormat/>
    <w:rPr>
      <w:rFonts w:cs="OpenSymbol"/>
    </w:rPr>
  </w:style>
  <w:style w:type="character" w:customStyle="1" w:styleId="ListLabel3902">
    <w:name w:val="ListLabel 3902"/>
    <w:qFormat/>
    <w:rPr>
      <w:rFonts w:cs="OpenSymbol"/>
    </w:rPr>
  </w:style>
  <w:style w:type="character" w:customStyle="1" w:styleId="ListLabel3903">
    <w:name w:val="ListLabel 3903"/>
    <w:qFormat/>
    <w:rPr>
      <w:rFonts w:cs="OpenSymbol"/>
    </w:rPr>
  </w:style>
  <w:style w:type="character" w:customStyle="1" w:styleId="ListLabel3904">
    <w:name w:val="ListLabel 3904"/>
    <w:qFormat/>
    <w:rPr>
      <w:rFonts w:cs="OpenSymbol"/>
    </w:rPr>
  </w:style>
  <w:style w:type="character" w:customStyle="1" w:styleId="ListLabel3905">
    <w:name w:val="ListLabel 3905"/>
    <w:qFormat/>
    <w:rPr>
      <w:rFonts w:cs="OpenSymbol"/>
    </w:rPr>
  </w:style>
  <w:style w:type="character" w:customStyle="1" w:styleId="ListLabel3906">
    <w:name w:val="ListLabel 3906"/>
    <w:qFormat/>
    <w:rPr>
      <w:rFonts w:cs="OpenSymbol"/>
    </w:rPr>
  </w:style>
  <w:style w:type="character" w:customStyle="1" w:styleId="ListLabel3907">
    <w:name w:val="ListLabel 3907"/>
    <w:qFormat/>
    <w:rPr>
      <w:rFonts w:cs="OpenSymbol"/>
    </w:rPr>
  </w:style>
  <w:style w:type="character" w:customStyle="1" w:styleId="ListLabel3908">
    <w:name w:val="ListLabel 3908"/>
    <w:qFormat/>
    <w:rPr>
      <w:rFonts w:cs="OpenSymbol"/>
    </w:rPr>
  </w:style>
  <w:style w:type="character" w:customStyle="1" w:styleId="ListLabel3909">
    <w:name w:val="ListLabel 3909"/>
    <w:qFormat/>
    <w:rPr>
      <w:rFonts w:cs="OpenSymbol"/>
    </w:rPr>
  </w:style>
  <w:style w:type="character" w:customStyle="1" w:styleId="ListLabel3910">
    <w:name w:val="ListLabel 3910"/>
    <w:qFormat/>
    <w:rPr>
      <w:rFonts w:cs="OpenSymbol"/>
    </w:rPr>
  </w:style>
  <w:style w:type="character" w:customStyle="1" w:styleId="ListLabel3911">
    <w:name w:val="ListLabel 3911"/>
    <w:qFormat/>
    <w:rPr>
      <w:rFonts w:cs="OpenSymbol"/>
    </w:rPr>
  </w:style>
  <w:style w:type="character" w:customStyle="1" w:styleId="ListLabel3912">
    <w:name w:val="ListLabel 3912"/>
    <w:qFormat/>
    <w:rPr>
      <w:rFonts w:cs="OpenSymbol"/>
    </w:rPr>
  </w:style>
  <w:style w:type="character" w:customStyle="1" w:styleId="ListLabel3913">
    <w:name w:val="ListLabel 3913"/>
    <w:qFormat/>
    <w:rPr>
      <w:rFonts w:cs="OpenSymbol"/>
    </w:rPr>
  </w:style>
  <w:style w:type="character" w:customStyle="1" w:styleId="ListLabel3914">
    <w:name w:val="ListLabel 3914"/>
    <w:qFormat/>
    <w:rPr>
      <w:rFonts w:cs="OpenSymbol"/>
    </w:rPr>
  </w:style>
  <w:style w:type="character" w:customStyle="1" w:styleId="ListLabel3915">
    <w:name w:val="ListLabel 3915"/>
    <w:qFormat/>
    <w:rPr>
      <w:rFonts w:cs="OpenSymbol"/>
    </w:rPr>
  </w:style>
  <w:style w:type="character" w:customStyle="1" w:styleId="ListLabel3916">
    <w:name w:val="ListLabel 3916"/>
    <w:qFormat/>
    <w:rPr>
      <w:rFonts w:cs="OpenSymbol"/>
    </w:rPr>
  </w:style>
  <w:style w:type="character" w:customStyle="1" w:styleId="ListLabel3917">
    <w:name w:val="ListLabel 3917"/>
    <w:qFormat/>
    <w:rPr>
      <w:rFonts w:cs="OpenSymbol"/>
    </w:rPr>
  </w:style>
  <w:style w:type="character" w:customStyle="1" w:styleId="ListLabel3918">
    <w:name w:val="ListLabel 3918"/>
    <w:qFormat/>
    <w:rPr>
      <w:rFonts w:cs="OpenSymbol"/>
    </w:rPr>
  </w:style>
  <w:style w:type="character" w:customStyle="1" w:styleId="ListLabel3919">
    <w:name w:val="ListLabel 3919"/>
    <w:qFormat/>
    <w:rPr>
      <w:rFonts w:cs="OpenSymbol"/>
    </w:rPr>
  </w:style>
  <w:style w:type="character" w:customStyle="1" w:styleId="ListLabel3920">
    <w:name w:val="ListLabel 3920"/>
    <w:qFormat/>
    <w:rPr>
      <w:rFonts w:cs="OpenSymbol"/>
    </w:rPr>
  </w:style>
  <w:style w:type="character" w:customStyle="1" w:styleId="ListLabel3921">
    <w:name w:val="ListLabel 3921"/>
    <w:qFormat/>
    <w:rPr>
      <w:rFonts w:cs="OpenSymbol"/>
    </w:rPr>
  </w:style>
  <w:style w:type="character" w:customStyle="1" w:styleId="ListLabel3922">
    <w:name w:val="ListLabel 3922"/>
    <w:qFormat/>
    <w:rPr>
      <w:rFonts w:cs="OpenSymbol"/>
    </w:rPr>
  </w:style>
  <w:style w:type="character" w:customStyle="1" w:styleId="ListLabel3923">
    <w:name w:val="ListLabel 3923"/>
    <w:qFormat/>
    <w:rPr>
      <w:rFonts w:cs="OpenSymbol"/>
    </w:rPr>
  </w:style>
  <w:style w:type="character" w:customStyle="1" w:styleId="ListLabel3924">
    <w:name w:val="ListLabel 3924"/>
    <w:qFormat/>
    <w:rPr>
      <w:rFonts w:cs="OpenSymbol"/>
    </w:rPr>
  </w:style>
  <w:style w:type="character" w:customStyle="1" w:styleId="ListLabel3925">
    <w:name w:val="ListLabel 3925"/>
    <w:qFormat/>
    <w:rPr>
      <w:rFonts w:eastAsia="Calibri"/>
      <w:color w:val="000000"/>
      <w:sz w:val="28"/>
      <w:u w:val="none"/>
    </w:rPr>
  </w:style>
  <w:style w:type="character" w:customStyle="1" w:styleId="ListLabel3926">
    <w:name w:val="ListLabel 3926"/>
    <w:qFormat/>
    <w:rPr>
      <w:rFonts w:eastAsia="Calibri"/>
      <w:color w:val="000000"/>
      <w:sz w:val="28"/>
      <w:u w:val="none"/>
      <w:lang w:val="en-US"/>
    </w:rPr>
  </w:style>
  <w:style w:type="character" w:customStyle="1" w:styleId="ListLabel3927">
    <w:name w:val="ListLabel 3927"/>
    <w:qFormat/>
    <w:rPr>
      <w:rFonts w:eastAsia="Calibri"/>
      <w:color w:val="000000"/>
      <w:sz w:val="28"/>
      <w:u w:val="none"/>
      <w:lang w:val="uk-UA"/>
    </w:rPr>
  </w:style>
  <w:style w:type="character" w:customStyle="1" w:styleId="ListLabel3928">
    <w:name w:val="ListLabel 3928"/>
    <w:qFormat/>
    <w:rPr>
      <w:color w:val="000000"/>
      <w:sz w:val="28"/>
      <w:u w:val="none"/>
    </w:rPr>
  </w:style>
  <w:style w:type="character" w:customStyle="1" w:styleId="ListLabel3929">
    <w:name w:val="ListLabel 3929"/>
    <w:qFormat/>
    <w:rPr>
      <w:rFonts w:eastAsia="Calibri"/>
      <w:color w:val="C9211E"/>
      <w:sz w:val="28"/>
    </w:rPr>
  </w:style>
  <w:style w:type="character" w:customStyle="1" w:styleId="ListLabel3930">
    <w:name w:val="ListLabel 3930"/>
    <w:qFormat/>
    <w:rPr>
      <w:rFonts w:eastAsia="Calibri" w:cs="Times New Roman"/>
      <w:b/>
      <w:bCs/>
      <w:kern w:val="2"/>
      <w:sz w:val="28"/>
      <w:szCs w:val="28"/>
      <w:lang w:val="uk-UA" w:eastAsia="ru-RU"/>
    </w:rPr>
  </w:style>
  <w:style w:type="character" w:customStyle="1" w:styleId="ListLabel3931">
    <w:name w:val="ListLabel 3931"/>
    <w:qFormat/>
    <w:rPr>
      <w:rFonts w:eastAsia="Calibri"/>
      <w:b/>
      <w:bCs/>
      <w:color w:val="000000"/>
      <w:sz w:val="28"/>
      <w:u w:val="none"/>
      <w:lang w:val="en-US"/>
    </w:rPr>
  </w:style>
  <w:style w:type="character" w:customStyle="1" w:styleId="ListLabel3932">
    <w:name w:val="ListLabel 3932"/>
    <w:qFormat/>
    <w:rPr>
      <w:b w:val="0"/>
      <w:bCs w:val="0"/>
      <w:color w:val="FF8000"/>
      <w:sz w:val="28"/>
      <w:szCs w:val="28"/>
      <w:highlight w:val="yellow"/>
      <w:lang w:val="ru-RU"/>
    </w:rPr>
  </w:style>
  <w:style w:type="character" w:customStyle="1" w:styleId="ListLabel3933">
    <w:name w:val="ListLabel 3933"/>
    <w:qFormat/>
    <w:rPr>
      <w:b w:val="0"/>
      <w:bCs w:val="0"/>
      <w:i w:val="0"/>
      <w:caps w:val="0"/>
      <w:smallCaps w:val="0"/>
      <w:color w:val="158466"/>
      <w:spacing w:val="0"/>
      <w:sz w:val="28"/>
      <w:szCs w:val="28"/>
      <w:highlight w:val="yellow"/>
      <w:lang w:val="uk-UA"/>
    </w:rPr>
  </w:style>
  <w:style w:type="character" w:customStyle="1" w:styleId="ListLabel3934">
    <w:name w:val="ListLabel 3934"/>
    <w:qFormat/>
    <w:rPr>
      <w:rFonts w:eastAsia="Times New Roman" w:cs="Times New Roman"/>
      <w:b w:val="0"/>
      <w:bCs w:val="0"/>
      <w:i w:val="0"/>
      <w:caps w:val="0"/>
      <w:smallCaps w:val="0"/>
      <w:strike w:val="0"/>
      <w:dstrike w:val="0"/>
      <w:color w:val="000000"/>
      <w:spacing w:val="0"/>
      <w:kern w:val="2"/>
      <w:sz w:val="28"/>
      <w:szCs w:val="28"/>
      <w:highlight w:val="yellow"/>
      <w:u w:val="none"/>
      <w:effect w:val="none"/>
      <w:lang w:val="uk-UA"/>
    </w:rPr>
  </w:style>
  <w:style w:type="character" w:customStyle="1" w:styleId="ListLabel3935">
    <w:name w:val="ListLabel 3935"/>
    <w:qFormat/>
    <w:rPr>
      <w:rFonts w:eastAsia="Times New Roman" w:cs="Times New Roman"/>
      <w:b w:val="0"/>
      <w:bCs w:val="0"/>
      <w:i w:val="0"/>
      <w:caps w:val="0"/>
      <w:smallCaps w:val="0"/>
      <w:strike w:val="0"/>
      <w:dstrike w:val="0"/>
      <w:color w:val="2C2C2C"/>
      <w:spacing w:val="0"/>
      <w:kern w:val="2"/>
      <w:sz w:val="28"/>
      <w:szCs w:val="28"/>
      <w:highlight w:val="yellow"/>
      <w:u w:val="none"/>
      <w:effect w:val="none"/>
      <w:lang w:val="en-US"/>
    </w:rPr>
  </w:style>
  <w:style w:type="character" w:customStyle="1" w:styleId="ListLabel3936">
    <w:name w:val="ListLabel 3936"/>
    <w:qFormat/>
  </w:style>
  <w:style w:type="character" w:customStyle="1" w:styleId="ListLabel3937">
    <w:name w:val="ListLabel 3937"/>
    <w:qFormat/>
  </w:style>
  <w:style w:type="character" w:customStyle="1" w:styleId="ListLabel3938">
    <w:name w:val="ListLabel 3938"/>
    <w:qFormat/>
    <w:rPr>
      <w:b w:val="0"/>
      <w:i w:val="0"/>
      <w:caps w:val="0"/>
      <w:smallCaps w:val="0"/>
      <w:strike w:val="0"/>
      <w:dstrike w:val="0"/>
      <w:color w:val="2C72B7"/>
      <w:spacing w:val="0"/>
      <w:sz w:val="28"/>
      <w:szCs w:val="28"/>
      <w:highlight w:val="yellow"/>
      <w:u w:val="none"/>
      <w:effect w:val="none"/>
    </w:rPr>
  </w:style>
  <w:style w:type="character" w:customStyle="1" w:styleId="ListLabel3939">
    <w:name w:val="ListLabel 3939"/>
    <w:qFormat/>
    <w:rPr>
      <w:rFonts w:eastAsia="Times New Roman" w:cs="Arial"/>
      <w:b w:val="0"/>
      <w:bCs/>
      <w:i w:val="0"/>
      <w:caps w:val="0"/>
      <w:smallCaps w:val="0"/>
      <w:strike w:val="0"/>
      <w:dstrike w:val="0"/>
      <w:color w:val="FF8000"/>
      <w:spacing w:val="0"/>
      <w:kern w:val="2"/>
      <w:sz w:val="28"/>
      <w:szCs w:val="28"/>
      <w:highlight w:val="yellow"/>
      <w:u w:val="none"/>
      <w:effect w:val="none"/>
    </w:rPr>
  </w:style>
  <w:style w:type="character" w:customStyle="1" w:styleId="ListLabel3940">
    <w:name w:val="ListLabel 3940"/>
    <w:qFormat/>
    <w:rPr>
      <w:rFonts w:eastAsia="Times New Roman" w:cs="Times New Roman"/>
      <w:b w:val="0"/>
      <w:bCs w:val="0"/>
      <w:i w:val="0"/>
      <w:caps w:val="0"/>
      <w:smallCaps w:val="0"/>
      <w:strike w:val="0"/>
      <w:dstrike w:val="0"/>
      <w:color w:val="3366CC"/>
      <w:spacing w:val="0"/>
      <w:kern w:val="2"/>
      <w:sz w:val="28"/>
      <w:szCs w:val="28"/>
      <w:highlight w:val="white"/>
      <w:u w:val="none"/>
      <w:effect w:val="none"/>
      <w:lang w:val="uk-UA" w:eastAsia="ru-RU"/>
    </w:rPr>
  </w:style>
  <w:style w:type="character" w:customStyle="1" w:styleId="ListLabel3941">
    <w:name w:val="ListLabel 3941"/>
    <w:qFormat/>
    <w:rPr>
      <w:sz w:val="28"/>
      <w:szCs w:val="28"/>
      <w:lang w:val="uk-UA"/>
    </w:rPr>
  </w:style>
  <w:style w:type="character" w:customStyle="1" w:styleId="ListLabel3942">
    <w:name w:val="ListLabel 3942"/>
    <w:qFormat/>
    <w:rPr>
      <w:b/>
      <w:bCs/>
      <w:color w:val="FF8000"/>
      <w:sz w:val="28"/>
      <w:szCs w:val="28"/>
      <w:highlight w:val="yellow"/>
      <w:lang w:val="ru-RU"/>
    </w:rPr>
  </w:style>
  <w:style w:type="character" w:customStyle="1" w:styleId="ListLabel3943">
    <w:name w:val="ListLabel 3943"/>
    <w:qFormat/>
    <w:rPr>
      <w:rFonts w:cs="OpenSymbol"/>
      <w:b w:val="0"/>
      <w:sz w:val="28"/>
    </w:rPr>
  </w:style>
  <w:style w:type="character" w:customStyle="1" w:styleId="ListLabel3944">
    <w:name w:val="ListLabel 3944"/>
    <w:qFormat/>
    <w:rPr>
      <w:rFonts w:cs="OpenSymbol"/>
    </w:rPr>
  </w:style>
  <w:style w:type="character" w:customStyle="1" w:styleId="ListLabel3945">
    <w:name w:val="ListLabel 3945"/>
    <w:qFormat/>
    <w:rPr>
      <w:rFonts w:cs="OpenSymbol"/>
    </w:rPr>
  </w:style>
  <w:style w:type="character" w:customStyle="1" w:styleId="ListLabel3946">
    <w:name w:val="ListLabel 3946"/>
    <w:qFormat/>
    <w:rPr>
      <w:rFonts w:cs="OpenSymbol"/>
    </w:rPr>
  </w:style>
  <w:style w:type="character" w:customStyle="1" w:styleId="ListLabel3947">
    <w:name w:val="ListLabel 3947"/>
    <w:qFormat/>
    <w:rPr>
      <w:rFonts w:cs="OpenSymbol"/>
    </w:rPr>
  </w:style>
  <w:style w:type="character" w:customStyle="1" w:styleId="ListLabel3948">
    <w:name w:val="ListLabel 3948"/>
    <w:qFormat/>
    <w:rPr>
      <w:rFonts w:cs="OpenSymbol"/>
    </w:rPr>
  </w:style>
  <w:style w:type="character" w:customStyle="1" w:styleId="ListLabel3949">
    <w:name w:val="ListLabel 3949"/>
    <w:qFormat/>
    <w:rPr>
      <w:rFonts w:cs="OpenSymbol"/>
    </w:rPr>
  </w:style>
  <w:style w:type="character" w:customStyle="1" w:styleId="ListLabel3950">
    <w:name w:val="ListLabel 3950"/>
    <w:qFormat/>
    <w:rPr>
      <w:rFonts w:cs="OpenSymbol"/>
    </w:rPr>
  </w:style>
  <w:style w:type="character" w:customStyle="1" w:styleId="ListLabel3951">
    <w:name w:val="ListLabel 3951"/>
    <w:qFormat/>
    <w:rPr>
      <w:rFonts w:cs="OpenSymbol"/>
    </w:rPr>
  </w:style>
  <w:style w:type="character" w:customStyle="1" w:styleId="ListLabel3952">
    <w:name w:val="ListLabel 3952"/>
    <w:qFormat/>
    <w:rPr>
      <w:rFonts w:cs="OpenSymbol"/>
      <w:b w:val="0"/>
      <w:sz w:val="28"/>
    </w:rPr>
  </w:style>
  <w:style w:type="character" w:customStyle="1" w:styleId="ListLabel3953">
    <w:name w:val="ListLabel 3953"/>
    <w:qFormat/>
    <w:rPr>
      <w:rFonts w:cs="OpenSymbol"/>
    </w:rPr>
  </w:style>
  <w:style w:type="character" w:customStyle="1" w:styleId="ListLabel3954">
    <w:name w:val="ListLabel 3954"/>
    <w:qFormat/>
    <w:rPr>
      <w:rFonts w:cs="OpenSymbol"/>
    </w:rPr>
  </w:style>
  <w:style w:type="character" w:customStyle="1" w:styleId="ListLabel3955">
    <w:name w:val="ListLabel 3955"/>
    <w:qFormat/>
    <w:rPr>
      <w:rFonts w:cs="OpenSymbol"/>
    </w:rPr>
  </w:style>
  <w:style w:type="character" w:customStyle="1" w:styleId="ListLabel3956">
    <w:name w:val="ListLabel 3956"/>
    <w:qFormat/>
    <w:rPr>
      <w:rFonts w:cs="OpenSymbol"/>
    </w:rPr>
  </w:style>
  <w:style w:type="character" w:customStyle="1" w:styleId="ListLabel3957">
    <w:name w:val="ListLabel 3957"/>
    <w:qFormat/>
    <w:rPr>
      <w:rFonts w:cs="OpenSymbol"/>
    </w:rPr>
  </w:style>
  <w:style w:type="character" w:customStyle="1" w:styleId="ListLabel3958">
    <w:name w:val="ListLabel 3958"/>
    <w:qFormat/>
    <w:rPr>
      <w:rFonts w:cs="OpenSymbol"/>
    </w:rPr>
  </w:style>
  <w:style w:type="character" w:customStyle="1" w:styleId="ListLabel3959">
    <w:name w:val="ListLabel 3959"/>
    <w:qFormat/>
    <w:rPr>
      <w:rFonts w:cs="OpenSymbol"/>
    </w:rPr>
  </w:style>
  <w:style w:type="character" w:customStyle="1" w:styleId="ListLabel3960">
    <w:name w:val="ListLabel 3960"/>
    <w:qFormat/>
    <w:rPr>
      <w:rFonts w:cs="OpenSymbol"/>
    </w:rPr>
  </w:style>
  <w:style w:type="character" w:customStyle="1" w:styleId="ListLabel3961">
    <w:name w:val="ListLabel 3961"/>
    <w:qFormat/>
    <w:rPr>
      <w:rFonts w:cs="OpenSymbol"/>
      <w:b w:val="0"/>
      <w:sz w:val="28"/>
    </w:rPr>
  </w:style>
  <w:style w:type="character" w:customStyle="1" w:styleId="ListLabel3962">
    <w:name w:val="ListLabel 3962"/>
    <w:qFormat/>
    <w:rPr>
      <w:rFonts w:cs="OpenSymbol"/>
    </w:rPr>
  </w:style>
  <w:style w:type="character" w:customStyle="1" w:styleId="ListLabel3963">
    <w:name w:val="ListLabel 3963"/>
    <w:qFormat/>
    <w:rPr>
      <w:rFonts w:cs="OpenSymbol"/>
    </w:rPr>
  </w:style>
  <w:style w:type="character" w:customStyle="1" w:styleId="ListLabel3964">
    <w:name w:val="ListLabel 3964"/>
    <w:qFormat/>
    <w:rPr>
      <w:rFonts w:cs="OpenSymbol"/>
    </w:rPr>
  </w:style>
  <w:style w:type="character" w:customStyle="1" w:styleId="ListLabel3965">
    <w:name w:val="ListLabel 3965"/>
    <w:qFormat/>
    <w:rPr>
      <w:rFonts w:cs="OpenSymbol"/>
    </w:rPr>
  </w:style>
  <w:style w:type="character" w:customStyle="1" w:styleId="ListLabel3966">
    <w:name w:val="ListLabel 3966"/>
    <w:qFormat/>
    <w:rPr>
      <w:rFonts w:cs="OpenSymbol"/>
    </w:rPr>
  </w:style>
  <w:style w:type="character" w:customStyle="1" w:styleId="ListLabel3967">
    <w:name w:val="ListLabel 3967"/>
    <w:qFormat/>
    <w:rPr>
      <w:rFonts w:cs="OpenSymbol"/>
    </w:rPr>
  </w:style>
  <w:style w:type="character" w:customStyle="1" w:styleId="ListLabel3968">
    <w:name w:val="ListLabel 3968"/>
    <w:qFormat/>
    <w:rPr>
      <w:rFonts w:cs="OpenSymbol"/>
    </w:rPr>
  </w:style>
  <w:style w:type="character" w:customStyle="1" w:styleId="ListLabel3969">
    <w:name w:val="ListLabel 3969"/>
    <w:qFormat/>
    <w:rPr>
      <w:rFonts w:cs="OpenSymbol"/>
    </w:rPr>
  </w:style>
  <w:style w:type="character" w:customStyle="1" w:styleId="ListLabel3970">
    <w:name w:val="ListLabel 3970"/>
    <w:qFormat/>
    <w:rPr>
      <w:rFonts w:cs="OpenSymbol"/>
    </w:rPr>
  </w:style>
  <w:style w:type="character" w:customStyle="1" w:styleId="ListLabel3971">
    <w:name w:val="ListLabel 3971"/>
    <w:qFormat/>
    <w:rPr>
      <w:rFonts w:cs="OpenSymbol"/>
    </w:rPr>
  </w:style>
  <w:style w:type="character" w:customStyle="1" w:styleId="ListLabel3972">
    <w:name w:val="ListLabel 3972"/>
    <w:qFormat/>
    <w:rPr>
      <w:rFonts w:cs="OpenSymbol"/>
    </w:rPr>
  </w:style>
  <w:style w:type="character" w:customStyle="1" w:styleId="ListLabel3973">
    <w:name w:val="ListLabel 3973"/>
    <w:qFormat/>
    <w:rPr>
      <w:rFonts w:cs="OpenSymbol"/>
    </w:rPr>
  </w:style>
  <w:style w:type="character" w:customStyle="1" w:styleId="ListLabel3974">
    <w:name w:val="ListLabel 3974"/>
    <w:qFormat/>
    <w:rPr>
      <w:rFonts w:cs="OpenSymbol"/>
    </w:rPr>
  </w:style>
  <w:style w:type="character" w:customStyle="1" w:styleId="ListLabel3975">
    <w:name w:val="ListLabel 3975"/>
    <w:qFormat/>
    <w:rPr>
      <w:rFonts w:cs="OpenSymbol"/>
    </w:rPr>
  </w:style>
  <w:style w:type="character" w:customStyle="1" w:styleId="ListLabel3976">
    <w:name w:val="ListLabel 3976"/>
    <w:qFormat/>
    <w:rPr>
      <w:rFonts w:cs="OpenSymbol"/>
    </w:rPr>
  </w:style>
  <w:style w:type="character" w:customStyle="1" w:styleId="ListLabel3977">
    <w:name w:val="ListLabel 3977"/>
    <w:qFormat/>
    <w:rPr>
      <w:rFonts w:cs="OpenSymbol"/>
    </w:rPr>
  </w:style>
  <w:style w:type="character" w:customStyle="1" w:styleId="ListLabel3978">
    <w:name w:val="ListLabel 3978"/>
    <w:qFormat/>
    <w:rPr>
      <w:rFonts w:cs="OpenSymbol"/>
    </w:rPr>
  </w:style>
  <w:style w:type="character" w:customStyle="1" w:styleId="ListLabel3979">
    <w:name w:val="ListLabel 3979"/>
    <w:qFormat/>
    <w:rPr>
      <w:rFonts w:cs="OpenSymbol"/>
    </w:rPr>
  </w:style>
  <w:style w:type="character" w:customStyle="1" w:styleId="ListLabel3980">
    <w:name w:val="ListLabel 3980"/>
    <w:qFormat/>
    <w:rPr>
      <w:rFonts w:cs="OpenSymbol"/>
    </w:rPr>
  </w:style>
  <w:style w:type="character" w:customStyle="1" w:styleId="ListLabel3981">
    <w:name w:val="ListLabel 3981"/>
    <w:qFormat/>
    <w:rPr>
      <w:rFonts w:cs="OpenSymbol"/>
    </w:rPr>
  </w:style>
  <w:style w:type="character" w:customStyle="1" w:styleId="ListLabel3982">
    <w:name w:val="ListLabel 3982"/>
    <w:qFormat/>
    <w:rPr>
      <w:rFonts w:cs="OpenSymbol"/>
    </w:rPr>
  </w:style>
  <w:style w:type="character" w:customStyle="1" w:styleId="ListLabel3983">
    <w:name w:val="ListLabel 3983"/>
    <w:qFormat/>
    <w:rPr>
      <w:rFonts w:cs="OpenSymbol"/>
    </w:rPr>
  </w:style>
  <w:style w:type="character" w:customStyle="1" w:styleId="ListLabel3984">
    <w:name w:val="ListLabel 3984"/>
    <w:qFormat/>
    <w:rPr>
      <w:rFonts w:cs="OpenSymbol"/>
    </w:rPr>
  </w:style>
  <w:style w:type="character" w:customStyle="1" w:styleId="ListLabel3985">
    <w:name w:val="ListLabel 3985"/>
    <w:qFormat/>
    <w:rPr>
      <w:rFonts w:cs="OpenSymbol"/>
    </w:rPr>
  </w:style>
  <w:style w:type="character" w:customStyle="1" w:styleId="ListLabel3986">
    <w:name w:val="ListLabel 3986"/>
    <w:qFormat/>
    <w:rPr>
      <w:rFonts w:cs="OpenSymbol"/>
    </w:rPr>
  </w:style>
  <w:style w:type="character" w:customStyle="1" w:styleId="ListLabel3987">
    <w:name w:val="ListLabel 3987"/>
    <w:qFormat/>
    <w:rPr>
      <w:rFonts w:cs="OpenSymbol"/>
    </w:rPr>
  </w:style>
  <w:style w:type="character" w:customStyle="1" w:styleId="ListLabel3988">
    <w:name w:val="ListLabel 3988"/>
    <w:qFormat/>
    <w:rPr>
      <w:rFonts w:cs="OpenSymbol"/>
    </w:rPr>
  </w:style>
  <w:style w:type="character" w:customStyle="1" w:styleId="ListLabel3989">
    <w:name w:val="ListLabel 3989"/>
    <w:qFormat/>
    <w:rPr>
      <w:rFonts w:cs="OpenSymbol"/>
    </w:rPr>
  </w:style>
  <w:style w:type="character" w:customStyle="1" w:styleId="ListLabel3990">
    <w:name w:val="ListLabel 3990"/>
    <w:qFormat/>
    <w:rPr>
      <w:rFonts w:cs="OpenSymbol"/>
    </w:rPr>
  </w:style>
  <w:style w:type="character" w:customStyle="1" w:styleId="ListLabel3991">
    <w:name w:val="ListLabel 3991"/>
    <w:qFormat/>
    <w:rPr>
      <w:rFonts w:cs="OpenSymbol"/>
    </w:rPr>
  </w:style>
  <w:style w:type="character" w:customStyle="1" w:styleId="ListLabel3992">
    <w:name w:val="ListLabel 3992"/>
    <w:qFormat/>
    <w:rPr>
      <w:rFonts w:cs="OpenSymbol"/>
    </w:rPr>
  </w:style>
  <w:style w:type="character" w:customStyle="1" w:styleId="ListLabel3993">
    <w:name w:val="ListLabel 3993"/>
    <w:qFormat/>
    <w:rPr>
      <w:rFonts w:cs="OpenSymbol"/>
    </w:rPr>
  </w:style>
  <w:style w:type="character" w:customStyle="1" w:styleId="ListLabel3994">
    <w:name w:val="ListLabel 3994"/>
    <w:qFormat/>
    <w:rPr>
      <w:rFonts w:cs="OpenSymbol"/>
    </w:rPr>
  </w:style>
  <w:style w:type="character" w:customStyle="1" w:styleId="ListLabel3995">
    <w:name w:val="ListLabel 3995"/>
    <w:qFormat/>
    <w:rPr>
      <w:rFonts w:cs="OpenSymbol"/>
    </w:rPr>
  </w:style>
  <w:style w:type="character" w:customStyle="1" w:styleId="ListLabel3996">
    <w:name w:val="ListLabel 3996"/>
    <w:qFormat/>
    <w:rPr>
      <w:rFonts w:cs="OpenSymbol"/>
    </w:rPr>
  </w:style>
  <w:style w:type="character" w:customStyle="1" w:styleId="ListLabel3997">
    <w:name w:val="ListLabel 3997"/>
    <w:qFormat/>
    <w:rPr>
      <w:rFonts w:cs="OpenSymbol"/>
    </w:rPr>
  </w:style>
  <w:style w:type="character" w:customStyle="1" w:styleId="ListLabel3998">
    <w:name w:val="ListLabel 3998"/>
    <w:qFormat/>
    <w:rPr>
      <w:rFonts w:cs="OpenSymbol"/>
    </w:rPr>
  </w:style>
  <w:style w:type="character" w:customStyle="1" w:styleId="ListLabel3999">
    <w:name w:val="ListLabel 3999"/>
    <w:qFormat/>
    <w:rPr>
      <w:rFonts w:cs="OpenSymbol"/>
    </w:rPr>
  </w:style>
  <w:style w:type="character" w:customStyle="1" w:styleId="ListLabel4000">
    <w:name w:val="ListLabel 4000"/>
    <w:qFormat/>
    <w:rPr>
      <w:rFonts w:cs="OpenSymbol"/>
    </w:rPr>
  </w:style>
  <w:style w:type="character" w:customStyle="1" w:styleId="ListLabel4001">
    <w:name w:val="ListLabel 4001"/>
    <w:qFormat/>
    <w:rPr>
      <w:rFonts w:cs="OpenSymbol"/>
    </w:rPr>
  </w:style>
  <w:style w:type="character" w:customStyle="1" w:styleId="ListLabel4002">
    <w:name w:val="ListLabel 4002"/>
    <w:qFormat/>
    <w:rPr>
      <w:rFonts w:cs="OpenSymbol"/>
    </w:rPr>
  </w:style>
  <w:style w:type="character" w:customStyle="1" w:styleId="ListLabel4003">
    <w:name w:val="ListLabel 4003"/>
    <w:qFormat/>
    <w:rPr>
      <w:rFonts w:cs="OpenSymbol"/>
    </w:rPr>
  </w:style>
  <w:style w:type="character" w:customStyle="1" w:styleId="ListLabel4004">
    <w:name w:val="ListLabel 4004"/>
    <w:qFormat/>
    <w:rPr>
      <w:rFonts w:cs="OpenSymbol"/>
    </w:rPr>
  </w:style>
  <w:style w:type="character" w:customStyle="1" w:styleId="ListLabel4005">
    <w:name w:val="ListLabel 4005"/>
    <w:qFormat/>
    <w:rPr>
      <w:rFonts w:cs="OpenSymbol"/>
    </w:rPr>
  </w:style>
  <w:style w:type="character" w:customStyle="1" w:styleId="ListLabel4006">
    <w:name w:val="ListLabel 4006"/>
    <w:qFormat/>
    <w:rPr>
      <w:rFonts w:cs="OpenSymbol"/>
    </w:rPr>
  </w:style>
  <w:style w:type="character" w:customStyle="1" w:styleId="ListLabel4007">
    <w:name w:val="ListLabel 4007"/>
    <w:qFormat/>
    <w:rPr>
      <w:rFonts w:cs="OpenSymbol"/>
    </w:rPr>
  </w:style>
  <w:style w:type="character" w:customStyle="1" w:styleId="ListLabel4008">
    <w:name w:val="ListLabel 4008"/>
    <w:qFormat/>
    <w:rPr>
      <w:rFonts w:cs="OpenSymbol"/>
    </w:rPr>
  </w:style>
  <w:style w:type="character" w:customStyle="1" w:styleId="ListLabel4009">
    <w:name w:val="ListLabel 4009"/>
    <w:qFormat/>
    <w:rPr>
      <w:rFonts w:cs="OpenSymbol"/>
    </w:rPr>
  </w:style>
  <w:style w:type="character" w:customStyle="1" w:styleId="ListLabel4010">
    <w:name w:val="ListLabel 4010"/>
    <w:qFormat/>
    <w:rPr>
      <w:rFonts w:cs="OpenSymbol"/>
    </w:rPr>
  </w:style>
  <w:style w:type="character" w:customStyle="1" w:styleId="ListLabel4011">
    <w:name w:val="ListLabel 4011"/>
    <w:qFormat/>
    <w:rPr>
      <w:rFonts w:cs="OpenSymbol"/>
    </w:rPr>
  </w:style>
  <w:style w:type="character" w:customStyle="1" w:styleId="ListLabel4012">
    <w:name w:val="ListLabel 4012"/>
    <w:qFormat/>
    <w:rPr>
      <w:rFonts w:cs="OpenSymbol"/>
    </w:rPr>
  </w:style>
  <w:style w:type="character" w:customStyle="1" w:styleId="ListLabel4013">
    <w:name w:val="ListLabel 4013"/>
    <w:qFormat/>
    <w:rPr>
      <w:rFonts w:cs="OpenSymbol"/>
    </w:rPr>
  </w:style>
  <w:style w:type="character" w:customStyle="1" w:styleId="ListLabel4014">
    <w:name w:val="ListLabel 4014"/>
    <w:qFormat/>
    <w:rPr>
      <w:rFonts w:cs="OpenSymbol"/>
    </w:rPr>
  </w:style>
  <w:style w:type="character" w:customStyle="1" w:styleId="ListLabel4015">
    <w:name w:val="ListLabel 4015"/>
    <w:qFormat/>
    <w:rPr>
      <w:rFonts w:cs="OpenSymbol"/>
    </w:rPr>
  </w:style>
  <w:style w:type="character" w:customStyle="1" w:styleId="ListLabel4016">
    <w:name w:val="ListLabel 4016"/>
    <w:qFormat/>
    <w:rPr>
      <w:rFonts w:cs="OpenSymbol"/>
    </w:rPr>
  </w:style>
  <w:style w:type="character" w:customStyle="1" w:styleId="ListLabel4017">
    <w:name w:val="ListLabel 4017"/>
    <w:qFormat/>
    <w:rPr>
      <w:rFonts w:cs="OpenSymbol"/>
    </w:rPr>
  </w:style>
  <w:style w:type="character" w:customStyle="1" w:styleId="ListLabel4018">
    <w:name w:val="ListLabel 4018"/>
    <w:qFormat/>
    <w:rPr>
      <w:rFonts w:cs="OpenSymbol"/>
    </w:rPr>
  </w:style>
  <w:style w:type="character" w:customStyle="1" w:styleId="ListLabel4019">
    <w:name w:val="ListLabel 4019"/>
    <w:qFormat/>
    <w:rPr>
      <w:rFonts w:cs="OpenSymbol"/>
    </w:rPr>
  </w:style>
  <w:style w:type="character" w:customStyle="1" w:styleId="ListLabel4020">
    <w:name w:val="ListLabel 4020"/>
    <w:qFormat/>
    <w:rPr>
      <w:rFonts w:cs="OpenSymbol"/>
    </w:rPr>
  </w:style>
  <w:style w:type="character" w:customStyle="1" w:styleId="ListLabel4021">
    <w:name w:val="ListLabel 4021"/>
    <w:qFormat/>
    <w:rPr>
      <w:rFonts w:cs="OpenSymbol"/>
    </w:rPr>
  </w:style>
  <w:style w:type="character" w:customStyle="1" w:styleId="ListLabel4022">
    <w:name w:val="ListLabel 4022"/>
    <w:qFormat/>
    <w:rPr>
      <w:rFonts w:cs="OpenSymbol"/>
    </w:rPr>
  </w:style>
  <w:style w:type="character" w:customStyle="1" w:styleId="ListLabel4023">
    <w:name w:val="ListLabel 4023"/>
    <w:qFormat/>
    <w:rPr>
      <w:rFonts w:cs="OpenSymbol"/>
    </w:rPr>
  </w:style>
  <w:style w:type="character" w:customStyle="1" w:styleId="ListLabel4024">
    <w:name w:val="ListLabel 4024"/>
    <w:qFormat/>
    <w:rPr>
      <w:rFonts w:cs="OpenSymbol"/>
    </w:rPr>
  </w:style>
  <w:style w:type="character" w:customStyle="1" w:styleId="ListLabel4025">
    <w:name w:val="ListLabel 4025"/>
    <w:qFormat/>
    <w:rPr>
      <w:rFonts w:cs="OpenSymbol"/>
    </w:rPr>
  </w:style>
  <w:style w:type="character" w:customStyle="1" w:styleId="ListLabel4026">
    <w:name w:val="ListLabel 4026"/>
    <w:qFormat/>
    <w:rPr>
      <w:rFonts w:cs="OpenSymbol"/>
    </w:rPr>
  </w:style>
  <w:style w:type="character" w:customStyle="1" w:styleId="ListLabel4027">
    <w:name w:val="ListLabel 4027"/>
    <w:qFormat/>
    <w:rPr>
      <w:rFonts w:cs="OpenSymbol"/>
    </w:rPr>
  </w:style>
  <w:style w:type="character" w:customStyle="1" w:styleId="ListLabel4028">
    <w:name w:val="ListLabel 4028"/>
    <w:qFormat/>
    <w:rPr>
      <w:rFonts w:cs="OpenSymbol"/>
    </w:rPr>
  </w:style>
  <w:style w:type="character" w:customStyle="1" w:styleId="ListLabel4029">
    <w:name w:val="ListLabel 4029"/>
    <w:qFormat/>
    <w:rPr>
      <w:rFonts w:cs="OpenSymbol"/>
    </w:rPr>
  </w:style>
  <w:style w:type="character" w:customStyle="1" w:styleId="ListLabel4030">
    <w:name w:val="ListLabel 4030"/>
    <w:qFormat/>
    <w:rPr>
      <w:rFonts w:cs="OpenSymbol"/>
    </w:rPr>
  </w:style>
  <w:style w:type="character" w:customStyle="1" w:styleId="ListLabel4031">
    <w:name w:val="ListLabel 4031"/>
    <w:qFormat/>
    <w:rPr>
      <w:rFonts w:cs="OpenSymbol"/>
    </w:rPr>
  </w:style>
  <w:style w:type="character" w:customStyle="1" w:styleId="ListLabel4032">
    <w:name w:val="ListLabel 4032"/>
    <w:qFormat/>
    <w:rPr>
      <w:rFonts w:cs="OpenSymbol"/>
    </w:rPr>
  </w:style>
  <w:style w:type="character" w:customStyle="1" w:styleId="ListLabel4033">
    <w:name w:val="ListLabel 4033"/>
    <w:qFormat/>
    <w:rPr>
      <w:rFonts w:cs="OpenSymbol"/>
    </w:rPr>
  </w:style>
  <w:style w:type="character" w:customStyle="1" w:styleId="ListLabel4034">
    <w:name w:val="ListLabel 4034"/>
    <w:qFormat/>
    <w:rPr>
      <w:rFonts w:cs="OpenSymbol"/>
    </w:rPr>
  </w:style>
  <w:style w:type="character" w:customStyle="1" w:styleId="ListLabel4035">
    <w:name w:val="ListLabel 4035"/>
    <w:qFormat/>
    <w:rPr>
      <w:rFonts w:cs="OpenSymbol"/>
    </w:rPr>
  </w:style>
  <w:style w:type="character" w:customStyle="1" w:styleId="ListLabel4036">
    <w:name w:val="ListLabel 4036"/>
    <w:qFormat/>
    <w:rPr>
      <w:rFonts w:cs="OpenSymbol"/>
    </w:rPr>
  </w:style>
  <w:style w:type="character" w:customStyle="1" w:styleId="ListLabel4037">
    <w:name w:val="ListLabel 4037"/>
    <w:qFormat/>
    <w:rPr>
      <w:rFonts w:cs="OpenSymbol"/>
    </w:rPr>
  </w:style>
  <w:style w:type="character" w:customStyle="1" w:styleId="ListLabel4038">
    <w:name w:val="ListLabel 4038"/>
    <w:qFormat/>
    <w:rPr>
      <w:rFonts w:cs="OpenSymbol"/>
    </w:rPr>
  </w:style>
  <w:style w:type="character" w:customStyle="1" w:styleId="ListLabel4039">
    <w:name w:val="ListLabel 4039"/>
    <w:qFormat/>
    <w:rPr>
      <w:rFonts w:cs="OpenSymbol"/>
    </w:rPr>
  </w:style>
  <w:style w:type="character" w:customStyle="1" w:styleId="ListLabel4040">
    <w:name w:val="ListLabel 4040"/>
    <w:qFormat/>
    <w:rPr>
      <w:rFonts w:cs="OpenSymbol"/>
    </w:rPr>
  </w:style>
  <w:style w:type="character" w:customStyle="1" w:styleId="ListLabel4041">
    <w:name w:val="ListLabel 4041"/>
    <w:qFormat/>
    <w:rPr>
      <w:rFonts w:cs="OpenSymbol"/>
    </w:rPr>
  </w:style>
  <w:style w:type="character" w:customStyle="1" w:styleId="ListLabel4042">
    <w:name w:val="ListLabel 4042"/>
    <w:qFormat/>
    <w:rPr>
      <w:rFonts w:cs="OpenSymbol"/>
    </w:rPr>
  </w:style>
  <w:style w:type="character" w:customStyle="1" w:styleId="ListLabel4043">
    <w:name w:val="ListLabel 4043"/>
    <w:qFormat/>
    <w:rPr>
      <w:rFonts w:cs="OpenSymbol"/>
    </w:rPr>
  </w:style>
  <w:style w:type="character" w:customStyle="1" w:styleId="ListLabel4044">
    <w:name w:val="ListLabel 4044"/>
    <w:qFormat/>
    <w:rPr>
      <w:rFonts w:cs="OpenSymbol"/>
    </w:rPr>
  </w:style>
  <w:style w:type="character" w:customStyle="1" w:styleId="ListLabel4045">
    <w:name w:val="ListLabel 4045"/>
    <w:qFormat/>
    <w:rPr>
      <w:rFonts w:cs="OpenSymbol"/>
    </w:rPr>
  </w:style>
  <w:style w:type="character" w:customStyle="1" w:styleId="ListLabel4046">
    <w:name w:val="ListLabel 4046"/>
    <w:qFormat/>
    <w:rPr>
      <w:rFonts w:cs="OpenSymbol"/>
    </w:rPr>
  </w:style>
  <w:style w:type="character" w:customStyle="1" w:styleId="ListLabel4047">
    <w:name w:val="ListLabel 4047"/>
    <w:qFormat/>
    <w:rPr>
      <w:rFonts w:cs="OpenSymbol"/>
    </w:rPr>
  </w:style>
  <w:style w:type="character" w:customStyle="1" w:styleId="ListLabel4048">
    <w:name w:val="ListLabel 4048"/>
    <w:qFormat/>
    <w:rPr>
      <w:rFonts w:cs="OpenSymbol"/>
    </w:rPr>
  </w:style>
  <w:style w:type="character" w:customStyle="1" w:styleId="ListLabel4049">
    <w:name w:val="ListLabel 4049"/>
    <w:qFormat/>
    <w:rPr>
      <w:rFonts w:cs="OpenSymbol"/>
    </w:rPr>
  </w:style>
  <w:style w:type="character" w:customStyle="1" w:styleId="ListLabel4050">
    <w:name w:val="ListLabel 4050"/>
    <w:qFormat/>
    <w:rPr>
      <w:rFonts w:cs="OpenSymbol"/>
    </w:rPr>
  </w:style>
  <w:style w:type="character" w:customStyle="1" w:styleId="ListLabel4051">
    <w:name w:val="ListLabel 4051"/>
    <w:qFormat/>
    <w:rPr>
      <w:rFonts w:cs="OpenSymbol"/>
    </w:rPr>
  </w:style>
  <w:style w:type="character" w:customStyle="1" w:styleId="ListLabel4052">
    <w:name w:val="ListLabel 4052"/>
    <w:qFormat/>
    <w:rPr>
      <w:rFonts w:cs="OpenSymbol"/>
    </w:rPr>
  </w:style>
  <w:style w:type="character" w:customStyle="1" w:styleId="ListLabel4053">
    <w:name w:val="ListLabel 4053"/>
    <w:qFormat/>
    <w:rPr>
      <w:rFonts w:cs="OpenSymbol"/>
    </w:rPr>
  </w:style>
  <w:style w:type="character" w:customStyle="1" w:styleId="ListLabel4054">
    <w:name w:val="ListLabel 4054"/>
    <w:qFormat/>
    <w:rPr>
      <w:rFonts w:cs="OpenSymbol"/>
    </w:rPr>
  </w:style>
  <w:style w:type="character" w:customStyle="1" w:styleId="ListLabel4055">
    <w:name w:val="ListLabel 4055"/>
    <w:qFormat/>
    <w:rPr>
      <w:rFonts w:cs="OpenSymbol"/>
    </w:rPr>
  </w:style>
  <w:style w:type="character" w:customStyle="1" w:styleId="ListLabel4056">
    <w:name w:val="ListLabel 4056"/>
    <w:qFormat/>
    <w:rPr>
      <w:rFonts w:cs="OpenSymbol"/>
    </w:rPr>
  </w:style>
  <w:style w:type="character" w:customStyle="1" w:styleId="ListLabel4057">
    <w:name w:val="ListLabel 4057"/>
    <w:qFormat/>
    <w:rPr>
      <w:rFonts w:cs="OpenSymbol"/>
    </w:rPr>
  </w:style>
  <w:style w:type="character" w:customStyle="1" w:styleId="ListLabel4058">
    <w:name w:val="ListLabel 4058"/>
    <w:qFormat/>
    <w:rPr>
      <w:rFonts w:cs="OpenSymbol"/>
    </w:rPr>
  </w:style>
  <w:style w:type="character" w:customStyle="1" w:styleId="ListLabel4059">
    <w:name w:val="ListLabel 4059"/>
    <w:qFormat/>
    <w:rPr>
      <w:rFonts w:cs="OpenSymbol"/>
    </w:rPr>
  </w:style>
  <w:style w:type="character" w:customStyle="1" w:styleId="ListLabel4060">
    <w:name w:val="ListLabel 4060"/>
    <w:qFormat/>
    <w:rPr>
      <w:rFonts w:cs="OpenSymbol"/>
    </w:rPr>
  </w:style>
  <w:style w:type="character" w:customStyle="1" w:styleId="ListLabel4061">
    <w:name w:val="ListLabel 4061"/>
    <w:qFormat/>
    <w:rPr>
      <w:rFonts w:cs="OpenSymbol"/>
    </w:rPr>
  </w:style>
  <w:style w:type="character" w:customStyle="1" w:styleId="ListLabel4062">
    <w:name w:val="ListLabel 4062"/>
    <w:qFormat/>
    <w:rPr>
      <w:rFonts w:cs="OpenSymbol"/>
    </w:rPr>
  </w:style>
  <w:style w:type="character" w:customStyle="1" w:styleId="ListLabel4063">
    <w:name w:val="ListLabel 4063"/>
    <w:qFormat/>
    <w:rPr>
      <w:rFonts w:cs="OpenSymbol"/>
    </w:rPr>
  </w:style>
  <w:style w:type="character" w:customStyle="1" w:styleId="ListLabel4064">
    <w:name w:val="ListLabel 4064"/>
    <w:qFormat/>
    <w:rPr>
      <w:rFonts w:cs="OpenSymbol"/>
    </w:rPr>
  </w:style>
  <w:style w:type="character" w:customStyle="1" w:styleId="ListLabel4065">
    <w:name w:val="ListLabel 4065"/>
    <w:qFormat/>
    <w:rPr>
      <w:rFonts w:cs="OpenSymbol"/>
    </w:rPr>
  </w:style>
  <w:style w:type="character" w:customStyle="1" w:styleId="ListLabel4066">
    <w:name w:val="ListLabel 4066"/>
    <w:qFormat/>
    <w:rPr>
      <w:rFonts w:cs="OpenSymbol"/>
    </w:rPr>
  </w:style>
  <w:style w:type="character" w:customStyle="1" w:styleId="ListLabel4067">
    <w:name w:val="ListLabel 4067"/>
    <w:qFormat/>
    <w:rPr>
      <w:rFonts w:cs="OpenSymbol"/>
    </w:rPr>
  </w:style>
  <w:style w:type="character" w:customStyle="1" w:styleId="ListLabel4068">
    <w:name w:val="ListLabel 4068"/>
    <w:qFormat/>
    <w:rPr>
      <w:rFonts w:cs="OpenSymbol"/>
    </w:rPr>
  </w:style>
  <w:style w:type="character" w:customStyle="1" w:styleId="ListLabel4069">
    <w:name w:val="ListLabel 4069"/>
    <w:qFormat/>
    <w:rPr>
      <w:rFonts w:cs="OpenSymbol"/>
    </w:rPr>
  </w:style>
  <w:style w:type="character" w:customStyle="1" w:styleId="ListLabel4070">
    <w:name w:val="ListLabel 4070"/>
    <w:qFormat/>
    <w:rPr>
      <w:rFonts w:cs="OpenSymbol"/>
    </w:rPr>
  </w:style>
  <w:style w:type="character" w:styleId="a4">
    <w:name w:val="Hyperlink"/>
    <w:basedOn w:val="a0"/>
    <w:uiPriority w:val="99"/>
    <w:unhideWhenUsed/>
    <w:qFormat/>
    <w:rsid w:val="00D3629B"/>
    <w:rPr>
      <w:color w:val="0000FF"/>
      <w:u w:val="single"/>
    </w:rPr>
  </w:style>
  <w:style w:type="paragraph" w:styleId="a5">
    <w:name w:val="List Paragraph"/>
    <w:basedOn w:val="a"/>
    <w:uiPriority w:val="34"/>
    <w:qFormat/>
    <w:rsid w:val="00D3629B"/>
    <w:pPr>
      <w:ind w:left="720"/>
      <w:contextualSpacing/>
    </w:pPr>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hyperlink" Target="https://doi.org/10.11603/1681-2786.2025.1.15334" TargetMode="External"/><Relationship Id="rId26" Type="http://schemas.openxmlformats.org/officeDocument/2006/relationships/hyperlink" Target="https://www.ukrinform.ua/rubric-society/3867254-v-ukraini-zareestrovani-23-tisaci-pacientiv-z-ptsr-lasko.html" TargetMode="External"/><Relationship Id="rId39" Type="http://schemas.openxmlformats.org/officeDocument/2006/relationships/hyperlink" Target="https://doi.org/10.1016/j.janxdis.2025.102976" TargetMode="External"/><Relationship Id="rId21" Type="http://schemas.openxmlformats.org/officeDocument/2006/relationships/hyperlink" Target="https://unn.ua/en/news/ministry-of-health-23-thousand-people-with-ptsd-were-registered-in-ukraine-last-year" TargetMode="External"/><Relationship Id="rId34" Type="http://schemas.openxmlformats.org/officeDocument/2006/relationships/hyperlink" Target="https://archive.org/details/APA-DSM-5/mode/2up" TargetMode="External"/><Relationship Id="rId42" Type="http://schemas.openxmlformats.org/officeDocument/2006/relationships/hyperlink" Target="https://doi.org/10.1089/acm.2018.0424" TargetMode="External"/><Relationship Id="rId47" Type="http://schemas.openxmlformats.org/officeDocument/2006/relationships/hyperlink" Target="https://doi.org/10.7326/M23-2757" TargetMode="External"/><Relationship Id="rId50" Type="http://schemas.openxmlformats.org/officeDocument/2006/relationships/hyperlink" Target="https://doi.org/10.1371/journal.pone.0162735" TargetMode="External"/><Relationship Id="rId55" Type="http://schemas.openxmlformats.org/officeDocument/2006/relationships/hyperlink" Target="https://i-cbt.org.ua/" TargetMode="Externa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elar.navs.edu.ua/server/api/core/bitstreams/969a2086-8060-4874-a8d9-6002d4d5c253/content" TargetMode="External"/><Relationship Id="rId29" Type="http://schemas.openxmlformats.org/officeDocument/2006/relationships/hyperlink" Target="https://doi.org/10.1080/20008066.2025.2452680" TargetMode="External"/><Relationship Id="rId11" Type="http://schemas.openxmlformats.org/officeDocument/2006/relationships/chart" Target="charts/chart2.xml"/><Relationship Id="rId24" Type="http://schemas.openxmlformats.org/officeDocument/2006/relationships/hyperlink" Target="https://doi.org/10.26565/2312-5675-2025-27-03" TargetMode="External"/><Relationship Id="rId32" Type="http://schemas.openxmlformats.org/officeDocument/2006/relationships/hyperlink" Target="https://doi.org/10.1080/20008198.2019.1709709" TargetMode="External"/><Relationship Id="rId37" Type="http://schemas.openxmlformats.org/officeDocument/2006/relationships/hyperlink" Target="https://icd.who.int/browse/2025-01/mms/en" TargetMode="External"/><Relationship Id="rId40" Type="http://schemas.openxmlformats.org/officeDocument/2006/relationships/hyperlink" Target="https://doi.org/10.32872/cpe.6701" TargetMode="External"/><Relationship Id="rId45" Type="http://schemas.openxmlformats.org/officeDocument/2006/relationships/hyperlink" Target="https://www.ptsd.va.gov/understand_tx/tx_basics.asp" TargetMode="External"/><Relationship Id="rId53" Type="http://schemas.openxmlformats.org/officeDocument/2006/relationships/hyperlink" Target="https://isu-conference.com/wp-content/uploads/2024/09Development_of_modern_science_state_problems_and_prospects_September_11_13_2024_Brno_Czech_Republic.pdf" TargetMode="External"/><Relationship Id="rId58" Type="http://schemas.openxmlformats.org/officeDocument/2006/relationships/image" Target="media/image5.png"/><Relationship Id="rId5" Type="http://schemas.openxmlformats.org/officeDocument/2006/relationships/footnotes" Target="footnotes.xml"/><Relationship Id="rId61" Type="http://schemas.openxmlformats.org/officeDocument/2006/relationships/theme" Target="theme/theme1.xml"/><Relationship Id="rId19" Type="http://schemas.openxmlformats.org/officeDocument/2006/relationships/hyperlink" Target="https://moz.gov.ua/uk/kilkist-pacientiv-zi-vstanovlenim-diagnozom-ptsr-v-ukraini-zrostae-scho-treba-znati-pro-posttravmatichnij-stresovij-rozlad" TargetMode="External"/><Relationship Id="rId14" Type="http://schemas.openxmlformats.org/officeDocument/2006/relationships/hyperlink" Target="https://doi.org/10.32782/3041-1297/2025-1-26" TargetMode="External"/><Relationship Id="rId22" Type="http://schemas.openxmlformats.org/officeDocument/2006/relationships/hyperlink" Target="https://sci-conf.com.ua/ix-mizhnarodna-naukovo-praktichna-konferentsiya-topical-aspects-of-modern-scientific-research-16-18-05-2024-tokio-yaponiya-arhiv/" TargetMode="External"/><Relationship Id="rId27" Type="http://schemas.openxmlformats.org/officeDocument/2006/relationships/hyperlink" Target="https://doi.org/10.1080/20008198.2019.1684226" TargetMode="External"/><Relationship Id="rId30" Type="http://schemas.openxmlformats.org/officeDocument/2006/relationships/hyperlink" Target="https://doi.org/10.1016/j.janxdis.2021.102360" TargetMode="External"/><Relationship Id="rId35" Type="http://schemas.openxmlformats.org/officeDocument/2006/relationships/hyperlink" Target="https://doi.org/10.34069/AI/2025.86.02.10" TargetMode="External"/><Relationship Id="rId43" Type="http://schemas.openxmlformats.org/officeDocument/2006/relationships/hyperlink" Target="https://doi.org/10.1016/j.nicl.2022.103297" TargetMode="External"/><Relationship Id="rId48" Type="http://schemas.openxmlformats.org/officeDocument/2006/relationships/hyperlink" Target="https://doi.org/10.1111/jcpp.14124" TargetMode="External"/><Relationship Id="rId56" Type="http://schemas.openxmlformats.org/officeDocument/2006/relationships/image" Target="media/image3.png"/><Relationship Id="rId8" Type="http://schemas.openxmlformats.org/officeDocument/2006/relationships/image" Target="media/image1.png"/><Relationship Id="rId51" Type="http://schemas.openxmlformats.org/officeDocument/2006/relationships/hyperlink" Target="https://www.medscape.com/?_gl=1*n5cfd3*_gcl_au*MTcyNTg3MjQ5NS4xNzY0NTI3NzA5" TargetMode="External"/><Relationship Id="rId3" Type="http://schemas.openxmlformats.org/officeDocument/2006/relationships/settings" Target="settings.xml"/><Relationship Id="rId12" Type="http://schemas.openxmlformats.org/officeDocument/2006/relationships/chart" Target="charts/chart3.xml"/><Relationship Id="rId17" Type="http://schemas.openxmlformats.org/officeDocument/2006/relationships/hyperlink" Target="https://doi.org/10.33120/popp-Vol16-Year2024-165" TargetMode="External"/><Relationship Id="rId25" Type="http://schemas.openxmlformats.org/officeDocument/2006/relationships/hyperlink" Target="https://www.nice.org.uk/guidance/ng116" TargetMode="External"/><Relationship Id="rId33" Type="http://schemas.openxmlformats.org/officeDocument/2006/relationships/hyperlink" Target="https://doi.org/10.1037/ser0000425" TargetMode="External"/><Relationship Id="rId38" Type="http://schemas.openxmlformats.org/officeDocument/2006/relationships/hyperlink" Target="https://doi.org/10.1111/acps.13372" TargetMode="External"/><Relationship Id="rId46" Type="http://schemas.openxmlformats.org/officeDocument/2006/relationships/hyperlink" Target="https://doi.org/10.1177/21677026211051314" TargetMode="External"/><Relationship Id="rId59" Type="http://schemas.openxmlformats.org/officeDocument/2006/relationships/header" Target="header2.xml"/><Relationship Id="rId20" Type="http://schemas.openxmlformats.org/officeDocument/2006/relationships/hyperlink" Target="https://doi.org/10.32782/cusu-psy-2024-2-11" TargetMode="External"/><Relationship Id="rId41" Type="http://schemas.openxmlformats.org/officeDocument/2006/relationships/hyperlink" Target="https://doi.org/10.3390/app15020934" TargetMode="External"/><Relationship Id="rId54" Type="http://schemas.openxmlformats.org/officeDocument/2006/relationships/hyperlink" Target="https://doi.org/10.1176/ajp.2006.163.4.659"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doi.org/10.30970/PS.2023.18.2" TargetMode="External"/><Relationship Id="rId23" Type="http://schemas.openxmlformats.org/officeDocument/2006/relationships/hyperlink" Target="https://doi.org/10.29038/2220-7481-2024-02-39-51" TargetMode="External"/><Relationship Id="rId28" Type="http://schemas.openxmlformats.org/officeDocument/2006/relationships/hyperlink" Target="https://doi.org/10.1037/tra0001621" TargetMode="External"/><Relationship Id="rId36" Type="http://schemas.openxmlformats.org/officeDocument/2006/relationships/hyperlink" Target="https://doi.org/10.1080/08995605.2020.1754123" TargetMode="External"/><Relationship Id="rId49" Type="http://schemas.openxmlformats.org/officeDocument/2006/relationships/hyperlink" Target="https://www.emdrgateway.com/news/2020/4/2/speed-of-eye-movements?utm_source=chatgpt.com" TargetMode="External"/><Relationship Id="rId57" Type="http://schemas.openxmlformats.org/officeDocument/2006/relationships/image" Target="media/image4.png"/><Relationship Id="rId10" Type="http://schemas.openxmlformats.org/officeDocument/2006/relationships/image" Target="media/image2.wmf"/><Relationship Id="rId31" Type="http://schemas.openxmlformats.org/officeDocument/2006/relationships/hyperlink" Target="https://doi.org/10.1176/appi.ajp.2007.06091491" TargetMode="External"/><Relationship Id="rId44" Type="http://schemas.openxmlformats.org/officeDocument/2006/relationships/hyperlink" Target="https://doi.org/10.1016/j.cpr.2021.102049" TargetMode="External"/><Relationship Id="rId52" Type="http://schemas.openxmlformats.org/officeDocument/2006/relationships/hyperlink" Target="https://doi.org/10.3389/fpsyg.2021.660753" TargetMode="External"/><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0"/>
  <c:style val="2"/>
  <c:chart>
    <c:autoTitleDeleted val="1"/>
    <c:plotArea>
      <c:layout/>
      <c:barChart>
        <c:barDir val="col"/>
        <c:grouping val="percentStacked"/>
        <c:varyColors val="0"/>
        <c:ser>
          <c:idx val="0"/>
          <c:order val="0"/>
          <c:tx>
            <c:strRef>
              <c:f>label 0</c:f>
              <c:strCache>
                <c:ptCount val="1"/>
                <c:pt idx="0">
                  <c:v>важкий</c:v>
                </c:pt>
              </c:strCache>
            </c:strRef>
          </c:tx>
          <c:spPr>
            <a:solidFill>
              <a:srgbClr val="004586"/>
            </a:solidFill>
            <a:ln>
              <a:noFill/>
            </a:ln>
          </c:spPr>
          <c:invertIfNegative val="0"/>
          <c:dLbls>
            <c:spPr>
              <a:noFill/>
              <a:ln>
                <a:noFill/>
              </a:ln>
              <a:effectLst/>
            </c:spPr>
            <c:txPr>
              <a:bodyPr/>
              <a:lstStyle/>
              <a:p>
                <a:pPr>
                  <a:defRPr sz="1000" b="0" strike="noStrike" spc="-1">
                    <a:solidFill>
                      <a:srgbClr val="000000"/>
                    </a:solidFill>
                    <a:latin typeface="Arial"/>
                  </a:defRPr>
                </a:pPr>
                <a:endParaRPr lang="ru-RU"/>
              </a:p>
            </c:txPr>
            <c:dLblPos val="ct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0"/>
              </c:ext>
            </c:extLst>
          </c:dLbls>
          <c:cat>
            <c:strRef>
              <c:f>categories</c:f>
              <c:strCache>
                <c:ptCount val="4"/>
                <c:pt idx="0">
                  <c:v>Стрес</c:v>
                </c:pt>
                <c:pt idx="1">
                  <c:v>Тривога</c:v>
                </c:pt>
                <c:pt idx="2">
                  <c:v>Депресія</c:v>
                </c:pt>
              </c:strCache>
            </c:strRef>
          </c:cat>
          <c:val>
            <c:numRef>
              <c:f>0</c:f>
              <c:numCache>
                <c:formatCode>General</c:formatCode>
                <c:ptCount val="4"/>
                <c:pt idx="0">
                  <c:v>0.44</c:v>
                </c:pt>
                <c:pt idx="1">
                  <c:v>0.41</c:v>
                </c:pt>
                <c:pt idx="2">
                  <c:v>0.22</c:v>
                </c:pt>
              </c:numCache>
            </c:numRef>
          </c:val>
          <c:extLst>
            <c:ext xmlns:c16="http://schemas.microsoft.com/office/drawing/2014/chart" uri="{C3380CC4-5D6E-409C-BE32-E72D297353CC}">
              <c16:uniqueId val="{00000000-F76C-4C2A-80D8-161A3AC9B677}"/>
            </c:ext>
          </c:extLst>
        </c:ser>
        <c:ser>
          <c:idx val="1"/>
          <c:order val="1"/>
          <c:tx>
            <c:strRef>
              <c:f>label 1</c:f>
              <c:strCache>
                <c:ptCount val="1"/>
                <c:pt idx="0">
                  <c:v>виражений</c:v>
                </c:pt>
              </c:strCache>
            </c:strRef>
          </c:tx>
          <c:spPr>
            <a:solidFill>
              <a:srgbClr val="FF420E"/>
            </a:solidFill>
            <a:ln>
              <a:noFill/>
            </a:ln>
          </c:spPr>
          <c:invertIfNegative val="0"/>
          <c:dLbls>
            <c:spPr>
              <a:noFill/>
              <a:ln>
                <a:noFill/>
              </a:ln>
              <a:effectLst/>
            </c:spPr>
            <c:txPr>
              <a:bodyPr/>
              <a:lstStyle/>
              <a:p>
                <a:pPr>
                  <a:defRPr sz="1000" b="0" strike="noStrike" spc="-1">
                    <a:solidFill>
                      <a:srgbClr val="000000"/>
                    </a:solidFill>
                    <a:latin typeface="Arial"/>
                  </a:defRPr>
                </a:pPr>
                <a:endParaRPr lang="ru-RU"/>
              </a:p>
            </c:txPr>
            <c:dLblPos val="ct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0"/>
              </c:ext>
            </c:extLst>
          </c:dLbls>
          <c:cat>
            <c:strRef>
              <c:f>categories</c:f>
              <c:strCache>
                <c:ptCount val="4"/>
                <c:pt idx="0">
                  <c:v>Стрес</c:v>
                </c:pt>
                <c:pt idx="1">
                  <c:v>Тривога</c:v>
                </c:pt>
                <c:pt idx="2">
                  <c:v>Депресія</c:v>
                </c:pt>
              </c:strCache>
            </c:strRef>
          </c:cat>
          <c:val>
            <c:numRef>
              <c:f>1</c:f>
              <c:numCache>
                <c:formatCode>General</c:formatCode>
                <c:ptCount val="4"/>
                <c:pt idx="0">
                  <c:v>0.56000000000000005</c:v>
                </c:pt>
                <c:pt idx="1">
                  <c:v>0.59</c:v>
                </c:pt>
                <c:pt idx="2">
                  <c:v>0.78</c:v>
                </c:pt>
              </c:numCache>
            </c:numRef>
          </c:val>
          <c:extLst>
            <c:ext xmlns:c16="http://schemas.microsoft.com/office/drawing/2014/chart" uri="{C3380CC4-5D6E-409C-BE32-E72D297353CC}">
              <c16:uniqueId val="{00000001-F76C-4C2A-80D8-161A3AC9B677}"/>
            </c:ext>
          </c:extLst>
        </c:ser>
        <c:ser>
          <c:idx val="2"/>
          <c:order val="2"/>
          <c:tx>
            <c:strRef>
              <c:f>label 2</c:f>
              <c:strCache>
                <c:ptCount val="1"/>
                <c:pt idx="0">
                  <c:v>помірний</c:v>
                </c:pt>
              </c:strCache>
            </c:strRef>
          </c:tx>
          <c:spPr>
            <a:solidFill>
              <a:srgbClr val="FFD320"/>
            </a:solidFill>
            <a:ln>
              <a:noFill/>
            </a:ln>
          </c:spPr>
          <c:invertIfNegative val="0"/>
          <c:dLbls>
            <c:spPr>
              <a:noFill/>
              <a:ln>
                <a:noFill/>
              </a:ln>
              <a:effectLst/>
            </c:spPr>
            <c:txPr>
              <a:bodyPr/>
              <a:lstStyle/>
              <a:p>
                <a:pPr>
                  <a:defRPr sz="1000" b="0" strike="noStrike" spc="-1">
                    <a:solidFill>
                      <a:srgbClr val="000000"/>
                    </a:solidFill>
                    <a:latin typeface="Arial"/>
                  </a:defRPr>
                </a:pPr>
                <a:endParaRPr lang="ru-RU"/>
              </a:p>
            </c:txPr>
            <c:dLblPos val="ct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0"/>
              </c:ext>
            </c:extLst>
          </c:dLbls>
          <c:cat>
            <c:strRef>
              <c:f>categories</c:f>
              <c:strCache>
                <c:ptCount val="4"/>
                <c:pt idx="0">
                  <c:v>Стрес</c:v>
                </c:pt>
                <c:pt idx="1">
                  <c:v>Тривога</c:v>
                </c:pt>
                <c:pt idx="2">
                  <c:v>Депресія</c:v>
                </c:pt>
              </c:strCache>
            </c:strRef>
          </c:cat>
          <c:val>
            <c:numRef>
              <c:f>2</c:f>
              <c:numCache>
                <c:formatCode>General</c:formatCode>
                <c:ptCount val="4"/>
                <c:pt idx="0">
                  <c:v>0</c:v>
                </c:pt>
                <c:pt idx="1">
                  <c:v>0</c:v>
                </c:pt>
                <c:pt idx="2">
                  <c:v>0</c:v>
                </c:pt>
              </c:numCache>
            </c:numRef>
          </c:val>
          <c:extLst>
            <c:ext xmlns:c16="http://schemas.microsoft.com/office/drawing/2014/chart" uri="{C3380CC4-5D6E-409C-BE32-E72D297353CC}">
              <c16:uniqueId val="{00000002-F76C-4C2A-80D8-161A3AC9B677}"/>
            </c:ext>
          </c:extLst>
        </c:ser>
        <c:dLbls>
          <c:showLegendKey val="0"/>
          <c:showVal val="0"/>
          <c:showCatName val="0"/>
          <c:showSerName val="0"/>
          <c:showPercent val="0"/>
          <c:showBubbleSize val="0"/>
        </c:dLbls>
        <c:gapWidth val="100"/>
        <c:overlap val="100"/>
        <c:axId val="24091472"/>
        <c:axId val="21010671"/>
      </c:barChart>
      <c:catAx>
        <c:axId val="24091472"/>
        <c:scaling>
          <c:orientation val="minMax"/>
        </c:scaling>
        <c:delete val="0"/>
        <c:axPos val="b"/>
        <c:numFmt formatCode="General" sourceLinked="1"/>
        <c:majorTickMark val="out"/>
        <c:minorTickMark val="none"/>
        <c:tickLblPos val="nextTo"/>
        <c:spPr>
          <a:ln>
            <a:solidFill>
              <a:srgbClr val="B3B3B3"/>
            </a:solidFill>
          </a:ln>
        </c:spPr>
        <c:txPr>
          <a:bodyPr/>
          <a:lstStyle/>
          <a:p>
            <a:pPr>
              <a:defRPr sz="1000" b="0" strike="noStrike" spc="-1">
                <a:solidFill>
                  <a:srgbClr val="000000"/>
                </a:solidFill>
                <a:latin typeface="Arial"/>
              </a:defRPr>
            </a:pPr>
            <a:endParaRPr lang="ru-RU"/>
          </a:p>
        </c:txPr>
        <c:crossAx val="21010671"/>
        <c:crosses val="autoZero"/>
        <c:auto val="1"/>
        <c:lblAlgn val="ctr"/>
        <c:lblOffset val="100"/>
        <c:noMultiLvlLbl val="1"/>
      </c:catAx>
      <c:valAx>
        <c:axId val="21010671"/>
        <c:scaling>
          <c:orientation val="minMax"/>
        </c:scaling>
        <c:delete val="0"/>
        <c:axPos val="l"/>
        <c:majorGridlines>
          <c:spPr>
            <a:ln>
              <a:solidFill>
                <a:srgbClr val="B3B3B3"/>
              </a:solidFill>
            </a:ln>
          </c:spPr>
        </c:majorGridlines>
        <c:numFmt formatCode="[$-422]0%" sourceLinked="0"/>
        <c:majorTickMark val="out"/>
        <c:minorTickMark val="none"/>
        <c:tickLblPos val="nextTo"/>
        <c:spPr>
          <a:ln>
            <a:solidFill>
              <a:srgbClr val="B3B3B3"/>
            </a:solidFill>
          </a:ln>
        </c:spPr>
        <c:txPr>
          <a:bodyPr/>
          <a:lstStyle/>
          <a:p>
            <a:pPr>
              <a:defRPr sz="1000" b="0" strike="noStrike" spc="-1">
                <a:solidFill>
                  <a:srgbClr val="000000"/>
                </a:solidFill>
                <a:latin typeface="Arial"/>
              </a:defRPr>
            </a:pPr>
            <a:endParaRPr lang="ru-RU"/>
          </a:p>
        </c:txPr>
        <c:crossAx val="24091472"/>
        <c:crossesAt val="1"/>
        <c:crossBetween val="between"/>
      </c:valAx>
      <c:spPr>
        <a:noFill/>
        <a:ln>
          <a:solidFill>
            <a:srgbClr val="B3B3B3"/>
          </a:solidFill>
        </a:ln>
      </c:spPr>
    </c:plotArea>
    <c:legend>
      <c:legendPos val="r"/>
      <c:overlay val="0"/>
      <c:spPr>
        <a:noFill/>
        <a:ln>
          <a:noFill/>
        </a:ln>
      </c:spPr>
      <c:txPr>
        <a:bodyPr/>
        <a:lstStyle/>
        <a:p>
          <a:pPr>
            <a:defRPr sz="1000" b="0" strike="noStrike" spc="-1">
              <a:solidFill>
                <a:srgbClr val="000000"/>
              </a:solidFill>
              <a:latin typeface="Arial"/>
            </a:defRPr>
          </a:pPr>
          <a:endParaRPr lang="ru-RU"/>
        </a:p>
      </c:txPr>
    </c:legend>
    <c:plotVisOnly val="1"/>
    <c:dispBlanksAs val="gap"/>
    <c:showDLblsOverMax val="1"/>
  </c:chart>
  <c:spPr>
    <a:noFill/>
    <a:ln>
      <a:noFill/>
    </a:ln>
  </c:spPr>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0"/>
  <c:style val="2"/>
  <c:chart>
    <c:autoTitleDeleted val="1"/>
    <c:plotArea>
      <c:layout/>
      <c:barChart>
        <c:barDir val="col"/>
        <c:grouping val="percentStacked"/>
        <c:varyColors val="0"/>
        <c:ser>
          <c:idx val="0"/>
          <c:order val="0"/>
          <c:tx>
            <c:strRef>
              <c:f>label 0</c:f>
              <c:strCache>
                <c:ptCount val="1"/>
                <c:pt idx="0">
                  <c:v>важкий</c:v>
                </c:pt>
              </c:strCache>
            </c:strRef>
          </c:tx>
          <c:spPr>
            <a:solidFill>
              <a:srgbClr val="004586"/>
            </a:solidFill>
            <a:ln>
              <a:noFill/>
            </a:ln>
          </c:spPr>
          <c:invertIfNegative val="0"/>
          <c:dLbls>
            <c:spPr>
              <a:noFill/>
              <a:ln>
                <a:noFill/>
              </a:ln>
              <a:effectLst/>
            </c:spPr>
            <c:txPr>
              <a:bodyPr/>
              <a:lstStyle/>
              <a:p>
                <a:pPr>
                  <a:defRPr sz="1000" b="0" strike="noStrike" spc="-1">
                    <a:solidFill>
                      <a:srgbClr val="000000"/>
                    </a:solidFill>
                    <a:latin typeface="Arial"/>
                  </a:defRPr>
                </a:pPr>
                <a:endParaRPr lang="ru-RU"/>
              </a:p>
            </c:txPr>
            <c:dLblPos val="ct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0"/>
              </c:ext>
            </c:extLst>
          </c:dLbls>
          <c:cat>
            <c:strRef>
              <c:f>categories</c:f>
              <c:strCache>
                <c:ptCount val="4"/>
                <c:pt idx="0">
                  <c:v>Стрес</c:v>
                </c:pt>
                <c:pt idx="1">
                  <c:v>Тривога</c:v>
                </c:pt>
                <c:pt idx="2">
                  <c:v>Депресія</c:v>
                </c:pt>
              </c:strCache>
            </c:strRef>
          </c:cat>
          <c:val>
            <c:numRef>
              <c:f>0</c:f>
              <c:numCache>
                <c:formatCode>General</c:formatCode>
                <c:ptCount val="4"/>
                <c:pt idx="0">
                  <c:v>0.41</c:v>
                </c:pt>
                <c:pt idx="1">
                  <c:v>0.39</c:v>
                </c:pt>
                <c:pt idx="2">
                  <c:v>0.2</c:v>
                </c:pt>
              </c:numCache>
            </c:numRef>
          </c:val>
          <c:extLst>
            <c:ext xmlns:c16="http://schemas.microsoft.com/office/drawing/2014/chart" uri="{C3380CC4-5D6E-409C-BE32-E72D297353CC}">
              <c16:uniqueId val="{00000000-9672-49AD-9EFE-AFB51774AE04}"/>
            </c:ext>
          </c:extLst>
        </c:ser>
        <c:ser>
          <c:idx val="1"/>
          <c:order val="1"/>
          <c:tx>
            <c:strRef>
              <c:f>label 1</c:f>
              <c:strCache>
                <c:ptCount val="1"/>
                <c:pt idx="0">
                  <c:v>виражений</c:v>
                </c:pt>
              </c:strCache>
            </c:strRef>
          </c:tx>
          <c:spPr>
            <a:solidFill>
              <a:srgbClr val="FF420E"/>
            </a:solidFill>
            <a:ln>
              <a:noFill/>
            </a:ln>
          </c:spPr>
          <c:invertIfNegative val="0"/>
          <c:dLbls>
            <c:spPr>
              <a:noFill/>
              <a:ln>
                <a:noFill/>
              </a:ln>
              <a:effectLst/>
            </c:spPr>
            <c:txPr>
              <a:bodyPr/>
              <a:lstStyle/>
              <a:p>
                <a:pPr>
                  <a:defRPr sz="1000" b="0" strike="noStrike" spc="-1">
                    <a:solidFill>
                      <a:srgbClr val="000000"/>
                    </a:solidFill>
                    <a:latin typeface="Arial"/>
                  </a:defRPr>
                </a:pPr>
                <a:endParaRPr lang="ru-RU"/>
              </a:p>
            </c:txPr>
            <c:dLblPos val="ct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0"/>
              </c:ext>
            </c:extLst>
          </c:dLbls>
          <c:cat>
            <c:strRef>
              <c:f>categories</c:f>
              <c:strCache>
                <c:ptCount val="4"/>
                <c:pt idx="0">
                  <c:v>Стрес</c:v>
                </c:pt>
                <c:pt idx="1">
                  <c:v>Тривога</c:v>
                </c:pt>
                <c:pt idx="2">
                  <c:v>Депресія</c:v>
                </c:pt>
              </c:strCache>
            </c:strRef>
          </c:cat>
          <c:val>
            <c:numRef>
              <c:f>1</c:f>
              <c:numCache>
                <c:formatCode>General</c:formatCode>
                <c:ptCount val="4"/>
                <c:pt idx="0">
                  <c:v>0.59</c:v>
                </c:pt>
                <c:pt idx="1">
                  <c:v>0.61</c:v>
                </c:pt>
                <c:pt idx="2">
                  <c:v>0.8</c:v>
                </c:pt>
              </c:numCache>
            </c:numRef>
          </c:val>
          <c:extLst>
            <c:ext xmlns:c16="http://schemas.microsoft.com/office/drawing/2014/chart" uri="{C3380CC4-5D6E-409C-BE32-E72D297353CC}">
              <c16:uniqueId val="{00000001-9672-49AD-9EFE-AFB51774AE04}"/>
            </c:ext>
          </c:extLst>
        </c:ser>
        <c:ser>
          <c:idx val="2"/>
          <c:order val="2"/>
          <c:tx>
            <c:strRef>
              <c:f>label 2</c:f>
              <c:strCache>
                <c:ptCount val="1"/>
                <c:pt idx="0">
                  <c:v>помірний</c:v>
                </c:pt>
              </c:strCache>
            </c:strRef>
          </c:tx>
          <c:spPr>
            <a:solidFill>
              <a:srgbClr val="FFD320"/>
            </a:solidFill>
            <a:ln>
              <a:noFill/>
            </a:ln>
          </c:spPr>
          <c:invertIfNegative val="0"/>
          <c:dLbls>
            <c:spPr>
              <a:noFill/>
              <a:ln>
                <a:noFill/>
              </a:ln>
              <a:effectLst/>
            </c:spPr>
            <c:txPr>
              <a:bodyPr/>
              <a:lstStyle/>
              <a:p>
                <a:pPr>
                  <a:defRPr sz="1000" b="0" strike="noStrike" spc="-1">
                    <a:solidFill>
                      <a:srgbClr val="000000"/>
                    </a:solidFill>
                    <a:latin typeface="Arial"/>
                  </a:defRPr>
                </a:pPr>
                <a:endParaRPr lang="ru-RU"/>
              </a:p>
            </c:txPr>
            <c:dLblPos val="ct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0"/>
              </c:ext>
            </c:extLst>
          </c:dLbls>
          <c:cat>
            <c:strRef>
              <c:f>categories</c:f>
              <c:strCache>
                <c:ptCount val="4"/>
                <c:pt idx="0">
                  <c:v>Стрес</c:v>
                </c:pt>
                <c:pt idx="1">
                  <c:v>Тривога</c:v>
                </c:pt>
                <c:pt idx="2">
                  <c:v>Депресія</c:v>
                </c:pt>
              </c:strCache>
            </c:strRef>
          </c:cat>
          <c:val>
            <c:numRef>
              <c:f>2</c:f>
              <c:numCache>
                <c:formatCode>General</c:formatCode>
                <c:ptCount val="4"/>
                <c:pt idx="0">
                  <c:v>0</c:v>
                </c:pt>
                <c:pt idx="1">
                  <c:v>0</c:v>
                </c:pt>
                <c:pt idx="2">
                  <c:v>0</c:v>
                </c:pt>
              </c:numCache>
            </c:numRef>
          </c:val>
          <c:extLst>
            <c:ext xmlns:c16="http://schemas.microsoft.com/office/drawing/2014/chart" uri="{C3380CC4-5D6E-409C-BE32-E72D297353CC}">
              <c16:uniqueId val="{00000002-9672-49AD-9EFE-AFB51774AE04}"/>
            </c:ext>
          </c:extLst>
        </c:ser>
        <c:dLbls>
          <c:showLegendKey val="0"/>
          <c:showVal val="0"/>
          <c:showCatName val="0"/>
          <c:showSerName val="0"/>
          <c:showPercent val="0"/>
          <c:showBubbleSize val="0"/>
        </c:dLbls>
        <c:gapWidth val="100"/>
        <c:overlap val="100"/>
        <c:axId val="11636171"/>
        <c:axId val="44974583"/>
      </c:barChart>
      <c:catAx>
        <c:axId val="11636171"/>
        <c:scaling>
          <c:orientation val="minMax"/>
        </c:scaling>
        <c:delete val="0"/>
        <c:axPos val="b"/>
        <c:numFmt formatCode="General" sourceLinked="1"/>
        <c:majorTickMark val="out"/>
        <c:minorTickMark val="none"/>
        <c:tickLblPos val="nextTo"/>
        <c:spPr>
          <a:ln>
            <a:solidFill>
              <a:srgbClr val="B3B3B3"/>
            </a:solidFill>
          </a:ln>
        </c:spPr>
        <c:txPr>
          <a:bodyPr/>
          <a:lstStyle/>
          <a:p>
            <a:pPr>
              <a:defRPr sz="1000" b="0" strike="noStrike" spc="-1">
                <a:solidFill>
                  <a:srgbClr val="000000"/>
                </a:solidFill>
                <a:latin typeface="Arial"/>
              </a:defRPr>
            </a:pPr>
            <a:endParaRPr lang="ru-RU"/>
          </a:p>
        </c:txPr>
        <c:crossAx val="44974583"/>
        <c:crosses val="autoZero"/>
        <c:auto val="1"/>
        <c:lblAlgn val="ctr"/>
        <c:lblOffset val="100"/>
        <c:noMultiLvlLbl val="1"/>
      </c:catAx>
      <c:valAx>
        <c:axId val="44974583"/>
        <c:scaling>
          <c:orientation val="minMax"/>
        </c:scaling>
        <c:delete val="0"/>
        <c:axPos val="l"/>
        <c:majorGridlines>
          <c:spPr>
            <a:ln>
              <a:solidFill>
                <a:srgbClr val="B3B3B3"/>
              </a:solidFill>
            </a:ln>
          </c:spPr>
        </c:majorGridlines>
        <c:numFmt formatCode="[$-422]0%" sourceLinked="0"/>
        <c:majorTickMark val="out"/>
        <c:minorTickMark val="none"/>
        <c:tickLblPos val="nextTo"/>
        <c:spPr>
          <a:ln>
            <a:solidFill>
              <a:srgbClr val="B3B3B3"/>
            </a:solidFill>
          </a:ln>
        </c:spPr>
        <c:txPr>
          <a:bodyPr/>
          <a:lstStyle/>
          <a:p>
            <a:pPr>
              <a:defRPr sz="1000" b="0" strike="noStrike" spc="-1">
                <a:solidFill>
                  <a:srgbClr val="000000"/>
                </a:solidFill>
                <a:latin typeface="Arial"/>
              </a:defRPr>
            </a:pPr>
            <a:endParaRPr lang="ru-RU"/>
          </a:p>
        </c:txPr>
        <c:crossAx val="11636171"/>
        <c:crossesAt val="1"/>
        <c:crossBetween val="between"/>
      </c:valAx>
      <c:spPr>
        <a:noFill/>
        <a:ln>
          <a:solidFill>
            <a:srgbClr val="B3B3B3"/>
          </a:solidFill>
        </a:ln>
      </c:spPr>
    </c:plotArea>
    <c:legend>
      <c:legendPos val="r"/>
      <c:overlay val="0"/>
      <c:spPr>
        <a:noFill/>
        <a:ln>
          <a:noFill/>
        </a:ln>
      </c:spPr>
      <c:txPr>
        <a:bodyPr/>
        <a:lstStyle/>
        <a:p>
          <a:pPr>
            <a:defRPr sz="1000" b="0" strike="noStrike" spc="-1">
              <a:solidFill>
                <a:srgbClr val="000000"/>
              </a:solidFill>
              <a:latin typeface="Arial"/>
            </a:defRPr>
          </a:pPr>
          <a:endParaRPr lang="ru-RU"/>
        </a:p>
      </c:txPr>
    </c:legend>
    <c:plotVisOnly val="1"/>
    <c:dispBlanksAs val="gap"/>
    <c:showDLblsOverMax val="1"/>
  </c:chart>
  <c:spPr>
    <a:noFill/>
    <a:ln>
      <a:noFill/>
    </a:ln>
  </c:spPr>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0"/>
  <c:style val="2"/>
  <c:chart>
    <c:autoTitleDeleted val="1"/>
    <c:plotArea>
      <c:layout/>
      <c:barChart>
        <c:barDir val="col"/>
        <c:grouping val="percentStacked"/>
        <c:varyColors val="0"/>
        <c:ser>
          <c:idx val="0"/>
          <c:order val="0"/>
          <c:tx>
            <c:strRef>
              <c:f>label 0</c:f>
              <c:strCache>
                <c:ptCount val="1"/>
                <c:pt idx="0">
                  <c:v>важкий</c:v>
                </c:pt>
              </c:strCache>
            </c:strRef>
          </c:tx>
          <c:spPr>
            <a:solidFill>
              <a:srgbClr val="004586"/>
            </a:solidFill>
            <a:ln>
              <a:noFill/>
            </a:ln>
          </c:spPr>
          <c:invertIfNegative val="0"/>
          <c:dLbls>
            <c:spPr>
              <a:noFill/>
              <a:ln>
                <a:noFill/>
              </a:ln>
              <a:effectLst/>
            </c:spPr>
            <c:txPr>
              <a:bodyPr/>
              <a:lstStyle/>
              <a:p>
                <a:pPr>
                  <a:defRPr sz="1000" b="0" strike="noStrike" spc="-1">
                    <a:solidFill>
                      <a:srgbClr val="000000"/>
                    </a:solidFill>
                    <a:latin typeface="Arial"/>
                  </a:defRPr>
                </a:pPr>
                <a:endParaRPr lang="ru-RU"/>
              </a:p>
            </c:txPr>
            <c:dLblPos val="ct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0"/>
              </c:ext>
            </c:extLst>
          </c:dLbls>
          <c:cat>
            <c:strRef>
              <c:f>categories</c:f>
              <c:strCache>
                <c:ptCount val="4"/>
                <c:pt idx="0">
                  <c:v>Стрес</c:v>
                </c:pt>
                <c:pt idx="1">
                  <c:v>Тривога</c:v>
                </c:pt>
                <c:pt idx="2">
                  <c:v>Депресія</c:v>
                </c:pt>
              </c:strCache>
            </c:strRef>
          </c:cat>
          <c:val>
            <c:numRef>
              <c:f>0</c:f>
              <c:numCache>
                <c:formatCode>General</c:formatCode>
                <c:ptCount val="4"/>
                <c:pt idx="0">
                  <c:v>0.59</c:v>
                </c:pt>
                <c:pt idx="1">
                  <c:v>0.68</c:v>
                </c:pt>
                <c:pt idx="2">
                  <c:v>0.27</c:v>
                </c:pt>
              </c:numCache>
            </c:numRef>
          </c:val>
          <c:extLst>
            <c:ext xmlns:c16="http://schemas.microsoft.com/office/drawing/2014/chart" uri="{C3380CC4-5D6E-409C-BE32-E72D297353CC}">
              <c16:uniqueId val="{00000000-16A0-45B5-8D81-DE1428EB2D38}"/>
            </c:ext>
          </c:extLst>
        </c:ser>
        <c:ser>
          <c:idx val="1"/>
          <c:order val="1"/>
          <c:tx>
            <c:strRef>
              <c:f>label 1</c:f>
              <c:strCache>
                <c:ptCount val="1"/>
                <c:pt idx="0">
                  <c:v>виражений</c:v>
                </c:pt>
              </c:strCache>
            </c:strRef>
          </c:tx>
          <c:spPr>
            <a:solidFill>
              <a:srgbClr val="FF420E"/>
            </a:solidFill>
            <a:ln>
              <a:noFill/>
            </a:ln>
          </c:spPr>
          <c:invertIfNegative val="0"/>
          <c:dLbls>
            <c:spPr>
              <a:noFill/>
              <a:ln>
                <a:noFill/>
              </a:ln>
              <a:effectLst/>
            </c:spPr>
            <c:txPr>
              <a:bodyPr/>
              <a:lstStyle/>
              <a:p>
                <a:pPr>
                  <a:defRPr sz="1000" b="0" strike="noStrike" spc="-1">
                    <a:solidFill>
                      <a:srgbClr val="000000"/>
                    </a:solidFill>
                    <a:latin typeface="Arial"/>
                  </a:defRPr>
                </a:pPr>
                <a:endParaRPr lang="ru-RU"/>
              </a:p>
            </c:txPr>
            <c:dLblPos val="ct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0"/>
              </c:ext>
            </c:extLst>
          </c:dLbls>
          <c:cat>
            <c:strRef>
              <c:f>categories</c:f>
              <c:strCache>
                <c:ptCount val="4"/>
                <c:pt idx="0">
                  <c:v>Стрес</c:v>
                </c:pt>
                <c:pt idx="1">
                  <c:v>Тривога</c:v>
                </c:pt>
                <c:pt idx="2">
                  <c:v>Депресія</c:v>
                </c:pt>
              </c:strCache>
            </c:strRef>
          </c:cat>
          <c:val>
            <c:numRef>
              <c:f>1</c:f>
              <c:numCache>
                <c:formatCode>General</c:formatCode>
                <c:ptCount val="4"/>
                <c:pt idx="0">
                  <c:v>0.41</c:v>
                </c:pt>
                <c:pt idx="1">
                  <c:v>0.32</c:v>
                </c:pt>
                <c:pt idx="2">
                  <c:v>0.73</c:v>
                </c:pt>
              </c:numCache>
            </c:numRef>
          </c:val>
          <c:extLst>
            <c:ext xmlns:c16="http://schemas.microsoft.com/office/drawing/2014/chart" uri="{C3380CC4-5D6E-409C-BE32-E72D297353CC}">
              <c16:uniqueId val="{00000001-16A0-45B5-8D81-DE1428EB2D38}"/>
            </c:ext>
          </c:extLst>
        </c:ser>
        <c:ser>
          <c:idx val="2"/>
          <c:order val="2"/>
          <c:tx>
            <c:strRef>
              <c:f>label 2</c:f>
              <c:strCache>
                <c:ptCount val="1"/>
                <c:pt idx="0">
                  <c:v>помірний</c:v>
                </c:pt>
              </c:strCache>
            </c:strRef>
          </c:tx>
          <c:spPr>
            <a:solidFill>
              <a:srgbClr val="FFD320"/>
            </a:solidFill>
            <a:ln>
              <a:noFill/>
            </a:ln>
          </c:spPr>
          <c:invertIfNegative val="0"/>
          <c:dLbls>
            <c:spPr>
              <a:noFill/>
              <a:ln>
                <a:noFill/>
              </a:ln>
              <a:effectLst/>
            </c:spPr>
            <c:txPr>
              <a:bodyPr/>
              <a:lstStyle/>
              <a:p>
                <a:pPr>
                  <a:defRPr sz="1000" b="0" strike="noStrike" spc="-1">
                    <a:solidFill>
                      <a:srgbClr val="000000"/>
                    </a:solidFill>
                    <a:latin typeface="Arial"/>
                  </a:defRPr>
                </a:pPr>
                <a:endParaRPr lang="ru-RU"/>
              </a:p>
            </c:txPr>
            <c:dLblPos val="ct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0"/>
              </c:ext>
            </c:extLst>
          </c:dLbls>
          <c:cat>
            <c:strRef>
              <c:f>categories</c:f>
              <c:strCache>
                <c:ptCount val="4"/>
                <c:pt idx="0">
                  <c:v>Стрес</c:v>
                </c:pt>
                <c:pt idx="1">
                  <c:v>Тривога</c:v>
                </c:pt>
                <c:pt idx="2">
                  <c:v>Депресія</c:v>
                </c:pt>
              </c:strCache>
            </c:strRef>
          </c:cat>
          <c:val>
            <c:numRef>
              <c:f>2</c:f>
              <c:numCache>
                <c:formatCode>General</c:formatCode>
                <c:ptCount val="4"/>
                <c:pt idx="0">
                  <c:v>0</c:v>
                </c:pt>
                <c:pt idx="1">
                  <c:v>0</c:v>
                </c:pt>
                <c:pt idx="2">
                  <c:v>0</c:v>
                </c:pt>
              </c:numCache>
            </c:numRef>
          </c:val>
          <c:extLst>
            <c:ext xmlns:c16="http://schemas.microsoft.com/office/drawing/2014/chart" uri="{C3380CC4-5D6E-409C-BE32-E72D297353CC}">
              <c16:uniqueId val="{00000002-16A0-45B5-8D81-DE1428EB2D38}"/>
            </c:ext>
          </c:extLst>
        </c:ser>
        <c:dLbls>
          <c:showLegendKey val="0"/>
          <c:showVal val="0"/>
          <c:showCatName val="0"/>
          <c:showSerName val="0"/>
          <c:showPercent val="0"/>
          <c:showBubbleSize val="0"/>
        </c:dLbls>
        <c:gapWidth val="100"/>
        <c:overlap val="100"/>
        <c:axId val="16929631"/>
        <c:axId val="43879024"/>
      </c:barChart>
      <c:catAx>
        <c:axId val="16929631"/>
        <c:scaling>
          <c:orientation val="minMax"/>
        </c:scaling>
        <c:delete val="0"/>
        <c:axPos val="b"/>
        <c:numFmt formatCode="General" sourceLinked="1"/>
        <c:majorTickMark val="out"/>
        <c:minorTickMark val="none"/>
        <c:tickLblPos val="nextTo"/>
        <c:spPr>
          <a:ln>
            <a:solidFill>
              <a:srgbClr val="B3B3B3"/>
            </a:solidFill>
          </a:ln>
        </c:spPr>
        <c:txPr>
          <a:bodyPr/>
          <a:lstStyle/>
          <a:p>
            <a:pPr>
              <a:defRPr sz="1000" b="0" strike="noStrike" spc="-1">
                <a:solidFill>
                  <a:srgbClr val="000000"/>
                </a:solidFill>
                <a:latin typeface="Arial"/>
              </a:defRPr>
            </a:pPr>
            <a:endParaRPr lang="ru-RU"/>
          </a:p>
        </c:txPr>
        <c:crossAx val="43879024"/>
        <c:crosses val="autoZero"/>
        <c:auto val="1"/>
        <c:lblAlgn val="ctr"/>
        <c:lblOffset val="100"/>
        <c:noMultiLvlLbl val="1"/>
      </c:catAx>
      <c:valAx>
        <c:axId val="43879024"/>
        <c:scaling>
          <c:orientation val="minMax"/>
        </c:scaling>
        <c:delete val="0"/>
        <c:axPos val="l"/>
        <c:majorGridlines>
          <c:spPr>
            <a:ln>
              <a:solidFill>
                <a:srgbClr val="B3B3B3"/>
              </a:solidFill>
            </a:ln>
          </c:spPr>
        </c:majorGridlines>
        <c:numFmt formatCode="[$-422]0%" sourceLinked="0"/>
        <c:majorTickMark val="out"/>
        <c:minorTickMark val="none"/>
        <c:tickLblPos val="nextTo"/>
        <c:spPr>
          <a:ln>
            <a:solidFill>
              <a:srgbClr val="B3B3B3"/>
            </a:solidFill>
          </a:ln>
        </c:spPr>
        <c:txPr>
          <a:bodyPr/>
          <a:lstStyle/>
          <a:p>
            <a:pPr>
              <a:defRPr sz="1000" b="0" strike="noStrike" spc="-1">
                <a:solidFill>
                  <a:srgbClr val="000000"/>
                </a:solidFill>
                <a:latin typeface="Arial"/>
              </a:defRPr>
            </a:pPr>
            <a:endParaRPr lang="ru-RU"/>
          </a:p>
        </c:txPr>
        <c:crossAx val="16929631"/>
        <c:crossesAt val="1"/>
        <c:crossBetween val="between"/>
      </c:valAx>
      <c:spPr>
        <a:noFill/>
        <a:ln>
          <a:solidFill>
            <a:srgbClr val="B3B3B3"/>
          </a:solidFill>
        </a:ln>
      </c:spPr>
    </c:plotArea>
    <c:legend>
      <c:legendPos val="r"/>
      <c:overlay val="0"/>
      <c:spPr>
        <a:noFill/>
        <a:ln>
          <a:noFill/>
        </a:ln>
      </c:spPr>
      <c:txPr>
        <a:bodyPr/>
        <a:lstStyle/>
        <a:p>
          <a:pPr>
            <a:defRPr sz="1000" b="0" strike="noStrike" spc="-1">
              <a:solidFill>
                <a:srgbClr val="000000"/>
              </a:solidFill>
              <a:latin typeface="Arial"/>
            </a:defRPr>
          </a:pPr>
          <a:endParaRPr lang="ru-RU"/>
        </a:p>
      </c:txPr>
    </c:legend>
    <c:plotVisOnly val="1"/>
    <c:dispBlanksAs val="gap"/>
    <c:showDLblsOverMax val="1"/>
  </c:chart>
  <c:spPr>
    <a:noFill/>
    <a:ln>
      <a:noFill/>
    </a:ln>
  </c:spPr>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ru-RU"/>
  <c:roundedCorners val="0"/>
  <c:style val="2"/>
  <c:chart>
    <c:autoTitleDeleted val="1"/>
    <c:plotArea>
      <c:layout/>
      <c:barChart>
        <c:barDir val="col"/>
        <c:grouping val="percentStacked"/>
        <c:varyColors val="0"/>
        <c:ser>
          <c:idx val="0"/>
          <c:order val="0"/>
          <c:tx>
            <c:strRef>
              <c:f>label 0</c:f>
              <c:strCache>
                <c:ptCount val="1"/>
                <c:pt idx="0">
                  <c:v>важкий</c:v>
                </c:pt>
              </c:strCache>
            </c:strRef>
          </c:tx>
          <c:spPr>
            <a:solidFill>
              <a:srgbClr val="004586"/>
            </a:solidFill>
            <a:ln>
              <a:noFill/>
            </a:ln>
          </c:spPr>
          <c:invertIfNegative val="0"/>
          <c:dLbls>
            <c:spPr>
              <a:noFill/>
              <a:ln>
                <a:noFill/>
              </a:ln>
              <a:effectLst/>
            </c:spPr>
            <c:txPr>
              <a:bodyPr/>
              <a:lstStyle/>
              <a:p>
                <a:pPr>
                  <a:defRPr sz="1000" b="0" strike="noStrike" spc="-1">
                    <a:solidFill>
                      <a:srgbClr val="000000"/>
                    </a:solidFill>
                    <a:latin typeface="Arial"/>
                  </a:defRPr>
                </a:pPr>
                <a:endParaRPr lang="ru-RU"/>
              </a:p>
            </c:txPr>
            <c:dLblPos val="ct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0"/>
              </c:ext>
            </c:extLst>
          </c:dLbls>
          <c:cat>
            <c:strRef>
              <c:f>categories</c:f>
              <c:strCache>
                <c:ptCount val="4"/>
                <c:pt idx="0">
                  <c:v>Стрес</c:v>
                </c:pt>
                <c:pt idx="1">
                  <c:v>Тривога</c:v>
                </c:pt>
                <c:pt idx="2">
                  <c:v>Депресія</c:v>
                </c:pt>
              </c:strCache>
            </c:strRef>
          </c:cat>
          <c:val>
            <c:numRef>
              <c:f>0</c:f>
              <c:numCache>
                <c:formatCode>General</c:formatCode>
                <c:ptCount val="4"/>
                <c:pt idx="0">
                  <c:v>0</c:v>
                </c:pt>
                <c:pt idx="1">
                  <c:v>0</c:v>
                </c:pt>
                <c:pt idx="2">
                  <c:v>0</c:v>
                </c:pt>
              </c:numCache>
            </c:numRef>
          </c:val>
          <c:extLst>
            <c:ext xmlns:c16="http://schemas.microsoft.com/office/drawing/2014/chart" uri="{C3380CC4-5D6E-409C-BE32-E72D297353CC}">
              <c16:uniqueId val="{00000000-2C52-4988-A698-4A16892CEF04}"/>
            </c:ext>
          </c:extLst>
        </c:ser>
        <c:ser>
          <c:idx val="1"/>
          <c:order val="1"/>
          <c:tx>
            <c:strRef>
              <c:f>label 1</c:f>
              <c:strCache>
                <c:ptCount val="1"/>
                <c:pt idx="0">
                  <c:v>виражений</c:v>
                </c:pt>
              </c:strCache>
            </c:strRef>
          </c:tx>
          <c:spPr>
            <a:solidFill>
              <a:srgbClr val="FF420E"/>
            </a:solidFill>
            <a:ln>
              <a:noFill/>
            </a:ln>
          </c:spPr>
          <c:invertIfNegative val="0"/>
          <c:dLbls>
            <c:spPr>
              <a:noFill/>
              <a:ln>
                <a:noFill/>
              </a:ln>
              <a:effectLst/>
            </c:spPr>
            <c:txPr>
              <a:bodyPr/>
              <a:lstStyle/>
              <a:p>
                <a:pPr>
                  <a:defRPr sz="1000" b="0" strike="noStrike" spc="-1">
                    <a:solidFill>
                      <a:srgbClr val="000000"/>
                    </a:solidFill>
                    <a:latin typeface="Arial"/>
                  </a:defRPr>
                </a:pPr>
                <a:endParaRPr lang="ru-RU"/>
              </a:p>
            </c:txPr>
            <c:dLblPos val="ct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0"/>
              </c:ext>
            </c:extLst>
          </c:dLbls>
          <c:cat>
            <c:strRef>
              <c:f>categories</c:f>
              <c:strCache>
                <c:ptCount val="4"/>
                <c:pt idx="0">
                  <c:v>Стрес</c:v>
                </c:pt>
                <c:pt idx="1">
                  <c:v>Тривога</c:v>
                </c:pt>
                <c:pt idx="2">
                  <c:v>Депресія</c:v>
                </c:pt>
              </c:strCache>
            </c:strRef>
          </c:cat>
          <c:val>
            <c:numRef>
              <c:f>1</c:f>
              <c:numCache>
                <c:formatCode>General</c:formatCode>
                <c:ptCount val="4"/>
                <c:pt idx="0">
                  <c:v>0.56999999999999995</c:v>
                </c:pt>
                <c:pt idx="1">
                  <c:v>0.63</c:v>
                </c:pt>
                <c:pt idx="2">
                  <c:v>0.28999999999999998</c:v>
                </c:pt>
              </c:numCache>
            </c:numRef>
          </c:val>
          <c:extLst>
            <c:ext xmlns:c16="http://schemas.microsoft.com/office/drawing/2014/chart" uri="{C3380CC4-5D6E-409C-BE32-E72D297353CC}">
              <c16:uniqueId val="{00000001-2C52-4988-A698-4A16892CEF04}"/>
            </c:ext>
          </c:extLst>
        </c:ser>
        <c:ser>
          <c:idx val="2"/>
          <c:order val="2"/>
          <c:tx>
            <c:strRef>
              <c:f>label 2</c:f>
              <c:strCache>
                <c:ptCount val="1"/>
                <c:pt idx="0">
                  <c:v>помірний</c:v>
                </c:pt>
              </c:strCache>
            </c:strRef>
          </c:tx>
          <c:spPr>
            <a:solidFill>
              <a:srgbClr val="FFD320"/>
            </a:solidFill>
            <a:ln>
              <a:noFill/>
            </a:ln>
          </c:spPr>
          <c:invertIfNegative val="0"/>
          <c:dLbls>
            <c:spPr>
              <a:noFill/>
              <a:ln>
                <a:noFill/>
              </a:ln>
              <a:effectLst/>
            </c:spPr>
            <c:txPr>
              <a:bodyPr/>
              <a:lstStyle/>
              <a:p>
                <a:pPr>
                  <a:defRPr sz="1000" b="0" strike="noStrike" spc="-1">
                    <a:solidFill>
                      <a:srgbClr val="000000"/>
                    </a:solidFill>
                    <a:latin typeface="Arial"/>
                  </a:defRPr>
                </a:pPr>
                <a:endParaRPr lang="ru-RU"/>
              </a:p>
            </c:txPr>
            <c:dLblPos val="ctr"/>
            <c:showLegendKey val="0"/>
            <c:showVal val="0"/>
            <c:showCatName val="0"/>
            <c:showSerName val="0"/>
            <c:showPercent val="0"/>
            <c:showBubbleSize val="1"/>
            <c:separator> </c:separator>
            <c:showLeaderLines val="0"/>
            <c:extLst>
              <c:ext xmlns:c15="http://schemas.microsoft.com/office/drawing/2012/chart" uri="{CE6537A1-D6FC-4f65-9D91-7224C49458BB}">
                <c15:showLeaderLines val="0"/>
              </c:ext>
            </c:extLst>
          </c:dLbls>
          <c:cat>
            <c:strRef>
              <c:f>categories</c:f>
              <c:strCache>
                <c:ptCount val="4"/>
                <c:pt idx="0">
                  <c:v>Стрес</c:v>
                </c:pt>
                <c:pt idx="1">
                  <c:v>Тривога</c:v>
                </c:pt>
                <c:pt idx="2">
                  <c:v>Депресія</c:v>
                </c:pt>
              </c:strCache>
            </c:strRef>
          </c:cat>
          <c:val>
            <c:numRef>
              <c:f>2</c:f>
              <c:numCache>
                <c:formatCode>General</c:formatCode>
                <c:ptCount val="4"/>
                <c:pt idx="0">
                  <c:v>0.43</c:v>
                </c:pt>
                <c:pt idx="1">
                  <c:v>0.37</c:v>
                </c:pt>
                <c:pt idx="2">
                  <c:v>0.71</c:v>
                </c:pt>
              </c:numCache>
            </c:numRef>
          </c:val>
          <c:extLst>
            <c:ext xmlns:c16="http://schemas.microsoft.com/office/drawing/2014/chart" uri="{C3380CC4-5D6E-409C-BE32-E72D297353CC}">
              <c16:uniqueId val="{00000002-2C52-4988-A698-4A16892CEF04}"/>
            </c:ext>
          </c:extLst>
        </c:ser>
        <c:dLbls>
          <c:showLegendKey val="0"/>
          <c:showVal val="0"/>
          <c:showCatName val="0"/>
          <c:showSerName val="0"/>
          <c:showPercent val="0"/>
          <c:showBubbleSize val="0"/>
        </c:dLbls>
        <c:gapWidth val="100"/>
        <c:overlap val="100"/>
        <c:axId val="54242444"/>
        <c:axId val="53912738"/>
      </c:barChart>
      <c:catAx>
        <c:axId val="54242444"/>
        <c:scaling>
          <c:orientation val="minMax"/>
        </c:scaling>
        <c:delete val="0"/>
        <c:axPos val="b"/>
        <c:numFmt formatCode="General" sourceLinked="1"/>
        <c:majorTickMark val="out"/>
        <c:minorTickMark val="none"/>
        <c:tickLblPos val="nextTo"/>
        <c:spPr>
          <a:ln>
            <a:solidFill>
              <a:srgbClr val="B3B3B3"/>
            </a:solidFill>
          </a:ln>
        </c:spPr>
        <c:txPr>
          <a:bodyPr/>
          <a:lstStyle/>
          <a:p>
            <a:pPr>
              <a:defRPr sz="1000" b="0" strike="noStrike" spc="-1">
                <a:solidFill>
                  <a:srgbClr val="000000"/>
                </a:solidFill>
                <a:latin typeface="Arial"/>
              </a:defRPr>
            </a:pPr>
            <a:endParaRPr lang="ru-RU"/>
          </a:p>
        </c:txPr>
        <c:crossAx val="53912738"/>
        <c:crosses val="autoZero"/>
        <c:auto val="1"/>
        <c:lblAlgn val="ctr"/>
        <c:lblOffset val="100"/>
        <c:noMultiLvlLbl val="1"/>
      </c:catAx>
      <c:valAx>
        <c:axId val="53912738"/>
        <c:scaling>
          <c:orientation val="minMax"/>
        </c:scaling>
        <c:delete val="0"/>
        <c:axPos val="l"/>
        <c:majorGridlines>
          <c:spPr>
            <a:ln>
              <a:solidFill>
                <a:srgbClr val="B3B3B3"/>
              </a:solidFill>
            </a:ln>
          </c:spPr>
        </c:majorGridlines>
        <c:numFmt formatCode="[$-422]0%" sourceLinked="0"/>
        <c:majorTickMark val="out"/>
        <c:minorTickMark val="none"/>
        <c:tickLblPos val="nextTo"/>
        <c:spPr>
          <a:ln>
            <a:solidFill>
              <a:srgbClr val="B3B3B3"/>
            </a:solidFill>
          </a:ln>
        </c:spPr>
        <c:txPr>
          <a:bodyPr/>
          <a:lstStyle/>
          <a:p>
            <a:pPr>
              <a:defRPr sz="1000" b="0" strike="noStrike" spc="-1">
                <a:solidFill>
                  <a:srgbClr val="000000"/>
                </a:solidFill>
                <a:latin typeface="Arial"/>
              </a:defRPr>
            </a:pPr>
            <a:endParaRPr lang="ru-RU"/>
          </a:p>
        </c:txPr>
        <c:crossAx val="54242444"/>
        <c:crossesAt val="1"/>
        <c:crossBetween val="between"/>
      </c:valAx>
      <c:spPr>
        <a:noFill/>
        <a:ln>
          <a:solidFill>
            <a:srgbClr val="B3B3B3"/>
          </a:solidFill>
        </a:ln>
      </c:spPr>
    </c:plotArea>
    <c:legend>
      <c:legendPos val="r"/>
      <c:overlay val="0"/>
      <c:spPr>
        <a:noFill/>
        <a:ln>
          <a:noFill/>
        </a:ln>
      </c:spPr>
      <c:txPr>
        <a:bodyPr/>
        <a:lstStyle/>
        <a:p>
          <a:pPr>
            <a:defRPr sz="1000" b="0" strike="noStrike" spc="-1">
              <a:solidFill>
                <a:srgbClr val="000000"/>
              </a:solidFill>
              <a:latin typeface="Arial"/>
            </a:defRPr>
          </a:pPr>
          <a:endParaRPr lang="ru-RU"/>
        </a:p>
      </c:txPr>
    </c:legend>
    <c:plotVisOnly val="1"/>
    <c:dispBlanksAs val="gap"/>
    <c:showDLblsOverMax val="1"/>
  </c:chart>
  <c:spPr>
    <a:noFill/>
    <a:ln>
      <a:noFill/>
    </a:ln>
  </c:spPr>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24</Pages>
  <Words>51397</Words>
  <Characters>292963</Characters>
  <Application>Microsoft Office Word</Application>
  <DocSecurity>0</DocSecurity>
  <Lines>2441</Lines>
  <Paragraphs>687</Paragraphs>
  <ScaleCrop>false</ScaleCrop>
  <Company/>
  <LinksUpToDate>false</LinksUpToDate>
  <CharactersWithSpaces>343673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Ірина Сергіївна Дружкова</dc:creator>
  <dc:description/>
  <cp:lastModifiedBy>Ірина Сергіївна Дружкова</cp:lastModifiedBy>
  <cp:revision>2</cp:revision>
  <dcterms:created xsi:type="dcterms:W3CDTF">2026-03-14T08:46:00Z</dcterms:created>
  <dcterms:modified xsi:type="dcterms:W3CDTF">2026-03-14T08:46:00Z</dcterms:modified>
  <dc:language>uk-UA</dc:language>
</cp:coreProperties>
</file>